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1C70" w14:textId="0CB86BD0" w:rsidR="00DE495D" w:rsidRPr="00B50287" w:rsidRDefault="00DE495D" w:rsidP="00B50287">
      <w:pPr>
        <w:pStyle w:val="Title"/>
        <w:spacing w:after="2040"/>
      </w:pPr>
      <w:bookmarkStart w:id="0" w:name="_Toc418770522"/>
      <w:bookmarkStart w:id="1" w:name="_Toc417504676"/>
      <w:bookmarkStart w:id="2" w:name="_Toc418770523"/>
      <w:bookmarkStart w:id="3" w:name="_Toc417504683"/>
      <w:bookmarkStart w:id="4" w:name="_GoBack"/>
      <w:bookmarkEnd w:id="4"/>
      <w:r w:rsidRPr="00B50287">
        <w:drawing>
          <wp:anchor distT="0" distB="0" distL="114300" distR="114300" simplePos="0" relativeHeight="251656704" behindDoc="1" locked="0" layoutInCell="1" allowOverlap="1" wp14:anchorId="57EB567B" wp14:editId="7A61962E">
            <wp:simplePos x="0" y="0"/>
            <wp:positionH relativeFrom="column">
              <wp:posOffset>-1038225</wp:posOffset>
            </wp:positionH>
            <wp:positionV relativeFrom="paragraph">
              <wp:posOffset>-954405</wp:posOffset>
            </wp:positionV>
            <wp:extent cx="8029575" cy="3562350"/>
            <wp:effectExtent l="0" t="0" r="9525" b="0"/>
            <wp:wrapNone/>
            <wp:docPr id="16" name="Picture 16" descr="Siggins-Miller_repor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gins-Miller_report-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9575" cy="3562350"/>
                    </a:xfrm>
                    <a:prstGeom prst="rect">
                      <a:avLst/>
                    </a:prstGeom>
                    <a:noFill/>
                  </pic:spPr>
                </pic:pic>
              </a:graphicData>
            </a:graphic>
          </wp:anchor>
        </w:drawing>
      </w:r>
      <w:r w:rsidRPr="00B50287">
        <w:t>Consultancy services to inform the development of a Post Implementation Review of the tobacco plain packaging measure</w:t>
      </w:r>
    </w:p>
    <w:p w14:paraId="511F9D16" w14:textId="77777777" w:rsidR="00B50287" w:rsidRPr="009C426B" w:rsidRDefault="00B50287" w:rsidP="00B50287">
      <w:pPr>
        <w:pStyle w:val="Subtitle"/>
        <w:rPr>
          <w:i w:val="0"/>
        </w:rPr>
      </w:pPr>
      <w:r w:rsidRPr="009C426B">
        <w:rPr>
          <w:i w:val="0"/>
        </w:rPr>
        <w:t>Regulatory Burden Measurement &amp; Analysis of Costs and Benefits</w:t>
      </w:r>
    </w:p>
    <w:p w14:paraId="5F910B76" w14:textId="77777777" w:rsidR="00B50287" w:rsidRPr="009C426B" w:rsidRDefault="00B50287" w:rsidP="00B50287">
      <w:pPr>
        <w:pStyle w:val="Subtitle"/>
        <w:spacing w:before="720"/>
        <w:rPr>
          <w:i w:val="0"/>
        </w:rPr>
      </w:pPr>
      <w:r w:rsidRPr="009C426B">
        <w:rPr>
          <w:i w:val="0"/>
        </w:rPr>
        <w:t>January, 2016</w:t>
      </w:r>
    </w:p>
    <w:p w14:paraId="2583EB51" w14:textId="77777777" w:rsidR="00D2244E" w:rsidRPr="00D2244E" w:rsidRDefault="00B50287" w:rsidP="00D2244E">
      <w:pPr>
        <w:tabs>
          <w:tab w:val="clear" w:pos="357"/>
        </w:tabs>
        <w:spacing w:before="0" w:after="200" w:line="276" w:lineRule="auto"/>
        <w:rPr>
          <w:rFonts w:cs="Times New Roman"/>
          <w:b/>
          <w:bCs/>
          <w:kern w:val="32"/>
          <w:szCs w:val="32"/>
        </w:rPr>
      </w:pPr>
      <w:r w:rsidRPr="00B50287">
        <w:rPr>
          <w:i/>
          <w:noProof/>
          <w:lang w:eastAsia="en-AU"/>
        </w:rPr>
        <w:drawing>
          <wp:anchor distT="0" distB="0" distL="114300" distR="114300" simplePos="0" relativeHeight="251670016" behindDoc="0" locked="0" layoutInCell="1" allowOverlap="1" wp14:anchorId="0CCB5953" wp14:editId="5FB6B24C">
            <wp:simplePos x="0" y="0"/>
            <wp:positionH relativeFrom="column">
              <wp:posOffset>4229100</wp:posOffset>
            </wp:positionH>
            <wp:positionV relativeFrom="paragraph">
              <wp:posOffset>4495165</wp:posOffset>
            </wp:positionV>
            <wp:extent cx="1914525" cy="584200"/>
            <wp:effectExtent l="0" t="0" r="9525" b="6350"/>
            <wp:wrapNone/>
            <wp:docPr id="17" name="Picture 17" descr="Siggins Mill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M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584200"/>
                    </a:xfrm>
                    <a:prstGeom prst="rect">
                      <a:avLst/>
                    </a:prstGeom>
                    <a:noFill/>
                    <a:ln>
                      <a:noFill/>
                    </a:ln>
                  </pic:spPr>
                </pic:pic>
              </a:graphicData>
            </a:graphic>
          </wp:anchor>
        </w:drawing>
      </w:r>
      <w:r w:rsidR="00DE495D" w:rsidRPr="008D2A38">
        <w:br w:type="page"/>
      </w:r>
    </w:p>
    <w:sdt>
      <w:sdtPr>
        <w:rPr>
          <w:rFonts w:ascii="Times New Roman" w:hAnsi="Times New Roman" w:cs="Arial"/>
          <w:b w:val="0"/>
          <w:bCs w:val="0"/>
          <w:kern w:val="0"/>
          <w:sz w:val="24"/>
          <w:szCs w:val="24"/>
        </w:rPr>
        <w:id w:val="962080301"/>
        <w:docPartObj>
          <w:docPartGallery w:val="Table of Contents"/>
          <w:docPartUnique/>
        </w:docPartObj>
      </w:sdtPr>
      <w:sdtEndPr>
        <w:rPr>
          <w:noProof/>
        </w:rPr>
      </w:sdtEndPr>
      <w:sdtContent>
        <w:p w14:paraId="50E73FF1" w14:textId="5E848341" w:rsidR="00D2244E" w:rsidRDefault="00D2244E">
          <w:pPr>
            <w:pStyle w:val="TOCHeading"/>
          </w:pPr>
          <w:r>
            <w:t>Table of Contents</w:t>
          </w:r>
        </w:p>
        <w:p w14:paraId="757719AE" w14:textId="77777777" w:rsidR="00D2244E" w:rsidRDefault="00D2244E">
          <w:pPr>
            <w:pStyle w:val="TOC1"/>
            <w:tabs>
              <w:tab w:val="right" w:pos="9017"/>
            </w:tabs>
            <w:rPr>
              <w:rFonts w:eastAsiaTheme="minorEastAsia" w:cstheme="minorBidi"/>
              <w:b w:val="0"/>
              <w:bCs w:val="0"/>
              <w:caps w:val="0"/>
              <w:noProof/>
              <w:sz w:val="22"/>
              <w:szCs w:val="22"/>
              <w:lang w:eastAsia="en-AU"/>
            </w:rPr>
          </w:pPr>
          <w:r>
            <w:rPr>
              <w:b w:val="0"/>
              <w:bCs w:val="0"/>
            </w:rPr>
            <w:fldChar w:fldCharType="begin"/>
          </w:r>
          <w:r>
            <w:instrText xml:space="preserve"> TOC \o "1-3" \h \z \u </w:instrText>
          </w:r>
          <w:r>
            <w:rPr>
              <w:b w:val="0"/>
              <w:bCs w:val="0"/>
            </w:rPr>
            <w:fldChar w:fldCharType="separate"/>
          </w:r>
          <w:hyperlink w:anchor="_Toc443560400" w:history="1">
            <w:r w:rsidRPr="00573E87">
              <w:rPr>
                <w:rStyle w:val="Hyperlink"/>
                <w:noProof/>
              </w:rPr>
              <w:t>Introduction</w:t>
            </w:r>
            <w:r>
              <w:rPr>
                <w:noProof/>
                <w:webHidden/>
              </w:rPr>
              <w:tab/>
            </w:r>
            <w:r>
              <w:rPr>
                <w:noProof/>
                <w:webHidden/>
              </w:rPr>
              <w:fldChar w:fldCharType="begin"/>
            </w:r>
            <w:r>
              <w:rPr>
                <w:noProof/>
                <w:webHidden/>
              </w:rPr>
              <w:instrText xml:space="preserve"> PAGEREF _Toc443560400 \h </w:instrText>
            </w:r>
            <w:r>
              <w:rPr>
                <w:noProof/>
                <w:webHidden/>
              </w:rPr>
            </w:r>
            <w:r>
              <w:rPr>
                <w:noProof/>
                <w:webHidden/>
              </w:rPr>
              <w:fldChar w:fldCharType="separate"/>
            </w:r>
            <w:r w:rsidR="005403ED">
              <w:rPr>
                <w:noProof/>
                <w:webHidden/>
              </w:rPr>
              <w:t>3</w:t>
            </w:r>
            <w:r>
              <w:rPr>
                <w:noProof/>
                <w:webHidden/>
              </w:rPr>
              <w:fldChar w:fldCharType="end"/>
            </w:r>
          </w:hyperlink>
        </w:p>
        <w:p w14:paraId="752127A9" w14:textId="77777777" w:rsidR="00D2244E" w:rsidRDefault="00C005B6">
          <w:pPr>
            <w:pStyle w:val="TOC2"/>
            <w:tabs>
              <w:tab w:val="right" w:pos="9017"/>
            </w:tabs>
            <w:rPr>
              <w:rFonts w:eastAsiaTheme="minorEastAsia" w:cstheme="minorBidi"/>
              <w:smallCaps w:val="0"/>
              <w:noProof/>
              <w:sz w:val="22"/>
              <w:szCs w:val="22"/>
              <w:lang w:eastAsia="en-AU"/>
            </w:rPr>
          </w:pPr>
          <w:hyperlink w:anchor="_Toc443560401" w:history="1">
            <w:r w:rsidR="00D2244E" w:rsidRPr="00573E87">
              <w:rPr>
                <w:rStyle w:val="Hyperlink"/>
                <w:noProof/>
              </w:rPr>
              <w:t>The Object of the Tobacco Plain Packaging Act</w:t>
            </w:r>
            <w:r w:rsidR="00D2244E">
              <w:rPr>
                <w:noProof/>
                <w:webHidden/>
              </w:rPr>
              <w:tab/>
            </w:r>
            <w:r w:rsidR="00D2244E">
              <w:rPr>
                <w:noProof/>
                <w:webHidden/>
              </w:rPr>
              <w:fldChar w:fldCharType="begin"/>
            </w:r>
            <w:r w:rsidR="00D2244E">
              <w:rPr>
                <w:noProof/>
                <w:webHidden/>
              </w:rPr>
              <w:instrText xml:space="preserve"> PAGEREF _Toc443560401 \h </w:instrText>
            </w:r>
            <w:r w:rsidR="00D2244E">
              <w:rPr>
                <w:noProof/>
                <w:webHidden/>
              </w:rPr>
            </w:r>
            <w:r w:rsidR="00D2244E">
              <w:rPr>
                <w:noProof/>
                <w:webHidden/>
              </w:rPr>
              <w:fldChar w:fldCharType="separate"/>
            </w:r>
            <w:r w:rsidR="005403ED">
              <w:rPr>
                <w:noProof/>
                <w:webHidden/>
              </w:rPr>
              <w:t>3</w:t>
            </w:r>
            <w:r w:rsidR="00D2244E">
              <w:rPr>
                <w:noProof/>
                <w:webHidden/>
              </w:rPr>
              <w:fldChar w:fldCharType="end"/>
            </w:r>
          </w:hyperlink>
        </w:p>
        <w:p w14:paraId="13FB7D8D" w14:textId="77777777" w:rsidR="00D2244E" w:rsidRDefault="00C005B6">
          <w:pPr>
            <w:pStyle w:val="TOC1"/>
            <w:tabs>
              <w:tab w:val="right" w:pos="9017"/>
            </w:tabs>
            <w:rPr>
              <w:rFonts w:eastAsiaTheme="minorEastAsia" w:cstheme="minorBidi"/>
              <w:b w:val="0"/>
              <w:bCs w:val="0"/>
              <w:caps w:val="0"/>
              <w:noProof/>
              <w:sz w:val="22"/>
              <w:szCs w:val="22"/>
              <w:lang w:eastAsia="en-AU"/>
            </w:rPr>
          </w:pPr>
          <w:hyperlink w:anchor="_Toc443560402" w:history="1">
            <w:r w:rsidR="00D2244E" w:rsidRPr="00573E87">
              <w:rPr>
                <w:rStyle w:val="Hyperlink"/>
                <w:noProof/>
              </w:rPr>
              <w:t>Methods</w:t>
            </w:r>
            <w:r w:rsidR="00D2244E">
              <w:rPr>
                <w:noProof/>
                <w:webHidden/>
              </w:rPr>
              <w:tab/>
            </w:r>
            <w:r w:rsidR="00D2244E">
              <w:rPr>
                <w:noProof/>
                <w:webHidden/>
              </w:rPr>
              <w:fldChar w:fldCharType="begin"/>
            </w:r>
            <w:r w:rsidR="00D2244E">
              <w:rPr>
                <w:noProof/>
                <w:webHidden/>
              </w:rPr>
              <w:instrText xml:space="preserve"> PAGEREF _Toc443560402 \h </w:instrText>
            </w:r>
            <w:r w:rsidR="00D2244E">
              <w:rPr>
                <w:noProof/>
                <w:webHidden/>
              </w:rPr>
            </w:r>
            <w:r w:rsidR="00D2244E">
              <w:rPr>
                <w:noProof/>
                <w:webHidden/>
              </w:rPr>
              <w:fldChar w:fldCharType="separate"/>
            </w:r>
            <w:r w:rsidR="005403ED">
              <w:rPr>
                <w:noProof/>
                <w:webHidden/>
              </w:rPr>
              <w:t>4</w:t>
            </w:r>
            <w:r w:rsidR="00D2244E">
              <w:rPr>
                <w:noProof/>
                <w:webHidden/>
              </w:rPr>
              <w:fldChar w:fldCharType="end"/>
            </w:r>
          </w:hyperlink>
        </w:p>
        <w:p w14:paraId="320C4724" w14:textId="77777777" w:rsidR="00D2244E" w:rsidRDefault="00C005B6">
          <w:pPr>
            <w:pStyle w:val="TOC2"/>
            <w:tabs>
              <w:tab w:val="right" w:pos="9017"/>
            </w:tabs>
            <w:rPr>
              <w:rFonts w:eastAsiaTheme="minorEastAsia" w:cstheme="minorBidi"/>
              <w:smallCaps w:val="0"/>
              <w:noProof/>
              <w:sz w:val="22"/>
              <w:szCs w:val="22"/>
              <w:lang w:eastAsia="en-AU"/>
            </w:rPr>
          </w:pPr>
          <w:hyperlink w:anchor="_Toc443560403" w:history="1">
            <w:r w:rsidR="00D2244E" w:rsidRPr="00573E87">
              <w:rPr>
                <w:rStyle w:val="Hyperlink"/>
                <w:noProof/>
              </w:rPr>
              <w:t>Regulatory Burden Measurement</w:t>
            </w:r>
            <w:r w:rsidR="00D2244E">
              <w:rPr>
                <w:noProof/>
                <w:webHidden/>
              </w:rPr>
              <w:tab/>
            </w:r>
            <w:r w:rsidR="00D2244E">
              <w:rPr>
                <w:noProof/>
                <w:webHidden/>
              </w:rPr>
              <w:fldChar w:fldCharType="begin"/>
            </w:r>
            <w:r w:rsidR="00D2244E">
              <w:rPr>
                <w:noProof/>
                <w:webHidden/>
              </w:rPr>
              <w:instrText xml:space="preserve"> PAGEREF _Toc443560403 \h </w:instrText>
            </w:r>
            <w:r w:rsidR="00D2244E">
              <w:rPr>
                <w:noProof/>
                <w:webHidden/>
              </w:rPr>
            </w:r>
            <w:r w:rsidR="00D2244E">
              <w:rPr>
                <w:noProof/>
                <w:webHidden/>
              </w:rPr>
              <w:fldChar w:fldCharType="separate"/>
            </w:r>
            <w:r w:rsidR="005403ED">
              <w:rPr>
                <w:noProof/>
                <w:webHidden/>
              </w:rPr>
              <w:t>4</w:t>
            </w:r>
            <w:r w:rsidR="00D2244E">
              <w:rPr>
                <w:noProof/>
                <w:webHidden/>
              </w:rPr>
              <w:fldChar w:fldCharType="end"/>
            </w:r>
          </w:hyperlink>
        </w:p>
        <w:p w14:paraId="1C11FD68" w14:textId="77777777" w:rsidR="00D2244E" w:rsidRDefault="00C005B6">
          <w:pPr>
            <w:pStyle w:val="TOC2"/>
            <w:tabs>
              <w:tab w:val="right" w:pos="9017"/>
            </w:tabs>
            <w:rPr>
              <w:rFonts w:eastAsiaTheme="minorEastAsia" w:cstheme="minorBidi"/>
              <w:smallCaps w:val="0"/>
              <w:noProof/>
              <w:sz w:val="22"/>
              <w:szCs w:val="22"/>
              <w:lang w:eastAsia="en-AU"/>
            </w:rPr>
          </w:pPr>
          <w:hyperlink w:anchor="_Toc443560404" w:history="1">
            <w:r w:rsidR="00D2244E" w:rsidRPr="00573E87">
              <w:rPr>
                <w:rStyle w:val="Hyperlink"/>
                <w:noProof/>
              </w:rPr>
              <w:t>Analysis of Costs and Benefits</w:t>
            </w:r>
            <w:r w:rsidR="00D2244E">
              <w:rPr>
                <w:noProof/>
                <w:webHidden/>
              </w:rPr>
              <w:tab/>
            </w:r>
            <w:r w:rsidR="00D2244E">
              <w:rPr>
                <w:noProof/>
                <w:webHidden/>
              </w:rPr>
              <w:fldChar w:fldCharType="begin"/>
            </w:r>
            <w:r w:rsidR="00D2244E">
              <w:rPr>
                <w:noProof/>
                <w:webHidden/>
              </w:rPr>
              <w:instrText xml:space="preserve"> PAGEREF _Toc443560404 \h </w:instrText>
            </w:r>
            <w:r w:rsidR="00D2244E">
              <w:rPr>
                <w:noProof/>
                <w:webHidden/>
              </w:rPr>
            </w:r>
            <w:r w:rsidR="00D2244E">
              <w:rPr>
                <w:noProof/>
                <w:webHidden/>
              </w:rPr>
              <w:fldChar w:fldCharType="separate"/>
            </w:r>
            <w:r w:rsidR="005403ED">
              <w:rPr>
                <w:noProof/>
                <w:webHidden/>
              </w:rPr>
              <w:t>4</w:t>
            </w:r>
            <w:r w:rsidR="00D2244E">
              <w:rPr>
                <w:noProof/>
                <w:webHidden/>
              </w:rPr>
              <w:fldChar w:fldCharType="end"/>
            </w:r>
          </w:hyperlink>
        </w:p>
        <w:p w14:paraId="793343A3"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05" w:history="1">
            <w:r w:rsidR="00D2244E" w:rsidRPr="00573E87">
              <w:rPr>
                <w:rStyle w:val="Hyperlink"/>
                <w:noProof/>
              </w:rPr>
              <w:t>Identification of Costs and Benefits</w:t>
            </w:r>
            <w:r w:rsidR="00D2244E">
              <w:rPr>
                <w:noProof/>
                <w:webHidden/>
              </w:rPr>
              <w:tab/>
            </w:r>
            <w:r w:rsidR="00D2244E">
              <w:rPr>
                <w:noProof/>
                <w:webHidden/>
              </w:rPr>
              <w:fldChar w:fldCharType="begin"/>
            </w:r>
            <w:r w:rsidR="00D2244E">
              <w:rPr>
                <w:noProof/>
                <w:webHidden/>
              </w:rPr>
              <w:instrText xml:space="preserve"> PAGEREF _Toc443560405 \h </w:instrText>
            </w:r>
            <w:r w:rsidR="00D2244E">
              <w:rPr>
                <w:noProof/>
                <w:webHidden/>
              </w:rPr>
            </w:r>
            <w:r w:rsidR="00D2244E">
              <w:rPr>
                <w:noProof/>
                <w:webHidden/>
              </w:rPr>
              <w:fldChar w:fldCharType="separate"/>
            </w:r>
            <w:r w:rsidR="005403ED">
              <w:rPr>
                <w:noProof/>
                <w:webHidden/>
              </w:rPr>
              <w:t>5</w:t>
            </w:r>
            <w:r w:rsidR="00D2244E">
              <w:rPr>
                <w:noProof/>
                <w:webHidden/>
              </w:rPr>
              <w:fldChar w:fldCharType="end"/>
            </w:r>
          </w:hyperlink>
        </w:p>
        <w:p w14:paraId="3EB6C1A5" w14:textId="77777777" w:rsidR="00D2244E" w:rsidRDefault="00C005B6">
          <w:pPr>
            <w:pStyle w:val="TOC2"/>
            <w:tabs>
              <w:tab w:val="right" w:pos="9017"/>
            </w:tabs>
            <w:rPr>
              <w:rFonts w:eastAsiaTheme="minorEastAsia" w:cstheme="minorBidi"/>
              <w:smallCaps w:val="0"/>
              <w:noProof/>
              <w:sz w:val="22"/>
              <w:szCs w:val="22"/>
              <w:lang w:eastAsia="en-AU"/>
            </w:rPr>
          </w:pPr>
          <w:hyperlink w:anchor="_Toc443560406" w:history="1">
            <w:r w:rsidR="00D2244E" w:rsidRPr="00573E87">
              <w:rPr>
                <w:rStyle w:val="Hyperlink"/>
                <w:noProof/>
              </w:rPr>
              <w:t>Data Sources</w:t>
            </w:r>
            <w:r w:rsidR="00D2244E">
              <w:rPr>
                <w:noProof/>
                <w:webHidden/>
              </w:rPr>
              <w:tab/>
            </w:r>
            <w:r w:rsidR="00D2244E">
              <w:rPr>
                <w:noProof/>
                <w:webHidden/>
              </w:rPr>
              <w:fldChar w:fldCharType="begin"/>
            </w:r>
            <w:r w:rsidR="00D2244E">
              <w:rPr>
                <w:noProof/>
                <w:webHidden/>
              </w:rPr>
              <w:instrText xml:space="preserve"> PAGEREF _Toc443560406 \h </w:instrText>
            </w:r>
            <w:r w:rsidR="00D2244E">
              <w:rPr>
                <w:noProof/>
                <w:webHidden/>
              </w:rPr>
            </w:r>
            <w:r w:rsidR="00D2244E">
              <w:rPr>
                <w:noProof/>
                <w:webHidden/>
              </w:rPr>
              <w:fldChar w:fldCharType="separate"/>
            </w:r>
            <w:r w:rsidR="005403ED">
              <w:rPr>
                <w:noProof/>
                <w:webHidden/>
              </w:rPr>
              <w:t>5</w:t>
            </w:r>
            <w:r w:rsidR="00D2244E">
              <w:rPr>
                <w:noProof/>
                <w:webHidden/>
              </w:rPr>
              <w:fldChar w:fldCharType="end"/>
            </w:r>
          </w:hyperlink>
        </w:p>
        <w:p w14:paraId="042FB355" w14:textId="77777777" w:rsidR="00D2244E" w:rsidRDefault="00C005B6">
          <w:pPr>
            <w:pStyle w:val="TOC1"/>
            <w:tabs>
              <w:tab w:val="right" w:pos="9017"/>
            </w:tabs>
            <w:rPr>
              <w:rFonts w:eastAsiaTheme="minorEastAsia" w:cstheme="minorBidi"/>
              <w:b w:val="0"/>
              <w:bCs w:val="0"/>
              <w:caps w:val="0"/>
              <w:noProof/>
              <w:sz w:val="22"/>
              <w:szCs w:val="22"/>
              <w:lang w:eastAsia="en-AU"/>
            </w:rPr>
          </w:pPr>
          <w:hyperlink w:anchor="_Toc443560407" w:history="1">
            <w:r w:rsidR="00D2244E" w:rsidRPr="00573E87">
              <w:rPr>
                <w:rStyle w:val="Hyperlink"/>
                <w:noProof/>
              </w:rPr>
              <w:t>Results</w:t>
            </w:r>
            <w:r w:rsidR="00D2244E">
              <w:rPr>
                <w:noProof/>
                <w:webHidden/>
              </w:rPr>
              <w:tab/>
            </w:r>
            <w:r w:rsidR="00D2244E">
              <w:rPr>
                <w:noProof/>
                <w:webHidden/>
              </w:rPr>
              <w:fldChar w:fldCharType="begin"/>
            </w:r>
            <w:r w:rsidR="00D2244E">
              <w:rPr>
                <w:noProof/>
                <w:webHidden/>
              </w:rPr>
              <w:instrText xml:space="preserve"> PAGEREF _Toc443560407 \h </w:instrText>
            </w:r>
            <w:r w:rsidR="00D2244E">
              <w:rPr>
                <w:noProof/>
                <w:webHidden/>
              </w:rPr>
            </w:r>
            <w:r w:rsidR="00D2244E">
              <w:rPr>
                <w:noProof/>
                <w:webHidden/>
              </w:rPr>
              <w:fldChar w:fldCharType="separate"/>
            </w:r>
            <w:r w:rsidR="005403ED">
              <w:rPr>
                <w:noProof/>
                <w:webHidden/>
              </w:rPr>
              <w:t>7</w:t>
            </w:r>
            <w:r w:rsidR="00D2244E">
              <w:rPr>
                <w:noProof/>
                <w:webHidden/>
              </w:rPr>
              <w:fldChar w:fldCharType="end"/>
            </w:r>
          </w:hyperlink>
        </w:p>
        <w:p w14:paraId="34FF75EF" w14:textId="77777777" w:rsidR="00D2244E" w:rsidRDefault="00C005B6">
          <w:pPr>
            <w:pStyle w:val="TOC2"/>
            <w:tabs>
              <w:tab w:val="right" w:pos="9017"/>
            </w:tabs>
            <w:rPr>
              <w:rFonts w:eastAsiaTheme="minorEastAsia" w:cstheme="minorBidi"/>
              <w:smallCaps w:val="0"/>
              <w:noProof/>
              <w:sz w:val="22"/>
              <w:szCs w:val="22"/>
              <w:lang w:eastAsia="en-AU"/>
            </w:rPr>
          </w:pPr>
          <w:hyperlink w:anchor="_Toc443560408" w:history="1">
            <w:r w:rsidR="00D2244E" w:rsidRPr="00573E87">
              <w:rPr>
                <w:rStyle w:val="Hyperlink"/>
                <w:noProof/>
              </w:rPr>
              <w:t>Cost Data Collection</w:t>
            </w:r>
            <w:r w:rsidR="00D2244E">
              <w:rPr>
                <w:noProof/>
                <w:webHidden/>
              </w:rPr>
              <w:tab/>
            </w:r>
            <w:r w:rsidR="00D2244E">
              <w:rPr>
                <w:noProof/>
                <w:webHidden/>
              </w:rPr>
              <w:fldChar w:fldCharType="begin"/>
            </w:r>
            <w:r w:rsidR="00D2244E">
              <w:rPr>
                <w:noProof/>
                <w:webHidden/>
              </w:rPr>
              <w:instrText xml:space="preserve"> PAGEREF _Toc443560408 \h </w:instrText>
            </w:r>
            <w:r w:rsidR="00D2244E">
              <w:rPr>
                <w:noProof/>
                <w:webHidden/>
              </w:rPr>
            </w:r>
            <w:r w:rsidR="00D2244E">
              <w:rPr>
                <w:noProof/>
                <w:webHidden/>
              </w:rPr>
              <w:fldChar w:fldCharType="separate"/>
            </w:r>
            <w:r w:rsidR="005403ED">
              <w:rPr>
                <w:noProof/>
                <w:webHidden/>
              </w:rPr>
              <w:t>7</w:t>
            </w:r>
            <w:r w:rsidR="00D2244E">
              <w:rPr>
                <w:noProof/>
                <w:webHidden/>
              </w:rPr>
              <w:fldChar w:fldCharType="end"/>
            </w:r>
          </w:hyperlink>
        </w:p>
        <w:p w14:paraId="475C1230" w14:textId="77777777" w:rsidR="00D2244E" w:rsidRDefault="00C005B6">
          <w:pPr>
            <w:pStyle w:val="TOC2"/>
            <w:tabs>
              <w:tab w:val="right" w:pos="9017"/>
            </w:tabs>
            <w:rPr>
              <w:rFonts w:eastAsiaTheme="minorEastAsia" w:cstheme="minorBidi"/>
              <w:smallCaps w:val="0"/>
              <w:noProof/>
              <w:sz w:val="22"/>
              <w:szCs w:val="22"/>
              <w:lang w:eastAsia="en-AU"/>
            </w:rPr>
          </w:pPr>
          <w:hyperlink w:anchor="_Toc443560409" w:history="1">
            <w:r w:rsidR="00D2244E" w:rsidRPr="00573E87">
              <w:rPr>
                <w:rStyle w:val="Hyperlink"/>
                <w:noProof/>
              </w:rPr>
              <w:t>Regulatory Burden Measurement Results</w:t>
            </w:r>
            <w:r w:rsidR="00D2244E">
              <w:rPr>
                <w:noProof/>
                <w:webHidden/>
              </w:rPr>
              <w:tab/>
            </w:r>
            <w:r w:rsidR="00D2244E">
              <w:rPr>
                <w:noProof/>
                <w:webHidden/>
              </w:rPr>
              <w:fldChar w:fldCharType="begin"/>
            </w:r>
            <w:r w:rsidR="00D2244E">
              <w:rPr>
                <w:noProof/>
                <w:webHidden/>
              </w:rPr>
              <w:instrText xml:space="preserve"> PAGEREF _Toc443560409 \h </w:instrText>
            </w:r>
            <w:r w:rsidR="00D2244E">
              <w:rPr>
                <w:noProof/>
                <w:webHidden/>
              </w:rPr>
            </w:r>
            <w:r w:rsidR="00D2244E">
              <w:rPr>
                <w:noProof/>
                <w:webHidden/>
              </w:rPr>
              <w:fldChar w:fldCharType="separate"/>
            </w:r>
            <w:r w:rsidR="005403ED">
              <w:rPr>
                <w:noProof/>
                <w:webHidden/>
              </w:rPr>
              <w:t>8</w:t>
            </w:r>
            <w:r w:rsidR="00D2244E">
              <w:rPr>
                <w:noProof/>
                <w:webHidden/>
              </w:rPr>
              <w:fldChar w:fldCharType="end"/>
            </w:r>
          </w:hyperlink>
        </w:p>
        <w:p w14:paraId="32329667"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0" w:history="1">
            <w:r w:rsidR="00D2244E" w:rsidRPr="00573E87">
              <w:rPr>
                <w:rStyle w:val="Hyperlink"/>
                <w:noProof/>
              </w:rPr>
              <w:t>Plant and Machinery Costs</w:t>
            </w:r>
            <w:r w:rsidR="00D2244E">
              <w:rPr>
                <w:noProof/>
                <w:webHidden/>
              </w:rPr>
              <w:tab/>
            </w:r>
            <w:r w:rsidR="00D2244E">
              <w:rPr>
                <w:noProof/>
                <w:webHidden/>
              </w:rPr>
              <w:fldChar w:fldCharType="begin"/>
            </w:r>
            <w:r w:rsidR="00D2244E">
              <w:rPr>
                <w:noProof/>
                <w:webHidden/>
              </w:rPr>
              <w:instrText xml:space="preserve"> PAGEREF _Toc443560410 \h </w:instrText>
            </w:r>
            <w:r w:rsidR="00D2244E">
              <w:rPr>
                <w:noProof/>
                <w:webHidden/>
              </w:rPr>
            </w:r>
            <w:r w:rsidR="00D2244E">
              <w:rPr>
                <w:noProof/>
                <w:webHidden/>
              </w:rPr>
              <w:fldChar w:fldCharType="separate"/>
            </w:r>
            <w:r w:rsidR="005403ED">
              <w:rPr>
                <w:noProof/>
                <w:webHidden/>
              </w:rPr>
              <w:t>9</w:t>
            </w:r>
            <w:r w:rsidR="00D2244E">
              <w:rPr>
                <w:noProof/>
                <w:webHidden/>
              </w:rPr>
              <w:fldChar w:fldCharType="end"/>
            </w:r>
          </w:hyperlink>
        </w:p>
        <w:p w14:paraId="59C0B486"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1" w:history="1">
            <w:r w:rsidR="00D2244E" w:rsidRPr="00573E87">
              <w:rPr>
                <w:rStyle w:val="Hyperlink"/>
                <w:noProof/>
              </w:rPr>
              <w:t>Packaging Compliance</w:t>
            </w:r>
            <w:r w:rsidR="00D2244E">
              <w:rPr>
                <w:noProof/>
                <w:webHidden/>
              </w:rPr>
              <w:tab/>
            </w:r>
            <w:r w:rsidR="00D2244E">
              <w:rPr>
                <w:noProof/>
                <w:webHidden/>
              </w:rPr>
              <w:fldChar w:fldCharType="begin"/>
            </w:r>
            <w:r w:rsidR="00D2244E">
              <w:rPr>
                <w:noProof/>
                <w:webHidden/>
              </w:rPr>
              <w:instrText xml:space="preserve"> PAGEREF _Toc443560411 \h </w:instrText>
            </w:r>
            <w:r w:rsidR="00D2244E">
              <w:rPr>
                <w:noProof/>
                <w:webHidden/>
              </w:rPr>
            </w:r>
            <w:r w:rsidR="00D2244E">
              <w:rPr>
                <w:noProof/>
                <w:webHidden/>
              </w:rPr>
              <w:fldChar w:fldCharType="separate"/>
            </w:r>
            <w:r w:rsidR="005403ED">
              <w:rPr>
                <w:noProof/>
                <w:webHidden/>
              </w:rPr>
              <w:t>9</w:t>
            </w:r>
            <w:r w:rsidR="00D2244E">
              <w:rPr>
                <w:noProof/>
                <w:webHidden/>
              </w:rPr>
              <w:fldChar w:fldCharType="end"/>
            </w:r>
          </w:hyperlink>
        </w:p>
        <w:p w14:paraId="50DA60FB"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2" w:history="1">
            <w:r w:rsidR="00D2244E" w:rsidRPr="00573E87">
              <w:rPr>
                <w:rStyle w:val="Hyperlink"/>
                <w:noProof/>
              </w:rPr>
              <w:t>Repackaging of Cigar Products</w:t>
            </w:r>
            <w:r w:rsidR="00D2244E">
              <w:rPr>
                <w:noProof/>
                <w:webHidden/>
              </w:rPr>
              <w:tab/>
            </w:r>
            <w:r w:rsidR="00D2244E">
              <w:rPr>
                <w:noProof/>
                <w:webHidden/>
              </w:rPr>
              <w:fldChar w:fldCharType="begin"/>
            </w:r>
            <w:r w:rsidR="00D2244E">
              <w:rPr>
                <w:noProof/>
                <w:webHidden/>
              </w:rPr>
              <w:instrText xml:space="preserve"> PAGEREF _Toc443560412 \h </w:instrText>
            </w:r>
            <w:r w:rsidR="00D2244E">
              <w:rPr>
                <w:noProof/>
                <w:webHidden/>
              </w:rPr>
            </w:r>
            <w:r w:rsidR="00D2244E">
              <w:rPr>
                <w:noProof/>
                <w:webHidden/>
              </w:rPr>
              <w:fldChar w:fldCharType="separate"/>
            </w:r>
            <w:r w:rsidR="005403ED">
              <w:rPr>
                <w:noProof/>
                <w:webHidden/>
              </w:rPr>
              <w:t>10</w:t>
            </w:r>
            <w:r w:rsidR="00D2244E">
              <w:rPr>
                <w:noProof/>
                <w:webHidden/>
              </w:rPr>
              <w:fldChar w:fldCharType="end"/>
            </w:r>
          </w:hyperlink>
        </w:p>
        <w:p w14:paraId="64C75107"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3" w:history="1">
            <w:r w:rsidR="00D2244E" w:rsidRPr="00573E87">
              <w:rPr>
                <w:rStyle w:val="Hyperlink"/>
                <w:noProof/>
              </w:rPr>
              <w:t>Education (Manufacturers)</w:t>
            </w:r>
            <w:r w:rsidR="00D2244E">
              <w:rPr>
                <w:noProof/>
                <w:webHidden/>
              </w:rPr>
              <w:tab/>
            </w:r>
            <w:r w:rsidR="00D2244E">
              <w:rPr>
                <w:noProof/>
                <w:webHidden/>
              </w:rPr>
              <w:fldChar w:fldCharType="begin"/>
            </w:r>
            <w:r w:rsidR="00D2244E">
              <w:rPr>
                <w:noProof/>
                <w:webHidden/>
              </w:rPr>
              <w:instrText xml:space="preserve"> PAGEREF _Toc443560413 \h </w:instrText>
            </w:r>
            <w:r w:rsidR="00D2244E">
              <w:rPr>
                <w:noProof/>
                <w:webHidden/>
              </w:rPr>
            </w:r>
            <w:r w:rsidR="00D2244E">
              <w:rPr>
                <w:noProof/>
                <w:webHidden/>
              </w:rPr>
              <w:fldChar w:fldCharType="separate"/>
            </w:r>
            <w:r w:rsidR="005403ED">
              <w:rPr>
                <w:noProof/>
                <w:webHidden/>
              </w:rPr>
              <w:t>10</w:t>
            </w:r>
            <w:r w:rsidR="00D2244E">
              <w:rPr>
                <w:noProof/>
                <w:webHidden/>
              </w:rPr>
              <w:fldChar w:fldCharType="end"/>
            </w:r>
          </w:hyperlink>
        </w:p>
        <w:p w14:paraId="4D7C5D32"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4" w:history="1">
            <w:r w:rsidR="00D2244E" w:rsidRPr="00573E87">
              <w:rPr>
                <w:rStyle w:val="Hyperlink"/>
                <w:noProof/>
              </w:rPr>
              <w:t>Education Activities (Retail)</w:t>
            </w:r>
            <w:r w:rsidR="00D2244E">
              <w:rPr>
                <w:noProof/>
                <w:webHidden/>
              </w:rPr>
              <w:tab/>
            </w:r>
            <w:r w:rsidR="00D2244E">
              <w:rPr>
                <w:noProof/>
                <w:webHidden/>
              </w:rPr>
              <w:fldChar w:fldCharType="begin"/>
            </w:r>
            <w:r w:rsidR="00D2244E">
              <w:rPr>
                <w:noProof/>
                <w:webHidden/>
              </w:rPr>
              <w:instrText xml:space="preserve"> PAGEREF _Toc443560414 \h </w:instrText>
            </w:r>
            <w:r w:rsidR="00D2244E">
              <w:rPr>
                <w:noProof/>
                <w:webHidden/>
              </w:rPr>
            </w:r>
            <w:r w:rsidR="00D2244E">
              <w:rPr>
                <w:noProof/>
                <w:webHidden/>
              </w:rPr>
              <w:fldChar w:fldCharType="separate"/>
            </w:r>
            <w:r w:rsidR="005403ED">
              <w:rPr>
                <w:noProof/>
                <w:webHidden/>
              </w:rPr>
              <w:t>10</w:t>
            </w:r>
            <w:r w:rsidR="00D2244E">
              <w:rPr>
                <w:noProof/>
                <w:webHidden/>
              </w:rPr>
              <w:fldChar w:fldCharType="end"/>
            </w:r>
          </w:hyperlink>
        </w:p>
        <w:p w14:paraId="37103755"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5" w:history="1">
            <w:r w:rsidR="00D2244E" w:rsidRPr="00573E87">
              <w:rPr>
                <w:rStyle w:val="Hyperlink"/>
                <w:noProof/>
                <w:lang w:val="en-GB"/>
              </w:rPr>
              <w:t>Retail Transaction Times</w:t>
            </w:r>
            <w:r w:rsidR="00D2244E">
              <w:rPr>
                <w:noProof/>
                <w:webHidden/>
              </w:rPr>
              <w:tab/>
            </w:r>
            <w:r w:rsidR="00D2244E">
              <w:rPr>
                <w:noProof/>
                <w:webHidden/>
              </w:rPr>
              <w:fldChar w:fldCharType="begin"/>
            </w:r>
            <w:r w:rsidR="00D2244E">
              <w:rPr>
                <w:noProof/>
                <w:webHidden/>
              </w:rPr>
              <w:instrText xml:space="preserve"> PAGEREF _Toc443560415 \h </w:instrText>
            </w:r>
            <w:r w:rsidR="00D2244E">
              <w:rPr>
                <w:noProof/>
                <w:webHidden/>
              </w:rPr>
            </w:r>
            <w:r w:rsidR="00D2244E">
              <w:rPr>
                <w:noProof/>
                <w:webHidden/>
              </w:rPr>
              <w:fldChar w:fldCharType="separate"/>
            </w:r>
            <w:r w:rsidR="005403ED">
              <w:rPr>
                <w:noProof/>
                <w:webHidden/>
              </w:rPr>
              <w:t>11</w:t>
            </w:r>
            <w:r w:rsidR="00D2244E">
              <w:rPr>
                <w:noProof/>
                <w:webHidden/>
              </w:rPr>
              <w:fldChar w:fldCharType="end"/>
            </w:r>
          </w:hyperlink>
        </w:p>
        <w:p w14:paraId="04278E80"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6" w:history="1">
            <w:r w:rsidR="00D2244E" w:rsidRPr="00573E87">
              <w:rPr>
                <w:rStyle w:val="Hyperlink"/>
                <w:noProof/>
              </w:rPr>
              <w:t>Total Regulatory Burden</w:t>
            </w:r>
            <w:r w:rsidR="00D2244E">
              <w:rPr>
                <w:noProof/>
                <w:webHidden/>
              </w:rPr>
              <w:tab/>
            </w:r>
            <w:r w:rsidR="00D2244E">
              <w:rPr>
                <w:noProof/>
                <w:webHidden/>
              </w:rPr>
              <w:fldChar w:fldCharType="begin"/>
            </w:r>
            <w:r w:rsidR="00D2244E">
              <w:rPr>
                <w:noProof/>
                <w:webHidden/>
              </w:rPr>
              <w:instrText xml:space="preserve"> PAGEREF _Toc443560416 \h </w:instrText>
            </w:r>
            <w:r w:rsidR="00D2244E">
              <w:rPr>
                <w:noProof/>
                <w:webHidden/>
              </w:rPr>
            </w:r>
            <w:r w:rsidR="00D2244E">
              <w:rPr>
                <w:noProof/>
                <w:webHidden/>
              </w:rPr>
              <w:fldChar w:fldCharType="separate"/>
            </w:r>
            <w:r w:rsidR="005403ED">
              <w:rPr>
                <w:noProof/>
                <w:webHidden/>
              </w:rPr>
              <w:t>15</w:t>
            </w:r>
            <w:r w:rsidR="00D2244E">
              <w:rPr>
                <w:noProof/>
                <w:webHidden/>
              </w:rPr>
              <w:fldChar w:fldCharType="end"/>
            </w:r>
          </w:hyperlink>
        </w:p>
        <w:p w14:paraId="7C927713" w14:textId="77777777" w:rsidR="00D2244E" w:rsidRDefault="00C005B6">
          <w:pPr>
            <w:pStyle w:val="TOC2"/>
            <w:tabs>
              <w:tab w:val="right" w:pos="9017"/>
            </w:tabs>
            <w:rPr>
              <w:rFonts w:eastAsiaTheme="minorEastAsia" w:cstheme="minorBidi"/>
              <w:smallCaps w:val="0"/>
              <w:noProof/>
              <w:sz w:val="22"/>
              <w:szCs w:val="22"/>
              <w:lang w:eastAsia="en-AU"/>
            </w:rPr>
          </w:pPr>
          <w:hyperlink w:anchor="_Toc443560417" w:history="1">
            <w:r w:rsidR="00D2244E" w:rsidRPr="00573E87">
              <w:rPr>
                <w:rStyle w:val="Hyperlink"/>
                <w:noProof/>
              </w:rPr>
              <w:t>Analysis of Costs and Benefits</w:t>
            </w:r>
            <w:r w:rsidR="00D2244E">
              <w:rPr>
                <w:noProof/>
                <w:webHidden/>
              </w:rPr>
              <w:tab/>
            </w:r>
            <w:r w:rsidR="00D2244E">
              <w:rPr>
                <w:noProof/>
                <w:webHidden/>
              </w:rPr>
              <w:fldChar w:fldCharType="begin"/>
            </w:r>
            <w:r w:rsidR="00D2244E">
              <w:rPr>
                <w:noProof/>
                <w:webHidden/>
              </w:rPr>
              <w:instrText xml:space="preserve"> PAGEREF _Toc443560417 \h </w:instrText>
            </w:r>
            <w:r w:rsidR="00D2244E">
              <w:rPr>
                <w:noProof/>
                <w:webHidden/>
              </w:rPr>
            </w:r>
            <w:r w:rsidR="00D2244E">
              <w:rPr>
                <w:noProof/>
                <w:webHidden/>
              </w:rPr>
              <w:fldChar w:fldCharType="separate"/>
            </w:r>
            <w:r w:rsidR="005403ED">
              <w:rPr>
                <w:noProof/>
                <w:webHidden/>
              </w:rPr>
              <w:t>16</w:t>
            </w:r>
            <w:r w:rsidR="00D2244E">
              <w:rPr>
                <w:noProof/>
                <w:webHidden/>
              </w:rPr>
              <w:fldChar w:fldCharType="end"/>
            </w:r>
          </w:hyperlink>
        </w:p>
        <w:p w14:paraId="19EF050C"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8" w:history="1">
            <w:r w:rsidR="00D2244E" w:rsidRPr="00573E87">
              <w:rPr>
                <w:rStyle w:val="Hyperlink"/>
                <w:noProof/>
              </w:rPr>
              <w:t>Evidence of TPP Efficacy</w:t>
            </w:r>
            <w:r w:rsidR="00D2244E">
              <w:rPr>
                <w:noProof/>
                <w:webHidden/>
              </w:rPr>
              <w:tab/>
            </w:r>
            <w:r w:rsidR="00D2244E">
              <w:rPr>
                <w:noProof/>
                <w:webHidden/>
              </w:rPr>
              <w:fldChar w:fldCharType="begin"/>
            </w:r>
            <w:r w:rsidR="00D2244E">
              <w:rPr>
                <w:noProof/>
                <w:webHidden/>
              </w:rPr>
              <w:instrText xml:space="preserve"> PAGEREF _Toc443560418 \h </w:instrText>
            </w:r>
            <w:r w:rsidR="00D2244E">
              <w:rPr>
                <w:noProof/>
                <w:webHidden/>
              </w:rPr>
            </w:r>
            <w:r w:rsidR="00D2244E">
              <w:rPr>
                <w:noProof/>
                <w:webHidden/>
              </w:rPr>
              <w:fldChar w:fldCharType="separate"/>
            </w:r>
            <w:r w:rsidR="005403ED">
              <w:rPr>
                <w:noProof/>
                <w:webHidden/>
              </w:rPr>
              <w:t>16</w:t>
            </w:r>
            <w:r w:rsidR="00D2244E">
              <w:rPr>
                <w:noProof/>
                <w:webHidden/>
              </w:rPr>
              <w:fldChar w:fldCharType="end"/>
            </w:r>
          </w:hyperlink>
        </w:p>
        <w:p w14:paraId="01A15B7B"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19" w:history="1">
            <w:r w:rsidR="00D2244E" w:rsidRPr="00573E87">
              <w:rPr>
                <w:rStyle w:val="Hyperlink"/>
                <w:noProof/>
                <w:lang w:val="en-GB"/>
              </w:rPr>
              <w:t>Health Benefits</w:t>
            </w:r>
            <w:r w:rsidR="00D2244E">
              <w:rPr>
                <w:noProof/>
                <w:webHidden/>
              </w:rPr>
              <w:tab/>
            </w:r>
            <w:r w:rsidR="00D2244E">
              <w:rPr>
                <w:noProof/>
                <w:webHidden/>
              </w:rPr>
              <w:fldChar w:fldCharType="begin"/>
            </w:r>
            <w:r w:rsidR="00D2244E">
              <w:rPr>
                <w:noProof/>
                <w:webHidden/>
              </w:rPr>
              <w:instrText xml:space="preserve"> PAGEREF _Toc443560419 \h </w:instrText>
            </w:r>
            <w:r w:rsidR="00D2244E">
              <w:rPr>
                <w:noProof/>
                <w:webHidden/>
              </w:rPr>
            </w:r>
            <w:r w:rsidR="00D2244E">
              <w:rPr>
                <w:noProof/>
                <w:webHidden/>
              </w:rPr>
              <w:fldChar w:fldCharType="separate"/>
            </w:r>
            <w:r w:rsidR="005403ED">
              <w:rPr>
                <w:noProof/>
                <w:webHidden/>
              </w:rPr>
              <w:t>19</w:t>
            </w:r>
            <w:r w:rsidR="00D2244E">
              <w:rPr>
                <w:noProof/>
                <w:webHidden/>
              </w:rPr>
              <w:fldChar w:fldCharType="end"/>
            </w:r>
          </w:hyperlink>
        </w:p>
        <w:p w14:paraId="263F210D"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20" w:history="1">
            <w:r w:rsidR="00D2244E" w:rsidRPr="00573E87">
              <w:rPr>
                <w:rStyle w:val="Hyperlink"/>
                <w:noProof/>
                <w:lang w:val="en-GB"/>
              </w:rPr>
              <w:t>Consumer Surplus</w:t>
            </w:r>
            <w:r w:rsidR="00D2244E">
              <w:rPr>
                <w:noProof/>
                <w:webHidden/>
              </w:rPr>
              <w:tab/>
            </w:r>
            <w:r w:rsidR="00D2244E">
              <w:rPr>
                <w:noProof/>
                <w:webHidden/>
              </w:rPr>
              <w:fldChar w:fldCharType="begin"/>
            </w:r>
            <w:r w:rsidR="00D2244E">
              <w:rPr>
                <w:noProof/>
                <w:webHidden/>
              </w:rPr>
              <w:instrText xml:space="preserve"> PAGEREF _Toc443560420 \h </w:instrText>
            </w:r>
            <w:r w:rsidR="00D2244E">
              <w:rPr>
                <w:noProof/>
                <w:webHidden/>
              </w:rPr>
            </w:r>
            <w:r w:rsidR="00D2244E">
              <w:rPr>
                <w:noProof/>
                <w:webHidden/>
              </w:rPr>
              <w:fldChar w:fldCharType="separate"/>
            </w:r>
            <w:r w:rsidR="005403ED">
              <w:rPr>
                <w:noProof/>
                <w:webHidden/>
              </w:rPr>
              <w:t>26</w:t>
            </w:r>
            <w:r w:rsidR="00D2244E">
              <w:rPr>
                <w:noProof/>
                <w:webHidden/>
              </w:rPr>
              <w:fldChar w:fldCharType="end"/>
            </w:r>
          </w:hyperlink>
        </w:p>
        <w:p w14:paraId="5EE3BF5F"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21" w:history="1">
            <w:r w:rsidR="00D2244E" w:rsidRPr="00573E87">
              <w:rPr>
                <w:rStyle w:val="Hyperlink"/>
                <w:noProof/>
                <w:lang w:val="en-GB"/>
              </w:rPr>
              <w:t>Productivity Gains</w:t>
            </w:r>
            <w:r w:rsidR="00D2244E">
              <w:rPr>
                <w:noProof/>
                <w:webHidden/>
              </w:rPr>
              <w:tab/>
            </w:r>
            <w:r w:rsidR="00D2244E">
              <w:rPr>
                <w:noProof/>
                <w:webHidden/>
              </w:rPr>
              <w:fldChar w:fldCharType="begin"/>
            </w:r>
            <w:r w:rsidR="00D2244E">
              <w:rPr>
                <w:noProof/>
                <w:webHidden/>
              </w:rPr>
              <w:instrText xml:space="preserve"> PAGEREF _Toc443560421 \h </w:instrText>
            </w:r>
            <w:r w:rsidR="00D2244E">
              <w:rPr>
                <w:noProof/>
                <w:webHidden/>
              </w:rPr>
            </w:r>
            <w:r w:rsidR="00D2244E">
              <w:rPr>
                <w:noProof/>
                <w:webHidden/>
              </w:rPr>
              <w:fldChar w:fldCharType="separate"/>
            </w:r>
            <w:r w:rsidR="005403ED">
              <w:rPr>
                <w:noProof/>
                <w:webHidden/>
              </w:rPr>
              <w:t>27</w:t>
            </w:r>
            <w:r w:rsidR="00D2244E">
              <w:rPr>
                <w:noProof/>
                <w:webHidden/>
              </w:rPr>
              <w:fldChar w:fldCharType="end"/>
            </w:r>
          </w:hyperlink>
        </w:p>
        <w:p w14:paraId="62318813"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22" w:history="1">
            <w:r w:rsidR="00D2244E" w:rsidRPr="00573E87">
              <w:rPr>
                <w:rStyle w:val="Hyperlink"/>
                <w:noProof/>
                <w:lang w:val="en-GB"/>
              </w:rPr>
              <w:t>Cleaner Streets</w:t>
            </w:r>
            <w:r w:rsidR="00D2244E">
              <w:rPr>
                <w:noProof/>
                <w:webHidden/>
              </w:rPr>
              <w:tab/>
            </w:r>
            <w:r w:rsidR="00D2244E">
              <w:rPr>
                <w:noProof/>
                <w:webHidden/>
              </w:rPr>
              <w:fldChar w:fldCharType="begin"/>
            </w:r>
            <w:r w:rsidR="00D2244E">
              <w:rPr>
                <w:noProof/>
                <w:webHidden/>
              </w:rPr>
              <w:instrText xml:space="preserve"> PAGEREF _Toc443560422 \h </w:instrText>
            </w:r>
            <w:r w:rsidR="00D2244E">
              <w:rPr>
                <w:noProof/>
                <w:webHidden/>
              </w:rPr>
            </w:r>
            <w:r w:rsidR="00D2244E">
              <w:rPr>
                <w:noProof/>
                <w:webHidden/>
              </w:rPr>
              <w:fldChar w:fldCharType="separate"/>
            </w:r>
            <w:r w:rsidR="005403ED">
              <w:rPr>
                <w:noProof/>
                <w:webHidden/>
              </w:rPr>
              <w:t>28</w:t>
            </w:r>
            <w:r w:rsidR="00D2244E">
              <w:rPr>
                <w:noProof/>
                <w:webHidden/>
              </w:rPr>
              <w:fldChar w:fldCharType="end"/>
            </w:r>
          </w:hyperlink>
        </w:p>
        <w:p w14:paraId="213E19FF"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23" w:history="1">
            <w:r w:rsidR="00D2244E" w:rsidRPr="00573E87">
              <w:rPr>
                <w:rStyle w:val="Hyperlink"/>
                <w:noProof/>
                <w:lang w:val="en-GB"/>
              </w:rPr>
              <w:t>Potential Impact on Profit</w:t>
            </w:r>
            <w:r w:rsidR="00D2244E">
              <w:rPr>
                <w:noProof/>
                <w:webHidden/>
              </w:rPr>
              <w:tab/>
            </w:r>
            <w:r w:rsidR="00D2244E">
              <w:rPr>
                <w:noProof/>
                <w:webHidden/>
              </w:rPr>
              <w:fldChar w:fldCharType="begin"/>
            </w:r>
            <w:r w:rsidR="00D2244E">
              <w:rPr>
                <w:noProof/>
                <w:webHidden/>
              </w:rPr>
              <w:instrText xml:space="preserve"> PAGEREF _Toc443560423 \h </w:instrText>
            </w:r>
            <w:r w:rsidR="00D2244E">
              <w:rPr>
                <w:noProof/>
                <w:webHidden/>
              </w:rPr>
            </w:r>
            <w:r w:rsidR="00D2244E">
              <w:rPr>
                <w:noProof/>
                <w:webHidden/>
              </w:rPr>
              <w:fldChar w:fldCharType="separate"/>
            </w:r>
            <w:r w:rsidR="005403ED">
              <w:rPr>
                <w:noProof/>
                <w:webHidden/>
              </w:rPr>
              <w:t>29</w:t>
            </w:r>
            <w:r w:rsidR="00D2244E">
              <w:rPr>
                <w:noProof/>
                <w:webHidden/>
              </w:rPr>
              <w:fldChar w:fldCharType="end"/>
            </w:r>
          </w:hyperlink>
        </w:p>
        <w:p w14:paraId="6677FDFD"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24" w:history="1">
            <w:r w:rsidR="00D2244E" w:rsidRPr="00573E87">
              <w:rPr>
                <w:rStyle w:val="Hyperlink"/>
                <w:noProof/>
              </w:rPr>
              <w:t>Illicit Trade Considerations</w:t>
            </w:r>
            <w:r w:rsidR="00D2244E">
              <w:rPr>
                <w:noProof/>
                <w:webHidden/>
              </w:rPr>
              <w:tab/>
            </w:r>
            <w:r w:rsidR="00D2244E">
              <w:rPr>
                <w:noProof/>
                <w:webHidden/>
              </w:rPr>
              <w:fldChar w:fldCharType="begin"/>
            </w:r>
            <w:r w:rsidR="00D2244E">
              <w:rPr>
                <w:noProof/>
                <w:webHidden/>
              </w:rPr>
              <w:instrText xml:space="preserve"> PAGEREF _Toc443560424 \h </w:instrText>
            </w:r>
            <w:r w:rsidR="00D2244E">
              <w:rPr>
                <w:noProof/>
                <w:webHidden/>
              </w:rPr>
            </w:r>
            <w:r w:rsidR="00D2244E">
              <w:rPr>
                <w:noProof/>
                <w:webHidden/>
              </w:rPr>
              <w:fldChar w:fldCharType="separate"/>
            </w:r>
            <w:r w:rsidR="005403ED">
              <w:rPr>
                <w:noProof/>
                <w:webHidden/>
              </w:rPr>
              <w:t>32</w:t>
            </w:r>
            <w:r w:rsidR="00D2244E">
              <w:rPr>
                <w:noProof/>
                <w:webHidden/>
              </w:rPr>
              <w:fldChar w:fldCharType="end"/>
            </w:r>
          </w:hyperlink>
        </w:p>
        <w:p w14:paraId="2457AF26" w14:textId="77777777" w:rsidR="00D2244E" w:rsidRDefault="00C005B6">
          <w:pPr>
            <w:pStyle w:val="TOC3"/>
            <w:tabs>
              <w:tab w:val="right" w:pos="9017"/>
            </w:tabs>
            <w:rPr>
              <w:rFonts w:eastAsiaTheme="minorEastAsia" w:cstheme="minorBidi"/>
              <w:i w:val="0"/>
              <w:iCs w:val="0"/>
              <w:noProof/>
              <w:sz w:val="22"/>
              <w:szCs w:val="22"/>
              <w:lang w:eastAsia="en-AU"/>
            </w:rPr>
          </w:pPr>
          <w:hyperlink w:anchor="_Toc443560425" w:history="1">
            <w:r w:rsidR="00D2244E" w:rsidRPr="00573E87">
              <w:rPr>
                <w:rStyle w:val="Hyperlink"/>
                <w:noProof/>
                <w:lang w:val="en-GB"/>
              </w:rPr>
              <w:t>Government Costs</w:t>
            </w:r>
            <w:r w:rsidR="00D2244E">
              <w:rPr>
                <w:noProof/>
                <w:webHidden/>
              </w:rPr>
              <w:tab/>
            </w:r>
            <w:r w:rsidR="00D2244E">
              <w:rPr>
                <w:noProof/>
                <w:webHidden/>
              </w:rPr>
              <w:fldChar w:fldCharType="begin"/>
            </w:r>
            <w:r w:rsidR="00D2244E">
              <w:rPr>
                <w:noProof/>
                <w:webHidden/>
              </w:rPr>
              <w:instrText xml:space="preserve"> PAGEREF _Toc443560425 \h </w:instrText>
            </w:r>
            <w:r w:rsidR="00D2244E">
              <w:rPr>
                <w:noProof/>
                <w:webHidden/>
              </w:rPr>
            </w:r>
            <w:r w:rsidR="00D2244E">
              <w:rPr>
                <w:noProof/>
                <w:webHidden/>
              </w:rPr>
              <w:fldChar w:fldCharType="separate"/>
            </w:r>
            <w:r w:rsidR="005403ED">
              <w:rPr>
                <w:noProof/>
                <w:webHidden/>
              </w:rPr>
              <w:t>35</w:t>
            </w:r>
            <w:r w:rsidR="00D2244E">
              <w:rPr>
                <w:noProof/>
                <w:webHidden/>
              </w:rPr>
              <w:fldChar w:fldCharType="end"/>
            </w:r>
          </w:hyperlink>
        </w:p>
        <w:p w14:paraId="52E70F48" w14:textId="77777777" w:rsidR="00D2244E" w:rsidRDefault="00C005B6">
          <w:pPr>
            <w:pStyle w:val="TOC1"/>
            <w:tabs>
              <w:tab w:val="right" w:pos="9017"/>
            </w:tabs>
            <w:rPr>
              <w:rFonts w:eastAsiaTheme="minorEastAsia" w:cstheme="minorBidi"/>
              <w:b w:val="0"/>
              <w:bCs w:val="0"/>
              <w:caps w:val="0"/>
              <w:noProof/>
              <w:sz w:val="22"/>
              <w:szCs w:val="22"/>
              <w:lang w:eastAsia="en-AU"/>
            </w:rPr>
          </w:pPr>
          <w:hyperlink w:anchor="_Toc443560426" w:history="1">
            <w:r w:rsidR="00D2244E" w:rsidRPr="00573E87">
              <w:rPr>
                <w:rStyle w:val="Hyperlink"/>
                <w:noProof/>
                <w:lang w:val="en-GB"/>
              </w:rPr>
              <w:t>Conclusion</w:t>
            </w:r>
            <w:r w:rsidR="00D2244E">
              <w:rPr>
                <w:noProof/>
                <w:webHidden/>
              </w:rPr>
              <w:tab/>
            </w:r>
            <w:r w:rsidR="00D2244E">
              <w:rPr>
                <w:noProof/>
                <w:webHidden/>
              </w:rPr>
              <w:fldChar w:fldCharType="begin"/>
            </w:r>
            <w:r w:rsidR="00D2244E">
              <w:rPr>
                <w:noProof/>
                <w:webHidden/>
              </w:rPr>
              <w:instrText xml:space="preserve"> PAGEREF _Toc443560426 \h </w:instrText>
            </w:r>
            <w:r w:rsidR="00D2244E">
              <w:rPr>
                <w:noProof/>
                <w:webHidden/>
              </w:rPr>
            </w:r>
            <w:r w:rsidR="00D2244E">
              <w:rPr>
                <w:noProof/>
                <w:webHidden/>
              </w:rPr>
              <w:fldChar w:fldCharType="separate"/>
            </w:r>
            <w:r w:rsidR="005403ED">
              <w:rPr>
                <w:noProof/>
                <w:webHidden/>
              </w:rPr>
              <w:t>38</w:t>
            </w:r>
            <w:r w:rsidR="00D2244E">
              <w:rPr>
                <w:noProof/>
                <w:webHidden/>
              </w:rPr>
              <w:fldChar w:fldCharType="end"/>
            </w:r>
          </w:hyperlink>
        </w:p>
        <w:p w14:paraId="05422C21" w14:textId="77777777" w:rsidR="00D2244E" w:rsidRDefault="00C005B6">
          <w:pPr>
            <w:pStyle w:val="TOC1"/>
            <w:tabs>
              <w:tab w:val="right" w:pos="9017"/>
            </w:tabs>
            <w:rPr>
              <w:rFonts w:eastAsiaTheme="minorEastAsia" w:cstheme="minorBidi"/>
              <w:b w:val="0"/>
              <w:bCs w:val="0"/>
              <w:caps w:val="0"/>
              <w:noProof/>
              <w:sz w:val="22"/>
              <w:szCs w:val="22"/>
              <w:lang w:eastAsia="en-AU"/>
            </w:rPr>
          </w:pPr>
          <w:hyperlink w:anchor="_Toc443560427" w:history="1">
            <w:r w:rsidR="00D2244E" w:rsidRPr="00573E87">
              <w:rPr>
                <w:rStyle w:val="Hyperlink"/>
                <w:noProof/>
              </w:rPr>
              <w:t>References</w:t>
            </w:r>
            <w:r w:rsidR="00D2244E">
              <w:rPr>
                <w:noProof/>
                <w:webHidden/>
              </w:rPr>
              <w:tab/>
            </w:r>
            <w:r w:rsidR="00D2244E">
              <w:rPr>
                <w:noProof/>
                <w:webHidden/>
              </w:rPr>
              <w:fldChar w:fldCharType="begin"/>
            </w:r>
            <w:r w:rsidR="00D2244E">
              <w:rPr>
                <w:noProof/>
                <w:webHidden/>
              </w:rPr>
              <w:instrText xml:space="preserve"> PAGEREF _Toc443560427 \h </w:instrText>
            </w:r>
            <w:r w:rsidR="00D2244E">
              <w:rPr>
                <w:noProof/>
                <w:webHidden/>
              </w:rPr>
            </w:r>
            <w:r w:rsidR="00D2244E">
              <w:rPr>
                <w:noProof/>
                <w:webHidden/>
              </w:rPr>
              <w:fldChar w:fldCharType="separate"/>
            </w:r>
            <w:r w:rsidR="005403ED">
              <w:rPr>
                <w:noProof/>
                <w:webHidden/>
              </w:rPr>
              <w:t>40</w:t>
            </w:r>
            <w:r w:rsidR="00D2244E">
              <w:rPr>
                <w:noProof/>
                <w:webHidden/>
              </w:rPr>
              <w:fldChar w:fldCharType="end"/>
            </w:r>
          </w:hyperlink>
        </w:p>
        <w:p w14:paraId="528CDF42" w14:textId="56A3A1D6" w:rsidR="00D2244E" w:rsidRDefault="00D2244E">
          <w:r>
            <w:rPr>
              <w:b/>
              <w:bCs/>
              <w:noProof/>
            </w:rPr>
            <w:fldChar w:fldCharType="end"/>
          </w:r>
        </w:p>
      </w:sdtContent>
    </w:sdt>
    <w:p w14:paraId="27600BC4" w14:textId="4531E0A5" w:rsidR="00830649" w:rsidRPr="00D2244E" w:rsidRDefault="00D2244E" w:rsidP="00D2244E">
      <w:pPr>
        <w:tabs>
          <w:tab w:val="clear" w:pos="357"/>
        </w:tabs>
        <w:spacing w:before="0" w:after="200" w:line="276" w:lineRule="auto"/>
        <w:rPr>
          <w:rFonts w:cs="Times New Roman"/>
          <w:b/>
          <w:bCs/>
          <w:kern w:val="32"/>
          <w:szCs w:val="32"/>
        </w:rPr>
      </w:pPr>
      <w:r>
        <w:rPr>
          <w:rFonts w:cs="Times New Roman"/>
          <w:b/>
          <w:bCs/>
          <w:caps/>
          <w:sz w:val="72"/>
          <w:szCs w:val="20"/>
        </w:rPr>
        <w:fldChar w:fldCharType="begin"/>
      </w:r>
      <w:r>
        <w:rPr>
          <w:rFonts w:cs="Times New Roman"/>
          <w:b/>
          <w:bCs/>
          <w:caps/>
          <w:sz w:val="72"/>
          <w:szCs w:val="20"/>
        </w:rPr>
        <w:instrText xml:space="preserve"> TOC \o "1-3" \h \z \u </w:instrText>
      </w:r>
      <w:r>
        <w:rPr>
          <w:rFonts w:cs="Times New Roman"/>
          <w:b/>
          <w:bCs/>
          <w:caps/>
          <w:sz w:val="72"/>
          <w:szCs w:val="20"/>
        </w:rPr>
        <w:fldChar w:fldCharType="end"/>
      </w:r>
      <w:r w:rsidR="00830649">
        <w:br w:type="page"/>
      </w:r>
    </w:p>
    <w:p w14:paraId="2AB0272F" w14:textId="77777777" w:rsidR="00DE495D" w:rsidRDefault="008C4E59" w:rsidP="00DE495D">
      <w:pPr>
        <w:pStyle w:val="Heading1"/>
      </w:pPr>
      <w:bookmarkStart w:id="5" w:name="_Toc427737335"/>
      <w:bookmarkStart w:id="6" w:name="_Toc443560322"/>
      <w:bookmarkStart w:id="7" w:name="_Toc443560350"/>
      <w:bookmarkStart w:id="8" w:name="_Toc443560400"/>
      <w:bookmarkEnd w:id="0"/>
      <w:r>
        <w:lastRenderedPageBreak/>
        <w:t>Introduction</w:t>
      </w:r>
      <w:bookmarkEnd w:id="5"/>
      <w:bookmarkEnd w:id="6"/>
      <w:bookmarkEnd w:id="7"/>
      <w:bookmarkEnd w:id="8"/>
    </w:p>
    <w:p w14:paraId="42DC0CC4" w14:textId="639EBD79" w:rsidR="0058302A" w:rsidRDefault="0058302A" w:rsidP="00782298">
      <w:r>
        <w:t xml:space="preserve">The Department of Health engaged Siggins Miller Consultants Pty Ltd (Siggins Miller) to undertake stakeholder consultation and to conduct </w:t>
      </w:r>
      <w:r w:rsidR="003B57DF">
        <w:t>an analysis of the costs and benefits</w:t>
      </w:r>
      <w:r>
        <w:t xml:space="preserve"> of the </w:t>
      </w:r>
      <w:r w:rsidR="00223C2C">
        <w:t xml:space="preserve">plain packaging (TPP) </w:t>
      </w:r>
      <w:r>
        <w:t xml:space="preserve">measure, to </w:t>
      </w:r>
      <w:r w:rsidR="003B57DF">
        <w:t>inform the preparation of</w:t>
      </w:r>
      <w:r>
        <w:t xml:space="preserve"> their Post Implementation Review (PIR) for the Office of Best Practice Regulation (OBPR). </w:t>
      </w:r>
    </w:p>
    <w:p w14:paraId="0EE29B1D" w14:textId="7311ABB6" w:rsidR="00782298" w:rsidRDefault="0058302A" w:rsidP="00782298">
      <w:r>
        <w:t xml:space="preserve">The targeted stakeholder consultation including face-to-face and telephone based interviews, and written submissions (online, email, hardcopy) was undertaken over a period of six weeks from the </w:t>
      </w:r>
      <w:r w:rsidR="00106197">
        <w:t>16th February to the 27th March</w:t>
      </w:r>
      <w:r>
        <w:t xml:space="preserve"> 2015</w:t>
      </w:r>
      <w:r w:rsidR="00106197">
        <w:t>,</w:t>
      </w:r>
      <w:r>
        <w:t xml:space="preserve"> and was advertised in newspapers, via standardised information in organisation communications (e.g. newsletters, e-newsletters, communiqués) and via Twitter. Key informant interviews were conducted with, and written submissions received from the tobacco industry (tobacco companies, wholesalers and importers, packaging manufacturers), retailers, public health organisations and experts, N</w:t>
      </w:r>
      <w:r w:rsidR="00223C2C">
        <w:t>on-</w:t>
      </w:r>
      <w:r>
        <w:t>G</w:t>
      </w:r>
      <w:r w:rsidR="00223C2C">
        <w:t xml:space="preserve">overnment </w:t>
      </w:r>
      <w:r>
        <w:t>O</w:t>
      </w:r>
      <w:r w:rsidR="00223C2C">
        <w:t>rganisation</w:t>
      </w:r>
      <w:r>
        <w:t>s</w:t>
      </w:r>
      <w:r w:rsidR="00223C2C">
        <w:t xml:space="preserve"> (NGOs)</w:t>
      </w:r>
      <w:r>
        <w:t>, government departments and consumers. A costing survey of tobacco industry representatives and government agencies was also undertaken during the same time period.</w:t>
      </w:r>
    </w:p>
    <w:p w14:paraId="76A33A7E" w14:textId="6F07DC5F" w:rsidR="001757D7" w:rsidRPr="00D77310" w:rsidRDefault="008641DA" w:rsidP="00D77310">
      <w:r w:rsidRPr="00003F38">
        <w:t>This report provides th</w:t>
      </w:r>
      <w:r>
        <w:t>e</w:t>
      </w:r>
      <w:r w:rsidRPr="00003F38">
        <w:t xml:space="preserve"> </w:t>
      </w:r>
      <w:r>
        <w:t xml:space="preserve">regulatory burden measurement </w:t>
      </w:r>
      <w:r w:rsidR="00347918">
        <w:t xml:space="preserve">(RBM) </w:t>
      </w:r>
      <w:r>
        <w:t xml:space="preserve">and </w:t>
      </w:r>
      <w:r w:rsidR="00347918">
        <w:t>an analysis of the costs and benefits</w:t>
      </w:r>
      <w:r w:rsidRPr="00003F38">
        <w:t xml:space="preserve"> of the </w:t>
      </w:r>
      <w:r>
        <w:t>recently implemented tobacco plain packaging measure</w:t>
      </w:r>
      <w:r w:rsidRPr="00003F38">
        <w:t xml:space="preserve"> compared with a ‘business as usual’ scenario.</w:t>
      </w:r>
      <w:r>
        <w:t xml:space="preserve"> </w:t>
      </w:r>
    </w:p>
    <w:p w14:paraId="0B692F9D" w14:textId="77777777" w:rsidR="008C4E59" w:rsidRDefault="00D77310" w:rsidP="00D77310">
      <w:pPr>
        <w:pStyle w:val="Heading2"/>
      </w:pPr>
      <w:bookmarkStart w:id="9" w:name="_Toc427737336"/>
      <w:bookmarkStart w:id="10" w:name="_Toc443560323"/>
      <w:bookmarkStart w:id="11" w:name="_Toc443560351"/>
      <w:bookmarkStart w:id="12" w:name="_Toc443560401"/>
      <w:r>
        <w:t xml:space="preserve">The </w:t>
      </w:r>
      <w:r w:rsidR="00223C2C">
        <w:t>Object</w:t>
      </w:r>
      <w:r w:rsidR="00F77109">
        <w:t xml:space="preserve"> </w:t>
      </w:r>
      <w:r w:rsidR="00223C2C">
        <w:t xml:space="preserve">of the </w:t>
      </w:r>
      <w:r w:rsidR="008C4E59">
        <w:t>T</w:t>
      </w:r>
      <w:r>
        <w:t xml:space="preserve">obacco </w:t>
      </w:r>
      <w:r w:rsidR="008C4E59">
        <w:t>P</w:t>
      </w:r>
      <w:r>
        <w:t xml:space="preserve">lain </w:t>
      </w:r>
      <w:r w:rsidR="008C4E59">
        <w:t>P</w:t>
      </w:r>
      <w:r>
        <w:t xml:space="preserve">ackaging </w:t>
      </w:r>
      <w:r w:rsidR="00501360">
        <w:t>Act</w:t>
      </w:r>
      <w:bookmarkEnd w:id="9"/>
      <w:bookmarkEnd w:id="10"/>
      <w:bookmarkEnd w:id="11"/>
      <w:bookmarkEnd w:id="12"/>
    </w:p>
    <w:p w14:paraId="5D5452D4" w14:textId="04A5E879" w:rsidR="00C571DA" w:rsidRDefault="00223C2C" w:rsidP="00C571DA">
      <w:r>
        <w:t xml:space="preserve">The tobacco plain packaging measure was implemented through the Tobacco Plain Packaging Act 2011 (“TPP Act”) and the Tobacco Plain Packaging Regulations 2011 as amended (“TPP Regulations”) (collectively, the </w:t>
      </w:r>
      <w:r w:rsidR="000B7F0C">
        <w:t>“</w:t>
      </w:r>
      <w:r>
        <w:t xml:space="preserve">tobacco plain packaging measure”). </w:t>
      </w:r>
      <w:r w:rsidR="00C571DA">
        <w:t xml:space="preserve">The objects of the </w:t>
      </w:r>
      <w:r w:rsidR="00E95290">
        <w:t>TPP</w:t>
      </w:r>
      <w:r w:rsidR="00C571DA">
        <w:t xml:space="preserve"> Act are set out in Section 3 of the Act. Section 3 states:</w:t>
      </w:r>
    </w:p>
    <w:p w14:paraId="06FA8315" w14:textId="77777777" w:rsidR="00C571DA" w:rsidRDefault="00C571DA" w:rsidP="00C571DA">
      <w:r>
        <w:t>“3 Objects of this Act</w:t>
      </w:r>
    </w:p>
    <w:p w14:paraId="53837DF7" w14:textId="77777777" w:rsidR="00C571DA" w:rsidRDefault="00C571DA" w:rsidP="000B7F0C">
      <w:pPr>
        <w:pStyle w:val="ListParagraph"/>
        <w:numPr>
          <w:ilvl w:val="0"/>
          <w:numId w:val="8"/>
        </w:numPr>
        <w:ind w:hanging="436"/>
      </w:pPr>
      <w:r>
        <w:t xml:space="preserve">The objects of this Act are: </w:t>
      </w:r>
    </w:p>
    <w:p w14:paraId="7684558D" w14:textId="77777777" w:rsidR="00C571DA" w:rsidRDefault="00C571DA" w:rsidP="000B7F0C">
      <w:pPr>
        <w:pStyle w:val="ListParagraph"/>
        <w:numPr>
          <w:ilvl w:val="0"/>
          <w:numId w:val="10"/>
        </w:numPr>
        <w:ind w:left="1276" w:hanging="425"/>
      </w:pPr>
      <w:r>
        <w:t>to improve public health by:</w:t>
      </w:r>
    </w:p>
    <w:p w14:paraId="4DD306D8" w14:textId="77777777" w:rsidR="00C571DA" w:rsidRDefault="00C571DA" w:rsidP="000B7F0C">
      <w:pPr>
        <w:pStyle w:val="ListParagraph"/>
        <w:numPr>
          <w:ilvl w:val="0"/>
          <w:numId w:val="9"/>
        </w:numPr>
        <w:tabs>
          <w:tab w:val="left" w:pos="709"/>
          <w:tab w:val="left" w:pos="1134"/>
        </w:tabs>
        <w:ind w:left="1701" w:hanging="425"/>
      </w:pPr>
      <w:r>
        <w:t>discouraging people from taking up smoking, or using tobacco products; and</w:t>
      </w:r>
      <w:r>
        <w:tab/>
      </w:r>
    </w:p>
    <w:p w14:paraId="33BA79CA" w14:textId="77777777" w:rsidR="00C571DA" w:rsidRDefault="00C571DA" w:rsidP="000B7F0C">
      <w:pPr>
        <w:pStyle w:val="ListParagraph"/>
        <w:numPr>
          <w:ilvl w:val="0"/>
          <w:numId w:val="9"/>
        </w:numPr>
        <w:tabs>
          <w:tab w:val="left" w:pos="709"/>
          <w:tab w:val="left" w:pos="1134"/>
        </w:tabs>
        <w:ind w:left="1701" w:hanging="425"/>
      </w:pPr>
      <w:r>
        <w:t>encouraging people to give up smoking, and to stop using tobacco products; and</w:t>
      </w:r>
    </w:p>
    <w:p w14:paraId="13DF14C0" w14:textId="77777777" w:rsidR="00C571DA" w:rsidRDefault="00C571DA" w:rsidP="000B7F0C">
      <w:pPr>
        <w:pStyle w:val="ListParagraph"/>
        <w:numPr>
          <w:ilvl w:val="0"/>
          <w:numId w:val="9"/>
        </w:numPr>
        <w:tabs>
          <w:tab w:val="left" w:pos="709"/>
          <w:tab w:val="left" w:pos="1134"/>
        </w:tabs>
        <w:ind w:left="1701" w:hanging="425"/>
      </w:pPr>
      <w:r>
        <w:t>discouraging people who have given up smoking, or who have stopped using tobacco products, from relapsing; and</w:t>
      </w:r>
    </w:p>
    <w:p w14:paraId="702BBF79" w14:textId="77777777" w:rsidR="00C571DA" w:rsidRDefault="00C571DA" w:rsidP="000B7F0C">
      <w:pPr>
        <w:pStyle w:val="ListParagraph"/>
        <w:numPr>
          <w:ilvl w:val="0"/>
          <w:numId w:val="9"/>
        </w:numPr>
        <w:tabs>
          <w:tab w:val="left" w:pos="709"/>
          <w:tab w:val="left" w:pos="1134"/>
        </w:tabs>
        <w:ind w:left="1701" w:hanging="425"/>
      </w:pPr>
      <w:r>
        <w:t>reducing people’s exposure to smoke from tobacco products; and</w:t>
      </w:r>
    </w:p>
    <w:p w14:paraId="6F665A21" w14:textId="77777777" w:rsidR="00C571DA" w:rsidRDefault="00C571DA" w:rsidP="00B50287">
      <w:pPr>
        <w:pStyle w:val="ListParagraph"/>
        <w:numPr>
          <w:ilvl w:val="0"/>
          <w:numId w:val="10"/>
        </w:numPr>
        <w:spacing w:before="120"/>
        <w:ind w:left="1276" w:hanging="425"/>
      </w:pPr>
      <w:proofErr w:type="gramStart"/>
      <w:r>
        <w:t>to</w:t>
      </w:r>
      <w:proofErr w:type="gramEnd"/>
      <w:r>
        <w:t xml:space="preserve"> give effect to certain obligations that Australia has as a party to the Convention on Tobacco Control.</w:t>
      </w:r>
    </w:p>
    <w:p w14:paraId="48455E45" w14:textId="77777777" w:rsidR="00C571DA" w:rsidRDefault="00C571DA" w:rsidP="000B7F0C">
      <w:pPr>
        <w:pStyle w:val="ListParagraph"/>
        <w:numPr>
          <w:ilvl w:val="0"/>
          <w:numId w:val="8"/>
        </w:numPr>
      </w:pPr>
      <w:r>
        <w:t>It is the intention of the Parliament to contribute to achieving the objects in subsection (1) by regulating the retail packaging and appearance of tobacco products in order to:</w:t>
      </w:r>
    </w:p>
    <w:p w14:paraId="283E52A3" w14:textId="77777777" w:rsidR="00B900E2" w:rsidRDefault="00C571DA" w:rsidP="000B7F0C">
      <w:pPr>
        <w:pStyle w:val="ListParagraph"/>
        <w:numPr>
          <w:ilvl w:val="0"/>
          <w:numId w:val="11"/>
        </w:numPr>
        <w:ind w:left="1276" w:hanging="425"/>
      </w:pPr>
      <w:r>
        <w:t>reduce the appeal of tobacco products to consumers; and</w:t>
      </w:r>
    </w:p>
    <w:p w14:paraId="79F4FB52" w14:textId="77777777" w:rsidR="00B900E2" w:rsidRDefault="00C571DA" w:rsidP="000B7F0C">
      <w:pPr>
        <w:pStyle w:val="ListParagraph"/>
        <w:numPr>
          <w:ilvl w:val="0"/>
          <w:numId w:val="11"/>
        </w:numPr>
        <w:ind w:left="1276" w:hanging="425"/>
      </w:pPr>
      <w:r>
        <w:t>increase the effectiveness of health warnings on the retail packaging of tobacco products; and</w:t>
      </w:r>
    </w:p>
    <w:p w14:paraId="465A7D43" w14:textId="6211BA62" w:rsidR="00B50287" w:rsidRDefault="00C571DA" w:rsidP="000B7F0C">
      <w:pPr>
        <w:pStyle w:val="ListParagraph"/>
        <w:numPr>
          <w:ilvl w:val="0"/>
          <w:numId w:val="11"/>
        </w:numPr>
        <w:ind w:left="1276" w:hanging="425"/>
      </w:pPr>
      <w:proofErr w:type="gramStart"/>
      <w:r>
        <w:t>reduce</w:t>
      </w:r>
      <w:proofErr w:type="gramEnd"/>
      <w:r>
        <w:t xml:space="preserve"> the ability of the retail packaging of tobacco products to mislead consumers about the harmful effects of smoking or using tobacco products.”</w:t>
      </w:r>
    </w:p>
    <w:p w14:paraId="5D2828ED" w14:textId="77777777" w:rsidR="00B50287" w:rsidRDefault="00B50287">
      <w:pPr>
        <w:tabs>
          <w:tab w:val="clear" w:pos="357"/>
        </w:tabs>
        <w:spacing w:before="0" w:after="200" w:line="276" w:lineRule="auto"/>
        <w:rPr>
          <w:color w:val="000000"/>
          <w:sz w:val="22"/>
          <w:szCs w:val="22"/>
          <w:lang w:val="en-GB"/>
        </w:rPr>
      </w:pPr>
      <w:r>
        <w:br w:type="page"/>
      </w:r>
    </w:p>
    <w:p w14:paraId="2760A613" w14:textId="77777777" w:rsidR="008C4E59" w:rsidRPr="008C4E59" w:rsidRDefault="008C4E59" w:rsidP="008C4E59">
      <w:pPr>
        <w:pStyle w:val="Heading1"/>
      </w:pPr>
      <w:bookmarkStart w:id="13" w:name="_Toc427737337"/>
      <w:bookmarkStart w:id="14" w:name="_Toc443560324"/>
      <w:bookmarkStart w:id="15" w:name="_Toc443560352"/>
      <w:bookmarkStart w:id="16" w:name="_Toc443560402"/>
      <w:r>
        <w:lastRenderedPageBreak/>
        <w:t>Methods</w:t>
      </w:r>
      <w:bookmarkEnd w:id="13"/>
      <w:bookmarkEnd w:id="14"/>
      <w:bookmarkEnd w:id="15"/>
      <w:bookmarkEnd w:id="16"/>
    </w:p>
    <w:p w14:paraId="41CFE41E" w14:textId="77777777" w:rsidR="008C4E59" w:rsidRPr="008C4E59" w:rsidRDefault="008C4E59" w:rsidP="008C4E59">
      <w:pPr>
        <w:pStyle w:val="Heading2"/>
      </w:pPr>
      <w:bookmarkStart w:id="17" w:name="_Toc427737338"/>
      <w:bookmarkStart w:id="18" w:name="_Toc443560325"/>
      <w:bookmarkStart w:id="19" w:name="_Toc443560353"/>
      <w:bookmarkStart w:id="20" w:name="_Toc443560403"/>
      <w:r w:rsidRPr="008C4E59">
        <w:t>Regulatory Burden Measurement</w:t>
      </w:r>
      <w:bookmarkEnd w:id="17"/>
      <w:bookmarkEnd w:id="18"/>
      <w:bookmarkEnd w:id="19"/>
      <w:bookmarkEnd w:id="20"/>
      <w:r w:rsidRPr="008C4E59">
        <w:t xml:space="preserve"> </w:t>
      </w:r>
    </w:p>
    <w:p w14:paraId="5F6F3C19" w14:textId="4D60508B" w:rsidR="00301A7A" w:rsidRDefault="00D77310" w:rsidP="00301A7A">
      <w:r>
        <w:t xml:space="preserve">A Regulatory Burden Measurement </w:t>
      </w:r>
      <w:r w:rsidR="001A3CF2">
        <w:t>was</w:t>
      </w:r>
      <w:r>
        <w:t xml:space="preserve"> conducted to </w:t>
      </w:r>
      <w:r w:rsidR="00B85E65">
        <w:t xml:space="preserve">attempt to </w:t>
      </w:r>
      <w:r>
        <w:t xml:space="preserve">quantify the regulatory costs of the TPP </w:t>
      </w:r>
      <w:r w:rsidR="00F77109">
        <w:t>measure</w:t>
      </w:r>
      <w:r w:rsidR="00673E6B">
        <w:t>.</w:t>
      </w:r>
      <w:r w:rsidR="00673E6B" w:rsidRPr="00673E6B">
        <w:t xml:space="preserve"> </w:t>
      </w:r>
      <w:r w:rsidR="00673E6B">
        <w:t xml:space="preserve">The methodology used is in accordance with </w:t>
      </w:r>
      <w:r w:rsidR="00276710">
        <w:t xml:space="preserve">the </w:t>
      </w:r>
      <w:r w:rsidR="00673E6B">
        <w:t>OBPR RBM</w:t>
      </w:r>
      <w:r w:rsidR="00F77109">
        <w:t xml:space="preserve"> </w:t>
      </w:r>
      <w:r w:rsidR="00673E6B">
        <w:t>framework</w:t>
      </w:r>
      <w:r w:rsidR="00673E6B">
        <w:rPr>
          <w:rStyle w:val="FootnoteReference"/>
        </w:rPr>
        <w:footnoteReference w:id="1"/>
      </w:r>
      <w:r w:rsidR="00673E6B" w:rsidRPr="008678A3">
        <w:t xml:space="preserve">. </w:t>
      </w:r>
      <w:r w:rsidR="00673E6B">
        <w:t xml:space="preserve">Accordingly, identified compliance costs (administrative costs and substantive compliance costs) </w:t>
      </w:r>
      <w:r w:rsidR="00673E6B" w:rsidRPr="008678A3">
        <w:t xml:space="preserve">to stakeholders across </w:t>
      </w:r>
      <w:r w:rsidR="00673E6B">
        <w:t>businesses, community organisations and individuals have been considered. (Note that while delay costs are ordinarily considered under the framework, in this case no delay costs were identified).</w:t>
      </w:r>
    </w:p>
    <w:p w14:paraId="496165D2" w14:textId="170F5A7C" w:rsidR="00301A7A" w:rsidRPr="00003F38" w:rsidRDefault="00301A7A" w:rsidP="00301A7A">
      <w:r w:rsidRPr="00003F38">
        <w:t xml:space="preserve">The costs of complying with the </w:t>
      </w:r>
      <w:r w:rsidR="00826732">
        <w:t>TPP measure</w:t>
      </w:r>
      <w:r w:rsidRPr="00003F38">
        <w:t xml:space="preserve"> were identified by:</w:t>
      </w:r>
    </w:p>
    <w:p w14:paraId="388C01DB" w14:textId="77777777" w:rsidR="00301A7A" w:rsidRPr="000B332F" w:rsidRDefault="00301A7A" w:rsidP="00301A7A">
      <w:pPr>
        <w:pStyle w:val="Bullet"/>
      </w:pPr>
      <w:r w:rsidRPr="000B332F">
        <w:t>Consultation process including struct</w:t>
      </w:r>
      <w:r>
        <w:t>ured questions regarding costs</w:t>
      </w:r>
      <w:r w:rsidRPr="000B332F">
        <w:t>;</w:t>
      </w:r>
    </w:p>
    <w:p w14:paraId="6E2FFCDB" w14:textId="77777777" w:rsidR="00301A7A" w:rsidRPr="000B332F" w:rsidRDefault="005667B0" w:rsidP="00301A7A">
      <w:pPr>
        <w:pStyle w:val="Bullet"/>
      </w:pPr>
      <w:r>
        <w:t>An o</w:t>
      </w:r>
      <w:r w:rsidR="00301A7A" w:rsidRPr="000B332F">
        <w:t xml:space="preserve">nline costing </w:t>
      </w:r>
      <w:r w:rsidR="00301A7A">
        <w:t>survey;</w:t>
      </w:r>
    </w:p>
    <w:p w14:paraId="420456A5" w14:textId="77777777" w:rsidR="00301A7A" w:rsidRPr="000B332F" w:rsidRDefault="00301A7A" w:rsidP="00301A7A">
      <w:pPr>
        <w:pStyle w:val="Bullet"/>
      </w:pPr>
      <w:r>
        <w:t xml:space="preserve">Written submissions; </w:t>
      </w:r>
      <w:r w:rsidRPr="000B332F">
        <w:t>and</w:t>
      </w:r>
    </w:p>
    <w:p w14:paraId="3B7CBFCC" w14:textId="236215C5" w:rsidR="00301A7A" w:rsidRPr="000B332F" w:rsidRDefault="00301A7A" w:rsidP="00301A7A">
      <w:pPr>
        <w:pStyle w:val="Bullet"/>
      </w:pPr>
      <w:r>
        <w:t>P</w:t>
      </w:r>
      <w:r w:rsidRPr="000B332F">
        <w:t>ublished analyses</w:t>
      </w:r>
      <w:r w:rsidR="001907AF">
        <w:t>.</w:t>
      </w:r>
      <w:r w:rsidRPr="000B332F">
        <w:t xml:space="preserve"> </w:t>
      </w:r>
    </w:p>
    <w:p w14:paraId="3BEAA526" w14:textId="43EBDF2E" w:rsidR="00301A7A" w:rsidRDefault="00673E6B" w:rsidP="00301A7A">
      <w:r w:rsidRPr="006571D9">
        <w:t xml:space="preserve">These costs </w:t>
      </w:r>
      <w:r>
        <w:t xml:space="preserve">include </w:t>
      </w:r>
      <w:r w:rsidRPr="006571D9">
        <w:t xml:space="preserve">activities </w:t>
      </w:r>
      <w:r>
        <w:t xml:space="preserve">associated with </w:t>
      </w:r>
      <w:r w:rsidRPr="006571D9">
        <w:t xml:space="preserve">conforming to all other relevant government regulation regarding tobacco products. </w:t>
      </w:r>
      <w:r w:rsidRPr="00003F38">
        <w:t xml:space="preserve">Costs </w:t>
      </w:r>
      <w:r>
        <w:t>excluded</w:t>
      </w:r>
      <w:r w:rsidRPr="00003F38">
        <w:t xml:space="preserve"> </w:t>
      </w:r>
      <w:r>
        <w:t xml:space="preserve">from the Regulatory Burden Measurement, </w:t>
      </w:r>
      <w:r w:rsidRPr="00003F38">
        <w:t xml:space="preserve">but considered within the </w:t>
      </w:r>
      <w:r w:rsidR="00223C2C">
        <w:t>Cost-Benefit Analysis</w:t>
      </w:r>
      <w:r>
        <w:t>,</w:t>
      </w:r>
      <w:r w:rsidRPr="00003F38">
        <w:t xml:space="preserve"> include the indirect costs associated with the regulation. </w:t>
      </w:r>
    </w:p>
    <w:p w14:paraId="0FD9226C" w14:textId="47986BE6" w:rsidR="00CA0A6F" w:rsidRPr="00414676" w:rsidRDefault="00347918" w:rsidP="00CA0A6F">
      <w:pPr>
        <w:pStyle w:val="Heading2"/>
      </w:pPr>
      <w:bookmarkStart w:id="21" w:name="_Toc427737339"/>
      <w:bookmarkStart w:id="22" w:name="_Toc443560326"/>
      <w:bookmarkStart w:id="23" w:name="_Toc443560354"/>
      <w:bookmarkStart w:id="24" w:name="_Toc443560404"/>
      <w:r>
        <w:t>Analysis of Costs and Benefits</w:t>
      </w:r>
      <w:bookmarkEnd w:id="21"/>
      <w:bookmarkEnd w:id="22"/>
      <w:bookmarkEnd w:id="23"/>
      <w:bookmarkEnd w:id="24"/>
    </w:p>
    <w:p w14:paraId="5C424E09" w14:textId="4ADDBEA1" w:rsidR="0022131C" w:rsidRDefault="00347918" w:rsidP="00CA0A6F">
      <w:pPr>
        <w:rPr>
          <w:highlight w:val="yellow"/>
        </w:rPr>
      </w:pPr>
      <w:r>
        <w:t>The analysis of costs and benefits was</w:t>
      </w:r>
      <w:r w:rsidR="00511FFD">
        <w:t>,</w:t>
      </w:r>
      <w:r w:rsidR="0022131C" w:rsidRPr="000B7F0C">
        <w:t xml:space="preserve"> to the fullest extent possible</w:t>
      </w:r>
      <w:r w:rsidR="00511FFD">
        <w:t>,</w:t>
      </w:r>
      <w:r w:rsidR="0022131C" w:rsidRPr="000B7F0C">
        <w:t xml:space="preserve"> </w:t>
      </w:r>
      <w:r w:rsidR="00511FFD">
        <w:t xml:space="preserve">done in line </w:t>
      </w:r>
      <w:r w:rsidR="0022131C" w:rsidRPr="000B7F0C">
        <w:t xml:space="preserve">with the requirements of OBPR’s guidance and advice on cost-benefit analyses, in particular the OBPR Guidance Note on Cost-Benefit Analysis.  </w:t>
      </w:r>
    </w:p>
    <w:p w14:paraId="180A519E" w14:textId="3BFBDA46" w:rsidR="00CA0A6F" w:rsidRDefault="0022131C" w:rsidP="00CA0A6F">
      <w:r>
        <w:t>In line with OBPR’s guidance, t</w:t>
      </w:r>
      <w:r w:rsidR="00CA0A6F">
        <w:t xml:space="preserve">he </w:t>
      </w:r>
      <w:r w:rsidR="00347918">
        <w:t>analysis of costs and benefits</w:t>
      </w:r>
      <w:r>
        <w:t xml:space="preserve"> assesses </w:t>
      </w:r>
      <w:r w:rsidR="00347918">
        <w:t xml:space="preserve">the </w:t>
      </w:r>
      <w:r w:rsidR="00CA0A6F">
        <w:t>benefits and costs on the basis of additional benefits and costs attributable to the introduction of tobacco plain packaging over and above business as usual. Business as usual in this analysis includes compliance with pre-existing tobacco control measures</w:t>
      </w:r>
      <w:r w:rsidR="00AD6D0F">
        <w:t>.</w:t>
      </w:r>
      <w:r w:rsidR="00CA0A6F">
        <w:t xml:space="preserve"> </w:t>
      </w:r>
    </w:p>
    <w:p w14:paraId="5EE9DFB5" w14:textId="4AD492CD" w:rsidR="00CA0A6F" w:rsidRDefault="001D6CD6" w:rsidP="00CA0A6F">
      <w:r>
        <w:t>In general, a</w:t>
      </w:r>
      <w:r w:rsidR="00CA0A6F">
        <w:t xml:space="preserve"> conservative approach was </w:t>
      </w:r>
      <w:r w:rsidR="00222D5E">
        <w:t xml:space="preserve">adopted </w:t>
      </w:r>
      <w:r w:rsidR="00CA0A6F">
        <w:t xml:space="preserve">in measuring and valuing both costs and benefits. </w:t>
      </w:r>
      <w:r>
        <w:t>Where necessary, plausible estimates were derived based on reasonable assumptions with respect to the quality and availability of evidence.</w:t>
      </w:r>
    </w:p>
    <w:p w14:paraId="27259BAA" w14:textId="01FC8367" w:rsidR="00CA0A6F" w:rsidRDefault="00CA0A6F" w:rsidP="00CA0A6F">
      <w:r>
        <w:t xml:space="preserve">In accordance with the OBPR </w:t>
      </w:r>
      <w:r w:rsidR="0022131C">
        <w:t xml:space="preserve">Guidance Note </w:t>
      </w:r>
      <w:r>
        <w:t xml:space="preserve">on </w:t>
      </w:r>
      <w:r w:rsidR="00223C2C">
        <w:t>Cost-Benefit Analysis</w:t>
      </w:r>
      <w:r>
        <w:t xml:space="preserve">, a societal perspective has been adopted in this analysis along with a </w:t>
      </w:r>
      <w:r w:rsidR="00F648C3">
        <w:t>ten-</w:t>
      </w:r>
      <w:r>
        <w:t>year analytical time horizon</w:t>
      </w:r>
      <w:r w:rsidRPr="00E57334">
        <w:t>.</w:t>
      </w:r>
      <w:r>
        <w:t xml:space="preserve"> The estimated costs and benefits over the period are discounted to present day values using a discount rate of 7%. </w:t>
      </w:r>
    </w:p>
    <w:p w14:paraId="68D194E2" w14:textId="440E678B" w:rsidR="00CA0A6F" w:rsidRDefault="00CA0A6F" w:rsidP="00CA0A6F">
      <w:r>
        <w:t xml:space="preserve">This report provides an analysis of the costs and benefits of the tobacco plain packaging measure. </w:t>
      </w:r>
      <w:r w:rsidR="0022131C">
        <w:t>T</w:t>
      </w:r>
      <w:r w:rsidR="0022131C" w:rsidRPr="00C9033D">
        <w:t xml:space="preserve">he </w:t>
      </w:r>
      <w:r w:rsidRPr="00C9033D">
        <w:t xml:space="preserve">main steps in </w:t>
      </w:r>
      <w:r w:rsidR="00347918">
        <w:t>this analysis</w:t>
      </w:r>
      <w:r>
        <w:t xml:space="preserve"> were</w:t>
      </w:r>
      <w:r w:rsidR="00F648C3">
        <w:t xml:space="preserve"> to</w:t>
      </w:r>
      <w:r w:rsidRPr="00C9033D">
        <w:t>:</w:t>
      </w:r>
    </w:p>
    <w:p w14:paraId="4B4990EC" w14:textId="77777777" w:rsidR="00CA0A6F" w:rsidRPr="000B332F" w:rsidRDefault="00CA0A6F" w:rsidP="00BD6488">
      <w:pPr>
        <w:pStyle w:val="Bullet"/>
      </w:pPr>
      <w:r w:rsidRPr="000B332F">
        <w:t xml:space="preserve">Evaluate evidence regarding </w:t>
      </w:r>
      <w:r w:rsidR="00826732">
        <w:t xml:space="preserve">the </w:t>
      </w:r>
      <w:r w:rsidRPr="000B332F">
        <w:t>impact of the tobacco plain packaging measure;</w:t>
      </w:r>
    </w:p>
    <w:p w14:paraId="60497A02" w14:textId="59D50D45" w:rsidR="00CA0A6F" w:rsidRPr="000B332F" w:rsidRDefault="00101911" w:rsidP="00BD6488">
      <w:pPr>
        <w:pStyle w:val="Bullet"/>
      </w:pPr>
      <w:r w:rsidRPr="000B332F">
        <w:t>Identif</w:t>
      </w:r>
      <w:r>
        <w:t xml:space="preserve">y </w:t>
      </w:r>
      <w:r w:rsidR="00CA0A6F" w:rsidRPr="000B332F">
        <w:t xml:space="preserve">and </w:t>
      </w:r>
      <w:r w:rsidRPr="000B332F">
        <w:t>categoris</w:t>
      </w:r>
      <w:r>
        <w:t>e</w:t>
      </w:r>
      <w:r w:rsidR="00CA0A6F" w:rsidRPr="000B332F">
        <w:t xml:space="preserve"> the benefits and costs of tobacco plain packaging;</w:t>
      </w:r>
      <w:r w:rsidR="00347918">
        <w:t xml:space="preserve"> and</w:t>
      </w:r>
    </w:p>
    <w:p w14:paraId="7DDA9B7B" w14:textId="77A71416" w:rsidR="00CA0A6F" w:rsidRPr="000B332F" w:rsidRDefault="00CA0A6F" w:rsidP="00BD6488">
      <w:pPr>
        <w:pStyle w:val="Bullet"/>
      </w:pPr>
      <w:r w:rsidRPr="000B332F">
        <w:t>Measure</w:t>
      </w:r>
      <w:r w:rsidR="00347918">
        <w:t xml:space="preserve"> and monetise</w:t>
      </w:r>
      <w:r w:rsidRPr="000B332F">
        <w:t xml:space="preserve"> the benefits and costs of tobacco plain packaging</w:t>
      </w:r>
      <w:r w:rsidR="00347918">
        <w:t xml:space="preserve"> where possible.</w:t>
      </w:r>
    </w:p>
    <w:p w14:paraId="42B236DF" w14:textId="77777777" w:rsidR="00916D34" w:rsidRPr="00D16890" w:rsidRDefault="00916D34" w:rsidP="00D16890">
      <w:pPr>
        <w:pStyle w:val="Heading3"/>
      </w:pPr>
      <w:bookmarkStart w:id="25" w:name="_Toc427737340"/>
      <w:bookmarkStart w:id="26" w:name="_Toc443560327"/>
      <w:bookmarkStart w:id="27" w:name="_Toc443560355"/>
      <w:bookmarkStart w:id="28" w:name="_Toc443560405"/>
      <w:r w:rsidRPr="00D16890">
        <w:lastRenderedPageBreak/>
        <w:t>Identification of Costs and Benefits</w:t>
      </w:r>
      <w:bookmarkEnd w:id="25"/>
      <w:bookmarkEnd w:id="26"/>
      <w:bookmarkEnd w:id="27"/>
      <w:bookmarkEnd w:id="28"/>
    </w:p>
    <w:p w14:paraId="49EFEC24" w14:textId="77777777" w:rsidR="00916D34" w:rsidRPr="008040A0" w:rsidRDefault="00916D34" w:rsidP="00916D34">
      <w:pPr>
        <w:rPr>
          <w:lang w:val="en-GB"/>
        </w:rPr>
      </w:pPr>
      <w:r>
        <w:rPr>
          <w:lang w:val="en-GB"/>
        </w:rPr>
        <w:t xml:space="preserve">Claimed </w:t>
      </w:r>
      <w:r w:rsidRPr="008040A0">
        <w:rPr>
          <w:lang w:val="en-GB"/>
        </w:rPr>
        <w:t xml:space="preserve">costs and </w:t>
      </w:r>
      <w:r>
        <w:rPr>
          <w:lang w:val="en-GB"/>
        </w:rPr>
        <w:t xml:space="preserve">the </w:t>
      </w:r>
      <w:r w:rsidRPr="008040A0">
        <w:rPr>
          <w:lang w:val="en-GB"/>
        </w:rPr>
        <w:t xml:space="preserve">benefits of the </w:t>
      </w:r>
      <w:r>
        <w:rPr>
          <w:lang w:val="en-GB"/>
        </w:rPr>
        <w:t xml:space="preserve">tobacco </w:t>
      </w:r>
      <w:r w:rsidRPr="008040A0">
        <w:rPr>
          <w:lang w:val="en-GB"/>
        </w:rPr>
        <w:t>plain packaging measure were identified from:</w:t>
      </w:r>
    </w:p>
    <w:p w14:paraId="144306D5" w14:textId="0D508612" w:rsidR="00916D34" w:rsidRPr="008040A0" w:rsidRDefault="00916D34" w:rsidP="00916D34">
      <w:pPr>
        <w:pStyle w:val="Bullet"/>
        <w:rPr>
          <w:lang w:val="en-GB"/>
        </w:rPr>
      </w:pPr>
      <w:r w:rsidRPr="008040A0">
        <w:rPr>
          <w:lang w:val="en-GB"/>
        </w:rPr>
        <w:t>S</w:t>
      </w:r>
      <w:r>
        <w:rPr>
          <w:lang w:val="en-GB"/>
        </w:rPr>
        <w:t>takeholder engagement</w:t>
      </w:r>
      <w:r w:rsidRPr="008040A0">
        <w:rPr>
          <w:lang w:val="en-GB"/>
        </w:rPr>
        <w:t>;</w:t>
      </w:r>
      <w:r w:rsidR="00490DD0">
        <w:rPr>
          <w:lang w:val="en-GB"/>
        </w:rPr>
        <w:t xml:space="preserve"> and</w:t>
      </w:r>
    </w:p>
    <w:p w14:paraId="6A69E67A" w14:textId="37E6F4F0" w:rsidR="00916D34" w:rsidRDefault="00916D34" w:rsidP="00916D34">
      <w:pPr>
        <w:pStyle w:val="Bullet"/>
        <w:rPr>
          <w:lang w:val="en-GB"/>
        </w:rPr>
      </w:pPr>
      <w:r>
        <w:rPr>
          <w:lang w:val="en-GB"/>
        </w:rPr>
        <w:t>P</w:t>
      </w:r>
      <w:r w:rsidRPr="008040A0">
        <w:rPr>
          <w:lang w:val="en-GB"/>
        </w:rPr>
        <w:t xml:space="preserve">ublished </w:t>
      </w:r>
      <w:r w:rsidR="00F77109">
        <w:rPr>
          <w:lang w:val="en-GB"/>
        </w:rPr>
        <w:t>C</w:t>
      </w:r>
      <w:r w:rsidR="00F77109" w:rsidRPr="008040A0">
        <w:rPr>
          <w:lang w:val="en-GB"/>
        </w:rPr>
        <w:t>ost</w:t>
      </w:r>
      <w:r w:rsidRPr="008040A0">
        <w:rPr>
          <w:lang w:val="en-GB"/>
        </w:rPr>
        <w:t>-</w:t>
      </w:r>
      <w:r w:rsidR="00F77109">
        <w:rPr>
          <w:lang w:val="en-GB"/>
        </w:rPr>
        <w:t>B</w:t>
      </w:r>
      <w:r w:rsidR="00F77109" w:rsidRPr="008040A0">
        <w:rPr>
          <w:lang w:val="en-GB"/>
        </w:rPr>
        <w:t xml:space="preserve">enefit </w:t>
      </w:r>
      <w:r w:rsidR="00F77109">
        <w:rPr>
          <w:lang w:val="en-GB"/>
        </w:rPr>
        <w:t>A</w:t>
      </w:r>
      <w:r w:rsidR="00F77109" w:rsidRPr="008040A0">
        <w:rPr>
          <w:lang w:val="en-GB"/>
        </w:rPr>
        <w:t xml:space="preserve">nalyses </w:t>
      </w:r>
      <w:r w:rsidRPr="008040A0">
        <w:rPr>
          <w:lang w:val="en-GB"/>
        </w:rPr>
        <w:t xml:space="preserve">for </w:t>
      </w:r>
      <w:r>
        <w:rPr>
          <w:lang w:val="en-GB"/>
        </w:rPr>
        <w:t xml:space="preserve">tobacco </w:t>
      </w:r>
      <w:r w:rsidRPr="008040A0">
        <w:rPr>
          <w:lang w:val="en-GB"/>
        </w:rPr>
        <w:t xml:space="preserve">plain packaging conducted by </w:t>
      </w:r>
      <w:r w:rsidR="00347918">
        <w:rPr>
          <w:lang w:val="en-GB"/>
        </w:rPr>
        <w:t>foreign</w:t>
      </w:r>
      <w:r w:rsidR="00347918" w:rsidRPr="008040A0">
        <w:rPr>
          <w:lang w:val="en-GB"/>
        </w:rPr>
        <w:t xml:space="preserve"> </w:t>
      </w:r>
      <w:r w:rsidRPr="008040A0">
        <w:rPr>
          <w:lang w:val="en-GB"/>
        </w:rPr>
        <w:t>government agencies</w:t>
      </w:r>
      <w:r w:rsidR="007A56E5">
        <w:rPr>
          <w:lang w:val="en-GB"/>
        </w:rPr>
        <w:t xml:space="preserve"> </w:t>
      </w:r>
      <w:r w:rsidR="00A05B75">
        <w:rPr>
          <w:lang w:val="en-GB"/>
        </w:rPr>
        <w:fldChar w:fldCharType="begin"/>
      </w:r>
      <w:r w:rsidR="00B1645A">
        <w:rPr>
          <w:lang w:val="en-GB"/>
        </w:rPr>
        <w:instrText xml:space="preserve"> ADDIN EN.CITE &lt;EndNote&gt;&lt;Cite&gt;&lt;Author&gt;United Kingdom Department of Health&lt;/Author&gt;&lt;Year&gt;2015&lt;/Year&gt;&lt;RecNum&gt;1&lt;/RecNum&gt;&lt;DisplayText&gt;(United Kingdom Department of Health, 2015)&lt;/DisplayText&gt;&lt;record&gt;&lt;rec-number&gt;1&lt;/rec-number&gt;&lt;foreign-keys&gt;&lt;key app="EN" db-id="edfppa0tc0tfd1etp5xvexpnzfefzewwwas9" timestamp="1441592647"&gt;1&lt;/key&gt;&lt;/foreign-keys&gt;&lt;ref-type name="Government Document"&gt;46&lt;/ref-type&gt;&lt;contributors&gt;&lt;authors&gt;&lt;author&gt;United Kingdom Department of Health,&lt;/author&gt;&lt;/authors&gt;&lt;/contributors&gt;&lt;titles&gt;&lt;title&gt;Impact assessment for standardised packaging of tobacco products&lt;/title&gt;&lt;/titles&gt;&lt;dates&gt;&lt;year&gt;2015&lt;/year&gt;&lt;/dates&gt;&lt;pub-location&gt;https://www.gov.uk/government/publications/impact-assessment-opinion-standardised-packaging-of-tobacco-products-final&lt;/pub-location&gt;&lt;publisher&gt;United Kingdom Department of Health&lt;/publisher&gt;&lt;urls&gt;&lt;/urls&gt;&lt;/record&gt;&lt;/Cite&gt;&lt;/EndNote&gt;</w:instrText>
      </w:r>
      <w:r w:rsidR="00A05B75">
        <w:rPr>
          <w:lang w:val="en-GB"/>
        </w:rPr>
        <w:fldChar w:fldCharType="separate"/>
      </w:r>
      <w:r w:rsidR="00B1645A">
        <w:rPr>
          <w:noProof/>
          <w:lang w:val="en-GB"/>
        </w:rPr>
        <w:t>(</w:t>
      </w:r>
      <w:hyperlink w:anchor="_ENREF_62" w:tooltip="United Kingdom Department of Health, 2015 #1" w:history="1">
        <w:r w:rsidR="008A14C8">
          <w:rPr>
            <w:noProof/>
            <w:lang w:val="en-GB"/>
          </w:rPr>
          <w:t>United Kingdom Department of Health, 2015</w:t>
        </w:r>
      </w:hyperlink>
      <w:r w:rsidR="00B1645A">
        <w:rPr>
          <w:noProof/>
          <w:lang w:val="en-GB"/>
        </w:rPr>
        <w:t>)</w:t>
      </w:r>
      <w:r w:rsidR="00A05B75">
        <w:rPr>
          <w:lang w:val="en-GB"/>
        </w:rPr>
        <w:fldChar w:fldCharType="end"/>
      </w:r>
      <w:r w:rsidR="00AD6D0F">
        <w:rPr>
          <w:lang w:val="en-GB"/>
        </w:rPr>
        <w:t>.</w:t>
      </w:r>
    </w:p>
    <w:p w14:paraId="16BD794D" w14:textId="77777777" w:rsidR="00916D34" w:rsidRPr="00C9033D" w:rsidRDefault="00916D34" w:rsidP="00916D34">
      <w:pPr>
        <w:rPr>
          <w:lang w:val="en-GB"/>
        </w:rPr>
      </w:pPr>
      <w:r w:rsidRPr="00C9033D">
        <w:rPr>
          <w:lang w:val="en-GB"/>
        </w:rPr>
        <w:t xml:space="preserve">The </w:t>
      </w:r>
      <w:r>
        <w:rPr>
          <w:lang w:val="en-GB"/>
        </w:rPr>
        <w:t xml:space="preserve">identified potential social, economic and environmental </w:t>
      </w:r>
      <w:r w:rsidRPr="00C9033D">
        <w:rPr>
          <w:lang w:val="en-GB"/>
        </w:rPr>
        <w:t>costs of the tobacco plain packaging measure are:</w:t>
      </w:r>
    </w:p>
    <w:p w14:paraId="7DE342A1" w14:textId="77777777" w:rsidR="00916D34" w:rsidRPr="00C9033D" w:rsidRDefault="00F77109" w:rsidP="00916D34">
      <w:pPr>
        <w:pStyle w:val="Bullet"/>
        <w:rPr>
          <w:lang w:val="en-GB"/>
        </w:rPr>
      </w:pPr>
      <w:r>
        <w:rPr>
          <w:lang w:val="en-GB"/>
        </w:rPr>
        <w:t>C</w:t>
      </w:r>
      <w:r w:rsidR="00916D34" w:rsidRPr="00C9033D">
        <w:rPr>
          <w:lang w:val="en-GB"/>
        </w:rPr>
        <w:t>osts to transition to new packaging requirements;</w:t>
      </w:r>
    </w:p>
    <w:p w14:paraId="12801B85" w14:textId="77777777" w:rsidR="00916D34" w:rsidRPr="00C9033D" w:rsidRDefault="00F77109" w:rsidP="00916D34">
      <w:pPr>
        <w:pStyle w:val="Bullet"/>
        <w:rPr>
          <w:lang w:val="en-GB"/>
        </w:rPr>
      </w:pPr>
      <w:r>
        <w:rPr>
          <w:lang w:val="en-GB"/>
        </w:rPr>
        <w:t xml:space="preserve">Potential </w:t>
      </w:r>
      <w:r w:rsidR="00916D34">
        <w:rPr>
          <w:lang w:val="en-GB"/>
        </w:rPr>
        <w:t>i</w:t>
      </w:r>
      <w:r w:rsidR="00916D34" w:rsidRPr="00C9033D">
        <w:rPr>
          <w:lang w:val="en-GB"/>
        </w:rPr>
        <w:t>ncreased retail transaction costs;</w:t>
      </w:r>
    </w:p>
    <w:p w14:paraId="57AC68B3" w14:textId="77777777" w:rsidR="00916D34" w:rsidRDefault="00F77109" w:rsidP="00916D34">
      <w:pPr>
        <w:pStyle w:val="Bullet"/>
        <w:rPr>
          <w:lang w:val="en-GB"/>
        </w:rPr>
      </w:pPr>
      <w:r>
        <w:rPr>
          <w:lang w:val="en-GB"/>
        </w:rPr>
        <w:t>I</w:t>
      </w:r>
      <w:r w:rsidRPr="00C9033D">
        <w:rPr>
          <w:lang w:val="en-GB"/>
        </w:rPr>
        <w:t xml:space="preserve">ncreased </w:t>
      </w:r>
      <w:r w:rsidR="00916D34" w:rsidRPr="00C9033D">
        <w:rPr>
          <w:lang w:val="en-GB"/>
        </w:rPr>
        <w:t>government monitoring and enforcement costs</w:t>
      </w:r>
      <w:r w:rsidR="00916D34">
        <w:rPr>
          <w:lang w:val="en-GB"/>
        </w:rPr>
        <w:t>;</w:t>
      </w:r>
    </w:p>
    <w:p w14:paraId="0C397B63" w14:textId="77777777" w:rsidR="00916D34" w:rsidRDefault="00F77109" w:rsidP="00916D34">
      <w:pPr>
        <w:pStyle w:val="Bullet"/>
        <w:rPr>
          <w:lang w:val="en-GB"/>
        </w:rPr>
      </w:pPr>
      <w:r>
        <w:rPr>
          <w:lang w:val="en-GB"/>
        </w:rPr>
        <w:t>R</w:t>
      </w:r>
      <w:r w:rsidRPr="00C9033D">
        <w:rPr>
          <w:lang w:val="en-GB"/>
        </w:rPr>
        <w:t>educe</w:t>
      </w:r>
      <w:r>
        <w:rPr>
          <w:lang w:val="en-GB"/>
        </w:rPr>
        <w:t xml:space="preserve">d </w:t>
      </w:r>
      <w:r w:rsidR="00916D34">
        <w:rPr>
          <w:lang w:val="en-GB"/>
        </w:rPr>
        <w:t>profits in tobacco industries;</w:t>
      </w:r>
    </w:p>
    <w:p w14:paraId="143F4F12" w14:textId="77777777" w:rsidR="00916D34" w:rsidRDefault="00F77109" w:rsidP="00916D34">
      <w:pPr>
        <w:pStyle w:val="Bullet"/>
        <w:rPr>
          <w:lang w:val="en-GB"/>
        </w:rPr>
      </w:pPr>
      <w:r>
        <w:rPr>
          <w:lang w:val="en-GB"/>
        </w:rPr>
        <w:t xml:space="preserve">Reduced </w:t>
      </w:r>
      <w:r w:rsidR="00916D34">
        <w:rPr>
          <w:lang w:val="en-GB"/>
        </w:rPr>
        <w:t>value of tobacco brands; and</w:t>
      </w:r>
    </w:p>
    <w:p w14:paraId="5BC931AA" w14:textId="77777777" w:rsidR="00916D34" w:rsidRPr="00C9033D" w:rsidRDefault="00F77109" w:rsidP="00916D34">
      <w:pPr>
        <w:pStyle w:val="Bullet"/>
        <w:rPr>
          <w:lang w:val="en-GB"/>
        </w:rPr>
      </w:pPr>
      <w:r>
        <w:rPr>
          <w:lang w:val="en-GB"/>
        </w:rPr>
        <w:t xml:space="preserve">Reduced </w:t>
      </w:r>
      <w:r w:rsidR="00916D34">
        <w:rPr>
          <w:lang w:val="en-GB"/>
        </w:rPr>
        <w:t>consumer surplus from tobacco products.</w:t>
      </w:r>
    </w:p>
    <w:p w14:paraId="4804EB63" w14:textId="3BABE05E" w:rsidR="00916D34" w:rsidRDefault="00916D34" w:rsidP="00916D34">
      <w:pPr>
        <w:rPr>
          <w:lang w:val="en-GB"/>
        </w:rPr>
      </w:pPr>
      <w:r>
        <w:rPr>
          <w:lang w:val="en-GB"/>
        </w:rPr>
        <w:t>Finally</w:t>
      </w:r>
      <w:r w:rsidR="00AD6408">
        <w:rPr>
          <w:lang w:val="en-GB"/>
        </w:rPr>
        <w:t>,</w:t>
      </w:r>
      <w:r>
        <w:rPr>
          <w:lang w:val="en-GB"/>
        </w:rPr>
        <w:t xml:space="preserve"> it is important to note that litigation costs associated with local or international challenges to the TPP </w:t>
      </w:r>
      <w:r w:rsidR="00F77109">
        <w:rPr>
          <w:lang w:val="en-GB"/>
        </w:rPr>
        <w:t xml:space="preserve">measure </w:t>
      </w:r>
      <w:r>
        <w:rPr>
          <w:lang w:val="en-GB"/>
        </w:rPr>
        <w:t xml:space="preserve">have not been included in </w:t>
      </w:r>
      <w:r w:rsidR="00815111">
        <w:rPr>
          <w:lang w:val="en-GB"/>
        </w:rPr>
        <w:t>this</w:t>
      </w:r>
      <w:r w:rsidR="00223C2C">
        <w:rPr>
          <w:lang w:val="en-GB"/>
        </w:rPr>
        <w:t xml:space="preserve"> </w:t>
      </w:r>
      <w:r w:rsidR="008D5EDF">
        <w:rPr>
          <w:lang w:val="en-GB"/>
        </w:rPr>
        <w:t>a</w:t>
      </w:r>
      <w:r w:rsidR="00223C2C">
        <w:rPr>
          <w:lang w:val="en-GB"/>
        </w:rPr>
        <w:t>nalysis</w:t>
      </w:r>
      <w:r>
        <w:rPr>
          <w:lang w:val="en-GB"/>
        </w:rPr>
        <w:t xml:space="preserve">. This is in keeping with standard practice for </w:t>
      </w:r>
      <w:r w:rsidR="00347918">
        <w:rPr>
          <w:lang w:val="en-GB"/>
        </w:rPr>
        <w:t>analysis of costs and benefits in the context of PIRs</w:t>
      </w:r>
      <w:r>
        <w:rPr>
          <w:lang w:val="en-GB"/>
        </w:rPr>
        <w:t xml:space="preserve">. </w:t>
      </w:r>
    </w:p>
    <w:p w14:paraId="6802CB20" w14:textId="5D651253" w:rsidR="00826D2E" w:rsidRDefault="00826D2E" w:rsidP="00916D34">
      <w:pPr>
        <w:rPr>
          <w:lang w:val="en-GB"/>
        </w:rPr>
      </w:pPr>
      <w:r>
        <w:rPr>
          <w:lang w:val="en-GB"/>
        </w:rPr>
        <w:t>The identified potential social, economic and environmental benefits of the tobacco plain packaging measure include:</w:t>
      </w:r>
    </w:p>
    <w:p w14:paraId="581CC654" w14:textId="4E13C329" w:rsidR="00826D2E" w:rsidRDefault="00826D2E" w:rsidP="001907AF">
      <w:pPr>
        <w:pStyle w:val="Bullet"/>
        <w:rPr>
          <w:lang w:val="en-GB"/>
        </w:rPr>
      </w:pPr>
      <w:r>
        <w:rPr>
          <w:lang w:val="en-GB"/>
        </w:rPr>
        <w:t>Health benefits associated with reduced up-take and use of tobacco products, increased cessation of tobacco use and reduced exposure of other people</w:t>
      </w:r>
      <w:r w:rsidR="001907AF">
        <w:rPr>
          <w:lang w:val="en-GB"/>
        </w:rPr>
        <w:t xml:space="preserve"> to smoke from tobacco products;</w:t>
      </w:r>
    </w:p>
    <w:p w14:paraId="209697E7" w14:textId="1375BC15" w:rsidR="00826D2E" w:rsidRDefault="00826D2E" w:rsidP="001907AF">
      <w:pPr>
        <w:pStyle w:val="Bullet"/>
        <w:rPr>
          <w:lang w:val="en-GB"/>
        </w:rPr>
      </w:pPr>
      <w:r>
        <w:rPr>
          <w:lang w:val="en-GB"/>
        </w:rPr>
        <w:t>Productivity gains asso</w:t>
      </w:r>
      <w:r w:rsidR="001907AF">
        <w:rPr>
          <w:lang w:val="en-GB"/>
        </w:rPr>
        <w:t>ciated with reduced tobacco use;</w:t>
      </w:r>
    </w:p>
    <w:p w14:paraId="65094A4D" w14:textId="411734E3" w:rsidR="00826D2E" w:rsidRDefault="00826D2E" w:rsidP="001907AF">
      <w:pPr>
        <w:pStyle w:val="Bullet"/>
        <w:rPr>
          <w:lang w:val="en-GB"/>
        </w:rPr>
      </w:pPr>
      <w:r>
        <w:rPr>
          <w:lang w:val="en-GB"/>
        </w:rPr>
        <w:t>Reduced litter resulting from reduced use of to</w:t>
      </w:r>
      <w:r w:rsidR="001907AF">
        <w:rPr>
          <w:lang w:val="en-GB"/>
        </w:rPr>
        <w:t>bacco products; and</w:t>
      </w:r>
    </w:p>
    <w:p w14:paraId="1AFC217F" w14:textId="67774119" w:rsidR="00826D2E" w:rsidRDefault="00826D2E" w:rsidP="001907AF">
      <w:pPr>
        <w:pStyle w:val="Bullet"/>
        <w:rPr>
          <w:lang w:val="en-GB"/>
        </w:rPr>
      </w:pPr>
      <w:r>
        <w:rPr>
          <w:lang w:val="en-GB"/>
        </w:rPr>
        <w:t>An on-going reduction in the cost of producing the packaging of tobacco products.</w:t>
      </w:r>
    </w:p>
    <w:p w14:paraId="7FC71F5C" w14:textId="6899665A" w:rsidR="00301A7A" w:rsidRPr="00003F38" w:rsidRDefault="005751F0" w:rsidP="00301A7A">
      <w:r>
        <w:t>These potential costs and benefits are discussed</w:t>
      </w:r>
      <w:r w:rsidR="00B21997">
        <w:t xml:space="preserve"> below and quantified where possible. Illustrative examples are also provided where quantification is unable to be undertaken. </w:t>
      </w:r>
    </w:p>
    <w:p w14:paraId="150B09EE" w14:textId="7F297580" w:rsidR="008C4E59" w:rsidRDefault="008C4E59" w:rsidP="00CA0A6F">
      <w:pPr>
        <w:pStyle w:val="Heading2"/>
      </w:pPr>
      <w:bookmarkStart w:id="29" w:name="_Toc427737341"/>
      <w:bookmarkStart w:id="30" w:name="_Toc443560328"/>
      <w:bookmarkStart w:id="31" w:name="_Toc443560356"/>
      <w:bookmarkStart w:id="32" w:name="_Toc443560406"/>
      <w:r>
        <w:t xml:space="preserve">Data </w:t>
      </w:r>
      <w:bookmarkEnd w:id="29"/>
      <w:r w:rsidR="00F77109">
        <w:t>Sources</w:t>
      </w:r>
      <w:r w:rsidR="008E28AC">
        <w:rPr>
          <w:rStyle w:val="FootnoteReference"/>
        </w:rPr>
        <w:footnoteReference w:id="2"/>
      </w:r>
      <w:bookmarkEnd w:id="30"/>
      <w:bookmarkEnd w:id="31"/>
      <w:bookmarkEnd w:id="32"/>
    </w:p>
    <w:p w14:paraId="6388AC87" w14:textId="77777777" w:rsidR="006B069F" w:rsidRPr="00003F38" w:rsidRDefault="006B069F" w:rsidP="006B069F">
      <w:r w:rsidRPr="00003F38">
        <w:t xml:space="preserve">The costs of complying with the </w:t>
      </w:r>
      <w:r>
        <w:t xml:space="preserve">tobacco </w:t>
      </w:r>
      <w:r w:rsidRPr="00003F38">
        <w:t>plain packaging regulation were identified by:</w:t>
      </w:r>
    </w:p>
    <w:p w14:paraId="0D4F924F" w14:textId="77777777" w:rsidR="006B069F" w:rsidRPr="000B332F" w:rsidRDefault="006B069F" w:rsidP="006B069F">
      <w:pPr>
        <w:pStyle w:val="Bullet"/>
      </w:pPr>
      <w:r w:rsidRPr="000B332F">
        <w:t>Consultation process including struct</w:t>
      </w:r>
      <w:r>
        <w:t>ured questions regarding costs</w:t>
      </w:r>
      <w:r w:rsidRPr="000B332F">
        <w:t>;</w:t>
      </w:r>
    </w:p>
    <w:p w14:paraId="40AC9D51" w14:textId="77777777" w:rsidR="006B069F" w:rsidRPr="000B332F" w:rsidRDefault="006B069F" w:rsidP="006B069F">
      <w:pPr>
        <w:pStyle w:val="Bullet"/>
      </w:pPr>
      <w:r>
        <w:t>An o</w:t>
      </w:r>
      <w:r w:rsidRPr="000B332F">
        <w:t xml:space="preserve">nline costing </w:t>
      </w:r>
      <w:r>
        <w:t>survey;</w:t>
      </w:r>
    </w:p>
    <w:p w14:paraId="391C043E" w14:textId="77777777" w:rsidR="006B069F" w:rsidRPr="000B332F" w:rsidRDefault="006B069F" w:rsidP="006B069F">
      <w:pPr>
        <w:pStyle w:val="Bullet"/>
      </w:pPr>
      <w:r>
        <w:t xml:space="preserve">Written submissions; </w:t>
      </w:r>
      <w:r w:rsidRPr="000B332F">
        <w:t>and</w:t>
      </w:r>
    </w:p>
    <w:p w14:paraId="02DB93DF" w14:textId="52A1B1C3" w:rsidR="006B069F" w:rsidRPr="000B332F" w:rsidRDefault="006B069F" w:rsidP="006B069F">
      <w:pPr>
        <w:pStyle w:val="Bullet"/>
      </w:pPr>
      <w:r>
        <w:t>P</w:t>
      </w:r>
      <w:r w:rsidRPr="000B332F">
        <w:t>ublished analyses</w:t>
      </w:r>
      <w:r w:rsidR="005A1052">
        <w:t>.</w:t>
      </w:r>
      <w:r w:rsidRPr="000B332F">
        <w:t xml:space="preserve"> </w:t>
      </w:r>
    </w:p>
    <w:p w14:paraId="599E0574" w14:textId="45AE73FC" w:rsidR="0024746D" w:rsidRDefault="0024746D" w:rsidP="00C52C94">
      <w:r>
        <w:t xml:space="preserve">Multiple attempts were made to engage with all stakeholders and elicit their advice about the cost implications related to the introduction of the </w:t>
      </w:r>
      <w:r w:rsidR="00486FDB">
        <w:t>TPP</w:t>
      </w:r>
      <w:r>
        <w:t xml:space="preserve"> measure. Attempts were made via email, telephone and an extensive advertising campaign </w:t>
      </w:r>
      <w:r w:rsidR="00AD00FB">
        <w:t xml:space="preserve">which </w:t>
      </w:r>
      <w:r>
        <w:t xml:space="preserve">included advertisements in newspapers. Multiple methods were made available for stakeholders to submit cost implications related to the tobacco plain packaging measure including via </w:t>
      </w:r>
      <w:r w:rsidR="00F77109">
        <w:t>face-to-face</w:t>
      </w:r>
      <w:r>
        <w:t xml:space="preserve"> </w:t>
      </w:r>
      <w:r>
        <w:lastRenderedPageBreak/>
        <w:t>interviews, phone interviews, facilitating written submissions, and an online structured cost survey</w:t>
      </w:r>
      <w:r w:rsidRPr="006330C7">
        <w:t xml:space="preserve">. </w:t>
      </w:r>
    </w:p>
    <w:p w14:paraId="7CD0A5ED" w14:textId="50A467FB" w:rsidR="00590628" w:rsidRPr="00D907B2" w:rsidRDefault="00590628" w:rsidP="00590628">
      <w:r w:rsidRPr="00D907B2">
        <w:t>Cost data were provided by individual businesses and industry organisations on behalf of their members. Submissions were received from the following members of the tobacco industry: packaging suppliers, manufacturers, importers, wholesalers and retailers. Costing data received in consultations were considered with respect to the business as usual comparator which includes meeting obligations regarding other tobacco control measures (such as tobacco health warnings)</w:t>
      </w:r>
      <w:r>
        <w:t xml:space="preserve">. </w:t>
      </w:r>
      <w:r w:rsidRPr="00D907B2">
        <w:t xml:space="preserve">Where international data </w:t>
      </w:r>
      <w:r>
        <w:t>were</w:t>
      </w:r>
      <w:r w:rsidRPr="00D907B2">
        <w:t xml:space="preserve"> used for cost estimates, </w:t>
      </w:r>
      <w:r>
        <w:t xml:space="preserve">costs were </w:t>
      </w:r>
      <w:r w:rsidRPr="00D907B2">
        <w:t xml:space="preserve">converted to Australian dollars using the average exchange rate for the </w:t>
      </w:r>
      <w:r>
        <w:t xml:space="preserve">respective </w:t>
      </w:r>
      <w:r w:rsidRPr="00D907B2">
        <w:t>year and inflated</w:t>
      </w:r>
      <w:r>
        <w:t>,</w:t>
      </w:r>
      <w:r w:rsidRPr="00D907B2">
        <w:t xml:space="preserve"> where necessary</w:t>
      </w:r>
      <w:r>
        <w:t>,</w:t>
      </w:r>
      <w:r w:rsidRPr="00D907B2">
        <w:t xml:space="preserve"> to 2012 </w:t>
      </w:r>
      <w:r>
        <w:t>values</w:t>
      </w:r>
      <w:r w:rsidRPr="00D907B2">
        <w:t>.</w:t>
      </w:r>
    </w:p>
    <w:p w14:paraId="40509301" w14:textId="2F93A2A1" w:rsidR="00C52C94" w:rsidRPr="00D907B2" w:rsidRDefault="00780BCE" w:rsidP="00C52C94">
      <w:r>
        <w:t xml:space="preserve">Data regarding the effects of the </w:t>
      </w:r>
      <w:r w:rsidR="00BA3F41">
        <w:t xml:space="preserve">TPP </w:t>
      </w:r>
      <w:r w:rsidR="00826732">
        <w:t xml:space="preserve">measure </w:t>
      </w:r>
      <w:r w:rsidR="00BA3F41">
        <w:t>were sourced from</w:t>
      </w:r>
      <w:r w:rsidR="00347918">
        <w:t>:</w:t>
      </w:r>
      <w:r w:rsidR="00BA3F41">
        <w:t xml:space="preserve"> the consultation process, a review of the published peer-reviewed literature and national data sources including the Australian Bureau of Statistics </w:t>
      </w:r>
      <w:r w:rsidR="00F77109">
        <w:t xml:space="preserve">(ABS) </w:t>
      </w:r>
      <w:r w:rsidR="00BA3F41">
        <w:t xml:space="preserve">and </w:t>
      </w:r>
      <w:r w:rsidR="00AD00FB">
        <w:t xml:space="preserve">the </w:t>
      </w:r>
      <w:r w:rsidR="00BA3F41">
        <w:t>Australian Institute of Health and Welfare</w:t>
      </w:r>
      <w:r w:rsidR="00F77109">
        <w:t xml:space="preserve"> (AIHW)</w:t>
      </w:r>
      <w:r w:rsidR="00BA3F41">
        <w:t>.</w:t>
      </w:r>
      <w:r w:rsidR="00B06A92">
        <w:t xml:space="preserve"> </w:t>
      </w:r>
      <w:r w:rsidR="00590628">
        <w:t>Finally</w:t>
      </w:r>
      <w:r w:rsidR="00590628" w:rsidRPr="00D907B2">
        <w:t xml:space="preserve">, </w:t>
      </w:r>
      <w:r w:rsidR="00590628">
        <w:t xml:space="preserve">relevant data were extracted from the literature and published reports with preference given to </w:t>
      </w:r>
      <w:r w:rsidR="00590628" w:rsidRPr="00D907B2">
        <w:t xml:space="preserve">peer-reviewed studies </w:t>
      </w:r>
      <w:r w:rsidR="00590628">
        <w:t>that used Australian data</w:t>
      </w:r>
      <w:r w:rsidR="00590628" w:rsidRPr="00D907B2">
        <w:t>.</w:t>
      </w:r>
    </w:p>
    <w:p w14:paraId="6E2474B0" w14:textId="77777777" w:rsidR="00301A7A" w:rsidRPr="000019AC" w:rsidRDefault="00301A7A" w:rsidP="00301A7A">
      <w:pPr>
        <w:rPr>
          <w:highlight w:val="yellow"/>
        </w:rPr>
      </w:pPr>
    </w:p>
    <w:p w14:paraId="079D704A" w14:textId="77777777" w:rsidR="00BA0CC9" w:rsidRDefault="00BA0CC9" w:rsidP="008C4E59">
      <w:pPr>
        <w:pStyle w:val="Heading1"/>
        <w:sectPr w:rsidR="00BA0CC9" w:rsidSect="00EF7A49">
          <w:headerReference w:type="even" r:id="rId11"/>
          <w:headerReference w:type="default" r:id="rId12"/>
          <w:footerReference w:type="even" r:id="rId13"/>
          <w:footerReference w:type="default" r:id="rId14"/>
          <w:headerReference w:type="first" r:id="rId15"/>
          <w:footerReference w:type="first" r:id="rId16"/>
          <w:pgSz w:w="11907" w:h="16840" w:code="9"/>
          <w:pgMar w:top="1440" w:right="1440" w:bottom="1440" w:left="1440" w:header="720" w:footer="720" w:gutter="0"/>
          <w:cols w:space="720"/>
          <w:titlePg/>
          <w:docGrid w:linePitch="360"/>
        </w:sectPr>
      </w:pPr>
    </w:p>
    <w:p w14:paraId="3DE96D2C" w14:textId="77777777" w:rsidR="008C4E59" w:rsidRPr="008C4E59" w:rsidRDefault="008C4E59" w:rsidP="008C4E59">
      <w:pPr>
        <w:pStyle w:val="Heading1"/>
      </w:pPr>
      <w:bookmarkStart w:id="33" w:name="_Toc427737342"/>
      <w:bookmarkStart w:id="34" w:name="_Toc443560329"/>
      <w:bookmarkStart w:id="35" w:name="_Toc443560357"/>
      <w:bookmarkStart w:id="36" w:name="_Toc443560407"/>
      <w:r>
        <w:lastRenderedPageBreak/>
        <w:t>Results</w:t>
      </w:r>
      <w:bookmarkEnd w:id="33"/>
      <w:bookmarkEnd w:id="34"/>
      <w:bookmarkEnd w:id="35"/>
      <w:bookmarkEnd w:id="36"/>
    </w:p>
    <w:p w14:paraId="3F0E03DB" w14:textId="77777777" w:rsidR="001B62F6" w:rsidRDefault="001B62F6" w:rsidP="00826732">
      <w:pPr>
        <w:pStyle w:val="Heading2"/>
      </w:pPr>
      <w:bookmarkStart w:id="37" w:name="_Toc427737343"/>
      <w:bookmarkStart w:id="38" w:name="_Toc443560330"/>
      <w:bookmarkStart w:id="39" w:name="_Toc443560358"/>
      <w:bookmarkStart w:id="40" w:name="_Toc443560408"/>
      <w:bookmarkStart w:id="41" w:name="_Toc417504680"/>
      <w:r>
        <w:t xml:space="preserve">Cost </w:t>
      </w:r>
      <w:r w:rsidR="00F77109">
        <w:t xml:space="preserve">Data </w:t>
      </w:r>
      <w:bookmarkEnd w:id="37"/>
      <w:r w:rsidR="00F77109">
        <w:t>Collection</w:t>
      </w:r>
      <w:bookmarkEnd w:id="38"/>
      <w:bookmarkEnd w:id="39"/>
      <w:bookmarkEnd w:id="40"/>
    </w:p>
    <w:p w14:paraId="17B6BE5B" w14:textId="77777777" w:rsidR="001B62F6" w:rsidRDefault="001B62F6" w:rsidP="001B62F6">
      <w:r>
        <w:t xml:space="preserve">Multiple attempts were made to engage with all stakeholders and elicit their advice about the cost implications related to the introduction of the </w:t>
      </w:r>
      <w:r w:rsidR="008549AC">
        <w:t>TPP</w:t>
      </w:r>
      <w:r>
        <w:t xml:space="preserve"> measure. Attempts were made via email, telephone and advertisements in </w:t>
      </w:r>
      <w:r w:rsidR="00826732">
        <w:t xml:space="preserve">10 daily </w:t>
      </w:r>
      <w:r>
        <w:t xml:space="preserve">newspapers. Multiple methods were made available for stakeholders to submit cost implications related to the </w:t>
      </w:r>
      <w:r w:rsidR="00F77109">
        <w:t>TPP</w:t>
      </w:r>
      <w:r>
        <w:t xml:space="preserve"> measure including </w:t>
      </w:r>
      <w:r w:rsidR="00AA0283">
        <w:t xml:space="preserve">offers of </w:t>
      </w:r>
      <w:r>
        <w:t>face</w:t>
      </w:r>
      <w:r w:rsidR="00AA0283">
        <w:t>-</w:t>
      </w:r>
      <w:r>
        <w:t>to</w:t>
      </w:r>
      <w:r w:rsidR="00AA0283">
        <w:t>-</w:t>
      </w:r>
      <w:r>
        <w:t>face interviews, phone interviews, facilitating written submissions, and an online structured cost survey</w:t>
      </w:r>
      <w:r w:rsidRPr="006330C7">
        <w:t>. Despite these efforts, a number of stakeholders elected not to submit cost data or elected not to participate in the consultation process at all</w:t>
      </w:r>
      <w:r>
        <w:t xml:space="preserve"> despite offers of </w:t>
      </w:r>
      <w:r w:rsidR="00AA0283">
        <w:t xml:space="preserve">various </w:t>
      </w:r>
      <w:r>
        <w:t>times and locations for interviews and extension</w:t>
      </w:r>
      <w:r w:rsidR="00AA0283">
        <w:t>s</w:t>
      </w:r>
      <w:r>
        <w:t xml:space="preserve"> </w:t>
      </w:r>
      <w:r w:rsidR="00AA0283">
        <w:t>t</w:t>
      </w:r>
      <w:r>
        <w:t>o the timeframe for submitting completed costing surveys</w:t>
      </w:r>
      <w:r w:rsidRPr="006330C7">
        <w:t>.</w:t>
      </w:r>
      <w:r>
        <w:t xml:space="preserve"> </w:t>
      </w:r>
    </w:p>
    <w:p w14:paraId="58B15BB5" w14:textId="77777777" w:rsidR="003016BA" w:rsidRDefault="003016BA" w:rsidP="003016BA">
      <w:r>
        <w:t>Costing surveys were started by 13 (State and Commonwealth) Government agencies; however, only three completed the survey in full. An additional 5 (State and Commonwealth) Government agencies raised costs within the stakeholder consultation process but either did not provide cost estimates (data) or stated that costs were non-significant.</w:t>
      </w:r>
    </w:p>
    <w:p w14:paraId="271826DE" w14:textId="5480694C" w:rsidR="001B62F6" w:rsidRDefault="003016BA" w:rsidP="001B62F6">
      <w:r>
        <w:t>In total</w:t>
      </w:r>
      <w:r w:rsidR="00CA5299">
        <w:t>,</w:t>
      </w:r>
      <w:r>
        <w:t xml:space="preserve"> costing surveys were completed by 49 members of the tobacco ind</w:t>
      </w:r>
      <w:r w:rsidR="00913BE2">
        <w:t>ustry. Additional costing data were</w:t>
      </w:r>
      <w:r>
        <w:t xml:space="preserve"> provided by two industry members during the stakeholder consultation process. </w:t>
      </w:r>
      <w:r w:rsidR="001B62F6">
        <w:t>Only one of the three major tobacco manufacturers provided specific cost estimates</w:t>
      </w:r>
      <w:r w:rsidR="001B62F6" w:rsidRPr="00003F38">
        <w:t xml:space="preserve"> associated with meeting the regulatory changes introduced in December 2012</w:t>
      </w:r>
      <w:r w:rsidR="001B62F6">
        <w:t xml:space="preserve"> for the purpose of this PIR</w:t>
      </w:r>
      <w:r w:rsidR="001B62F6" w:rsidRPr="00003F38">
        <w:t xml:space="preserve">. </w:t>
      </w:r>
      <w:r w:rsidR="001B62F6">
        <w:t>In addition, one business</w:t>
      </w:r>
      <w:r w:rsidR="00AA0283">
        <w:t>,</w:t>
      </w:r>
      <w:r w:rsidR="001B62F6">
        <w:t xml:space="preserve"> </w:t>
      </w:r>
      <w:r w:rsidR="00F13C83">
        <w:t xml:space="preserve">which </w:t>
      </w:r>
      <w:r w:rsidR="001B62F6">
        <w:t xml:space="preserve">is solely an </w:t>
      </w:r>
      <w:r w:rsidR="001B62F6" w:rsidRPr="00003F38">
        <w:t>importer</w:t>
      </w:r>
      <w:r w:rsidR="00AA0283">
        <w:t>,</w:t>
      </w:r>
      <w:r w:rsidR="001B62F6" w:rsidRPr="00003F38">
        <w:t xml:space="preserve"> provide</w:t>
      </w:r>
      <w:r w:rsidR="001B62F6">
        <w:t>d</w:t>
      </w:r>
      <w:r w:rsidR="001B62F6" w:rsidRPr="00003F38">
        <w:t xml:space="preserve"> </w:t>
      </w:r>
      <w:r w:rsidR="001B62F6">
        <w:t xml:space="preserve">limited </w:t>
      </w:r>
      <w:r w:rsidR="001B62F6" w:rsidRPr="00003F38">
        <w:t xml:space="preserve">specific cost estimates. </w:t>
      </w:r>
      <w:r w:rsidR="008549AC">
        <w:t>T</w:t>
      </w:r>
      <w:r w:rsidR="001B62F6" w:rsidRPr="00003F38">
        <w:t>he online cost survey</w:t>
      </w:r>
      <w:r w:rsidR="008549AC">
        <w:t xml:space="preserve"> was completed by </w:t>
      </w:r>
      <w:r w:rsidR="001B62F6" w:rsidRPr="00003F38">
        <w:t xml:space="preserve">48 retailers with additional cost </w:t>
      </w:r>
      <w:r w:rsidR="008549AC">
        <w:t>data submitted</w:t>
      </w:r>
      <w:r w:rsidR="001B62F6" w:rsidRPr="00003F38">
        <w:t xml:space="preserve"> by</w:t>
      </w:r>
      <w:r w:rsidR="001B62F6">
        <w:t xml:space="preserve"> two retail representative bodies</w:t>
      </w:r>
      <w:r w:rsidR="001B62F6" w:rsidRPr="00003F38">
        <w:t xml:space="preserve">. Whilst not providing specific cost estimates, </w:t>
      </w:r>
      <w:r w:rsidR="001B62F6">
        <w:t xml:space="preserve">one tobacco importer/wholesaler/distributor </w:t>
      </w:r>
      <w:r w:rsidR="001B62F6" w:rsidRPr="00003F38">
        <w:t xml:space="preserve">submitted that from their perspective, there were no incremental costs associated with </w:t>
      </w:r>
      <w:r w:rsidR="001B62F6">
        <w:t xml:space="preserve">the TPP </w:t>
      </w:r>
      <w:r w:rsidR="00B90650">
        <w:t>measure</w:t>
      </w:r>
      <w:r w:rsidR="00B90650" w:rsidRPr="00003F38">
        <w:t xml:space="preserve"> </w:t>
      </w:r>
      <w:r w:rsidR="001B62F6">
        <w:t xml:space="preserve">over and </w:t>
      </w:r>
      <w:r w:rsidR="001B62F6" w:rsidRPr="00003F38">
        <w:t>above those incurred in complying with health warnings</w:t>
      </w:r>
      <w:r w:rsidR="001B62F6">
        <w:t xml:space="preserve"> requirements for tobacco products</w:t>
      </w:r>
      <w:r w:rsidR="001B62F6" w:rsidRPr="00003F38">
        <w:t>.</w:t>
      </w:r>
      <w:r w:rsidR="001B62F6">
        <w:t xml:space="preserve"> Although it is difficult to assess how representative this business is of other tobacco importers/wholesalers/distributors, it does provide </w:t>
      </w:r>
      <w:r w:rsidR="00AA0283">
        <w:t xml:space="preserve">some anecdotal </w:t>
      </w:r>
      <w:r w:rsidR="001B62F6">
        <w:t xml:space="preserve">evidence that, costs incurred during the implementation period of the TPP </w:t>
      </w:r>
      <w:r w:rsidR="00B90650">
        <w:t xml:space="preserve">measure </w:t>
      </w:r>
      <w:r w:rsidR="001B62F6">
        <w:t xml:space="preserve">were, to a large extent, costs that would have otherwise been incurred in the operation of a normally efficient business as considered with respect to the RBM and </w:t>
      </w:r>
      <w:r w:rsidR="00FE6001">
        <w:t>analysis of the costs and benefits</w:t>
      </w:r>
      <w:r w:rsidR="001B62F6">
        <w:t xml:space="preserve">. </w:t>
      </w:r>
    </w:p>
    <w:p w14:paraId="2054FD36" w14:textId="683E4F79" w:rsidR="00676527" w:rsidRDefault="001B62F6" w:rsidP="00676527">
      <w:r>
        <w:t xml:space="preserve">In the cost </w:t>
      </w:r>
      <w:r w:rsidR="00F13A73">
        <w:t xml:space="preserve">estimate </w:t>
      </w:r>
      <w:r>
        <w:t xml:space="preserve">provided by the </w:t>
      </w:r>
      <w:r w:rsidR="00F13A73">
        <w:t xml:space="preserve">one </w:t>
      </w:r>
      <w:r>
        <w:t xml:space="preserve">major manufacturer, there was evidence that the estimates provided were </w:t>
      </w:r>
      <w:r w:rsidR="00691EC9">
        <w:t xml:space="preserve">not </w:t>
      </w:r>
      <w:r>
        <w:t xml:space="preserve">specifically attributed to the TPP </w:t>
      </w:r>
      <w:r w:rsidR="00B90650">
        <w:t>measure</w:t>
      </w:r>
      <w:r>
        <w:t xml:space="preserve">. For example, </w:t>
      </w:r>
      <w:r w:rsidRPr="008B0989">
        <w:t xml:space="preserve">the costs of print cylinders, which would have been replaced owing to changes in graphic health warnings, </w:t>
      </w:r>
      <w:r w:rsidR="00F13C83">
        <w:t xml:space="preserve">or as part </w:t>
      </w:r>
      <w:r w:rsidR="00F13A73">
        <w:t xml:space="preserve">of </w:t>
      </w:r>
      <w:r w:rsidR="00F13C83">
        <w:t xml:space="preserve">business as usual, </w:t>
      </w:r>
      <w:r w:rsidRPr="008B0989">
        <w:t>were included</w:t>
      </w:r>
      <w:r w:rsidRPr="009D2FCC">
        <w:t>.</w:t>
      </w:r>
      <w:r>
        <w:t xml:space="preserve"> Moreover, the cost estimates provided were aggregated under ambiguous headings. No cost activities were described in detail and the units of cost were not provided (e.g. number of labour hours).</w:t>
      </w:r>
      <w:r w:rsidR="00802AA2">
        <w:t xml:space="preserve"> </w:t>
      </w:r>
      <w:r w:rsidR="00F13C83">
        <w:t xml:space="preserve">The submission </w:t>
      </w:r>
      <w:r w:rsidR="009D34B8">
        <w:t>was also not verified or audited and was marked as commercial in confidence and so cannot be substantively discussed in a p</w:t>
      </w:r>
      <w:r w:rsidR="00547AEA">
        <w:t>ublic document such as this RBM</w:t>
      </w:r>
      <w:r>
        <w:t>.</w:t>
      </w:r>
      <w:r w:rsidR="008B0989">
        <w:t xml:space="preserve"> </w:t>
      </w:r>
      <w:r w:rsidR="00676527">
        <w:t>It should also be noted that all of the costs identified were one-off, transitional costs and that no ongoing costs to business were identified.</w:t>
      </w:r>
    </w:p>
    <w:p w14:paraId="2E92A00C" w14:textId="77777777" w:rsidR="00FE7A2E" w:rsidRDefault="00FE7A2E" w:rsidP="004247E7"/>
    <w:p w14:paraId="4A12B87C" w14:textId="497FE373" w:rsidR="00FE7A2E" w:rsidRDefault="00FE7A2E" w:rsidP="004247E7">
      <w:pPr>
        <w:sectPr w:rsidR="00FE7A2E" w:rsidSect="00EF7A49">
          <w:footerReference w:type="first" r:id="rId17"/>
          <w:pgSz w:w="11907" w:h="16840" w:code="9"/>
          <w:pgMar w:top="1440" w:right="1440" w:bottom="1440" w:left="1440" w:header="720" w:footer="720" w:gutter="0"/>
          <w:cols w:space="720"/>
          <w:titlePg/>
          <w:docGrid w:linePitch="360"/>
        </w:sectPr>
      </w:pPr>
    </w:p>
    <w:p w14:paraId="4B3C5BDE" w14:textId="08B6CA74" w:rsidR="00DE495D" w:rsidRPr="00673E6B" w:rsidRDefault="001119E6" w:rsidP="00CA0A6F">
      <w:pPr>
        <w:pStyle w:val="Heading2"/>
      </w:pPr>
      <w:bookmarkStart w:id="42" w:name="_Toc427737344"/>
      <w:bookmarkStart w:id="43" w:name="_Toc443560331"/>
      <w:bookmarkStart w:id="44" w:name="_Toc443560359"/>
      <w:bookmarkStart w:id="45" w:name="_Toc443560409"/>
      <w:r w:rsidRPr="00673E6B">
        <w:lastRenderedPageBreak/>
        <w:t xml:space="preserve">Regulatory Burden Measurement </w:t>
      </w:r>
      <w:r w:rsidR="00DE495D" w:rsidRPr="00673E6B">
        <w:t>Results</w:t>
      </w:r>
      <w:bookmarkEnd w:id="41"/>
      <w:bookmarkEnd w:id="42"/>
      <w:bookmarkEnd w:id="43"/>
      <w:bookmarkEnd w:id="44"/>
      <w:bookmarkEnd w:id="45"/>
    </w:p>
    <w:p w14:paraId="659D1FEC" w14:textId="50DC18CC" w:rsidR="00DE495D" w:rsidRDefault="00DE495D" w:rsidP="000B332F">
      <w:r w:rsidRPr="00003F38">
        <w:t xml:space="preserve">A summary of the costs </w:t>
      </w:r>
      <w:r w:rsidR="000D1359">
        <w:t xml:space="preserve">(for the purpose of the </w:t>
      </w:r>
      <w:r w:rsidR="00B90650">
        <w:t>RBM</w:t>
      </w:r>
      <w:r w:rsidR="000D1359">
        <w:t xml:space="preserve">) </w:t>
      </w:r>
      <w:r w:rsidRPr="00003F38">
        <w:t xml:space="preserve">identified </w:t>
      </w:r>
      <w:r w:rsidR="000D1359">
        <w:t>during the consultation</w:t>
      </w:r>
      <w:r w:rsidR="003A17D3">
        <w:t xml:space="preserve"> process</w:t>
      </w:r>
      <w:r w:rsidR="000D1359">
        <w:t xml:space="preserve"> and within published reports </w:t>
      </w:r>
      <w:r w:rsidRPr="00003F38">
        <w:t>are presented in</w:t>
      </w:r>
      <w:r w:rsidR="00847593">
        <w:t xml:space="preserve"> </w:t>
      </w:r>
      <w:r w:rsidR="00847593">
        <w:fldChar w:fldCharType="begin"/>
      </w:r>
      <w:r w:rsidR="00847593">
        <w:instrText xml:space="preserve"> REF _Ref444069738 \h </w:instrText>
      </w:r>
      <w:r w:rsidR="00847593">
        <w:fldChar w:fldCharType="separate"/>
      </w:r>
      <w:r w:rsidR="005403ED" w:rsidRPr="00BD0D79">
        <w:t xml:space="preserve">Table </w:t>
      </w:r>
      <w:r w:rsidR="005403ED">
        <w:rPr>
          <w:noProof/>
        </w:rPr>
        <w:t>1</w:t>
      </w:r>
      <w:r w:rsidR="00847593">
        <w:fldChar w:fldCharType="end"/>
      </w:r>
      <w:r w:rsidRPr="00003F38">
        <w:t>.</w:t>
      </w:r>
    </w:p>
    <w:p w14:paraId="124CAED0" w14:textId="2279C8C3" w:rsidR="00DE495D" w:rsidRPr="00BD0D79" w:rsidRDefault="00B04314" w:rsidP="00BD0D79">
      <w:pPr>
        <w:pStyle w:val="Caption"/>
        <w:jc w:val="left"/>
        <w:rPr>
          <w:b w:val="0"/>
          <w:sz w:val="24"/>
          <w:szCs w:val="24"/>
        </w:rPr>
      </w:pPr>
      <w:bookmarkStart w:id="46" w:name="_Ref444069738"/>
      <w:bookmarkStart w:id="47" w:name="_Ref417043495"/>
      <w:bookmarkStart w:id="48" w:name="_Toc417504699"/>
      <w:r w:rsidRPr="00BD0D79">
        <w:rPr>
          <w:sz w:val="24"/>
          <w:szCs w:val="24"/>
        </w:rPr>
        <w:t xml:space="preserve">Table </w:t>
      </w:r>
      <w:r w:rsidR="009C426B" w:rsidRPr="00BD0D79">
        <w:rPr>
          <w:sz w:val="24"/>
          <w:szCs w:val="24"/>
        </w:rPr>
        <w:fldChar w:fldCharType="begin"/>
      </w:r>
      <w:r w:rsidR="009C426B" w:rsidRPr="00BD0D79">
        <w:rPr>
          <w:sz w:val="24"/>
          <w:szCs w:val="24"/>
        </w:rPr>
        <w:instrText xml:space="preserve"> SEQ Table \* ARABIC </w:instrText>
      </w:r>
      <w:r w:rsidR="009C426B" w:rsidRPr="00BD0D79">
        <w:rPr>
          <w:sz w:val="24"/>
          <w:szCs w:val="24"/>
        </w:rPr>
        <w:fldChar w:fldCharType="separate"/>
      </w:r>
      <w:r w:rsidR="005403ED">
        <w:rPr>
          <w:noProof/>
          <w:sz w:val="24"/>
          <w:szCs w:val="24"/>
        </w:rPr>
        <w:t>1</w:t>
      </w:r>
      <w:r w:rsidR="009C426B" w:rsidRPr="00BD0D79">
        <w:rPr>
          <w:noProof/>
          <w:sz w:val="24"/>
          <w:szCs w:val="24"/>
        </w:rPr>
        <w:fldChar w:fldCharType="end"/>
      </w:r>
      <w:bookmarkEnd w:id="46"/>
      <w:r w:rsidRPr="00BD0D79">
        <w:rPr>
          <w:sz w:val="24"/>
          <w:szCs w:val="24"/>
        </w:rPr>
        <w:t>: Identified cost categories</w:t>
      </w:r>
      <w:r w:rsidR="00547AEA">
        <w:rPr>
          <w:sz w:val="24"/>
          <w:szCs w:val="24"/>
        </w:rPr>
        <w:t xml:space="preserve"> for compliance with the TPP</w:t>
      </w:r>
      <w:r w:rsidRPr="00BD0D79">
        <w:rPr>
          <w:sz w:val="24"/>
          <w:szCs w:val="24"/>
        </w:rPr>
        <w:t xml:space="preserve"> measure</w:t>
      </w:r>
      <w:bookmarkEnd w:id="47"/>
      <w:bookmarkEnd w:id="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able 1 lists the identified categories of potential costs for compliance with the tobacco plain packaging measure.  This table contains 3 columns, each relating to categories of costs identified in relation to Business, Individuals and Community organisations."/>
      </w:tblPr>
      <w:tblGrid>
        <w:gridCol w:w="3414"/>
        <w:gridCol w:w="2184"/>
        <w:gridCol w:w="3645"/>
      </w:tblGrid>
      <w:tr w:rsidR="00DE495D" w:rsidRPr="00003F38" w14:paraId="05672D80" w14:textId="77777777" w:rsidTr="00826A4E">
        <w:tc>
          <w:tcPr>
            <w:tcW w:w="0" w:type="auto"/>
            <w:tcBorders>
              <w:left w:val="nil"/>
              <w:bottom w:val="single" w:sz="4" w:space="0" w:color="auto"/>
              <w:right w:val="nil"/>
            </w:tcBorders>
            <w:shd w:val="clear" w:color="auto" w:fill="DBE5F1" w:themeFill="accent1" w:themeFillTint="33"/>
            <w:vAlign w:val="center"/>
          </w:tcPr>
          <w:p w14:paraId="22DB1258" w14:textId="77777777" w:rsidR="00DE495D" w:rsidRPr="000146DB" w:rsidRDefault="00DE495D" w:rsidP="00A1294D">
            <w:pPr>
              <w:pStyle w:val="tabletext0"/>
              <w:jc w:val="center"/>
              <w:rPr>
                <w:b/>
              </w:rPr>
            </w:pPr>
            <w:r w:rsidRPr="000146DB">
              <w:rPr>
                <w:b/>
                <w:sz w:val="22"/>
              </w:rPr>
              <w:t>Business</w:t>
            </w:r>
          </w:p>
        </w:tc>
        <w:tc>
          <w:tcPr>
            <w:tcW w:w="0" w:type="auto"/>
            <w:tcBorders>
              <w:left w:val="nil"/>
              <w:bottom w:val="single" w:sz="4" w:space="0" w:color="auto"/>
              <w:right w:val="nil"/>
            </w:tcBorders>
            <w:shd w:val="clear" w:color="auto" w:fill="DBE5F1" w:themeFill="accent1" w:themeFillTint="33"/>
            <w:vAlign w:val="center"/>
          </w:tcPr>
          <w:p w14:paraId="495B76F6" w14:textId="77777777" w:rsidR="00DE495D" w:rsidRPr="000146DB" w:rsidRDefault="00DE495D" w:rsidP="00A1294D">
            <w:pPr>
              <w:pStyle w:val="tabletext0"/>
              <w:jc w:val="center"/>
              <w:rPr>
                <w:b/>
              </w:rPr>
            </w:pPr>
            <w:r w:rsidRPr="000146DB">
              <w:rPr>
                <w:b/>
                <w:sz w:val="22"/>
              </w:rPr>
              <w:t>Individuals</w:t>
            </w:r>
          </w:p>
        </w:tc>
        <w:tc>
          <w:tcPr>
            <w:tcW w:w="0" w:type="auto"/>
            <w:tcBorders>
              <w:left w:val="nil"/>
              <w:bottom w:val="single" w:sz="4" w:space="0" w:color="auto"/>
              <w:right w:val="nil"/>
            </w:tcBorders>
            <w:shd w:val="clear" w:color="auto" w:fill="DBE5F1" w:themeFill="accent1" w:themeFillTint="33"/>
            <w:vAlign w:val="center"/>
          </w:tcPr>
          <w:p w14:paraId="54EF8FA9" w14:textId="77777777" w:rsidR="00DE495D" w:rsidRPr="000146DB" w:rsidRDefault="00DE495D" w:rsidP="00A1294D">
            <w:pPr>
              <w:pStyle w:val="tabletext0"/>
              <w:jc w:val="center"/>
              <w:rPr>
                <w:b/>
              </w:rPr>
            </w:pPr>
            <w:r w:rsidRPr="000146DB">
              <w:rPr>
                <w:b/>
                <w:sz w:val="22"/>
              </w:rPr>
              <w:t>Community organisations</w:t>
            </w:r>
          </w:p>
        </w:tc>
      </w:tr>
      <w:tr w:rsidR="00DE495D" w:rsidRPr="00003F38" w14:paraId="6232ABFE" w14:textId="77777777" w:rsidTr="00826A4E">
        <w:tc>
          <w:tcPr>
            <w:tcW w:w="0" w:type="auto"/>
            <w:tcBorders>
              <w:left w:val="nil"/>
              <w:bottom w:val="nil"/>
              <w:right w:val="nil"/>
            </w:tcBorders>
            <w:shd w:val="clear" w:color="auto" w:fill="auto"/>
            <w:vAlign w:val="center"/>
          </w:tcPr>
          <w:p w14:paraId="62493894" w14:textId="77777777" w:rsidR="00DE495D" w:rsidRPr="005E2D88" w:rsidRDefault="007C4A46" w:rsidP="005E2D88">
            <w:pPr>
              <w:pStyle w:val="tabletext0"/>
              <w:numPr>
                <w:ilvl w:val="0"/>
                <w:numId w:val="18"/>
              </w:numPr>
              <w:rPr>
                <w:sz w:val="22"/>
                <w:szCs w:val="22"/>
              </w:rPr>
            </w:pPr>
            <w:r w:rsidRPr="005E2D88">
              <w:rPr>
                <w:sz w:val="22"/>
                <w:szCs w:val="22"/>
              </w:rPr>
              <w:t>Plant and</w:t>
            </w:r>
            <w:r w:rsidR="00DE495D" w:rsidRPr="005E2D88">
              <w:rPr>
                <w:sz w:val="22"/>
                <w:szCs w:val="22"/>
              </w:rPr>
              <w:t xml:space="preserve"> </w:t>
            </w:r>
            <w:r w:rsidR="00D97AB1" w:rsidRPr="005E2D88">
              <w:rPr>
                <w:sz w:val="22"/>
                <w:szCs w:val="22"/>
              </w:rPr>
              <w:t>machinery</w:t>
            </w:r>
          </w:p>
        </w:tc>
        <w:tc>
          <w:tcPr>
            <w:tcW w:w="0" w:type="auto"/>
            <w:tcBorders>
              <w:left w:val="nil"/>
              <w:bottom w:val="nil"/>
              <w:right w:val="nil"/>
            </w:tcBorders>
            <w:shd w:val="clear" w:color="auto" w:fill="auto"/>
            <w:vAlign w:val="center"/>
          </w:tcPr>
          <w:p w14:paraId="2E0C5EA2" w14:textId="77777777" w:rsidR="00DE495D" w:rsidRPr="005E2D88" w:rsidRDefault="00DE495D" w:rsidP="005E2D88">
            <w:pPr>
              <w:pStyle w:val="tabletext0"/>
              <w:rPr>
                <w:sz w:val="22"/>
                <w:szCs w:val="22"/>
              </w:rPr>
            </w:pPr>
            <w:r w:rsidRPr="005E2D88">
              <w:rPr>
                <w:sz w:val="22"/>
                <w:szCs w:val="22"/>
              </w:rPr>
              <w:t>None identified</w:t>
            </w:r>
          </w:p>
        </w:tc>
        <w:tc>
          <w:tcPr>
            <w:tcW w:w="0" w:type="auto"/>
            <w:tcBorders>
              <w:left w:val="nil"/>
              <w:bottom w:val="nil"/>
              <w:right w:val="nil"/>
            </w:tcBorders>
            <w:shd w:val="clear" w:color="auto" w:fill="auto"/>
            <w:vAlign w:val="center"/>
          </w:tcPr>
          <w:p w14:paraId="2B9730AA" w14:textId="77777777" w:rsidR="00DE495D" w:rsidRPr="005E2D88" w:rsidRDefault="00DE495D" w:rsidP="005E2D88">
            <w:pPr>
              <w:pStyle w:val="tabletext0"/>
              <w:rPr>
                <w:sz w:val="22"/>
                <w:szCs w:val="22"/>
              </w:rPr>
            </w:pPr>
            <w:r w:rsidRPr="005E2D88">
              <w:rPr>
                <w:sz w:val="22"/>
                <w:szCs w:val="22"/>
              </w:rPr>
              <w:t>None identified</w:t>
            </w:r>
          </w:p>
        </w:tc>
      </w:tr>
      <w:tr w:rsidR="00DE495D" w:rsidRPr="00003F38" w14:paraId="282F8C60" w14:textId="77777777" w:rsidTr="00826A4E">
        <w:tc>
          <w:tcPr>
            <w:tcW w:w="0" w:type="auto"/>
            <w:tcBorders>
              <w:top w:val="nil"/>
              <w:left w:val="nil"/>
              <w:bottom w:val="nil"/>
              <w:right w:val="nil"/>
            </w:tcBorders>
            <w:shd w:val="clear" w:color="auto" w:fill="auto"/>
            <w:vAlign w:val="center"/>
          </w:tcPr>
          <w:p w14:paraId="4CFD1EFE" w14:textId="724949C0" w:rsidR="00DE495D" w:rsidRPr="005E2D88" w:rsidRDefault="002A4CC9" w:rsidP="005E2D88">
            <w:pPr>
              <w:pStyle w:val="tabletext0"/>
              <w:numPr>
                <w:ilvl w:val="0"/>
                <w:numId w:val="18"/>
              </w:numPr>
              <w:rPr>
                <w:sz w:val="22"/>
                <w:szCs w:val="22"/>
              </w:rPr>
            </w:pPr>
            <w:r w:rsidRPr="005E2D88">
              <w:rPr>
                <w:sz w:val="22"/>
                <w:szCs w:val="22"/>
              </w:rPr>
              <w:t xml:space="preserve">Compliance activities </w:t>
            </w:r>
          </w:p>
        </w:tc>
        <w:tc>
          <w:tcPr>
            <w:tcW w:w="0" w:type="auto"/>
            <w:tcBorders>
              <w:top w:val="nil"/>
              <w:left w:val="nil"/>
              <w:bottom w:val="nil"/>
              <w:right w:val="nil"/>
            </w:tcBorders>
            <w:shd w:val="clear" w:color="auto" w:fill="auto"/>
            <w:vAlign w:val="center"/>
          </w:tcPr>
          <w:p w14:paraId="259AC972" w14:textId="77777777" w:rsidR="00DE495D" w:rsidRPr="005E2D88" w:rsidRDefault="00DE495D" w:rsidP="005E2D88">
            <w:pPr>
              <w:pStyle w:val="tabletext0"/>
              <w:rPr>
                <w:sz w:val="22"/>
                <w:szCs w:val="22"/>
              </w:rPr>
            </w:pPr>
          </w:p>
        </w:tc>
        <w:tc>
          <w:tcPr>
            <w:tcW w:w="0" w:type="auto"/>
            <w:tcBorders>
              <w:top w:val="nil"/>
              <w:left w:val="nil"/>
              <w:bottom w:val="nil"/>
              <w:right w:val="nil"/>
            </w:tcBorders>
            <w:shd w:val="clear" w:color="auto" w:fill="auto"/>
            <w:vAlign w:val="center"/>
          </w:tcPr>
          <w:p w14:paraId="3E2EE5B8" w14:textId="77777777" w:rsidR="00DE495D" w:rsidRPr="005E2D88" w:rsidRDefault="00DE495D" w:rsidP="005E2D88">
            <w:pPr>
              <w:pStyle w:val="tabletext0"/>
              <w:rPr>
                <w:sz w:val="22"/>
                <w:szCs w:val="22"/>
              </w:rPr>
            </w:pPr>
          </w:p>
        </w:tc>
      </w:tr>
      <w:tr w:rsidR="00DE495D" w:rsidRPr="00003F38" w14:paraId="11E31D56" w14:textId="77777777" w:rsidTr="000146DB">
        <w:trPr>
          <w:trHeight w:val="80"/>
        </w:trPr>
        <w:tc>
          <w:tcPr>
            <w:tcW w:w="0" w:type="auto"/>
            <w:tcBorders>
              <w:top w:val="nil"/>
              <w:left w:val="nil"/>
              <w:bottom w:val="nil"/>
              <w:right w:val="nil"/>
            </w:tcBorders>
            <w:shd w:val="clear" w:color="auto" w:fill="auto"/>
            <w:vAlign w:val="center"/>
          </w:tcPr>
          <w:p w14:paraId="4329121F" w14:textId="5B09C5E4" w:rsidR="00DE495D" w:rsidRPr="005E2D88" w:rsidRDefault="002A4CC9" w:rsidP="005E2D88">
            <w:pPr>
              <w:pStyle w:val="tabletext0"/>
              <w:numPr>
                <w:ilvl w:val="0"/>
                <w:numId w:val="18"/>
              </w:numPr>
              <w:rPr>
                <w:sz w:val="22"/>
                <w:szCs w:val="22"/>
              </w:rPr>
            </w:pPr>
            <w:r w:rsidRPr="005E2D88">
              <w:rPr>
                <w:sz w:val="22"/>
                <w:szCs w:val="22"/>
              </w:rPr>
              <w:t>Repackaging</w:t>
            </w:r>
            <w:r w:rsidRPr="005E2D88" w:rsidDel="002A4CC9">
              <w:rPr>
                <w:sz w:val="22"/>
                <w:szCs w:val="22"/>
              </w:rPr>
              <w:t xml:space="preserve"> </w:t>
            </w:r>
          </w:p>
        </w:tc>
        <w:tc>
          <w:tcPr>
            <w:tcW w:w="0" w:type="auto"/>
            <w:tcBorders>
              <w:top w:val="nil"/>
              <w:left w:val="nil"/>
              <w:bottom w:val="nil"/>
              <w:right w:val="nil"/>
            </w:tcBorders>
            <w:shd w:val="clear" w:color="auto" w:fill="auto"/>
            <w:vAlign w:val="center"/>
          </w:tcPr>
          <w:p w14:paraId="19A90189" w14:textId="77777777" w:rsidR="00DE495D" w:rsidRPr="005E2D88" w:rsidRDefault="00DE495D" w:rsidP="005E2D88">
            <w:pPr>
              <w:pStyle w:val="tabletext0"/>
              <w:rPr>
                <w:sz w:val="22"/>
                <w:szCs w:val="22"/>
              </w:rPr>
            </w:pPr>
          </w:p>
        </w:tc>
        <w:tc>
          <w:tcPr>
            <w:tcW w:w="0" w:type="auto"/>
            <w:tcBorders>
              <w:top w:val="nil"/>
              <w:left w:val="nil"/>
              <w:bottom w:val="nil"/>
              <w:right w:val="nil"/>
            </w:tcBorders>
            <w:shd w:val="clear" w:color="auto" w:fill="auto"/>
            <w:vAlign w:val="center"/>
          </w:tcPr>
          <w:p w14:paraId="03ACA92F" w14:textId="77777777" w:rsidR="00DE495D" w:rsidRPr="005E2D88" w:rsidRDefault="00DE495D" w:rsidP="005E2D88">
            <w:pPr>
              <w:pStyle w:val="tabletext0"/>
              <w:rPr>
                <w:sz w:val="22"/>
                <w:szCs w:val="22"/>
              </w:rPr>
            </w:pPr>
          </w:p>
        </w:tc>
      </w:tr>
      <w:tr w:rsidR="00DE495D" w:rsidRPr="00003F38" w14:paraId="680C3C2F" w14:textId="77777777" w:rsidTr="00DE47B4">
        <w:tc>
          <w:tcPr>
            <w:tcW w:w="0" w:type="auto"/>
            <w:tcBorders>
              <w:top w:val="nil"/>
              <w:left w:val="nil"/>
              <w:bottom w:val="nil"/>
              <w:right w:val="nil"/>
            </w:tcBorders>
            <w:shd w:val="clear" w:color="auto" w:fill="auto"/>
            <w:vAlign w:val="center"/>
          </w:tcPr>
          <w:p w14:paraId="50E914A1" w14:textId="23A47F23" w:rsidR="00DE495D" w:rsidRPr="005E2D88" w:rsidRDefault="005E2D88" w:rsidP="005E2D88">
            <w:pPr>
              <w:pStyle w:val="tabletext0"/>
              <w:rPr>
                <w:sz w:val="22"/>
                <w:szCs w:val="22"/>
              </w:rPr>
            </w:pPr>
            <w:r>
              <w:rPr>
                <w:sz w:val="22"/>
                <w:szCs w:val="22"/>
              </w:rPr>
              <w:t>4</w:t>
            </w:r>
            <w:r>
              <w:rPr>
                <w:sz w:val="22"/>
                <w:szCs w:val="22"/>
              </w:rPr>
              <w:tab/>
            </w:r>
            <w:r w:rsidR="002A4CC9" w:rsidRPr="005E2D88">
              <w:rPr>
                <w:sz w:val="22"/>
                <w:szCs w:val="22"/>
              </w:rPr>
              <w:t xml:space="preserve">Education activities </w:t>
            </w:r>
          </w:p>
        </w:tc>
        <w:tc>
          <w:tcPr>
            <w:tcW w:w="0" w:type="auto"/>
            <w:tcBorders>
              <w:top w:val="nil"/>
              <w:left w:val="nil"/>
              <w:bottom w:val="nil"/>
              <w:right w:val="nil"/>
            </w:tcBorders>
            <w:shd w:val="clear" w:color="auto" w:fill="auto"/>
            <w:vAlign w:val="center"/>
          </w:tcPr>
          <w:p w14:paraId="18C93AA9" w14:textId="77777777" w:rsidR="00DE495D" w:rsidRPr="005E2D88" w:rsidRDefault="00DE495D" w:rsidP="005E2D88">
            <w:pPr>
              <w:pStyle w:val="tabletext0"/>
              <w:rPr>
                <w:sz w:val="22"/>
                <w:szCs w:val="22"/>
              </w:rPr>
            </w:pPr>
          </w:p>
        </w:tc>
        <w:tc>
          <w:tcPr>
            <w:tcW w:w="0" w:type="auto"/>
            <w:tcBorders>
              <w:top w:val="nil"/>
              <w:left w:val="nil"/>
              <w:bottom w:val="nil"/>
              <w:right w:val="nil"/>
            </w:tcBorders>
            <w:shd w:val="clear" w:color="auto" w:fill="auto"/>
            <w:vAlign w:val="center"/>
          </w:tcPr>
          <w:p w14:paraId="7ADC1485" w14:textId="77777777" w:rsidR="00DE495D" w:rsidRPr="005E2D88" w:rsidRDefault="00DE495D" w:rsidP="005E2D88">
            <w:pPr>
              <w:pStyle w:val="tabletext0"/>
              <w:rPr>
                <w:sz w:val="22"/>
                <w:szCs w:val="22"/>
              </w:rPr>
            </w:pPr>
          </w:p>
        </w:tc>
      </w:tr>
      <w:tr w:rsidR="00DE47B4" w:rsidRPr="00003F38" w14:paraId="7D85CD02" w14:textId="77777777" w:rsidTr="00826A4E">
        <w:tc>
          <w:tcPr>
            <w:tcW w:w="0" w:type="auto"/>
            <w:tcBorders>
              <w:top w:val="nil"/>
              <w:left w:val="nil"/>
              <w:bottom w:val="single" w:sz="4" w:space="0" w:color="auto"/>
              <w:right w:val="nil"/>
            </w:tcBorders>
            <w:shd w:val="clear" w:color="auto" w:fill="auto"/>
            <w:vAlign w:val="center"/>
          </w:tcPr>
          <w:p w14:paraId="7C6580F9" w14:textId="77777777" w:rsidR="00DE47B4" w:rsidRDefault="00DE47B4" w:rsidP="005E2D88">
            <w:pPr>
              <w:pStyle w:val="tabletext0"/>
              <w:rPr>
                <w:sz w:val="22"/>
                <w:szCs w:val="22"/>
              </w:rPr>
            </w:pPr>
          </w:p>
        </w:tc>
        <w:tc>
          <w:tcPr>
            <w:tcW w:w="0" w:type="auto"/>
            <w:tcBorders>
              <w:top w:val="nil"/>
              <w:left w:val="nil"/>
              <w:bottom w:val="single" w:sz="4" w:space="0" w:color="auto"/>
              <w:right w:val="nil"/>
            </w:tcBorders>
            <w:shd w:val="clear" w:color="auto" w:fill="auto"/>
            <w:vAlign w:val="center"/>
          </w:tcPr>
          <w:p w14:paraId="5D11C2A5" w14:textId="77777777" w:rsidR="00DE47B4" w:rsidRPr="005E2D88" w:rsidRDefault="00DE47B4" w:rsidP="005E2D88">
            <w:pPr>
              <w:pStyle w:val="tabletext0"/>
              <w:rPr>
                <w:sz w:val="22"/>
                <w:szCs w:val="22"/>
              </w:rPr>
            </w:pPr>
          </w:p>
        </w:tc>
        <w:tc>
          <w:tcPr>
            <w:tcW w:w="0" w:type="auto"/>
            <w:tcBorders>
              <w:top w:val="nil"/>
              <w:left w:val="nil"/>
              <w:bottom w:val="single" w:sz="4" w:space="0" w:color="auto"/>
              <w:right w:val="nil"/>
            </w:tcBorders>
            <w:shd w:val="clear" w:color="auto" w:fill="auto"/>
            <w:vAlign w:val="center"/>
          </w:tcPr>
          <w:p w14:paraId="0D652D41" w14:textId="77777777" w:rsidR="00DE47B4" w:rsidRPr="005E2D88" w:rsidRDefault="00DE47B4" w:rsidP="005E2D88">
            <w:pPr>
              <w:pStyle w:val="tabletext0"/>
              <w:rPr>
                <w:sz w:val="22"/>
                <w:szCs w:val="22"/>
              </w:rPr>
            </w:pPr>
          </w:p>
        </w:tc>
      </w:tr>
    </w:tbl>
    <w:p w14:paraId="386DB94E" w14:textId="1D4D22B5" w:rsidR="00DE495D" w:rsidRDefault="009C3E81" w:rsidP="000B332F">
      <w:r>
        <w:t xml:space="preserve">The calculation of the RBM was limited by the lack of robust, verifiable data, particularly from industry. As noted above, only one manufacturer provided any indication of potential costs incurred. This submission was taken at face value with only minor adjustment to </w:t>
      </w:r>
      <w:r w:rsidRPr="00EC6AB7">
        <w:t>accord</w:t>
      </w:r>
      <w:r>
        <w:t xml:space="preserve"> with OBPR guid</w:t>
      </w:r>
      <w:r w:rsidR="00D2244E">
        <w:t>ance on the calculation of RBM.</w:t>
      </w:r>
    </w:p>
    <w:p w14:paraId="29AD8F0E" w14:textId="2E51515C" w:rsidR="009C3E81" w:rsidRDefault="009C3E81" w:rsidP="000B332F">
      <w:r>
        <w:t xml:space="preserve">It is arguable that the incremental cost of an additional regulatory change like plain packaging in the context of multiple regulatory changes and business as usual changes to manufacturing is likely to be non-substantive. For example, in the impact assessment of standardised tobacco packaging conducted in the United Kingdom, the authors noted that the incremental cost of standardising packaging over and above the cost of meeting the European Tobacco Product Directive (which included </w:t>
      </w:r>
      <w:r w:rsidR="002B341E">
        <w:t>enlarged</w:t>
      </w:r>
      <w:r>
        <w:t xml:space="preserve"> graphic health warnings) could be close to zero (United Kingdom Department of Health, 2015). This perspective is reinforced by the cost submission lodged </w:t>
      </w:r>
      <w:r w:rsidR="002B341E">
        <w:t xml:space="preserve">in </w:t>
      </w:r>
      <w:r>
        <w:t>this PIR process by</w:t>
      </w:r>
      <w:r w:rsidR="00F72C7E">
        <w:t xml:space="preserve"> a</w:t>
      </w:r>
      <w:r>
        <w:t xml:space="preserve"> tobacco importer/wholesaler/distributer who suggested there were no incremental cost</w:t>
      </w:r>
      <w:r w:rsidR="00F72C7E">
        <w:t>s</w:t>
      </w:r>
      <w:r>
        <w:t xml:space="preserve"> </w:t>
      </w:r>
      <w:r w:rsidR="00D667C3">
        <w:t xml:space="preserve">associated with </w:t>
      </w:r>
      <w:r w:rsidR="00F72C7E">
        <w:t xml:space="preserve">the </w:t>
      </w:r>
      <w:r w:rsidR="00D667C3">
        <w:t>TPP measure over and above complying wi</w:t>
      </w:r>
      <w:r w:rsidR="00D2244E">
        <w:t>th health warning requirements.</w:t>
      </w:r>
    </w:p>
    <w:p w14:paraId="666FF0BB" w14:textId="6F177385" w:rsidR="00166FA0" w:rsidRDefault="00D667C3" w:rsidP="000B332F">
      <w:r>
        <w:t xml:space="preserve">Further, estimates of </w:t>
      </w:r>
      <w:r w:rsidR="00510F09">
        <w:t xml:space="preserve">the cost of </w:t>
      </w:r>
      <w:r>
        <w:t>previous regulatory changes in tobacco control measure</w:t>
      </w:r>
      <w:r w:rsidR="00510F09">
        <w:t>s</w:t>
      </w:r>
      <w:r>
        <w:t xml:space="preserve"> such as the implementation of graphic health warning</w:t>
      </w:r>
      <w:r w:rsidR="00510F09">
        <w:t>s</w:t>
      </w:r>
      <w:r>
        <w:t xml:space="preserve"> was substantially less than the cost</w:t>
      </w:r>
      <w:r w:rsidR="00510F09">
        <w:t>s</w:t>
      </w:r>
      <w:r>
        <w:t xml:space="preserve"> submitted by the sole manufacturer for implementing plain packaging. It is not clear why the cost</w:t>
      </w:r>
      <w:r w:rsidR="00510F09">
        <w:t>s</w:t>
      </w:r>
      <w:r>
        <w:t xml:space="preserve"> associated with plain packaging would differ substantially from the</w:t>
      </w:r>
      <w:r w:rsidR="00510F09">
        <w:t>se</w:t>
      </w:r>
      <w:r>
        <w:t xml:space="preserve"> similar changes in the past (indeed as noted above</w:t>
      </w:r>
      <w:r w:rsidR="007D2FF3">
        <w:t>,</w:t>
      </w:r>
      <w:r>
        <w:t xml:space="preserve"> there is some evidence that any cost</w:t>
      </w:r>
      <w:r w:rsidR="007D2FF3">
        <w:t>s</w:t>
      </w:r>
      <w:r>
        <w:t xml:space="preserve"> associated with implementing plain packaging alone should be similar to that associated with implementing enlarged graphic health warnings at the same time). Without evidence of cost</w:t>
      </w:r>
      <w:r w:rsidR="00C94893">
        <w:t>s</w:t>
      </w:r>
      <w:r>
        <w:t xml:space="preserve"> incurred for the remainder of the industry, it is reasonable to discount the sole cost</w:t>
      </w:r>
      <w:r w:rsidR="00C94893">
        <w:t xml:space="preserve"> submission received</w:t>
      </w:r>
      <w:r>
        <w:t xml:space="preserve"> prior to extrapolating it to other manufacturers to account for any distinction</w:t>
      </w:r>
      <w:r w:rsidR="00166FA0">
        <w:t>s</w:t>
      </w:r>
      <w:r>
        <w:t xml:space="preserve"> between manufacturers</w:t>
      </w:r>
      <w:r w:rsidR="00C94893">
        <w:t>.</w:t>
      </w:r>
    </w:p>
    <w:p w14:paraId="75CD1FEB" w14:textId="6BAD36AD" w:rsidR="009C3E81" w:rsidRDefault="00166FA0" w:rsidP="000B332F">
      <w:r>
        <w:t>Finally, as plain packaging was implemented at the same time as enlarged graphic health warnings, it also must be recognised that it is extremely difficult to disentangle the true cost associated solely with plain packaging f</w:t>
      </w:r>
      <w:r w:rsidR="00FF38D5">
        <w:t>rom</w:t>
      </w:r>
      <w:r>
        <w:t xml:space="preserve"> those incurred </w:t>
      </w:r>
      <w:r w:rsidR="00FF38D5">
        <w:t xml:space="preserve">to implement the new graphic health warning requirements. Each measure involves changes to tobacco packaging and activities ostensibly </w:t>
      </w:r>
      <w:r w:rsidR="00746051">
        <w:t xml:space="preserve">attributed </w:t>
      </w:r>
      <w:r w:rsidR="00FF38D5">
        <w:t xml:space="preserve">to plain packaging </w:t>
      </w:r>
      <w:r w:rsidR="00DF708B">
        <w:t xml:space="preserve">would </w:t>
      </w:r>
      <w:r w:rsidR="00FF38D5">
        <w:t xml:space="preserve">also </w:t>
      </w:r>
      <w:r w:rsidR="00DF708B">
        <w:t xml:space="preserve">be </w:t>
      </w:r>
      <w:r w:rsidR="00FF38D5">
        <w:t xml:space="preserve">required to </w:t>
      </w:r>
      <w:r w:rsidR="00DF708B">
        <w:t xml:space="preserve">implement the </w:t>
      </w:r>
      <w:r w:rsidR="00FF38D5">
        <w:t xml:space="preserve">enlarged graphic health warnings. The final RBM figure must be read in light </w:t>
      </w:r>
      <w:r w:rsidR="00DF708B">
        <w:t xml:space="preserve">of </w:t>
      </w:r>
      <w:r w:rsidR="00FF38D5">
        <w:t xml:space="preserve">this inability to disaggregate these activities and </w:t>
      </w:r>
      <w:r w:rsidR="00D2244E">
        <w:t>the costs associated with them.</w:t>
      </w:r>
    </w:p>
    <w:p w14:paraId="32CDF29C" w14:textId="005F3542" w:rsidR="00FF38D5" w:rsidRDefault="00FF38D5" w:rsidP="000B332F">
      <w:r>
        <w:t>In light of the above and</w:t>
      </w:r>
      <w:r w:rsidR="009C092F">
        <w:t xml:space="preserve"> in</w:t>
      </w:r>
      <w:r>
        <w:t xml:space="preserve"> the absence of sufficient information to accurately estimate manufacturing cost</w:t>
      </w:r>
      <w:r w:rsidR="009C092F">
        <w:t>s</w:t>
      </w:r>
      <w:r>
        <w:t>, the sole cost submission was taken for the purposes of this RBM at face value (with minor adjustments) and a</w:t>
      </w:r>
      <w:r w:rsidR="00802AA2">
        <w:t xml:space="preserve"> </w:t>
      </w:r>
      <w:r>
        <w:t xml:space="preserve">proportion was applied </w:t>
      </w:r>
      <w:r w:rsidR="004C0631">
        <w:t xml:space="preserve">to </w:t>
      </w:r>
      <w:r>
        <w:t>those costs in order to obtain a figure for other manufacturers. The methodology employed is conservative as it provide</w:t>
      </w:r>
      <w:r w:rsidR="00317F99">
        <w:t>s</w:t>
      </w:r>
      <w:r>
        <w:t xml:space="preserve"> </w:t>
      </w:r>
      <w:r>
        <w:lastRenderedPageBreak/>
        <w:t>possible costs for all major manufacturer</w:t>
      </w:r>
      <w:r w:rsidR="00317F99">
        <w:t xml:space="preserve">s notwithstanding the potential that the actual incremental cost </w:t>
      </w:r>
      <w:r w:rsidR="00D87966">
        <w:t xml:space="preserve">may be </w:t>
      </w:r>
      <w:r w:rsidR="00D2244E">
        <w:t>zero.</w:t>
      </w:r>
    </w:p>
    <w:p w14:paraId="1B4239C8" w14:textId="459282B6" w:rsidR="009C38BD" w:rsidRDefault="00955662" w:rsidP="000B332F">
      <w:r>
        <w:t>L</w:t>
      </w:r>
      <w:r w:rsidR="00873E35">
        <w:t xml:space="preserve">egal costs </w:t>
      </w:r>
      <w:r w:rsidR="00386A04">
        <w:t xml:space="preserve">and costs of lobbying activities </w:t>
      </w:r>
      <w:r w:rsidR="00873E35">
        <w:t xml:space="preserve">associated with challenging the </w:t>
      </w:r>
      <w:r w:rsidR="00386A04">
        <w:t xml:space="preserve">tobacco plain packaging regulations </w:t>
      </w:r>
      <w:r w:rsidR="00CA715A">
        <w:t xml:space="preserve">were </w:t>
      </w:r>
      <w:r w:rsidR="007D0C18">
        <w:t xml:space="preserve">also </w:t>
      </w:r>
      <w:r w:rsidR="004247E7">
        <w:t xml:space="preserve">not </w:t>
      </w:r>
      <w:r w:rsidR="007F3E40">
        <w:t xml:space="preserve">submitted or </w:t>
      </w:r>
      <w:r w:rsidR="00386A04">
        <w:t>included</w:t>
      </w:r>
      <w:r w:rsidR="007F3E40">
        <w:t xml:space="preserve"> in the RBM</w:t>
      </w:r>
      <w:r w:rsidR="00386A04">
        <w:t>.</w:t>
      </w:r>
      <w:r w:rsidR="000D1359">
        <w:t xml:space="preserve"> </w:t>
      </w:r>
      <w:r>
        <w:t>These</w:t>
      </w:r>
      <w:r w:rsidR="009A540F">
        <w:t xml:space="preserve"> </w:t>
      </w:r>
      <w:r w:rsidR="00541296">
        <w:t xml:space="preserve">costs </w:t>
      </w:r>
      <w:r w:rsidR="000D1359">
        <w:t xml:space="preserve">were incurred voluntarily and </w:t>
      </w:r>
      <w:r w:rsidR="00541296">
        <w:t xml:space="preserve">are </w:t>
      </w:r>
      <w:r w:rsidR="009A540F">
        <w:t xml:space="preserve">routinely excluded from regulatory burden and </w:t>
      </w:r>
      <w:r w:rsidR="00B90650">
        <w:t>Cost</w:t>
      </w:r>
      <w:r w:rsidR="009A540F">
        <w:t>-</w:t>
      </w:r>
      <w:r w:rsidR="00B90650">
        <w:t>Benefit Analyses</w:t>
      </w:r>
      <w:r w:rsidR="009A540F">
        <w:t xml:space="preserve">. </w:t>
      </w:r>
    </w:p>
    <w:p w14:paraId="56AF6DF2" w14:textId="6E1A33C1" w:rsidR="0063415D" w:rsidRDefault="00D702DF" w:rsidP="000B332F">
      <w:r>
        <w:t xml:space="preserve">The following section discusses the </w:t>
      </w:r>
      <w:r w:rsidR="00D97AB1">
        <w:t>estimates</w:t>
      </w:r>
      <w:r w:rsidR="009C38BD">
        <w:t xml:space="preserve"> included in this analysis</w:t>
      </w:r>
      <w:r>
        <w:t xml:space="preserve"> under each of the identified compliance cost categories in </w:t>
      </w:r>
      <w:r w:rsidR="00847593">
        <w:fldChar w:fldCharType="begin"/>
      </w:r>
      <w:r w:rsidR="00847593">
        <w:instrText xml:space="preserve"> REF _Ref444069738 \h </w:instrText>
      </w:r>
      <w:r w:rsidR="00847593">
        <w:fldChar w:fldCharType="separate"/>
      </w:r>
      <w:r w:rsidR="005403ED" w:rsidRPr="00BD0D79">
        <w:t xml:space="preserve">Table </w:t>
      </w:r>
      <w:r w:rsidR="005403ED">
        <w:rPr>
          <w:noProof/>
        </w:rPr>
        <w:t>1</w:t>
      </w:r>
      <w:r w:rsidR="00847593">
        <w:fldChar w:fldCharType="end"/>
      </w:r>
      <w:r w:rsidR="001D4733">
        <w:t>.</w:t>
      </w:r>
    </w:p>
    <w:p w14:paraId="7BA90FEA" w14:textId="3C0CA1DC" w:rsidR="00314C95" w:rsidRPr="00911267" w:rsidRDefault="00911267" w:rsidP="00687655">
      <w:pPr>
        <w:pStyle w:val="Heading3"/>
        <w:spacing w:line="240" w:lineRule="auto"/>
      </w:pPr>
      <w:bookmarkStart w:id="49" w:name="_Toc427737345"/>
      <w:bookmarkStart w:id="50" w:name="_Toc443560332"/>
      <w:bookmarkStart w:id="51" w:name="_Toc443560360"/>
      <w:bookmarkStart w:id="52" w:name="_Toc443560410"/>
      <w:r>
        <w:t>Plant and Machinery C</w:t>
      </w:r>
      <w:r w:rsidR="00314C95" w:rsidRPr="00911267">
        <w:t>osts</w:t>
      </w:r>
      <w:bookmarkEnd w:id="49"/>
      <w:bookmarkEnd w:id="50"/>
      <w:bookmarkEnd w:id="51"/>
      <w:bookmarkEnd w:id="52"/>
    </w:p>
    <w:p w14:paraId="624CEA82" w14:textId="70661AC7" w:rsidR="00314C95" w:rsidRDefault="0011643B" w:rsidP="00314C95">
      <w:r>
        <w:t xml:space="preserve">The sole cost submission received </w:t>
      </w:r>
      <w:r w:rsidR="003B3C99">
        <w:t xml:space="preserve">contained estimates of </w:t>
      </w:r>
      <w:r>
        <w:t>cost</w:t>
      </w:r>
      <w:r w:rsidR="001B77B8">
        <w:t>s</w:t>
      </w:r>
      <w:r>
        <w:t xml:space="preserve"> with respect to loss on sale of machinery, (excluded from the RBM calculation as per OBPR guidance), print cylinders and engraving as well as costs incurred owing to the need for reconfiguration of, or changes in, operational processes within factories. As noted above, for the firm</w:t>
      </w:r>
      <w:r w:rsidR="009E267D">
        <w:t>s</w:t>
      </w:r>
      <w:r>
        <w:t xml:space="preserve"> that did not provide cost estimate</w:t>
      </w:r>
      <w:r w:rsidR="009E267D">
        <w:t>s</w:t>
      </w:r>
      <w:r>
        <w:t xml:space="preserve">, this submission was extrapolated to account for any costs incurred across the industry. The reliance on </w:t>
      </w:r>
      <w:r w:rsidR="00196115">
        <w:t xml:space="preserve">these </w:t>
      </w:r>
      <w:r>
        <w:t>cost estimate</w:t>
      </w:r>
      <w:r w:rsidR="00196115">
        <w:t>s</w:t>
      </w:r>
      <w:r>
        <w:t xml:space="preserve"> creates significant uncertainty. However, taking a conservative approach, a non-zero cost was </w:t>
      </w:r>
      <w:r w:rsidR="00196115">
        <w:t xml:space="preserve">the </w:t>
      </w:r>
      <w:r>
        <w:t xml:space="preserve">preferred approach relative to assuming a zero cost. </w:t>
      </w:r>
      <w:r w:rsidR="00314C95">
        <w:t xml:space="preserve">As outlined above, there exists substantive uncertainty in derivation of the cost of plant and machinery attributable to the TPP measure. It is considered that the above approach </w:t>
      </w:r>
      <w:r w:rsidR="00D7607F">
        <w:t xml:space="preserve">is </w:t>
      </w:r>
      <w:r w:rsidR="00314C95">
        <w:t xml:space="preserve">conservative and </w:t>
      </w:r>
      <w:r w:rsidR="00F05FFA">
        <w:t xml:space="preserve">is likely to </w:t>
      </w:r>
      <w:r w:rsidR="00314C95">
        <w:t xml:space="preserve">overestimate the ‘true’ attributable cost to the TPP Act. This is due to the fact that the incremental cost of meeting the requirements of tobacco plain packaging (where changes were contemporaneously required in order to meet changes in tobacco health warnings) may be zero. </w:t>
      </w:r>
    </w:p>
    <w:p w14:paraId="3BCD5CB0" w14:textId="35FEF690" w:rsidR="00314C95" w:rsidRDefault="00314C95" w:rsidP="00314C95">
      <w:r>
        <w:t xml:space="preserve">Total plant and machinery costs </w:t>
      </w:r>
      <w:r w:rsidR="00F05FFA">
        <w:t xml:space="preserve">are </w:t>
      </w:r>
      <w:r>
        <w:t>estimated as the sum across industry members and included as a start-up cost under the heading of ‘manufacturing and importers-purchasing’ in the regulatory burden measurement. The total cost is estimated as $</w:t>
      </w:r>
      <w:r w:rsidR="0021799A">
        <w:t>1</w:t>
      </w:r>
      <w:r>
        <w:t>1.</w:t>
      </w:r>
      <w:r w:rsidR="0021799A">
        <w:t xml:space="preserve">42 </w:t>
      </w:r>
      <w:r>
        <w:t>million.</w:t>
      </w:r>
      <w:r w:rsidR="000721E6">
        <w:rPr>
          <w:rStyle w:val="FootnoteReference"/>
        </w:rPr>
        <w:footnoteReference w:id="3"/>
      </w:r>
      <w:r>
        <w:t xml:space="preserve"> </w:t>
      </w:r>
      <w:r w:rsidR="00D8053E">
        <w:t>T</w:t>
      </w:r>
      <w:r>
        <w:t xml:space="preserve">he </w:t>
      </w:r>
      <w:r w:rsidR="00D8053E">
        <w:t xml:space="preserve">underlying </w:t>
      </w:r>
      <w:r>
        <w:t xml:space="preserve">calculation has not been included due to the commercial in confidence data provided and at the request of the tobacco </w:t>
      </w:r>
      <w:r w:rsidR="00F05FFA">
        <w:t>company which</w:t>
      </w:r>
      <w:r>
        <w:t xml:space="preserve"> made a submission.</w:t>
      </w:r>
    </w:p>
    <w:p w14:paraId="2F348793" w14:textId="77777777" w:rsidR="005F4587" w:rsidRPr="00911267" w:rsidRDefault="005F4587" w:rsidP="00687655">
      <w:pPr>
        <w:pStyle w:val="Heading3"/>
        <w:spacing w:line="240" w:lineRule="auto"/>
      </w:pPr>
      <w:bookmarkStart w:id="53" w:name="_Toc427737346"/>
      <w:bookmarkStart w:id="54" w:name="_Toc443560333"/>
      <w:bookmarkStart w:id="55" w:name="_Toc443560361"/>
      <w:bookmarkStart w:id="56" w:name="_Toc443560411"/>
      <w:r w:rsidRPr="00911267">
        <w:t xml:space="preserve">Packaging </w:t>
      </w:r>
      <w:bookmarkEnd w:id="53"/>
      <w:r w:rsidR="00B90650" w:rsidRPr="00911267">
        <w:t>Compliance</w:t>
      </w:r>
      <w:bookmarkEnd w:id="54"/>
      <w:bookmarkEnd w:id="55"/>
      <w:bookmarkEnd w:id="56"/>
      <w:r w:rsidR="00B90650" w:rsidRPr="00911267">
        <w:t xml:space="preserve"> </w:t>
      </w:r>
    </w:p>
    <w:p w14:paraId="0D41DBD6" w14:textId="65A74717" w:rsidR="0054058E" w:rsidRDefault="00923A84" w:rsidP="0054058E">
      <w:r>
        <w:t xml:space="preserve">Packaging compliance relates </w:t>
      </w:r>
      <w:r w:rsidR="005C0E56">
        <w:t xml:space="preserve">to other </w:t>
      </w:r>
      <w:r w:rsidR="005607BE">
        <w:t xml:space="preserve">potential </w:t>
      </w:r>
      <w:r w:rsidR="005C0E56">
        <w:t xml:space="preserve">transitional </w:t>
      </w:r>
      <w:r w:rsidR="004876C0">
        <w:t>costs not arising from plant and machinery changes</w:t>
      </w:r>
      <w:r>
        <w:t xml:space="preserve">. </w:t>
      </w:r>
      <w:r w:rsidR="0054058E">
        <w:t xml:space="preserve">Similar to the plant and machinery costs, only one </w:t>
      </w:r>
      <w:r w:rsidR="007D0C18">
        <w:t xml:space="preserve">of </w:t>
      </w:r>
      <w:r w:rsidR="0054058E">
        <w:t xml:space="preserve">the </w:t>
      </w:r>
      <w:r w:rsidR="00AF0B7A">
        <w:t xml:space="preserve">three </w:t>
      </w:r>
      <w:r w:rsidR="0054058E">
        <w:t xml:space="preserve">major manufacturers </w:t>
      </w:r>
      <w:r w:rsidR="00AF0B7A">
        <w:t xml:space="preserve">operating in Australia </w:t>
      </w:r>
      <w:r w:rsidR="0054058E">
        <w:t xml:space="preserve">provided an estimate of packaging compliance costs during the consultation process. The estimate was not detailed with respect to </w:t>
      </w:r>
      <w:r w:rsidR="00D8053E">
        <w:t xml:space="preserve">the </w:t>
      </w:r>
      <w:r w:rsidR="0054058E">
        <w:t xml:space="preserve">activities </w:t>
      </w:r>
      <w:r w:rsidR="005607BE">
        <w:t xml:space="preserve">that were undertaken </w:t>
      </w:r>
      <w:r w:rsidR="0054058E">
        <w:t xml:space="preserve">in relation to the TPP </w:t>
      </w:r>
      <w:r w:rsidR="00B90650">
        <w:t xml:space="preserve">measure </w:t>
      </w:r>
      <w:r w:rsidR="0054058E">
        <w:t>(and would not have otherwise been incurred).</w:t>
      </w:r>
      <w:r w:rsidR="006A70D4">
        <w:t xml:space="preserve"> </w:t>
      </w:r>
      <w:r w:rsidR="003F7CEF">
        <w:t xml:space="preserve">Once again, as noted above, </w:t>
      </w:r>
      <w:r w:rsidR="00D8053E">
        <w:t xml:space="preserve">the </w:t>
      </w:r>
      <w:r w:rsidR="003F7CEF">
        <w:t>estimates provided w</w:t>
      </w:r>
      <w:r w:rsidR="00A77696">
        <w:t>ere</w:t>
      </w:r>
      <w:r w:rsidR="003F7CEF">
        <w:t xml:space="preserve"> taken at face value for the sole manufacturer and </w:t>
      </w:r>
      <w:r w:rsidR="00D8053E">
        <w:t xml:space="preserve">then </w:t>
      </w:r>
      <w:r w:rsidR="00FA5C4D">
        <w:t>multipl</w:t>
      </w:r>
      <w:r w:rsidR="00A77696">
        <w:t>ied</w:t>
      </w:r>
      <w:r w:rsidR="00FA5C4D">
        <w:t xml:space="preserve"> </w:t>
      </w:r>
      <w:r w:rsidR="003F7CEF">
        <w:t xml:space="preserve">by a proportion to account for potential costs for the rest of the </w:t>
      </w:r>
      <w:r w:rsidR="00871866">
        <w:t>manufacturers</w:t>
      </w:r>
      <w:r w:rsidR="003F7CEF">
        <w:t xml:space="preserve">, if indeed any were incurred. </w:t>
      </w:r>
      <w:r w:rsidR="0054058E">
        <w:t xml:space="preserve"> Whilst this increases the uncertainty of the cost estimates it ensures a conservative cost estimate irrespective of the lack of evidence provided during the consultation process.</w:t>
      </w:r>
    </w:p>
    <w:p w14:paraId="329B5485" w14:textId="25693554" w:rsidR="00AF0B7A" w:rsidRDefault="00394C50" w:rsidP="000B332F">
      <w:r>
        <w:t xml:space="preserve">During the consultation process, </w:t>
      </w:r>
      <w:r w:rsidR="009B5228">
        <w:t>no ongoing costs were provided</w:t>
      </w:r>
      <w:r w:rsidR="009B5228" w:rsidRPr="00C11E3B">
        <w:t>.</w:t>
      </w:r>
      <w:r w:rsidR="0054058E">
        <w:t xml:space="preserve"> I</w:t>
      </w:r>
      <w:r w:rsidR="009B5228">
        <w:t>t is expected that</w:t>
      </w:r>
      <w:r w:rsidR="00A42C4E" w:rsidRPr="002A7652">
        <w:t xml:space="preserve"> </w:t>
      </w:r>
      <w:r w:rsidR="00357F87">
        <w:t xml:space="preserve">ongoing </w:t>
      </w:r>
      <w:r w:rsidR="008E2886">
        <w:t xml:space="preserve">quality assurance procedures </w:t>
      </w:r>
      <w:r w:rsidR="009B5228">
        <w:t>would be part of n</w:t>
      </w:r>
      <w:r w:rsidR="008E2886">
        <w:t>ormal efficient business practice</w:t>
      </w:r>
      <w:r w:rsidR="00600E15">
        <w:t>.</w:t>
      </w:r>
      <w:r w:rsidR="00AF0B7A">
        <w:t xml:space="preserve"> </w:t>
      </w:r>
      <w:r w:rsidR="009B5228">
        <w:t>Thus</w:t>
      </w:r>
      <w:r w:rsidR="00AF0B7A">
        <w:t>,</w:t>
      </w:r>
      <w:r w:rsidR="008E2886">
        <w:t xml:space="preserve"> no substantive ongoing compliance costs</w:t>
      </w:r>
      <w:r w:rsidR="009B5228">
        <w:t xml:space="preserve"> are included in the analysis</w:t>
      </w:r>
      <w:r w:rsidR="00A822C6" w:rsidRPr="00C11E3B">
        <w:t>.</w:t>
      </w:r>
      <w:r w:rsidR="009B5228">
        <w:t xml:space="preserve"> This is consistent with </w:t>
      </w:r>
      <w:r w:rsidR="00A822C6" w:rsidRPr="00C11E3B">
        <w:t>a report assessing the impacts of revising the Tobacco Products Directive in the E</w:t>
      </w:r>
      <w:r w:rsidR="00600E15">
        <w:t xml:space="preserve">uropean </w:t>
      </w:r>
      <w:r w:rsidR="00A822C6" w:rsidRPr="00C11E3B">
        <w:t>U</w:t>
      </w:r>
      <w:r w:rsidR="00600E15">
        <w:t>nion</w:t>
      </w:r>
      <w:r w:rsidR="009B5228">
        <w:t xml:space="preserve"> </w:t>
      </w:r>
      <w:r w:rsidR="00A05B75" w:rsidRPr="00C11E3B">
        <w:fldChar w:fldCharType="begin"/>
      </w:r>
      <w:r w:rsidR="00B1645A">
        <w:instrText xml:space="preserve"> ADDIN EN.CITE &lt;EndNote&gt;&lt;Cite&gt;&lt;Author&gt;Tiessen&lt;/Author&gt;&lt;Year&gt;2010&lt;/Year&gt;&lt;RecNum&gt;3&lt;/RecNum&gt;&lt;DisplayText&gt;(Tiessen et al., 2010)&lt;/DisplayText&gt;&lt;record&gt;&lt;rec-number&gt;3&lt;/rec-number&gt;&lt;foreign-keys&gt;&lt;key app="EN" db-id="edfppa0tc0tfd1etp5xvexpnzfefzewwwas9" timestamp="1441592647"&gt;3&lt;/key&gt;&lt;/foreign-keys&gt;&lt;ref-type name="Government Document"&gt;46&lt;/ref-type&gt;&lt;contributors&gt;&lt;authors&gt;&lt;author&gt;Tiessen, J&lt;/author&gt;&lt;author&gt;Hunt, P&lt;/author&gt;&lt;author&gt;Celia, C&lt;/author&gt;&lt;author&gt;Fazekas, M&lt;/author&gt;&lt;author&gt;de Vries, H&lt;/author&gt;&lt;author&gt;Staetsky, L&lt;/author&gt;&lt;author&gt;Diepeveen, S&lt;/author&gt;&lt;author&gt;Rabinovich, L&lt;/author&gt;&lt;author&gt;Ridsdale, H&lt;/author&gt;&lt;author&gt;Ling, T&lt;/author&gt;&lt;/authors&gt;&lt;/contributors&gt;&lt;titles&gt;&lt;title&gt;Assessing the impacts of revising the Tobacco Products Directive: study to support a DG SANCO Impact Assessment.&lt;/title&gt;&lt;/titles&gt;&lt;dates&gt;&lt;year&gt;2010&lt;/year&gt;&lt;/dates&gt;&lt;pub-location&gt;Cambridge&lt;/pub-location&gt;&lt;publisher&gt;RAND Europe&lt;/publisher&gt;&lt;urls&gt;&lt;/urls&gt;&lt;/record&gt;&lt;/Cite&gt;&lt;/EndNote&gt;</w:instrText>
      </w:r>
      <w:r w:rsidR="00A05B75" w:rsidRPr="00C11E3B">
        <w:fldChar w:fldCharType="separate"/>
      </w:r>
      <w:r w:rsidR="00B1645A">
        <w:rPr>
          <w:noProof/>
        </w:rPr>
        <w:t>(</w:t>
      </w:r>
      <w:hyperlink w:anchor="_ENREF_61" w:tooltip="Tiessen, 2010 #3" w:history="1">
        <w:r w:rsidR="008A14C8">
          <w:rPr>
            <w:noProof/>
          </w:rPr>
          <w:t>Tiessen et al., 2010</w:t>
        </w:r>
      </w:hyperlink>
      <w:r w:rsidR="00B1645A">
        <w:rPr>
          <w:noProof/>
        </w:rPr>
        <w:t>)</w:t>
      </w:r>
      <w:r w:rsidR="00A05B75" w:rsidRPr="00C11E3B">
        <w:fldChar w:fldCharType="end"/>
      </w:r>
      <w:r w:rsidR="008E2886">
        <w:t>.</w:t>
      </w:r>
      <w:r w:rsidR="006F6AD9" w:rsidRPr="006F6AD9">
        <w:t xml:space="preserve"> </w:t>
      </w:r>
    </w:p>
    <w:p w14:paraId="0C063980" w14:textId="1145CF3A" w:rsidR="00DE495D" w:rsidRDefault="006F6AD9" w:rsidP="000B332F">
      <w:r>
        <w:lastRenderedPageBreak/>
        <w:t>The total cost</w:t>
      </w:r>
      <w:r w:rsidR="003F7CEF">
        <w:t>s</w:t>
      </w:r>
      <w:r>
        <w:t xml:space="preserve"> </w:t>
      </w:r>
      <w:r w:rsidR="00AF0B7A">
        <w:t xml:space="preserve">of </w:t>
      </w:r>
      <w:r w:rsidR="006F5A0C">
        <w:t xml:space="preserve">packaging compliance </w:t>
      </w:r>
      <w:r w:rsidR="003F7CEF">
        <w:t xml:space="preserve">are </w:t>
      </w:r>
      <w:r>
        <w:t xml:space="preserve">estimated </w:t>
      </w:r>
      <w:r w:rsidR="00600E15">
        <w:t xml:space="preserve">as </w:t>
      </w:r>
      <w:r>
        <w:t>$</w:t>
      </w:r>
      <w:r w:rsidR="0021799A">
        <w:t>57</w:t>
      </w:r>
      <w:r>
        <w:t>.</w:t>
      </w:r>
      <w:r w:rsidR="0021799A">
        <w:t xml:space="preserve">73 </w:t>
      </w:r>
      <w:r>
        <w:t>million.</w:t>
      </w:r>
      <w:r w:rsidR="00600E15">
        <w:rPr>
          <w:rStyle w:val="FootnoteReference"/>
        </w:rPr>
        <w:footnoteReference w:id="4"/>
      </w:r>
      <w:r>
        <w:t xml:space="preserve"> The calculation </w:t>
      </w:r>
      <w:r w:rsidR="008549AC">
        <w:t xml:space="preserve">of this estimate </w:t>
      </w:r>
      <w:r>
        <w:t xml:space="preserve">has not been included </w:t>
      </w:r>
      <w:r w:rsidR="008549AC">
        <w:t xml:space="preserve">here </w:t>
      </w:r>
      <w:r>
        <w:t>due to the commercial in confidence</w:t>
      </w:r>
      <w:r w:rsidR="00D53553">
        <w:t xml:space="preserve"> nature of the estimate</w:t>
      </w:r>
      <w:r>
        <w:t xml:space="preserve"> provided</w:t>
      </w:r>
      <w:r w:rsidR="00D53553">
        <w:t>.</w:t>
      </w:r>
    </w:p>
    <w:p w14:paraId="445AE181" w14:textId="77777777" w:rsidR="00DE495D" w:rsidRPr="005E2D88" w:rsidRDefault="00DE495D" w:rsidP="00D16890">
      <w:pPr>
        <w:pStyle w:val="Heading3"/>
      </w:pPr>
      <w:bookmarkStart w:id="57" w:name="_Toc427737347"/>
      <w:bookmarkStart w:id="58" w:name="_Toc443560334"/>
      <w:bookmarkStart w:id="59" w:name="_Toc443560362"/>
      <w:bookmarkStart w:id="60" w:name="_Toc443560412"/>
      <w:r w:rsidRPr="005E2D88">
        <w:t xml:space="preserve">Repackaging of </w:t>
      </w:r>
      <w:r w:rsidR="00B90650" w:rsidRPr="005E2D88">
        <w:t xml:space="preserve">Cigar </w:t>
      </w:r>
      <w:bookmarkEnd w:id="57"/>
      <w:r w:rsidR="00B90650" w:rsidRPr="005E2D88">
        <w:t>Products</w:t>
      </w:r>
      <w:bookmarkEnd w:id="58"/>
      <w:bookmarkEnd w:id="59"/>
      <w:bookmarkEnd w:id="60"/>
    </w:p>
    <w:p w14:paraId="6D89F5E4" w14:textId="3BEC7F69" w:rsidR="00272AE1" w:rsidRDefault="00822DE5" w:rsidP="00272AE1">
      <w:r>
        <w:t>The TPP measure in itself does not require a cigar to have a cigar band. However, a</w:t>
      </w:r>
      <w:r w:rsidR="00272AE1">
        <w:t xml:space="preserve"> single cigar band that is compliant with the TPP </w:t>
      </w:r>
      <w:r w:rsidR="00B90650">
        <w:t xml:space="preserve">measure </w:t>
      </w:r>
      <w:r w:rsidR="00272AE1">
        <w:t xml:space="preserve">may appear on a cigar and non-compliant cigar bands must be either removed or covered with a </w:t>
      </w:r>
      <w:r w:rsidR="00D2244E">
        <w:t>single compliant adhesive band.</w:t>
      </w:r>
    </w:p>
    <w:p w14:paraId="1ED6C27C" w14:textId="51139991" w:rsidR="00272AE1" w:rsidRDefault="00272AE1" w:rsidP="006942A1">
      <w:pPr>
        <w:rPr>
          <w:rFonts w:eastAsiaTheme="minorHAnsi" w:cs="Times New Roman"/>
          <w:lang w:val="en-GB" w:eastAsia="en-GB"/>
        </w:rPr>
      </w:pPr>
      <w:r>
        <w:t xml:space="preserve">Whilst a total cost estimate was provided by one cigar importer, this estimate included the costs associated with retrieving products that did not meet packaging regulations from the market place, and repackaging or destroying retrieved products. Some </w:t>
      </w:r>
      <w:r w:rsidR="00636C28">
        <w:t xml:space="preserve">of the </w:t>
      </w:r>
      <w:r>
        <w:t xml:space="preserve">costs </w:t>
      </w:r>
      <w:r w:rsidR="00636C28">
        <w:t xml:space="preserve">associated with ensuring tobacco products and packaging were compliant with plain packaging laws </w:t>
      </w:r>
      <w:r>
        <w:t xml:space="preserve">may be associated with </w:t>
      </w:r>
      <w:r w:rsidR="00636C28">
        <w:t xml:space="preserve">the TPP </w:t>
      </w:r>
      <w:r w:rsidR="00B90650">
        <w:t>measure</w:t>
      </w:r>
      <w:r w:rsidR="00CB1B27">
        <w:t>;</w:t>
      </w:r>
      <w:r w:rsidR="00636C28">
        <w:t xml:space="preserve"> </w:t>
      </w:r>
      <w:r w:rsidR="006942A1">
        <w:t>however, these costs are considered to have been accounted for in the industry-wide estimates of packaging and compliance costs provided above</w:t>
      </w:r>
      <w:r>
        <w:t>.</w:t>
      </w:r>
    </w:p>
    <w:p w14:paraId="1E42669E" w14:textId="77777777" w:rsidR="00DE495D" w:rsidRPr="005E2D88" w:rsidRDefault="00DE495D" w:rsidP="00D16890">
      <w:pPr>
        <w:pStyle w:val="Heading3"/>
      </w:pPr>
      <w:bookmarkStart w:id="61" w:name="_Toc427737348"/>
      <w:bookmarkStart w:id="62" w:name="_Toc443560335"/>
      <w:bookmarkStart w:id="63" w:name="_Toc443560363"/>
      <w:bookmarkStart w:id="64" w:name="_Toc443560413"/>
      <w:r w:rsidRPr="005E2D88">
        <w:t>Education (Manufacturers)</w:t>
      </w:r>
      <w:bookmarkEnd w:id="61"/>
      <w:bookmarkEnd w:id="62"/>
      <w:bookmarkEnd w:id="63"/>
      <w:bookmarkEnd w:id="64"/>
    </w:p>
    <w:p w14:paraId="74678653" w14:textId="3553C5A6" w:rsidR="00DE495D" w:rsidRDefault="00486BAB" w:rsidP="000B332F">
      <w:r>
        <w:t>E</w:t>
      </w:r>
      <w:r w:rsidR="00DE495D" w:rsidRPr="00003F38">
        <w:t xml:space="preserve">ducation activities are likely to be undertaken by industry members to be fully aware of new regulations and to undertake activities to ensure they meet the new regulations. With respect to the manufacturing of tobacco products, only </w:t>
      </w:r>
      <w:r w:rsidR="00AF25D6">
        <w:t xml:space="preserve">one </w:t>
      </w:r>
      <w:r w:rsidR="00DE495D" w:rsidRPr="00003F38">
        <w:t>manufacturer provide</w:t>
      </w:r>
      <w:r w:rsidR="00AF25D6">
        <w:t>d</w:t>
      </w:r>
      <w:r w:rsidR="00DE495D" w:rsidRPr="00003F38">
        <w:t xml:space="preserve"> </w:t>
      </w:r>
      <w:r w:rsidR="0017394A">
        <w:t xml:space="preserve">a cost </w:t>
      </w:r>
      <w:r w:rsidR="00F77608">
        <w:t>estimate</w:t>
      </w:r>
      <w:r w:rsidR="0017394A">
        <w:t xml:space="preserve"> that may reflect these activities</w:t>
      </w:r>
      <w:r w:rsidR="00DE495D" w:rsidRPr="00003F38">
        <w:t xml:space="preserve">. </w:t>
      </w:r>
      <w:r w:rsidR="0017394A">
        <w:t xml:space="preserve">This estimate was </w:t>
      </w:r>
      <w:r w:rsidR="00495C14">
        <w:t xml:space="preserve">included </w:t>
      </w:r>
      <w:r w:rsidR="0017394A">
        <w:t xml:space="preserve">in estimating the compliance costs above. As such, and to avoid double counting, no additional cost </w:t>
      </w:r>
      <w:r w:rsidR="00495C14">
        <w:t xml:space="preserve">estimate </w:t>
      </w:r>
      <w:r w:rsidR="008549AC">
        <w:t>was included</w:t>
      </w:r>
      <w:r w:rsidR="004F3CDA">
        <w:t xml:space="preserve"> in the RBM</w:t>
      </w:r>
      <w:r w:rsidR="00DE495D" w:rsidRPr="00003F38">
        <w:t xml:space="preserve">. </w:t>
      </w:r>
      <w:r w:rsidR="0017394A">
        <w:t xml:space="preserve">With respect to any ongoing education activities, </w:t>
      </w:r>
      <w:r w:rsidR="00C104DD" w:rsidRPr="00C104DD">
        <w:t xml:space="preserve">it is </w:t>
      </w:r>
      <w:r w:rsidR="0017394A">
        <w:t xml:space="preserve">considered </w:t>
      </w:r>
      <w:r w:rsidR="00C104DD" w:rsidRPr="00C104DD">
        <w:t>normal efficient business to train new staff or p</w:t>
      </w:r>
      <w:r w:rsidR="0017394A">
        <w:t>rovide ongoing training support. Given</w:t>
      </w:r>
      <w:r w:rsidR="00C104DD" w:rsidRPr="00C104DD">
        <w:t xml:space="preserve"> that the additional training </w:t>
      </w:r>
      <w:r w:rsidR="00E64D9E">
        <w:t xml:space="preserve">for </w:t>
      </w:r>
      <w:r w:rsidR="00826A4E">
        <w:t>tobacco</w:t>
      </w:r>
      <w:r w:rsidR="00C104DD" w:rsidRPr="00C104DD">
        <w:t xml:space="preserve"> plain packaging (in this ongoing setting where other areas of training are provided) is likely to be </w:t>
      </w:r>
      <w:r w:rsidR="00256D97">
        <w:t>non-substantive</w:t>
      </w:r>
      <w:r w:rsidR="00C104DD" w:rsidRPr="00C104DD">
        <w:t>, no ongoing education costs have been included in this analysis.</w:t>
      </w:r>
      <w:r w:rsidR="00495C14">
        <w:t xml:space="preserve"> This is consistent with the submissions provided which do not include an ongoing education cost </w:t>
      </w:r>
      <w:r>
        <w:t>estimate</w:t>
      </w:r>
      <w:r w:rsidR="00495C14">
        <w:t>.</w:t>
      </w:r>
    </w:p>
    <w:p w14:paraId="051D729B" w14:textId="77777777" w:rsidR="00DE495D" w:rsidRPr="00687655" w:rsidRDefault="00DE495D" w:rsidP="00D16890">
      <w:pPr>
        <w:pStyle w:val="Heading3"/>
      </w:pPr>
      <w:bookmarkStart w:id="65" w:name="_Toc427737349"/>
      <w:bookmarkStart w:id="66" w:name="_Toc443560336"/>
      <w:bookmarkStart w:id="67" w:name="_Toc443560364"/>
      <w:bookmarkStart w:id="68" w:name="_Toc443560414"/>
      <w:r w:rsidRPr="00687655">
        <w:t xml:space="preserve">Education </w:t>
      </w:r>
      <w:r w:rsidR="00B90650" w:rsidRPr="00687655">
        <w:t xml:space="preserve">Activities </w:t>
      </w:r>
      <w:r w:rsidRPr="00687655">
        <w:t>(Retail)</w:t>
      </w:r>
      <w:bookmarkEnd w:id="65"/>
      <w:bookmarkEnd w:id="66"/>
      <w:bookmarkEnd w:id="67"/>
      <w:bookmarkEnd w:id="68"/>
    </w:p>
    <w:p w14:paraId="55C25550" w14:textId="3911472A" w:rsidR="00DE495D" w:rsidRPr="00003F38" w:rsidRDefault="00DE495D" w:rsidP="000B332F">
      <w:r w:rsidRPr="00003F38">
        <w:t>In 2004, there were an estimated 35,000 tobacco retailers in Australia down from an estimated 40,00</w:t>
      </w:r>
      <w:r w:rsidR="00584306">
        <w:t>0 tobacco retailers in 1997/98</w:t>
      </w:r>
      <w:r w:rsidR="00987641">
        <w:t xml:space="preserve"> </w:t>
      </w:r>
      <w:r w:rsidR="00A05B75" w:rsidRPr="00003F38">
        <w:fldChar w:fldCharType="begin"/>
      </w:r>
      <w:r w:rsidR="00B1645A">
        <w:instrText xml:space="preserve"> ADDIN EN.CITE &lt;EndNote&gt;&lt;Cite&gt;&lt;Author&gt;PricewaterhouseCoopers&lt;/Author&gt;&lt;Year&gt;2005&lt;/Year&gt;&lt;RecNum&gt;4&lt;/RecNum&gt;&lt;DisplayText&gt;(PricewaterhouseCoopers, 2005)&lt;/DisplayText&gt;&lt;record&gt;&lt;rec-number&gt;4&lt;/rec-number&gt;&lt;foreign-keys&gt;&lt;key app="EN" db-id="edfppa0tc0tfd1etp5xvexpnzfefzewwwas9" timestamp="1441592647"&gt;4&lt;/key&gt;&lt;/foreign-keys&gt;&lt;ref-type name="Government Document"&gt;46&lt;/ref-type&gt;&lt;contributors&gt;&lt;authors&gt;&lt;author&gt;PricewaterhouseCoopers,&lt;/author&gt;&lt;/authors&gt;&lt;/contributors&gt;&lt;titles&gt;&lt;title&gt;Sales of cigarettes and tobacco products by type of retail business. An analysis of the significance of sales of cigarettes and tobacco products to tobacco retailers in Australia.&lt;/title&gt;&lt;/titles&gt;&lt;dates&gt;&lt;year&gt;2005&lt;/year&gt;&lt;/dates&gt;&lt;publisher&gt;Pricewaterhouse Coopers&lt;/publisher&gt;&lt;urls&gt;&lt;/urls&gt;&lt;/record&gt;&lt;/Cite&gt;&lt;/EndNote&gt;</w:instrText>
      </w:r>
      <w:r w:rsidR="00A05B75" w:rsidRPr="00003F38">
        <w:fldChar w:fldCharType="separate"/>
      </w:r>
      <w:r w:rsidR="00B1645A">
        <w:rPr>
          <w:noProof/>
        </w:rPr>
        <w:t>(</w:t>
      </w:r>
      <w:hyperlink w:anchor="_ENREF_51" w:tooltip="PricewaterhouseCoopers, 2005 #4" w:history="1">
        <w:r w:rsidR="008A14C8">
          <w:rPr>
            <w:noProof/>
          </w:rPr>
          <w:t>PricewaterhouseCoopers, 2005</w:t>
        </w:r>
      </w:hyperlink>
      <w:r w:rsidR="00B1645A">
        <w:rPr>
          <w:noProof/>
        </w:rPr>
        <w:t>)</w:t>
      </w:r>
      <w:r w:rsidR="00A05B75" w:rsidRPr="00003F38">
        <w:fldChar w:fldCharType="end"/>
      </w:r>
      <w:r w:rsidR="00584306">
        <w:t xml:space="preserve">. </w:t>
      </w:r>
      <w:r w:rsidRPr="00003F38">
        <w:t xml:space="preserve">In </w:t>
      </w:r>
      <w:r w:rsidR="009F7C32">
        <w:t xml:space="preserve">2012, </w:t>
      </w:r>
      <w:r w:rsidR="00584306">
        <w:t xml:space="preserve">35,000 information kits were sent to tobacco suppliers by the Department of Health. </w:t>
      </w:r>
      <w:r w:rsidR="00495C14">
        <w:t>As such, f</w:t>
      </w:r>
      <w:r w:rsidR="009F7C32">
        <w:t xml:space="preserve">or this </w:t>
      </w:r>
      <w:r w:rsidR="00384449">
        <w:t>analysis</w:t>
      </w:r>
      <w:r w:rsidR="009F7C32">
        <w:t xml:space="preserve"> an estimate of 35,000 retailers was used to estimate total </w:t>
      </w:r>
      <w:r w:rsidR="00256D97">
        <w:t xml:space="preserve">tobacco </w:t>
      </w:r>
      <w:r w:rsidR="009F7C32">
        <w:t>retail costs.</w:t>
      </w:r>
      <w:r w:rsidR="00392474">
        <w:t xml:space="preserve"> This may be a</w:t>
      </w:r>
      <w:r w:rsidR="0037297C">
        <w:t xml:space="preserve"> slight</w:t>
      </w:r>
      <w:r w:rsidR="00392474">
        <w:t xml:space="preserve"> overestimate of the actual number of tobacco retailers </w:t>
      </w:r>
      <w:r w:rsidR="0037297C">
        <w:t xml:space="preserve">in 2015 </w:t>
      </w:r>
      <w:r w:rsidR="00392474">
        <w:t>w</w:t>
      </w:r>
      <w:r w:rsidR="00FC6B02">
        <w:t>h</w:t>
      </w:r>
      <w:r w:rsidR="00392474">
        <w:t xml:space="preserve">ere there is evidence of </w:t>
      </w:r>
      <w:r w:rsidR="00495C14">
        <w:t>a downward</w:t>
      </w:r>
      <w:r w:rsidR="00392474">
        <w:t xml:space="preserve"> trend in the number of tobacco retailers. Where the number of retailers is </w:t>
      </w:r>
      <w:r w:rsidR="00495C14">
        <w:t>in fact less than the 35,000 estimate used in this report</w:t>
      </w:r>
      <w:r w:rsidR="00392474">
        <w:t>, the</w:t>
      </w:r>
      <w:r w:rsidR="008F1EFE">
        <w:t xml:space="preserve"> estimated</w:t>
      </w:r>
      <w:r w:rsidR="00392474">
        <w:t xml:space="preserve"> cost to the retail industry will therefore be an overestimate of the true cost.</w:t>
      </w:r>
    </w:p>
    <w:p w14:paraId="1B4FAFF6" w14:textId="6C82AEAA" w:rsidR="00DE495D" w:rsidRPr="00003F38" w:rsidRDefault="00DE495D" w:rsidP="000B332F">
      <w:r w:rsidRPr="00003F38">
        <w:t xml:space="preserve">Based on the online survey </w:t>
      </w:r>
      <w:r w:rsidR="008549AC">
        <w:t xml:space="preserve">completed by </w:t>
      </w:r>
      <w:r w:rsidRPr="00003F38">
        <w:t xml:space="preserve">48 retailers, 30% </w:t>
      </w:r>
      <w:r w:rsidR="00AA12EF">
        <w:t xml:space="preserve">of those who participated </w:t>
      </w:r>
      <w:r w:rsidRPr="00003F38">
        <w:t xml:space="preserve">declared that they had undertaken additional education activities associated with the </w:t>
      </w:r>
      <w:r w:rsidR="00B90650">
        <w:t>TPP measure</w:t>
      </w:r>
      <w:r w:rsidRPr="00003F38">
        <w:t xml:space="preserve">. Whilst it is </w:t>
      </w:r>
      <w:r w:rsidR="00AA12EF">
        <w:t>possible</w:t>
      </w:r>
      <w:r w:rsidRPr="00003F38">
        <w:t xml:space="preserve"> that all </w:t>
      </w:r>
      <w:r w:rsidR="00AA12EF">
        <w:t xml:space="preserve">participating </w:t>
      </w:r>
      <w:r w:rsidRPr="00003F38">
        <w:t xml:space="preserve">retailers undertook some level of educational activities, not just 30%, it is likely that </w:t>
      </w:r>
      <w:r w:rsidR="00792E2D">
        <w:t xml:space="preserve">the </w:t>
      </w:r>
      <w:r w:rsidRPr="00003F38">
        <w:t xml:space="preserve">other 70% of </w:t>
      </w:r>
      <w:r w:rsidR="00AA12EF">
        <w:t xml:space="preserve">the </w:t>
      </w:r>
      <w:r w:rsidRPr="00003F38">
        <w:t xml:space="preserve">retailers </w:t>
      </w:r>
      <w:r w:rsidR="00AA12EF">
        <w:t xml:space="preserve">who participated </w:t>
      </w:r>
      <w:r w:rsidRPr="00003F38">
        <w:t xml:space="preserve">did not consider </w:t>
      </w:r>
      <w:r w:rsidR="00AA12EF">
        <w:t xml:space="preserve">tobacco </w:t>
      </w:r>
      <w:r w:rsidRPr="00003F38">
        <w:t xml:space="preserve">plain packaging to be associated with substantive training </w:t>
      </w:r>
      <w:r w:rsidR="00AA12EF">
        <w:t>over</w:t>
      </w:r>
      <w:r w:rsidR="00AA12EF" w:rsidRPr="00003F38">
        <w:t xml:space="preserve"> </w:t>
      </w:r>
      <w:r w:rsidRPr="00003F38">
        <w:t xml:space="preserve">and above </w:t>
      </w:r>
      <w:r w:rsidR="00CC2F39">
        <w:t xml:space="preserve">that </w:t>
      </w:r>
      <w:r w:rsidRPr="00003F38">
        <w:t xml:space="preserve">undertaken with respect to changes in regulations regarding display of stock </w:t>
      </w:r>
      <w:r w:rsidR="001B08ED">
        <w:t xml:space="preserve">at the point-of-sale, </w:t>
      </w:r>
      <w:r w:rsidRPr="00003F38">
        <w:t>and changes to health warning</w:t>
      </w:r>
      <w:r w:rsidR="001B08ED">
        <w:t xml:space="preserve"> requirements</w:t>
      </w:r>
      <w:r w:rsidRPr="00003F38">
        <w:t xml:space="preserve">. Of those that did undertake education </w:t>
      </w:r>
      <w:r w:rsidRPr="00003F38">
        <w:lastRenderedPageBreak/>
        <w:t xml:space="preserve">activities, an average of eight staff members per store undertook training for an average of 0.97 hours at an average hourly cost of $23.93 inclusive of overheads and superannuation (assuming overheads represent 16%, this represents an hourly wage rate of $20.10). This is consistent with the estimates provided by </w:t>
      </w:r>
      <w:r w:rsidR="00C104DD">
        <w:t xml:space="preserve">representative retail bodies </w:t>
      </w:r>
      <w:r w:rsidRPr="00003F38">
        <w:t xml:space="preserve">which indicated that: between 1 and 100 checkout operators would require 0.5 hours of training at an hourly rate of between $18.52 and $25.01 per store and between 1-3 stock handling personnel would require 2 hours of training at an hourly rate of between $19.64 and $35.00 per store. </w:t>
      </w:r>
      <w:r w:rsidR="00392474">
        <w:t xml:space="preserve">The analysis is based on the estimate of 0.97 hours of training although this is greater than the 0.5 hours included in the industry representative submission.  This is likely due to </w:t>
      </w:r>
      <w:r w:rsidR="00A77696">
        <w:t xml:space="preserve">a proportion of </w:t>
      </w:r>
      <w:r w:rsidR="00392474">
        <w:t>survey participants rounding up their estimates</w:t>
      </w:r>
      <w:r w:rsidR="00A77696">
        <w:t xml:space="preserve"> of the time taken</w:t>
      </w:r>
      <w:r w:rsidR="00392474">
        <w:t>. Where this is the case this will lead to an overestimate in the cost to the retail industry.</w:t>
      </w:r>
    </w:p>
    <w:p w14:paraId="5B1E384C" w14:textId="77777777" w:rsidR="00DE495D" w:rsidRPr="00003F38" w:rsidRDefault="00081786" w:rsidP="000B332F">
      <w:r>
        <w:t>T</w:t>
      </w:r>
      <w:r w:rsidRPr="00003F38">
        <w:t xml:space="preserve">he total cost of retail training </w:t>
      </w:r>
      <w:r>
        <w:t>is b</w:t>
      </w:r>
      <w:r w:rsidR="00DE495D" w:rsidRPr="00003F38">
        <w:t xml:space="preserve">ased on </w:t>
      </w:r>
      <w:r w:rsidR="009F7C32">
        <w:t>10</w:t>
      </w:r>
      <w:r w:rsidR="00DE495D" w:rsidRPr="00003F38">
        <w:t>,</w:t>
      </w:r>
      <w:r w:rsidR="009F7C32">
        <w:t>500</w:t>
      </w:r>
      <w:r w:rsidR="00DE495D" w:rsidRPr="00003F38">
        <w:t xml:space="preserve"> retailers undertaking training (30% of 3</w:t>
      </w:r>
      <w:r w:rsidR="009F7C32">
        <w:t>5</w:t>
      </w:r>
      <w:r w:rsidR="00DE495D" w:rsidRPr="00003F38">
        <w:t>,</w:t>
      </w:r>
      <w:r w:rsidR="009F7C32">
        <w:t>000</w:t>
      </w:r>
      <w:r w:rsidR="00DE495D" w:rsidRPr="00003F38">
        <w:t xml:space="preserve"> tobacco retailers) and requiring training for eight personnel for an average of 0.97 hours at an hourly cost of $23.93 (inclusive of overheads</w:t>
      </w:r>
      <w:r>
        <w:t>)</w:t>
      </w:r>
      <w:r w:rsidR="00DE495D" w:rsidRPr="00003F38">
        <w:t>.</w:t>
      </w:r>
      <w:r w:rsidR="00C104DD">
        <w:t xml:space="preserve"> Given that it is normal efficient business for retailers to train new staff or provide ongoing training support, and that the additional training regarding</w:t>
      </w:r>
      <w:r w:rsidR="00826A4E">
        <w:t xml:space="preserve"> tobacco</w:t>
      </w:r>
      <w:r w:rsidR="00C104DD">
        <w:t xml:space="preserve"> plain packaging (in this ongoing setting where other areas of training are provided) is likely to be </w:t>
      </w:r>
      <w:r w:rsidR="00256D97">
        <w:t>non-substantive</w:t>
      </w:r>
      <w:r w:rsidR="00C104DD">
        <w:t>, no ongoing education costs have been included in this analysis.</w:t>
      </w:r>
      <w:r w:rsidR="00392474">
        <w:t xml:space="preserve"> </w:t>
      </w:r>
      <w:r w:rsidR="006F6AD9">
        <w:t xml:space="preserve">The total cost is estimated as $1.95 million. That is, 10,500 retailers multiplied by 8 personnel multiplied by 0.97 hours of training multiplied by an hourly cost of $23.93. </w:t>
      </w:r>
      <w:r w:rsidR="00392474">
        <w:t>This</w:t>
      </w:r>
      <w:r w:rsidR="00CD4A01">
        <w:t xml:space="preserve"> </w:t>
      </w:r>
      <w:r w:rsidR="00392474">
        <w:t xml:space="preserve">estimate is likely to be an over-estimate of the true cost where the number of tobacco retailers in Australia </w:t>
      </w:r>
      <w:r w:rsidR="00CD4A01">
        <w:t>is</w:t>
      </w:r>
      <w:r w:rsidR="00392474">
        <w:t xml:space="preserve"> less than 35,000 and training time less than 0.97 hours.</w:t>
      </w:r>
    </w:p>
    <w:p w14:paraId="19408BC4" w14:textId="208C923B" w:rsidR="00617E7B" w:rsidRPr="00911267" w:rsidRDefault="00617E7B" w:rsidP="00687655">
      <w:pPr>
        <w:pStyle w:val="Heading3"/>
        <w:spacing w:line="240" w:lineRule="auto"/>
        <w:rPr>
          <w:lang w:val="en-GB"/>
        </w:rPr>
      </w:pPr>
      <w:bookmarkStart w:id="69" w:name="_Toc443560337"/>
      <w:bookmarkStart w:id="70" w:name="_Toc443560365"/>
      <w:bookmarkStart w:id="71" w:name="_Toc443560415"/>
      <w:bookmarkStart w:id="72" w:name="_Toc427737350"/>
      <w:r w:rsidRPr="00911267">
        <w:rPr>
          <w:lang w:val="en-GB"/>
        </w:rPr>
        <w:t>Retail</w:t>
      </w:r>
      <w:r w:rsidR="004A219A" w:rsidRPr="00911267">
        <w:rPr>
          <w:lang w:val="en-GB"/>
        </w:rPr>
        <w:t xml:space="preserve"> Transaction Times</w:t>
      </w:r>
      <w:bookmarkEnd w:id="69"/>
      <w:bookmarkEnd w:id="70"/>
      <w:bookmarkEnd w:id="71"/>
    </w:p>
    <w:p w14:paraId="5C3EA36F" w14:textId="77777777" w:rsidR="00617E7B" w:rsidRPr="008040A0" w:rsidRDefault="00617E7B" w:rsidP="00617E7B">
      <w:r>
        <w:t>P</w:t>
      </w:r>
      <w:r w:rsidRPr="008040A0">
        <w:t xml:space="preserve">lain packaging </w:t>
      </w:r>
      <w:r>
        <w:t>of tobacco products is likely to result in</w:t>
      </w:r>
      <w:r w:rsidRPr="008040A0">
        <w:t xml:space="preserve"> </w:t>
      </w:r>
      <w:r>
        <w:t xml:space="preserve">a temporary </w:t>
      </w:r>
      <w:r w:rsidRPr="008040A0">
        <w:t>increase</w:t>
      </w:r>
      <w:r>
        <w:t xml:space="preserve"> in</w:t>
      </w:r>
      <w:r w:rsidRPr="008040A0">
        <w:t xml:space="preserve"> retail transaction times including ordering, stocking and selling. Where </w:t>
      </w:r>
      <w:r>
        <w:t>tobacco plain packaging</w:t>
      </w:r>
      <w:r w:rsidRPr="008040A0">
        <w:t xml:space="preserve"> takes longer or is associated with increased error (resulting in additional time) compared with previous branded packages, retailers would bear the associated costs of increased staffing. A report by Deloitte </w:t>
      </w:r>
      <w:r>
        <w:t>commissioned by the</w:t>
      </w:r>
      <w:r w:rsidRPr="008040A0">
        <w:t xml:space="preserve"> Alliance of Australian Retailers</w:t>
      </w:r>
      <w:r>
        <w:t xml:space="preserve"> (a group financed by Phillip Morris, Imperial Tobacco and BATA)</w:t>
      </w:r>
      <w:r w:rsidRPr="008040A0">
        <w:t xml:space="preserve"> </w:t>
      </w:r>
      <w:r>
        <w:t>estimated</w:t>
      </w:r>
      <w:r w:rsidRPr="008040A0">
        <w:t xml:space="preserve"> the potential impact of introducing </w:t>
      </w:r>
      <w:r>
        <w:t xml:space="preserve">tobacco plain packaging </w:t>
      </w:r>
      <w:r w:rsidRPr="008040A0">
        <w:fldChar w:fldCharType="begin"/>
      </w:r>
      <w:r>
        <w:instrText xml:space="preserve"> ADDIN EN.CITE &lt;EndNote&gt;&lt;Cite&gt;&lt;Author&gt;Deloitte Touche Tomatsu Ltd&lt;/Author&gt;&lt;Year&gt;2011b&lt;/Year&gt;&lt;RecNum&gt;59&lt;/RecNum&gt;&lt;DisplayText&gt;(Deloitte Touche Tomatsu Ltd, 2011b)&lt;/DisplayText&gt;&lt;record&gt;&lt;rec-number&gt;59&lt;/rec-number&gt;&lt;foreign-keys&gt;&lt;key app="EN" db-id="edfppa0tc0tfd1etp5xvexpnzfefzewwwas9" timestamp="1441592648"&gt;59&lt;/key&gt;&lt;/foreign-keys&gt;&lt;ref-type name="Report"&gt;27&lt;/ref-type&gt;&lt;contributors&gt;&lt;authors&gt;&lt;author&gt;Deloitte Touche Tomatsu Ltd,&lt;/author&gt;&lt;/authors&gt;&lt;/contributors&gt;&lt;titles&gt;&lt;title&gt;Potential impact on retailers from the introduction of plain tobacco packaging&lt;/title&gt;&lt;/titles&gt;&lt;dates&gt;&lt;year&gt;2011b&lt;/year&gt;&lt;/dates&gt;&lt;pub-location&gt;https://www.australianretailers.com.au/downloads/pdf/deloitte/2011_01_31_AAR_Plain_Packaging2.pdf&lt;/pub-location&gt;&lt;urls&gt;&lt;/urls&gt;&lt;/record&gt;&lt;/Cite&gt;&lt;/EndNote&gt;</w:instrText>
      </w:r>
      <w:r w:rsidRPr="008040A0">
        <w:fldChar w:fldCharType="separate"/>
      </w:r>
      <w:r>
        <w:rPr>
          <w:noProof/>
        </w:rPr>
        <w:t>(</w:t>
      </w:r>
      <w:hyperlink w:anchor="_ENREF_25" w:tooltip="Deloitte Touche Tomatsu Ltd, 2011b #59" w:history="1">
        <w:r>
          <w:rPr>
            <w:noProof/>
          </w:rPr>
          <w:t>Deloitte Touche Tomatsu Ltd, 2011b</w:t>
        </w:r>
      </w:hyperlink>
      <w:r>
        <w:rPr>
          <w:noProof/>
        </w:rPr>
        <w:t>)</w:t>
      </w:r>
      <w:r w:rsidRPr="008040A0">
        <w:fldChar w:fldCharType="end"/>
      </w:r>
      <w:r>
        <w:t>.</w:t>
      </w:r>
      <w:r w:rsidRPr="008040A0">
        <w:t xml:space="preserve"> </w:t>
      </w:r>
      <w:r>
        <w:t>This research was undertaken prior to the implementation of the TPP measure and was</w:t>
      </w:r>
      <w:r w:rsidRPr="008040A0">
        <w:t xml:space="preserve"> based on a </w:t>
      </w:r>
      <w:r>
        <w:t xml:space="preserve">very small </w:t>
      </w:r>
      <w:r w:rsidRPr="008040A0">
        <w:t>survey of retailers (n = 6</w:t>
      </w:r>
      <w:r>
        <w:t>; of approximately 35,000 tobacco retailers in Australia</w:t>
      </w:r>
      <w:r w:rsidRPr="008040A0">
        <w:t xml:space="preserve">) </w:t>
      </w:r>
      <w:r>
        <w:t xml:space="preserve">and </w:t>
      </w:r>
      <w:r w:rsidRPr="008040A0">
        <w:t>limited to service stations / convenience stores (n=2), tobacconists (n =2) and newsagents (n</w:t>
      </w:r>
      <w:r>
        <w:t> </w:t>
      </w:r>
      <w:r w:rsidRPr="008040A0">
        <w:t xml:space="preserve">= 2). </w:t>
      </w:r>
      <w:r>
        <w:t>Despite the limited sample size, t</w:t>
      </w:r>
      <w:r w:rsidRPr="008040A0">
        <w:t xml:space="preserve">he </w:t>
      </w:r>
      <w:r>
        <w:t>Deloitte report claimed</w:t>
      </w:r>
      <w:r w:rsidRPr="008040A0">
        <w:t xml:space="preserve"> that </w:t>
      </w:r>
      <w:r>
        <w:t>tobacco plain packaging</w:t>
      </w:r>
      <w:r w:rsidRPr="008040A0">
        <w:t xml:space="preserve"> w</w:t>
      </w:r>
      <w:r>
        <w:t>ould</w:t>
      </w:r>
      <w:r w:rsidRPr="008040A0">
        <w:t xml:space="preserve"> increase time associated with stock management, sales and stock selection errors.</w:t>
      </w:r>
    </w:p>
    <w:p w14:paraId="6A10D33B" w14:textId="77777777" w:rsidR="00617E7B" w:rsidRDefault="00617E7B" w:rsidP="00617E7B">
      <w:r>
        <w:t>Several peer-reviewed studies have also examined this issue.  For example, o</w:t>
      </w:r>
      <w:r w:rsidRPr="008040A0">
        <w:t>ne simulation study among participants unfamiliar with cigarette packs, suggest</w:t>
      </w:r>
      <w:r>
        <w:t>ed</w:t>
      </w:r>
      <w:r w:rsidRPr="008040A0">
        <w:t xml:space="preserve"> that serving staff may adapt quickly to the requirement to distinguish between packs and may be able to serve a standardised pack in about the same time as, or more q</w:t>
      </w:r>
      <w:r>
        <w:t xml:space="preserve">uickly than, for branded packs </w:t>
      </w:r>
      <w:r w:rsidRPr="008040A0">
        <w:fldChar w:fldCharType="begin"/>
      </w:r>
      <w:r>
        <w:instrText xml:space="preserve"> ADDIN EN.CITE &lt;EndNote&gt;&lt;Cite&gt;&lt;Author&gt;Carter&lt;/Author&gt;&lt;Year&gt;2012&lt;/Year&gt;&lt;RecNum&gt;60&lt;/RecNum&gt;&lt;DisplayText&gt;(Carter, Mills, Phan, &amp;amp; Bremner, 2012)&lt;/DisplayText&gt;&lt;record&gt;&lt;rec-number&gt;60&lt;/rec-number&gt;&lt;foreign-keys&gt;&lt;key app="EN" db-id="edfppa0tc0tfd1etp5xvexpnzfefzewwwas9" timestamp="1441592648"&gt;60&lt;/key&gt;&lt;/foreign-keys&gt;&lt;ref-type name="Journal Article"&gt;17&lt;/ref-type&gt;&lt;contributors&gt;&lt;authors&gt;&lt;author&gt;Carter, Owen&lt;/author&gt;&lt;author&gt;Mills, Brennen&lt;/author&gt;&lt;author&gt;Phan, Tina&lt;/author&gt;&lt;author&gt;Bremner, Jonathon&lt;/author&gt;&lt;/authors&gt;&lt;/contributors&gt;&lt;titles&gt;&lt;title&gt;Measuring the effect of cigarette plain packaging on transaction times and selection errors in a simulation experiment&lt;/title&gt;&lt;secondary-title&gt;Tobacco control&lt;/secondary-title&gt;&lt;/titles&gt;&lt;periodical&gt;&lt;full-title&gt;Tobacco control&lt;/full-title&gt;&lt;/periodical&gt;&lt;pages&gt;572-577&lt;/pages&gt;&lt;volume&gt;21&lt;/volume&gt;&lt;number&gt;6&lt;/number&gt;&lt;dates&gt;&lt;year&gt;2012&lt;/year&gt;&lt;pub-dates&gt;&lt;date&gt;November 1, 2012&lt;/date&gt;&lt;/pub-dates&gt;&lt;/dates&gt;&lt;urls&gt;&lt;/urls&gt;&lt;/record&gt;&lt;/Cite&gt;&lt;/EndNote&gt;</w:instrText>
      </w:r>
      <w:r w:rsidRPr="008040A0">
        <w:fldChar w:fldCharType="separate"/>
      </w:r>
      <w:r>
        <w:rPr>
          <w:noProof/>
        </w:rPr>
        <w:t>(</w:t>
      </w:r>
      <w:hyperlink w:anchor="_ENREF_15" w:tooltip="Carter, 2012 #60" w:history="1">
        <w:r>
          <w:rPr>
            <w:noProof/>
          </w:rPr>
          <w:t>Carter, Mills, Phan, &amp; Bremner, 2012</w:t>
        </w:r>
      </w:hyperlink>
      <w:r>
        <w:rPr>
          <w:noProof/>
        </w:rPr>
        <w:t>)</w:t>
      </w:r>
      <w:r w:rsidRPr="008040A0">
        <w:fldChar w:fldCharType="end"/>
      </w:r>
      <w:r>
        <w:t>.</w:t>
      </w:r>
      <w:r w:rsidRPr="008040A0">
        <w:t xml:space="preserve"> </w:t>
      </w:r>
      <w:r>
        <w:t>However, this</w:t>
      </w:r>
      <w:r w:rsidRPr="008040A0">
        <w:t xml:space="preserve"> may not </w:t>
      </w:r>
      <w:r>
        <w:t xml:space="preserve">be </w:t>
      </w:r>
      <w:proofErr w:type="spellStart"/>
      <w:r w:rsidRPr="00EF04D6">
        <w:t>generalisable</w:t>
      </w:r>
      <w:proofErr w:type="spellEnd"/>
      <w:r w:rsidRPr="008040A0">
        <w:t xml:space="preserve"> to a typical retailer or typical retail environment. </w:t>
      </w:r>
    </w:p>
    <w:p w14:paraId="22846C95" w14:textId="77777777" w:rsidR="00617E7B" w:rsidRPr="008040A0" w:rsidRDefault="00617E7B" w:rsidP="00617E7B">
      <w:r w:rsidRPr="008040A0">
        <w:t xml:space="preserve">To investigate the impact of </w:t>
      </w:r>
      <w:r>
        <w:t>tobacco plain packaging</w:t>
      </w:r>
      <w:r w:rsidRPr="008040A0">
        <w:t xml:space="preserve"> on serving times in the retail environment, the Rural Shops Alliance (RSA) commissioned a study (funded by British American Tobacco) comparing serving times in four convenience stores in England during a week with conventional packaging and a week with standardised packaging</w:t>
      </w:r>
      <w:r>
        <w:t xml:space="preserve"> </w:t>
      </w:r>
      <w:r w:rsidRPr="008040A0">
        <w:fldChar w:fldCharType="begin"/>
      </w:r>
      <w:r>
        <w:instrText xml:space="preserve"> ADDIN EN.CITE &lt;EndNote&gt;&lt;Cite&gt;&lt;Author&gt;Visuality&lt;/Author&gt;&lt;Year&gt;2012&lt;/Year&gt;&lt;RecNum&gt;61&lt;/RecNum&gt;&lt;DisplayText&gt;(Visuality, 2012)&lt;/DisplayText&gt;&lt;record&gt;&lt;rec-number&gt;61&lt;/rec-number&gt;&lt;foreign-keys&gt;&lt;key app="EN" db-id="edfppa0tc0tfd1etp5xvexpnzfefzewwwas9" timestamp="1441592648"&gt;61&lt;/key&gt;&lt;/foreign-keys&gt;&lt;ref-type name="Government Document"&gt;46&lt;/ref-type&gt;&lt;contributors&gt;&lt;authors&gt;&lt;author&gt;Visuality&lt;/author&gt;&lt;/authors&gt;&lt;/contributors&gt;&lt;titles&gt;&lt;title&gt;The effects of standarised tobacco packaging on retail service in the UK.&lt;/title&gt;&lt;/titles&gt;&lt;dates&gt;&lt;year&gt;2012&lt;/year&gt;&lt;/dates&gt;&lt;pub-location&gt;Weymouth&lt;/pub-location&gt;&lt;publisher&gt;Rural Shops Alliance&lt;/publisher&gt;&lt;urls&gt;&lt;/urls&gt;&lt;/record&gt;&lt;/Cite&gt;&lt;/EndNote&gt;</w:instrText>
      </w:r>
      <w:r w:rsidRPr="008040A0">
        <w:fldChar w:fldCharType="separate"/>
      </w:r>
      <w:r>
        <w:rPr>
          <w:noProof/>
        </w:rPr>
        <w:t>(</w:t>
      </w:r>
      <w:hyperlink w:anchor="_ENREF_64" w:tooltip="Visuality, 2012 #61" w:history="1">
        <w:r>
          <w:rPr>
            <w:noProof/>
          </w:rPr>
          <w:t>Visuality, 2012</w:t>
        </w:r>
      </w:hyperlink>
      <w:r>
        <w:rPr>
          <w:noProof/>
        </w:rPr>
        <w:t>)</w:t>
      </w:r>
      <w:r w:rsidRPr="008040A0">
        <w:fldChar w:fldCharType="end"/>
      </w:r>
      <w:r>
        <w:t>.</w:t>
      </w:r>
      <w:r w:rsidRPr="008040A0">
        <w:t xml:space="preserve"> The study found that, in the control week, selection time and total transaction time </w:t>
      </w:r>
      <w:r w:rsidRPr="008040A0">
        <w:lastRenderedPageBreak/>
        <w:t>were estimated at 11 seconds and 30 seconds, respectively, compared with 28 seconds and 58 seconds under standardised packaging.</w:t>
      </w:r>
      <w:r>
        <w:t xml:space="preserve"> However, this study was based on a very small sample size (n=4) and a limited duration which is unlikely to identify the long term impact of tobacco plain packaging.</w:t>
      </w:r>
    </w:p>
    <w:p w14:paraId="4D46440E" w14:textId="77777777" w:rsidR="00617E7B" w:rsidRPr="008040A0" w:rsidRDefault="00617E7B" w:rsidP="00617E7B">
      <w:pPr>
        <w:rPr>
          <w:lang w:val="en-GB"/>
        </w:rPr>
      </w:pPr>
      <w:r>
        <w:rPr>
          <w:lang w:val="en-GB"/>
        </w:rPr>
        <w:t xml:space="preserve">Subsequent studies were undertaken after the measure had been implemented.  For example </w:t>
      </w:r>
      <w:r w:rsidRPr="008040A0">
        <w:rPr>
          <w:lang w:val="en-GB"/>
        </w:rPr>
        <w:t xml:space="preserve">Carter </w:t>
      </w:r>
      <w:r w:rsidRPr="00BD6488">
        <w:rPr>
          <w:lang w:val="en-GB"/>
        </w:rPr>
        <w:t>et al</w:t>
      </w:r>
      <w:r>
        <w:rPr>
          <w:lang w:val="en-GB"/>
        </w:rPr>
        <w:t>.,</w:t>
      </w:r>
      <w:r w:rsidRPr="008040A0">
        <w:rPr>
          <w:lang w:val="en-GB"/>
        </w:rPr>
        <w:t xml:space="preserve"> (2013) undertook a study at 100 convenience stores, newsagents, petrol stations and supermarkets in Perth one month before and </w:t>
      </w:r>
      <w:r>
        <w:rPr>
          <w:lang w:val="en-GB"/>
        </w:rPr>
        <w:t xml:space="preserve">one month </w:t>
      </w:r>
      <w:r w:rsidRPr="008040A0">
        <w:rPr>
          <w:lang w:val="en-GB"/>
        </w:rPr>
        <w:t xml:space="preserve">after the introduction of </w:t>
      </w:r>
      <w:r>
        <w:rPr>
          <w:lang w:val="en-GB"/>
        </w:rPr>
        <w:t xml:space="preserve">tobacco plain packaging in Australia </w:t>
      </w:r>
      <w:r w:rsidRPr="008040A0">
        <w:rPr>
          <w:lang w:val="en-GB"/>
        </w:rPr>
        <w:fldChar w:fldCharType="begin"/>
      </w:r>
      <w:r>
        <w:rPr>
          <w:lang w:val="en-GB"/>
        </w:rPr>
        <w:instrText xml:space="preserve"> ADDIN EN.CITE &lt;EndNote&gt;&lt;Cite&gt;&lt;Author&gt;Carter&lt;/Author&gt;&lt;Year&gt;2013&lt;/Year&gt;&lt;RecNum&gt;62&lt;/RecNum&gt;&lt;DisplayText&gt;(Carter, Welch, Mills, Phan, &amp;amp; Chang, 2013)&lt;/DisplayText&gt;&lt;record&gt;&lt;rec-number&gt;62&lt;/rec-number&gt;&lt;foreign-keys&gt;&lt;key app="EN" db-id="edfppa0tc0tfd1etp5xvexpnzfefzewwwas9" timestamp="1441592648"&gt;62&lt;/key&gt;&lt;/foreign-keys&gt;&lt;ref-type name="Journal Article"&gt;17&lt;/ref-type&gt;&lt;contributors&gt;&lt;authors&gt;&lt;author&gt;Carter, Owen&lt;/author&gt;&lt;author&gt;Welch, Matthew&lt;/author&gt;&lt;author&gt;Mills, Brennen&lt;/author&gt;&lt;author&gt;Phan, Tina&lt;/author&gt;&lt;author&gt;Chang, Paul&lt;/author&gt;&lt;/authors&gt;&lt;/contributors&gt;&lt;titles&gt;&lt;title&gt;Plain packaging for cigarettes improves retail transaction times&lt;/title&gt;&lt;secondary-title&gt;BMJ (Online)&lt;/secondary-title&gt;&lt;/titles&gt;&lt;periodical&gt;&lt;full-title&gt;BMJ (Online)&lt;/full-title&gt;&lt;/periodical&gt;&lt;volume&gt;346&lt;/volume&gt;&lt;number&gt;7896&lt;/number&gt;&lt;dates&gt;&lt;year&gt;2013&lt;/year&gt;&lt;/dates&gt;&lt;work-type&gt;Journal Article&lt;/work-type&gt;&lt;urls&gt;&lt;/urls&gt;&lt;/record&gt;&lt;/Cite&gt;&lt;/EndNote&gt;</w:instrText>
      </w:r>
      <w:r w:rsidRPr="008040A0">
        <w:rPr>
          <w:lang w:val="en-GB"/>
        </w:rPr>
        <w:fldChar w:fldCharType="separate"/>
      </w:r>
      <w:r>
        <w:rPr>
          <w:noProof/>
          <w:lang w:val="en-GB"/>
        </w:rPr>
        <w:t>(</w:t>
      </w:r>
      <w:hyperlink w:anchor="_ENREF_16" w:tooltip="Carter, 2013 #62" w:history="1">
        <w:r>
          <w:rPr>
            <w:noProof/>
            <w:lang w:val="en-GB"/>
          </w:rPr>
          <w:t>Carter, Welch, Mills, Phan, &amp; Chang, 2013</w:t>
        </w:r>
      </w:hyperlink>
      <w:r>
        <w:rPr>
          <w:noProof/>
          <w:lang w:val="en-GB"/>
        </w:rPr>
        <w:t>)</w:t>
      </w:r>
      <w:r w:rsidRPr="008040A0">
        <w:fldChar w:fldCharType="end"/>
      </w:r>
      <w:r>
        <w:t>.</w:t>
      </w:r>
      <w:r w:rsidRPr="008040A0">
        <w:rPr>
          <w:lang w:val="en-GB"/>
        </w:rPr>
        <w:t xml:space="preserve"> The study found a statistically significant reduction in transaction times. Average transaction times decreased from 8.94 seconds (October 2012) to 7.39 seconds (January 2013).</w:t>
      </w:r>
    </w:p>
    <w:p w14:paraId="1BADA235" w14:textId="4C67393D" w:rsidR="00617E7B" w:rsidRDefault="00617E7B" w:rsidP="00617E7B">
      <w:pPr>
        <w:rPr>
          <w:lang w:val="en-GB"/>
        </w:rPr>
      </w:pPr>
      <w:r w:rsidRPr="008040A0">
        <w:rPr>
          <w:lang w:val="en-GB"/>
        </w:rPr>
        <w:t xml:space="preserve">In two larger </w:t>
      </w:r>
      <w:r>
        <w:rPr>
          <w:lang w:val="en-GB"/>
        </w:rPr>
        <w:t xml:space="preserve">peer-reviewed </w:t>
      </w:r>
      <w:r w:rsidRPr="008040A0">
        <w:rPr>
          <w:lang w:val="en-GB"/>
        </w:rPr>
        <w:t xml:space="preserve">studies </w:t>
      </w:r>
      <w:r w:rsidRPr="008040A0">
        <w:rPr>
          <w:lang w:val="en-GB"/>
        </w:rPr>
        <w:fldChar w:fldCharType="begin"/>
      </w:r>
      <w:r>
        <w:rPr>
          <w:lang w:val="en-GB"/>
        </w:rPr>
        <w:instrText xml:space="preserve"> ADDIN EN.CITE &lt;EndNote&gt;&lt;Cite&gt;&lt;Author&gt;Bayly&lt;/Author&gt;&lt;Year&gt;2015&lt;/Year&gt;&lt;RecNum&gt;63&lt;/RecNum&gt;&lt;DisplayText&gt;(Bayly, Scollo, &amp;amp; Wakefield, 2015; Wakefield, Bayly, &amp;amp; Scollo, 2014)&lt;/DisplayText&gt;&lt;record&gt;&lt;rec-number&gt;63&lt;/rec-number&gt;&lt;foreign-keys&gt;&lt;key app="EN" db-id="edfppa0tc0tfd1etp5xvexpnzfefzewwwas9" timestamp="1441592648"&gt;63&lt;/key&gt;&lt;/foreign-keys&gt;&lt;ref-type name="Journal Article"&gt;17&lt;/ref-type&gt;&lt;contributors&gt;&lt;authors&gt;&lt;author&gt;Bayly, Megan&lt;/author&gt;&lt;author&gt;Scollo, Michelle&lt;/author&gt;&lt;author&gt;Wakefield, Melanie&lt;/author&gt;&lt;/authors&gt;&lt;/contributors&gt;&lt;titles&gt;&lt;title&gt;No lasting effects of plain packaging on cigarette pack retrieval time in small Australian retail outlets&lt;/title&gt;&lt;secondary-title&gt;Tobacco control&lt;/secondary-title&gt;&lt;/titles&gt;&lt;periodical&gt;&lt;full-title&gt;Tobacco control&lt;/full-title&gt;&lt;/periodical&gt;&lt;pages&gt;e108-e109&lt;/pages&gt;&lt;volume&gt;24&lt;/volume&gt;&lt;number&gt;e1&lt;/number&gt;&lt;dates&gt;&lt;year&gt;2015&lt;/year&gt;&lt;pub-dates&gt;&lt;date&gt;March 1, 2015&lt;/date&gt;&lt;/pub-dates&gt;&lt;/dates&gt;&lt;urls&gt;&lt;related-urls&gt;&lt;url&gt;http://tobaccocontrol.bmj.com/content/24/e1/e108.short&lt;/url&gt;&lt;/related-urls&gt;&lt;/urls&gt;&lt;/record&gt;&lt;/Cite&gt;&lt;Cite&gt;&lt;Author&gt;Wakefield&lt;/Author&gt;&lt;Year&gt;2014&lt;/Year&gt;&lt;RecNum&gt;64&lt;/RecNum&gt;&lt;record&gt;&lt;rec-number&gt;64&lt;/rec-number&gt;&lt;foreign-keys&gt;&lt;key app="EN" db-id="edfppa0tc0tfd1etp5xvexpnzfefzewwwas9" timestamp="1441592648"&gt;64&lt;/key&gt;&lt;/foreign-keys&gt;&lt;ref-type name="Journal Article"&gt;17&lt;/ref-type&gt;&lt;contributors&gt;&lt;authors&gt;&lt;author&gt;Wakefield, M&lt;/author&gt;&lt;author&gt;Bayly, M&lt;/author&gt;&lt;author&gt;Scollo, M&lt;/author&gt;&lt;/authors&gt;&lt;/contributors&gt;&lt;titles&gt;&lt;title&gt;Product retrieval time in small tobacco retail outlets before and after the Australian plain packaging policy: real-world study&lt;/title&gt;&lt;secondary-title&gt;Tobacco control&lt;/secondary-title&gt;&lt;/titles&gt;&lt;periodical&gt;&lt;full-title&gt;Tobacco control&lt;/full-title&gt;&lt;/periodical&gt;&lt;pages&gt;70-76&lt;/pages&gt;&lt;volume&gt;23&lt;/volume&gt;&lt;number&gt;1&lt;/number&gt;&lt;dates&gt;&lt;year&gt;2014&lt;/year&gt;&lt;pub-dates&gt;&lt;date&gt;January 1, 2014&lt;/date&gt;&lt;/pub-dates&gt;&lt;/dates&gt;&lt;urls&gt;&lt;/urls&gt;&lt;/record&gt;&lt;/Cite&gt;&lt;/EndNote&gt;</w:instrText>
      </w:r>
      <w:r w:rsidRPr="008040A0">
        <w:rPr>
          <w:lang w:val="en-GB"/>
        </w:rPr>
        <w:fldChar w:fldCharType="separate"/>
      </w:r>
      <w:r>
        <w:rPr>
          <w:noProof/>
          <w:lang w:val="en-GB"/>
        </w:rPr>
        <w:t>(</w:t>
      </w:r>
      <w:hyperlink w:anchor="_ENREF_9" w:tooltip="Bayly, 2015 #63" w:history="1">
        <w:r>
          <w:rPr>
            <w:noProof/>
            <w:lang w:val="en-GB"/>
          </w:rPr>
          <w:t>Bayly, Scollo, &amp; Wakefield, 2015</w:t>
        </w:r>
      </w:hyperlink>
      <w:r>
        <w:rPr>
          <w:noProof/>
          <w:lang w:val="en-GB"/>
        </w:rPr>
        <w:t xml:space="preserve">; </w:t>
      </w:r>
      <w:hyperlink w:anchor="_ENREF_65" w:tooltip="Wakefield, 2014 #64" w:history="1">
        <w:r>
          <w:rPr>
            <w:noProof/>
            <w:lang w:val="en-GB"/>
          </w:rPr>
          <w:t>Wakefield, Bayly, &amp; Scollo, 2014</w:t>
        </w:r>
      </w:hyperlink>
      <w:r>
        <w:rPr>
          <w:noProof/>
          <w:lang w:val="en-GB"/>
        </w:rPr>
        <w:t>)</w:t>
      </w:r>
      <w:r w:rsidRPr="008040A0">
        <w:fldChar w:fldCharType="end"/>
      </w:r>
      <w:r w:rsidRPr="008040A0">
        <w:rPr>
          <w:lang w:val="en-GB"/>
        </w:rPr>
        <w:t>, over 300 outlets in Sydney, Melbourne, Adelaide and Perth were recruited with tobacco product retrieval time measured prior to</w:t>
      </w:r>
      <w:r>
        <w:rPr>
          <w:lang w:val="en-GB"/>
        </w:rPr>
        <w:t>, during, and after</w:t>
      </w:r>
      <w:r w:rsidRPr="008040A0">
        <w:rPr>
          <w:lang w:val="en-GB"/>
        </w:rPr>
        <w:t xml:space="preserve"> the implementation of </w:t>
      </w:r>
      <w:r>
        <w:rPr>
          <w:lang w:val="en-GB"/>
        </w:rPr>
        <w:t xml:space="preserve">tobacco </w:t>
      </w:r>
      <w:r w:rsidRPr="008040A0">
        <w:rPr>
          <w:lang w:val="en-GB"/>
        </w:rPr>
        <w:t>plain packaging</w:t>
      </w:r>
      <w:r>
        <w:rPr>
          <w:lang w:val="en-GB"/>
        </w:rPr>
        <w:t>.</w:t>
      </w:r>
      <w:r w:rsidRPr="008040A0">
        <w:rPr>
          <w:lang w:val="en-GB"/>
        </w:rPr>
        <w:t xml:space="preserve"> Both </w:t>
      </w:r>
      <w:r>
        <w:rPr>
          <w:lang w:val="en-GB"/>
        </w:rPr>
        <w:t xml:space="preserve">of these </w:t>
      </w:r>
      <w:r w:rsidRPr="008040A0">
        <w:rPr>
          <w:lang w:val="en-GB"/>
        </w:rPr>
        <w:t xml:space="preserve">studies </w:t>
      </w:r>
      <w:r>
        <w:rPr>
          <w:lang w:val="en-GB"/>
        </w:rPr>
        <w:t xml:space="preserve">found that </w:t>
      </w:r>
      <w:r w:rsidRPr="008040A0">
        <w:rPr>
          <w:lang w:val="en-GB"/>
        </w:rPr>
        <w:t xml:space="preserve">post-implementation retrieval times were not statistically different </w:t>
      </w:r>
      <w:r>
        <w:rPr>
          <w:lang w:val="en-GB"/>
        </w:rPr>
        <w:t xml:space="preserve">from </w:t>
      </w:r>
      <w:r w:rsidRPr="008040A0">
        <w:rPr>
          <w:lang w:val="en-GB"/>
        </w:rPr>
        <w:t>pre-</w:t>
      </w:r>
      <w:r>
        <w:rPr>
          <w:lang w:val="en-GB"/>
        </w:rPr>
        <w:t>implementation</w:t>
      </w:r>
      <w:r w:rsidRPr="008040A0">
        <w:rPr>
          <w:lang w:val="en-GB"/>
        </w:rPr>
        <w:t xml:space="preserve"> measurements. Whilst </w:t>
      </w:r>
      <w:r>
        <w:rPr>
          <w:lang w:val="en-GB"/>
        </w:rPr>
        <w:t xml:space="preserve">product retrieval times were numerically higher </w:t>
      </w:r>
      <w:r w:rsidRPr="008040A0">
        <w:rPr>
          <w:lang w:val="en-GB"/>
        </w:rPr>
        <w:t xml:space="preserve">during the first month </w:t>
      </w:r>
      <w:r>
        <w:rPr>
          <w:lang w:val="en-GB"/>
        </w:rPr>
        <w:t xml:space="preserve">after </w:t>
      </w:r>
      <w:r w:rsidRPr="008040A0">
        <w:rPr>
          <w:lang w:val="en-GB"/>
        </w:rPr>
        <w:t xml:space="preserve">implementation </w:t>
      </w:r>
      <w:r>
        <w:rPr>
          <w:lang w:val="en-GB"/>
        </w:rPr>
        <w:t xml:space="preserve">of the measure, than at baseline (pre-implementation), </w:t>
      </w:r>
      <w:r w:rsidRPr="008040A0">
        <w:rPr>
          <w:lang w:val="en-GB"/>
        </w:rPr>
        <w:t>the</w:t>
      </w:r>
      <w:r>
        <w:rPr>
          <w:lang w:val="en-GB"/>
        </w:rPr>
        <w:t>se</w:t>
      </w:r>
      <w:r w:rsidRPr="008040A0">
        <w:rPr>
          <w:lang w:val="en-GB"/>
        </w:rPr>
        <w:t xml:space="preserve"> </w:t>
      </w:r>
      <w:r>
        <w:rPr>
          <w:lang w:val="en-GB"/>
        </w:rPr>
        <w:t xml:space="preserve">differences </w:t>
      </w:r>
      <w:r w:rsidRPr="008040A0">
        <w:rPr>
          <w:lang w:val="en-GB"/>
        </w:rPr>
        <w:t>were not statistically significant</w:t>
      </w:r>
      <w:r>
        <w:rPr>
          <w:lang w:val="en-GB"/>
        </w:rPr>
        <w:t xml:space="preserve"> </w:t>
      </w:r>
      <w:r w:rsidRPr="008040A0">
        <w:rPr>
          <w:lang w:val="en-GB"/>
        </w:rPr>
        <w:t>(see</w:t>
      </w:r>
      <w:r w:rsidR="00B04314">
        <w:rPr>
          <w:lang w:val="en-GB"/>
        </w:rPr>
        <w:t xml:space="preserve"> </w:t>
      </w:r>
      <w:r w:rsidR="00B04314">
        <w:rPr>
          <w:lang w:val="en-GB"/>
        </w:rPr>
        <w:fldChar w:fldCharType="begin"/>
      </w:r>
      <w:r w:rsidR="00B04314">
        <w:rPr>
          <w:lang w:val="en-GB"/>
        </w:rPr>
        <w:instrText xml:space="preserve"> REF _Ref443462654 \h </w:instrText>
      </w:r>
      <w:r w:rsidR="00B04314">
        <w:rPr>
          <w:lang w:val="en-GB"/>
        </w:rPr>
      </w:r>
      <w:r w:rsidR="00B04314">
        <w:rPr>
          <w:lang w:val="en-GB"/>
        </w:rPr>
        <w:fldChar w:fldCharType="separate"/>
      </w:r>
      <w:r w:rsidR="005403ED" w:rsidRPr="009C426B">
        <w:t xml:space="preserve">Figure </w:t>
      </w:r>
      <w:r w:rsidR="005403ED">
        <w:rPr>
          <w:noProof/>
        </w:rPr>
        <w:t>1</w:t>
      </w:r>
      <w:r w:rsidR="00B04314">
        <w:rPr>
          <w:lang w:val="en-GB"/>
        </w:rPr>
        <w:fldChar w:fldCharType="end"/>
      </w:r>
      <w:r w:rsidR="00875432">
        <w:rPr>
          <w:lang w:val="en-GB"/>
        </w:rPr>
        <w:t>).</w:t>
      </w:r>
      <w:r w:rsidRPr="008040A0">
        <w:rPr>
          <w:lang w:val="en-GB"/>
        </w:rPr>
        <w:t xml:space="preserve"> </w:t>
      </w:r>
    </w:p>
    <w:p w14:paraId="73E66F60" w14:textId="2B8CBA8D" w:rsidR="00B04314" w:rsidRPr="009C426B" w:rsidRDefault="00B04314" w:rsidP="009C426B">
      <w:pPr>
        <w:pStyle w:val="Caption"/>
        <w:jc w:val="left"/>
        <w:rPr>
          <w:sz w:val="24"/>
          <w:lang w:val="en-GB"/>
        </w:rPr>
      </w:pPr>
      <w:bookmarkStart w:id="73" w:name="_Ref443462654"/>
      <w:r w:rsidRPr="009C426B">
        <w:rPr>
          <w:sz w:val="24"/>
        </w:rPr>
        <w:t xml:space="preserve">Figure </w:t>
      </w:r>
      <w:r w:rsidR="009C426B" w:rsidRPr="009C426B">
        <w:rPr>
          <w:sz w:val="24"/>
        </w:rPr>
        <w:fldChar w:fldCharType="begin"/>
      </w:r>
      <w:r w:rsidR="009C426B" w:rsidRPr="009C426B">
        <w:rPr>
          <w:sz w:val="24"/>
        </w:rPr>
        <w:instrText xml:space="preserve"> SEQ Figure \* ARABIC </w:instrText>
      </w:r>
      <w:r w:rsidR="009C426B" w:rsidRPr="009C426B">
        <w:rPr>
          <w:sz w:val="24"/>
        </w:rPr>
        <w:fldChar w:fldCharType="separate"/>
      </w:r>
      <w:proofErr w:type="gramStart"/>
      <w:r w:rsidR="005403ED">
        <w:rPr>
          <w:noProof/>
          <w:sz w:val="24"/>
        </w:rPr>
        <w:t>1</w:t>
      </w:r>
      <w:r w:rsidR="009C426B" w:rsidRPr="009C426B">
        <w:rPr>
          <w:noProof/>
          <w:sz w:val="24"/>
        </w:rPr>
        <w:fldChar w:fldCharType="end"/>
      </w:r>
      <w:bookmarkEnd w:id="73"/>
      <w:r w:rsidRPr="009C426B">
        <w:rPr>
          <w:sz w:val="24"/>
        </w:rPr>
        <w:t xml:space="preserve"> Adjusted average pack retrieval duration</w:t>
      </w:r>
      <w:proofErr w:type="gramEnd"/>
      <w:r w:rsidRPr="009C426B">
        <w:rPr>
          <w:sz w:val="24"/>
        </w:rPr>
        <w:t xml:space="preserve"> with</w:t>
      </w:r>
      <w:r w:rsidR="0000208E">
        <w:rPr>
          <w:sz w:val="24"/>
        </w:rPr>
        <w:t xml:space="preserve"> </w:t>
      </w:r>
      <w:r w:rsidRPr="009C426B">
        <w:rPr>
          <w:sz w:val="24"/>
        </w:rPr>
        <w:t>95% CI, by month, controlling for city area SES and store type</w:t>
      </w:r>
    </w:p>
    <w:p w14:paraId="4DE886D8" w14:textId="77777777" w:rsidR="00617E7B" w:rsidRPr="008040A0" w:rsidRDefault="00617E7B" w:rsidP="00617E7B">
      <w:pPr>
        <w:pStyle w:val="Caption"/>
        <w:keepNext/>
      </w:pPr>
      <w:r w:rsidRPr="00E727C3">
        <w:rPr>
          <w:noProof/>
          <w:lang w:eastAsia="en-AU"/>
        </w:rPr>
        <w:drawing>
          <wp:inline distT="0" distB="0" distL="0" distR="0" wp14:anchorId="3B708369" wp14:editId="459EEBF0">
            <wp:extent cx="5724525" cy="3514725"/>
            <wp:effectExtent l="0" t="0" r="9525" b="9525"/>
            <wp:docPr id="8" name="Picture 8" descr="Figure 1 is a line graph measuring average tobacco product retrieval times (in seconds) before, during and after the implementation of plain packaging. &#10;&#10;Measurements plotted on the graph are:&#10;June 2012 – 10.91 seconds&#10;September 2012 – 9.84 seconds &#10;December 2012 – 12.43 seconds &#10;February 2013 – 10.37 seconds &#10;April 2013 – 9.66 seconds&#10;July 2013 – 9.27 seconds&#10;&#10;An explanation of the peer reviewed source of this graph can be found in the text prior to 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a:noFill/>
                    </a:ln>
                  </pic:spPr>
                </pic:pic>
              </a:graphicData>
            </a:graphic>
          </wp:inline>
        </w:drawing>
      </w:r>
    </w:p>
    <w:p w14:paraId="6C89E974" w14:textId="77777777" w:rsidR="00617E7B" w:rsidRPr="003C6068" w:rsidRDefault="00617E7B" w:rsidP="00617E7B">
      <w:pPr>
        <w:pStyle w:val="tablenotes2"/>
        <w:keepNext/>
      </w:pPr>
      <w:r w:rsidRPr="00C9033D">
        <w:t xml:space="preserve">Source: Figure 1, </w:t>
      </w:r>
      <w:r w:rsidRPr="003C6068">
        <w:fldChar w:fldCharType="begin"/>
      </w:r>
      <w:r>
        <w:instrText xml:space="preserve"> ADDIN EN.CITE &lt;EndNote&gt;&lt;Cite&gt;&lt;Author&gt;Bayly&lt;/Author&gt;&lt;Year&gt;2015&lt;/Year&gt;&lt;RecNum&gt;63&lt;/RecNum&gt;&lt;DisplayText&gt;(Bayly et al., 2015)&lt;/DisplayText&gt;&lt;record&gt;&lt;rec-number&gt;63&lt;/rec-number&gt;&lt;foreign-keys&gt;&lt;key app="EN" db-id="edfppa0tc0tfd1etp5xvexpnzfefzewwwas9" timestamp="1441592648"&gt;63&lt;/key&gt;&lt;/foreign-keys&gt;&lt;ref-type name="Journal Article"&gt;17&lt;/ref-type&gt;&lt;contributors&gt;&lt;authors&gt;&lt;author&gt;Bayly, Megan&lt;/author&gt;&lt;author&gt;Scollo, Michelle&lt;/author&gt;&lt;author&gt;Wakefield, Melanie&lt;/author&gt;&lt;/authors&gt;&lt;/contributors&gt;&lt;titles&gt;&lt;title&gt;No lasting effects of plain packaging on cigarette pack retrieval time in small Australian retail outlets&lt;/title&gt;&lt;secondary-title&gt;Tobacco control&lt;/secondary-title&gt;&lt;/titles&gt;&lt;periodical&gt;&lt;full-title&gt;Tobacco control&lt;/full-title&gt;&lt;/periodical&gt;&lt;pages&gt;e108-e109&lt;/pages&gt;&lt;volume&gt;24&lt;/volume&gt;&lt;number&gt;e1&lt;/number&gt;&lt;dates&gt;&lt;year&gt;2015&lt;/year&gt;&lt;pub-dates&gt;&lt;date&gt;March 1, 2015&lt;/date&gt;&lt;/pub-dates&gt;&lt;/dates&gt;&lt;urls&gt;&lt;related-urls&gt;&lt;url&gt;http://tobaccocontrol.bmj.com/content/24/e1/e108.short&lt;/url&gt;&lt;/related-urls&gt;&lt;/urls&gt;&lt;/record&gt;&lt;/Cite&gt;&lt;/EndNote&gt;</w:instrText>
      </w:r>
      <w:r w:rsidRPr="003C6068">
        <w:fldChar w:fldCharType="separate"/>
      </w:r>
      <w:r>
        <w:rPr>
          <w:noProof/>
        </w:rPr>
        <w:t>(</w:t>
      </w:r>
      <w:hyperlink w:anchor="_ENREF_9" w:tooltip="Bayly, 2015 #63" w:history="1">
        <w:r>
          <w:rPr>
            <w:noProof/>
          </w:rPr>
          <w:t>Bayly et al., 2015</w:t>
        </w:r>
      </w:hyperlink>
      <w:r>
        <w:rPr>
          <w:noProof/>
        </w:rPr>
        <w:t>)</w:t>
      </w:r>
      <w:r w:rsidRPr="003C6068">
        <w:fldChar w:fldCharType="end"/>
      </w:r>
    </w:p>
    <w:p w14:paraId="54A1134F" w14:textId="77777777" w:rsidR="00617E7B" w:rsidRDefault="00617E7B" w:rsidP="00617E7B">
      <w:r>
        <w:t>Whilst not a direct measure of the impact of tobacco plain packaging on transaction times, t</w:t>
      </w:r>
      <w:r w:rsidRPr="008040A0">
        <w:t xml:space="preserve">wo </w:t>
      </w:r>
      <w:r>
        <w:t xml:space="preserve">other recent peer-reviewed </w:t>
      </w:r>
      <w:r w:rsidRPr="008040A0">
        <w:t xml:space="preserve">studies </w:t>
      </w:r>
      <w:r w:rsidRPr="008040A0">
        <w:fldChar w:fldCharType="begin"/>
      </w:r>
      <w:r>
        <w:instrText xml:space="preserve"> ADDIN EN.CITE &lt;EndNote&gt;&lt;Cite&gt;&lt;Author&gt;Scollo&lt;/Author&gt;&lt;Year&gt;2014&lt;/Year&gt;&lt;RecNum&gt;65&lt;/RecNum&gt;&lt;DisplayText&gt;(Scollo, Coomber, Zacher, &amp;amp; Wakefield, 2015b; Scollo, Zacher, Durkin, &amp;amp; Wakefield, 2014)&lt;/DisplayText&gt;&lt;record&gt;&lt;rec-number&gt;65&lt;/rec-number&gt;&lt;foreign-keys&gt;&lt;key app="EN" db-id="edfppa0tc0tfd1etp5xvexpnzfefzewwwas9" timestamp="1441592648"&gt;65&lt;/key&gt;&lt;/foreign-keys&gt;&lt;ref-type name="Journal Article"&gt;17&lt;/ref-type&gt;&lt;contributors&gt;&lt;authors&gt;&lt;author&gt;Scollo, Michelle&lt;/author&gt;&lt;author&gt;Zacher, Meghan&lt;/author&gt;&lt;author&gt;Durkin, Sarah&lt;/author&gt;&lt;author&gt;Wakefield, Melanie&lt;/author&gt;&lt;/authors&gt;&lt;/contributors&gt;&lt;titles&gt;&lt;title&gt;Early evidence about the predicted unintended consequences of standardised packaging of tobacco products in Australia: a cross-sectional study of the place of purchase, regular brands and use of illicit tobacco&lt;/title&gt;&lt;secondary-title&gt;BMJ Open&lt;/secondary-title&gt;&lt;/titles&gt;&lt;periodical&gt;&lt;full-title&gt;BMJ Open&lt;/full-title&gt;&lt;/periodical&gt;&lt;volume&gt;4&lt;/volume&gt;&lt;number&gt;8&lt;/number&gt;&lt;dates&gt;&lt;year&gt;2014&lt;/year&gt;&lt;pub-dates&gt;&lt;date&gt;August 1, 2014&lt;/date&gt;&lt;/pub-dates&gt;&lt;/dates&gt;&lt;urls&gt;&lt;/urls&gt;&lt;/record&gt;&lt;/Cite&gt;&lt;Cite&gt;&lt;Author&gt;Scollo&lt;/Author&gt;&lt;Year&gt;2015b&lt;/Year&gt;&lt;RecNum&gt;66&lt;/RecNum&gt;&lt;record&gt;&lt;rec-number&gt;66&lt;/rec-number&gt;&lt;foreign-keys&gt;&lt;key app="EN" db-id="edfppa0tc0tfd1etp5xvexpnzfefzewwwas9" timestamp="1441592648"&gt;66&lt;/key&gt;&lt;/foreign-keys&gt;&lt;ref-type name="Journal Article"&gt;17&lt;/ref-type&gt;&lt;contributors&gt;&lt;authors&gt;&lt;author&gt;Scollo, Michelle&lt;/author&gt;&lt;author&gt;Coomber, Kerri&lt;/author&gt;&lt;author&gt;Zacher, Meghan&lt;/author&gt;&lt;author&gt;Wakefield, Melanie&lt;/author&gt;&lt;/authors&gt;&lt;/contributors&gt;&lt;titles&gt;&lt;title&gt;Did smokers shift from small mixed businesses to discount outlets following the introduction of plain packaging in Australia? A national cross-sectional survey&lt;/title&gt;&lt;secondary-title&gt;Tobacco control&lt;/secondary-title&gt;&lt;/titles&gt;&lt;periodical&gt;&lt;full-title&gt;Tobacco control&lt;/full-title&gt;&lt;/periodical&gt;&lt;pages&gt;ii98-ii100&lt;/pages&gt;&lt;volume&gt;24&lt;/volume&gt;&lt;number&gt;Supplement 2&lt;/number&gt;&lt;dates&gt;&lt;year&gt;2015b&lt;/year&gt;&lt;pub-dates&gt;&lt;date&gt;April 1, 2015&lt;/date&gt;&lt;/pub-dates&gt;&lt;/dates&gt;&lt;urls&gt;&lt;/urls&gt;&lt;/record&gt;&lt;/Cite&gt;&lt;/EndNote&gt;</w:instrText>
      </w:r>
      <w:r w:rsidRPr="008040A0">
        <w:fldChar w:fldCharType="separate"/>
      </w:r>
      <w:r>
        <w:rPr>
          <w:noProof/>
        </w:rPr>
        <w:t>(</w:t>
      </w:r>
      <w:hyperlink w:anchor="_ENREF_52" w:tooltip="Scollo, 2015b #66" w:history="1">
        <w:r>
          <w:rPr>
            <w:noProof/>
          </w:rPr>
          <w:t>Scollo, Coomber, Zacher, &amp; Wakefield, 2015b</w:t>
        </w:r>
      </w:hyperlink>
      <w:r>
        <w:rPr>
          <w:noProof/>
        </w:rPr>
        <w:t xml:space="preserve">; </w:t>
      </w:r>
      <w:hyperlink w:anchor="_ENREF_55" w:tooltip="Scollo, 2014 #65" w:history="1">
        <w:r>
          <w:rPr>
            <w:noProof/>
          </w:rPr>
          <w:t>Scollo, Zacher, Durkin, &amp; Wakefield, 2014</w:t>
        </w:r>
      </w:hyperlink>
      <w:r>
        <w:rPr>
          <w:noProof/>
        </w:rPr>
        <w:t>)</w:t>
      </w:r>
      <w:r w:rsidRPr="008040A0">
        <w:fldChar w:fldCharType="end"/>
      </w:r>
      <w:r w:rsidRPr="008040A0">
        <w:t xml:space="preserve"> explored propositions </w:t>
      </w:r>
      <w:r>
        <w:t xml:space="preserve">made by the tobacco industry </w:t>
      </w:r>
      <w:r w:rsidRPr="008040A0">
        <w:t xml:space="preserve">that owing to increased transaction times, customers would switch their location of purchase away from small mixed businesses to large discount outlets such as supermarkets. </w:t>
      </w:r>
      <w:r w:rsidRPr="008040A0">
        <w:lastRenderedPageBreak/>
        <w:t>Both studies concluded that reporting of purchase from supermarkets did not increase and the percentage purchasing from small business outlets did not decline.</w:t>
      </w:r>
      <w:r>
        <w:t xml:space="preserve"> Arguably, transaction time increases could therefore be considered from the consumers’ perspective to be within the normal expected transaction time associated with face-to-face retail purchasing.</w:t>
      </w:r>
    </w:p>
    <w:p w14:paraId="426E9BA9" w14:textId="77777777" w:rsidR="00617E7B" w:rsidRDefault="00617E7B" w:rsidP="00617E7B">
      <w:pPr>
        <w:rPr>
          <w:lang w:val="en-GB"/>
        </w:rPr>
      </w:pPr>
      <w:r>
        <w:t>The TPP measure applies exclusively to retail trade and does not restrict the use of colours, logos or other identifiers with respect to wholesale distribution or as the UK policy on standardised tobacco packaging phrases it “within the tobacco trade”. Consequently, any additional time with respect to manufacturing and wholesale distribution or by retailers in receiving orders cannot be attributed to the TPP measure per se.</w:t>
      </w:r>
      <w:r>
        <w:rPr>
          <w:lang w:val="en-GB"/>
        </w:rPr>
        <w:t xml:space="preserve"> </w:t>
      </w:r>
    </w:p>
    <w:p w14:paraId="1B13A283" w14:textId="77777777" w:rsidR="00617E7B" w:rsidRPr="00D16890" w:rsidRDefault="00617E7B" w:rsidP="00911267">
      <w:pPr>
        <w:pStyle w:val="Heading4"/>
        <w:rPr>
          <w:sz w:val="28"/>
          <w:u w:val="single"/>
        </w:rPr>
      </w:pPr>
      <w:r w:rsidRPr="00D16890">
        <w:rPr>
          <w:sz w:val="28"/>
          <w:u w:val="single"/>
        </w:rPr>
        <w:t>Data from Costing Survey</w:t>
      </w:r>
    </w:p>
    <w:p w14:paraId="5B4E38E1" w14:textId="77777777" w:rsidR="00617E7B" w:rsidRDefault="00617E7B" w:rsidP="00617E7B">
      <w:pPr>
        <w:rPr>
          <w:lang w:val="en-GB"/>
        </w:rPr>
      </w:pPr>
      <w:r w:rsidRPr="008040A0">
        <w:rPr>
          <w:lang w:val="en-GB"/>
        </w:rPr>
        <w:t>From the online cost</w:t>
      </w:r>
      <w:r>
        <w:rPr>
          <w:lang w:val="en-GB"/>
        </w:rPr>
        <w:t>ing</w:t>
      </w:r>
      <w:r w:rsidRPr="008040A0">
        <w:rPr>
          <w:lang w:val="en-GB"/>
        </w:rPr>
        <w:t xml:space="preserve"> survey, 48 retailers provided responses</w:t>
      </w:r>
      <w:r>
        <w:rPr>
          <w:lang w:val="en-GB"/>
        </w:rPr>
        <w:t>,</w:t>
      </w:r>
      <w:r w:rsidRPr="008040A0">
        <w:rPr>
          <w:lang w:val="en-GB"/>
        </w:rPr>
        <w:t xml:space="preserve"> with additional cost estimates provided by </w:t>
      </w:r>
      <w:r>
        <w:t>tobacco retailer representative groups and bodies</w:t>
      </w:r>
      <w:r>
        <w:rPr>
          <w:lang w:val="en-GB"/>
        </w:rPr>
        <w:t xml:space="preserve">. </w:t>
      </w:r>
      <w:r w:rsidRPr="008040A0">
        <w:rPr>
          <w:lang w:val="en-GB"/>
        </w:rPr>
        <w:t>Based on the cost</w:t>
      </w:r>
      <w:r>
        <w:rPr>
          <w:lang w:val="en-GB"/>
        </w:rPr>
        <w:t>ing</w:t>
      </w:r>
      <w:r w:rsidRPr="008040A0">
        <w:rPr>
          <w:lang w:val="en-GB"/>
        </w:rPr>
        <w:t xml:space="preserve"> survey, 57% of retailers </w:t>
      </w:r>
      <w:r>
        <w:rPr>
          <w:lang w:val="en-GB"/>
        </w:rPr>
        <w:t xml:space="preserve">who responded </w:t>
      </w:r>
      <w:r w:rsidRPr="008040A0">
        <w:rPr>
          <w:lang w:val="en-GB"/>
        </w:rPr>
        <w:t>identified increased costs associated with stock handling, retrieval time and returns of products sold incorrectly</w:t>
      </w:r>
      <w:r>
        <w:rPr>
          <w:lang w:val="en-GB"/>
        </w:rPr>
        <w:t xml:space="preserve"> following the implementation of the TPP measure</w:t>
      </w:r>
      <w:r w:rsidRPr="008040A0">
        <w:rPr>
          <w:lang w:val="en-GB"/>
        </w:rPr>
        <w:t>. Whilst the survey was able to identify these costs, respondents were unable to provide an estimate of the impact</w:t>
      </w:r>
      <w:r>
        <w:rPr>
          <w:lang w:val="en-GB"/>
        </w:rPr>
        <w:t xml:space="preserve"> or to quantify the increase in transaction times</w:t>
      </w:r>
      <w:r w:rsidRPr="008040A0">
        <w:rPr>
          <w:lang w:val="en-GB"/>
        </w:rPr>
        <w:t xml:space="preserve">. </w:t>
      </w:r>
      <w:r>
        <w:rPr>
          <w:lang w:val="en-GB"/>
        </w:rPr>
        <w:t xml:space="preserve">An estimate was provided by a retail representative body </w:t>
      </w:r>
      <w:r w:rsidRPr="008040A0">
        <w:rPr>
          <w:lang w:val="en-GB"/>
        </w:rPr>
        <w:t>of 45 seconds per transaction</w:t>
      </w:r>
      <w:r>
        <w:rPr>
          <w:lang w:val="en-GB"/>
        </w:rPr>
        <w:t>, based on anecdotal evidence they received from their members</w:t>
      </w:r>
      <w:r w:rsidRPr="008040A0">
        <w:rPr>
          <w:lang w:val="en-GB"/>
        </w:rPr>
        <w:t xml:space="preserve">. Based on the proportion of retailers that reported increased transaction times (57%) </w:t>
      </w:r>
      <w:r>
        <w:rPr>
          <w:lang w:val="en-GB"/>
        </w:rPr>
        <w:t xml:space="preserve">from the costing survey, </w:t>
      </w:r>
      <w:r w:rsidRPr="008040A0">
        <w:rPr>
          <w:lang w:val="en-GB"/>
        </w:rPr>
        <w:t xml:space="preserve">the average increase in retrieval time </w:t>
      </w:r>
      <w:r>
        <w:rPr>
          <w:lang w:val="en-GB"/>
        </w:rPr>
        <w:t xml:space="preserve">(based on the estimate provided by the retail body) </w:t>
      </w:r>
      <w:r w:rsidRPr="008040A0">
        <w:rPr>
          <w:lang w:val="en-GB"/>
        </w:rPr>
        <w:t>would be 26 seconds</w:t>
      </w:r>
      <w:r>
        <w:rPr>
          <w:lang w:val="en-GB"/>
        </w:rPr>
        <w:t xml:space="preserve"> (i.e. 57% x 45s)</w:t>
      </w:r>
      <w:r w:rsidRPr="008040A0">
        <w:rPr>
          <w:lang w:val="en-GB"/>
        </w:rPr>
        <w:t xml:space="preserve">. This estimate appears to be a significant overestimate of the increased transaction time relative to the peer-reviewed studies of </w:t>
      </w:r>
      <w:r>
        <w:rPr>
          <w:lang w:val="en-GB"/>
        </w:rPr>
        <w:t xml:space="preserve">which have found an average of </w:t>
      </w:r>
      <w:r w:rsidRPr="008040A0">
        <w:rPr>
          <w:lang w:val="en-GB"/>
        </w:rPr>
        <w:t>2.59 seconds</w:t>
      </w:r>
      <w:r>
        <w:rPr>
          <w:lang w:val="en-GB"/>
        </w:rPr>
        <w:t>,</w:t>
      </w:r>
      <w:r w:rsidRPr="008040A0">
        <w:rPr>
          <w:lang w:val="en-GB"/>
        </w:rPr>
        <w:t xml:space="preserve"> limited to the one month following implementation. </w:t>
      </w:r>
      <w:r>
        <w:rPr>
          <w:lang w:val="en-GB"/>
        </w:rPr>
        <w:t>For this analysis, an average of 2.59 seconds per tobacco transaction in the month of December 2012 was estimated based on the peer-reviewed literature and is consistent with the approach adopted in the UK impact assessment of standardised packaging of tobacco products.</w:t>
      </w:r>
    </w:p>
    <w:p w14:paraId="62E8FFE7" w14:textId="77777777" w:rsidR="00617E7B" w:rsidRDefault="00617E7B" w:rsidP="00617E7B">
      <w:pPr>
        <w:rPr>
          <w:lang w:val="en-GB"/>
        </w:rPr>
      </w:pPr>
      <w:r w:rsidRPr="008040A0">
        <w:rPr>
          <w:lang w:val="en-GB"/>
        </w:rPr>
        <w:t>An estimated 18</w:t>
      </w:r>
      <w:r>
        <w:rPr>
          <w:lang w:val="en-GB"/>
        </w:rPr>
        <w:t>.</w:t>
      </w:r>
      <w:r w:rsidRPr="008040A0">
        <w:rPr>
          <w:lang w:val="en-GB"/>
        </w:rPr>
        <w:t xml:space="preserve">597 million cigarette sticks, 66 million cigars and 1,845.6 tonnes of smoking tobacco was sold in 2012 </w:t>
      </w:r>
      <w:r w:rsidRPr="008040A0">
        <w:rPr>
          <w:lang w:val="en-GB"/>
        </w:rPr>
        <w:fldChar w:fldCharType="begin"/>
      </w:r>
      <w:r>
        <w:rPr>
          <w:lang w:val="en-GB"/>
        </w:rPr>
        <w:instrText xml:space="preserve"> ADDIN EN.CITE &lt;EndNote&gt;&lt;Cite&gt;&lt;Author&gt;Euromonitor International&lt;/Author&gt;&lt;Year&gt;2014&lt;/Year&gt;&lt;RecNum&gt;58&lt;/RecNum&gt;&lt;DisplayText&gt;(Euromonitor International, 2014)&lt;/DisplayText&gt;&lt;record&gt;&lt;rec-number&gt;58&lt;/rec-number&gt;&lt;foreign-keys&gt;&lt;key app="EN" db-id="edfppa0tc0tfd1etp5xvexpnzfefzewwwas9" timestamp="1441592648"&gt;58&lt;/key&gt;&lt;/foreign-keys&gt;&lt;ref-type name="Government Document"&gt;46&lt;/ref-type&gt;&lt;contributors&gt;&lt;authors&gt;&lt;author&gt;Euromonitor International,&lt;/author&gt;&lt;/authors&gt;&lt;/contributors&gt;&lt;titles&gt;&lt;title&gt;Tobacco in Australia&lt;/title&gt;&lt;/titles&gt;&lt;dates&gt;&lt;year&gt;2014&lt;/year&gt;&lt;/dates&gt;&lt;publisher&gt;Euromonitor International&lt;/publisher&gt;&lt;urls&gt;&lt;/urls&gt;&lt;/record&gt;&lt;/Cite&gt;&lt;/EndNote&gt;</w:instrText>
      </w:r>
      <w:r w:rsidRPr="008040A0">
        <w:rPr>
          <w:lang w:val="en-GB"/>
        </w:rPr>
        <w:fldChar w:fldCharType="separate"/>
      </w:r>
      <w:r>
        <w:rPr>
          <w:noProof/>
          <w:lang w:val="en-GB"/>
        </w:rPr>
        <w:t>(</w:t>
      </w:r>
      <w:hyperlink w:anchor="_ENREF_28" w:tooltip="Euromonitor International, 2014 #58" w:history="1">
        <w:r>
          <w:rPr>
            <w:noProof/>
            <w:lang w:val="en-GB"/>
          </w:rPr>
          <w:t>Euromonitor International, 2014</w:t>
        </w:r>
      </w:hyperlink>
      <w:r>
        <w:rPr>
          <w:noProof/>
          <w:lang w:val="en-GB"/>
        </w:rPr>
        <w:t>)</w:t>
      </w:r>
      <w:r w:rsidRPr="008040A0">
        <w:fldChar w:fldCharType="end"/>
      </w:r>
      <w:r w:rsidRPr="008040A0">
        <w:rPr>
          <w:lang w:val="en-GB"/>
        </w:rPr>
        <w:t xml:space="preserve">. In order to estimate the number of tobacco transactions </w:t>
      </w:r>
      <w:r>
        <w:rPr>
          <w:lang w:val="en-GB"/>
        </w:rPr>
        <w:t xml:space="preserve">that </w:t>
      </w:r>
      <w:r w:rsidRPr="008040A0">
        <w:rPr>
          <w:lang w:val="en-GB"/>
        </w:rPr>
        <w:t xml:space="preserve">occurred during the month of December 2012, the following assumptions were made: </w:t>
      </w:r>
    </w:p>
    <w:p w14:paraId="7A89797E" w14:textId="036F3D26" w:rsidR="00617E7B" w:rsidRPr="00F34037" w:rsidRDefault="00617E7B" w:rsidP="00F34037">
      <w:pPr>
        <w:pStyle w:val="Bullet"/>
        <w:rPr>
          <w:lang w:val="en-GB"/>
        </w:rPr>
      </w:pPr>
      <w:r w:rsidRPr="00F34037">
        <w:rPr>
          <w:lang w:val="en-GB"/>
        </w:rPr>
        <w:t xml:space="preserve">there are 25 cigarettes per cigarette pack; </w:t>
      </w:r>
    </w:p>
    <w:p w14:paraId="0706C7EB" w14:textId="77777777" w:rsidR="00617E7B" w:rsidRPr="00F34037" w:rsidRDefault="00617E7B" w:rsidP="00F34037">
      <w:pPr>
        <w:pStyle w:val="Bullet"/>
        <w:rPr>
          <w:lang w:val="en-GB"/>
        </w:rPr>
      </w:pPr>
      <w:r w:rsidRPr="00F34037">
        <w:rPr>
          <w:lang w:val="en-GB"/>
        </w:rPr>
        <w:t>50g of loose tobacco per pouch;</w:t>
      </w:r>
    </w:p>
    <w:p w14:paraId="2A30407D" w14:textId="77777777" w:rsidR="00617E7B" w:rsidRPr="00F34037" w:rsidRDefault="00617E7B" w:rsidP="00F34037">
      <w:pPr>
        <w:pStyle w:val="Bullet"/>
        <w:rPr>
          <w:lang w:val="en-GB"/>
        </w:rPr>
      </w:pPr>
      <w:r w:rsidRPr="00F34037">
        <w:rPr>
          <w:lang w:val="en-GB"/>
        </w:rPr>
        <w:t xml:space="preserve">71% of cigars are sold individually and remaining cigars are in packs of five </w:t>
      </w:r>
      <w:r w:rsidRPr="00F34037">
        <w:rPr>
          <w:lang w:val="en-GB"/>
        </w:rPr>
        <w:fldChar w:fldCharType="begin"/>
      </w:r>
      <w:r w:rsidRPr="00F34037">
        <w:rPr>
          <w:lang w:val="en-GB"/>
        </w:rPr>
        <w:instrText xml:space="preserve"> ADDIN EN.CITE &lt;EndNote&gt;&lt;Cite&gt;&lt;Author&gt;Shanahan&lt;/Author&gt;&lt;Year&gt;2009&lt;/Year&gt;&lt;RecNum&gt;67&lt;/RecNum&gt;&lt;DisplayText&gt;(Shanahan &amp;amp; Elliott, 2009)&lt;/DisplayText&gt;&lt;record&gt;&lt;rec-number&gt;67&lt;/rec-number&gt;&lt;foreign-keys&gt;&lt;key app="EN" db-id="edfppa0tc0tfd1etp5xvexpnzfefzewwwas9" timestamp="1441592648"&gt;67&lt;/key&gt;&lt;/foreign-keys&gt;&lt;ref-type name="Book"&gt;6&lt;/ref-type&gt;&lt;contributors&gt;&lt;authors&gt;&lt;author&gt;Shanahan, P.&lt;/author&gt;&lt;author&gt;Elliott, D.&lt;/author&gt;&lt;/authors&gt;&lt;/contributors&gt;&lt;titles&gt;&lt;title&gt;Evaluation of the Effectiveness of the Graphic Health Warnings on Tobacco Product Packaging 2008&lt;/title&gt;&lt;/titles&gt;&lt;dates&gt;&lt;year&gt;2009&lt;/year&gt;&lt;/dates&gt;&lt;pub-location&gt;Canberra&lt;/pub-location&gt;&lt;publisher&gt;Australian Government Department of Health and Ageing&lt;/publisher&gt;&lt;urls&gt;&lt;/urls&gt;&lt;/record&gt;&lt;/Cite&gt;&lt;/EndNote&gt;</w:instrText>
      </w:r>
      <w:r w:rsidRPr="00F34037">
        <w:rPr>
          <w:lang w:val="en-GB"/>
        </w:rPr>
        <w:fldChar w:fldCharType="separate"/>
      </w:r>
      <w:r w:rsidRPr="00F34037">
        <w:rPr>
          <w:lang w:val="en-GB"/>
        </w:rPr>
        <w:t>(</w:t>
      </w:r>
      <w:hyperlink w:anchor="_ENREF_56" w:tooltip="Shanahan, 2009 #67" w:history="1">
        <w:r w:rsidRPr="00F34037">
          <w:rPr>
            <w:lang w:val="en-GB"/>
          </w:rPr>
          <w:t>Shanahan &amp; Elliott, 2009</w:t>
        </w:r>
      </w:hyperlink>
      <w:r w:rsidRPr="00F34037">
        <w:rPr>
          <w:lang w:val="en-GB"/>
        </w:rPr>
        <w:t>)</w:t>
      </w:r>
      <w:r w:rsidRPr="00F34037">
        <w:rPr>
          <w:lang w:val="en-GB"/>
        </w:rPr>
        <w:fldChar w:fldCharType="end"/>
      </w:r>
      <w:r w:rsidRPr="00F34037">
        <w:rPr>
          <w:lang w:val="en-GB"/>
        </w:rPr>
        <w:t>;</w:t>
      </w:r>
    </w:p>
    <w:p w14:paraId="1826C524" w14:textId="5D898237" w:rsidR="00617E7B" w:rsidRPr="00F34037" w:rsidRDefault="00617E7B" w:rsidP="00F34037">
      <w:pPr>
        <w:pStyle w:val="Bullet"/>
        <w:rPr>
          <w:lang w:val="en-GB"/>
        </w:rPr>
      </w:pPr>
      <w:r w:rsidRPr="00F34037">
        <w:rPr>
          <w:lang w:val="en-GB"/>
        </w:rPr>
        <w:t xml:space="preserve">customers purchase an average of 1.5 cigarette packs per transaction </w:t>
      </w:r>
      <w:r w:rsidRPr="00F34037">
        <w:rPr>
          <w:lang w:val="en-GB"/>
        </w:rPr>
        <w:fldChar w:fldCharType="begin"/>
      </w:r>
      <w:r w:rsidRPr="00F34037">
        <w:rPr>
          <w:lang w:val="en-GB"/>
        </w:rPr>
        <w:instrText xml:space="preserve"> ADDIN EN.CITE &lt;EndNote&gt;&lt;Cite&gt;&lt;Author&gt;Visuality&lt;/Author&gt;&lt;Year&gt;2012&lt;/Year&gt;&lt;RecNum&gt;61&lt;/RecNum&gt;&lt;DisplayText&gt;(Visuality, 2012)&lt;/DisplayText&gt;&lt;record&gt;&lt;rec-number&gt;61&lt;/rec-number&gt;&lt;foreign-keys&gt;&lt;key app="EN" db-id="edfppa0tc0tfd1etp5xvexpnzfefzewwwas9" timestamp="1441592648"&gt;61&lt;/key&gt;&lt;/foreign-keys&gt;&lt;ref-type name="Government Document"&gt;46&lt;/ref-type&gt;&lt;contributors&gt;&lt;authors&gt;&lt;author&gt;Visuality&lt;/author&gt;&lt;/authors&gt;&lt;/contributors&gt;&lt;titles&gt;&lt;title&gt;The effects of standarised tobacco packaging on retail service in the UK.&lt;/title&gt;&lt;/titles&gt;&lt;dates&gt;&lt;year&gt;2012&lt;/year&gt;&lt;/dates&gt;&lt;pub-location&gt;Weymouth&lt;/pub-location&gt;&lt;publisher&gt;Rural Shops Alliance&lt;/publisher&gt;&lt;urls&gt;&lt;/urls&gt;&lt;/record&gt;&lt;/Cite&gt;&lt;/EndNote&gt;</w:instrText>
      </w:r>
      <w:r w:rsidRPr="00F34037">
        <w:rPr>
          <w:lang w:val="en-GB"/>
        </w:rPr>
        <w:fldChar w:fldCharType="separate"/>
      </w:r>
      <w:r w:rsidRPr="00F34037">
        <w:rPr>
          <w:lang w:val="en-GB"/>
        </w:rPr>
        <w:t>(</w:t>
      </w:r>
      <w:hyperlink w:anchor="_ENREF_64" w:tooltip="Visuality, 2012 #61" w:history="1">
        <w:r w:rsidRPr="00F34037">
          <w:rPr>
            <w:lang w:val="en-GB"/>
          </w:rPr>
          <w:t>Visuality, 2012</w:t>
        </w:r>
      </w:hyperlink>
      <w:r w:rsidRPr="00F34037">
        <w:rPr>
          <w:lang w:val="en-GB"/>
        </w:rPr>
        <w:t>)</w:t>
      </w:r>
      <w:r w:rsidRPr="00F34037">
        <w:rPr>
          <w:lang w:val="en-GB"/>
        </w:rPr>
        <w:fldChar w:fldCharType="end"/>
      </w:r>
      <w:r w:rsidRPr="00F34037">
        <w:rPr>
          <w:lang w:val="en-GB"/>
        </w:rPr>
        <w:t xml:space="preserve">, 1 pouch of loose tobacco per transaction, 1 cigar/pack per transaction; and </w:t>
      </w:r>
    </w:p>
    <w:p w14:paraId="2265C5BB" w14:textId="7F5566A5" w:rsidR="00617E7B" w:rsidRPr="00F34037" w:rsidRDefault="00617E7B" w:rsidP="00F34037">
      <w:pPr>
        <w:pStyle w:val="Bullet"/>
        <w:rPr>
          <w:lang w:val="en-GB"/>
        </w:rPr>
      </w:pPr>
      <w:proofErr w:type="gramStart"/>
      <w:r w:rsidRPr="00F34037">
        <w:rPr>
          <w:lang w:val="en-GB"/>
        </w:rPr>
        <w:t>the</w:t>
      </w:r>
      <w:proofErr w:type="gramEnd"/>
      <w:r w:rsidRPr="00F34037">
        <w:rPr>
          <w:lang w:val="en-GB"/>
        </w:rPr>
        <w:t xml:space="preserve"> total number of transactions are spread evenly across the year. </w:t>
      </w:r>
    </w:p>
    <w:p w14:paraId="24320A42" w14:textId="77777777" w:rsidR="00617E7B" w:rsidRDefault="00617E7B" w:rsidP="00617E7B">
      <w:r w:rsidRPr="00995D40">
        <w:t xml:space="preserve">This results in an estimate of 49,902,667 retail tobacco transactions. Based on an estimate of an average increase in retail transaction time of 2.59 seconds, </w:t>
      </w:r>
      <w:r>
        <w:t xml:space="preserve">tobacco </w:t>
      </w:r>
      <w:r w:rsidRPr="00995D40">
        <w:t>plain packaging could be estimated to have been associated with 28,971 hours of increased estimated transaction time</w:t>
      </w:r>
      <w:r>
        <w:t xml:space="preserve"> during the month of December</w:t>
      </w:r>
      <w:r w:rsidRPr="00995D40">
        <w:t xml:space="preserve">. </w:t>
      </w:r>
    </w:p>
    <w:p w14:paraId="2EC0479D" w14:textId="77777777" w:rsidR="00617E7B" w:rsidRPr="002372DF" w:rsidRDefault="00617E7B" w:rsidP="00617E7B">
      <w:r w:rsidRPr="00995D40">
        <w:t xml:space="preserve">The </w:t>
      </w:r>
      <w:r>
        <w:t xml:space="preserve">costing </w:t>
      </w:r>
      <w:r w:rsidRPr="00995D40">
        <w:t>survey also asked the average hourly cost per employee including superannuation and other employee overheads. T</w:t>
      </w:r>
      <w:r w:rsidRPr="00E06D25">
        <w:t xml:space="preserve">he average cost per hour was $23.93. Based on the estimated increased </w:t>
      </w:r>
      <w:r>
        <w:t xml:space="preserve">transaction </w:t>
      </w:r>
      <w:r w:rsidRPr="00E06D25">
        <w:t xml:space="preserve">time and the average cost per hour, the total cost of increased </w:t>
      </w:r>
      <w:r w:rsidRPr="00E06D25">
        <w:lastRenderedPageBreak/>
        <w:t xml:space="preserve">retail transaction time associated with </w:t>
      </w:r>
      <w:r>
        <w:t>tobacco plain packaging</w:t>
      </w:r>
      <w:r w:rsidRPr="00E06D25">
        <w:t xml:space="preserve"> is </w:t>
      </w:r>
      <w:r w:rsidRPr="002372DF">
        <w:t xml:space="preserve">$675,555 </w:t>
      </w:r>
      <w:r>
        <w:t xml:space="preserve">($0.68 million) </w:t>
      </w:r>
      <w:r w:rsidRPr="002372DF">
        <w:t>in the month of December across all tobacco retailers.</w:t>
      </w:r>
    </w:p>
    <w:p w14:paraId="2188305F" w14:textId="77777777" w:rsidR="00617E7B" w:rsidRPr="008040A0" w:rsidRDefault="00617E7B" w:rsidP="00617E7B">
      <w:pPr>
        <w:rPr>
          <w:lang w:val="en-GB"/>
        </w:rPr>
      </w:pPr>
      <w:r w:rsidRPr="002372DF">
        <w:rPr>
          <w:lang w:val="en-GB"/>
        </w:rPr>
        <w:t>In addition, 33% of retailers that responded to the costing survey identified increased costs associated with implementing strategies to mitigate increased time associated with stock handling (e.g. re-organising stock ordering and receiving processes) and transaction times and error (e.g. the use of shelf labels). The average cost for these activities is $180 per store who undertook such investment (or an average of $60 across all tobacco retailers). The survey estimates are broadly consistent with the $78.56 estimate provided by one of the retail representative bodies for small retail stores (1 person x 4 hours x $19.64 = $78.56). Based on 35,000 tobacco retailers in Australia with an average cost per store of $60, the total for one-off costs to retailers would be $2.1 million.</w:t>
      </w:r>
    </w:p>
    <w:p w14:paraId="00B47A4B" w14:textId="77777777" w:rsidR="00617E7B" w:rsidRDefault="00617E7B" w:rsidP="00617E7B">
      <w:pPr>
        <w:rPr>
          <w:lang w:val="en-GB"/>
        </w:rPr>
      </w:pPr>
      <w:r>
        <w:rPr>
          <w:lang w:val="en-GB"/>
        </w:rPr>
        <w:t>I</w:t>
      </w:r>
      <w:r w:rsidRPr="008040A0">
        <w:rPr>
          <w:lang w:val="en-GB"/>
        </w:rPr>
        <w:t>ncreased time was also identified with respect to facilitating stock change over</w:t>
      </w:r>
      <w:r>
        <w:rPr>
          <w:lang w:val="en-GB"/>
        </w:rPr>
        <w:t xml:space="preserve"> f</w:t>
      </w:r>
      <w:r w:rsidRPr="008040A0">
        <w:rPr>
          <w:lang w:val="en-GB"/>
        </w:rPr>
        <w:t xml:space="preserve">rom both the cost survey and </w:t>
      </w:r>
      <w:r>
        <w:rPr>
          <w:lang w:val="en-GB"/>
        </w:rPr>
        <w:t xml:space="preserve">stakeholder </w:t>
      </w:r>
      <w:r w:rsidRPr="008040A0">
        <w:rPr>
          <w:lang w:val="en-GB"/>
        </w:rPr>
        <w:t>submission</w:t>
      </w:r>
      <w:r>
        <w:rPr>
          <w:lang w:val="en-GB"/>
        </w:rPr>
        <w:t>s</w:t>
      </w:r>
      <w:r w:rsidRPr="008040A0">
        <w:rPr>
          <w:lang w:val="en-GB"/>
        </w:rPr>
        <w:t xml:space="preserve">. However, as the business as usual scenario includes the transition associated with </w:t>
      </w:r>
      <w:r>
        <w:rPr>
          <w:lang w:val="en-GB"/>
        </w:rPr>
        <w:t xml:space="preserve">the updated and expanded health </w:t>
      </w:r>
      <w:r w:rsidRPr="008040A0">
        <w:rPr>
          <w:lang w:val="en-GB"/>
        </w:rPr>
        <w:t>warnings (which also require</w:t>
      </w:r>
      <w:r>
        <w:rPr>
          <w:lang w:val="en-GB"/>
        </w:rPr>
        <w:t>s</w:t>
      </w:r>
      <w:r w:rsidRPr="008040A0">
        <w:rPr>
          <w:lang w:val="en-GB"/>
        </w:rPr>
        <w:t xml:space="preserve"> return of stock and restocking of tobacco products) the </w:t>
      </w:r>
      <w:r>
        <w:rPr>
          <w:lang w:val="en-GB"/>
        </w:rPr>
        <w:t>incremental</w:t>
      </w:r>
      <w:r w:rsidRPr="008040A0">
        <w:rPr>
          <w:lang w:val="en-GB"/>
        </w:rPr>
        <w:t xml:space="preserve"> cost of these activities </w:t>
      </w:r>
      <w:r>
        <w:rPr>
          <w:lang w:val="en-GB"/>
        </w:rPr>
        <w:t>due to tobacco</w:t>
      </w:r>
      <w:r w:rsidRPr="008040A0">
        <w:rPr>
          <w:lang w:val="en-GB"/>
        </w:rPr>
        <w:t xml:space="preserve"> plain packaging</w:t>
      </w:r>
      <w:r>
        <w:rPr>
          <w:lang w:val="en-GB"/>
        </w:rPr>
        <w:t>, over and above business-as-usual,</w:t>
      </w:r>
      <w:r w:rsidRPr="008040A0">
        <w:rPr>
          <w:lang w:val="en-GB"/>
        </w:rPr>
        <w:t xml:space="preserve"> is </w:t>
      </w:r>
      <w:r>
        <w:rPr>
          <w:lang w:val="en-GB"/>
        </w:rPr>
        <w:t xml:space="preserve">considered to be </w:t>
      </w:r>
      <w:r w:rsidRPr="008040A0">
        <w:rPr>
          <w:lang w:val="en-GB"/>
        </w:rPr>
        <w:t>nil.</w:t>
      </w:r>
    </w:p>
    <w:p w14:paraId="26C43131" w14:textId="15BB117B" w:rsidR="00617E7B" w:rsidRDefault="00617E7B" w:rsidP="00617E7B">
      <w:pPr>
        <w:rPr>
          <w:lang w:val="en-GB"/>
        </w:rPr>
      </w:pPr>
      <w:r>
        <w:rPr>
          <w:lang w:val="en-GB"/>
        </w:rPr>
        <w:t>However, to explore the implications of such costs if incurred, a cost associated with additional time for ordering and stocking was explored as an illustrative example. One of the retail representative bodies estimated that, an additional four hours per week were required to refill shoots, order stock, conduct stock-take, receive invoices and mark off stock on arrival. Assuming that the increased time for these activities would follow a similar learning curve as was observed for retail sales (that is approximately four weeks for staff to adjust and return to similar levels prior to the introduction of tobacco plain packaging) and based on similar estimates of tobacco retailers (35,000) and the cost of retail staff ($23.93) then an illustrative cost of additional time associated with handling plain packaged stock, if there was any, could be estimated as $13.4 million.</w:t>
      </w:r>
    </w:p>
    <w:p w14:paraId="0D0D13B3" w14:textId="4BD29E46" w:rsidR="006E3505" w:rsidRPr="00D16890" w:rsidRDefault="006E3505" w:rsidP="00D16890">
      <w:pPr>
        <w:pStyle w:val="Heading4"/>
        <w:rPr>
          <w:sz w:val="28"/>
          <w:u w:val="single"/>
        </w:rPr>
      </w:pPr>
      <w:r w:rsidRPr="00D16890">
        <w:rPr>
          <w:sz w:val="28"/>
          <w:u w:val="single"/>
        </w:rPr>
        <w:t xml:space="preserve">Summary Impact on Retail </w:t>
      </w:r>
      <w:r w:rsidR="004A219A" w:rsidRPr="00D16890">
        <w:rPr>
          <w:sz w:val="28"/>
          <w:u w:val="single"/>
        </w:rPr>
        <w:t>Transaction Time</w:t>
      </w:r>
    </w:p>
    <w:p w14:paraId="4F9FE324" w14:textId="49B97EF6" w:rsidR="00617E7B" w:rsidRDefault="006E3505" w:rsidP="002E7BE9">
      <w:pPr>
        <w:rPr>
          <w:lang w:val="en-GB"/>
        </w:rPr>
      </w:pPr>
      <w:r w:rsidRPr="007E4682">
        <w:t xml:space="preserve">The weight of evidence suggests that the TPP </w:t>
      </w:r>
      <w:r>
        <w:t>measure</w:t>
      </w:r>
      <w:r w:rsidRPr="007E4682">
        <w:t xml:space="preserve"> has not substantively affected retail transaction time with respect to product retrieval in the long term. One of the reasons for no lasting effect has been due to the investment in other activities to mitigate this cost. However, these initial investments as well as the increased transaction time during a short period of adjustment to tobacco plain packaging represent a cost to tobacco retailers. The estimated total impact across all tobacco retailers from increased transaction and handling times is estimated as $2.</w:t>
      </w:r>
      <w:r>
        <w:t>7</w:t>
      </w:r>
      <w:r w:rsidRPr="007E4682">
        <w:t>8 million</w:t>
      </w:r>
      <w:r>
        <w:t xml:space="preserve"> (equal to $2.1 million for one-off costs plus $0.68 million for increased time during transition)</w:t>
      </w:r>
      <w:r w:rsidRPr="007E4682">
        <w:t>. This was borne in the first 12 months after introducing tobacco plain packaging and therefore also reflects the present value of this cost.</w:t>
      </w:r>
    </w:p>
    <w:p w14:paraId="5FE858E9" w14:textId="77777777" w:rsidR="008110B4" w:rsidRDefault="008110B4">
      <w:pPr>
        <w:tabs>
          <w:tab w:val="clear" w:pos="357"/>
        </w:tabs>
        <w:spacing w:before="0" w:after="200" w:line="276" w:lineRule="auto"/>
        <w:rPr>
          <w:rFonts w:cs="Times New Roman"/>
          <w:b/>
          <w:bCs/>
          <w:sz w:val="28"/>
          <w:szCs w:val="26"/>
        </w:rPr>
      </w:pPr>
      <w:bookmarkStart w:id="74" w:name="_Toc443560338"/>
      <w:bookmarkStart w:id="75" w:name="_Toc443560366"/>
      <w:bookmarkStart w:id="76" w:name="_Toc443560416"/>
      <w:r>
        <w:br w:type="page"/>
      </w:r>
    </w:p>
    <w:p w14:paraId="3034159F" w14:textId="5A789B3D" w:rsidR="00DE495D" w:rsidRPr="00D16890" w:rsidRDefault="00DE495D" w:rsidP="00D16890">
      <w:pPr>
        <w:pStyle w:val="Heading3"/>
      </w:pPr>
      <w:r w:rsidRPr="00D16890">
        <w:lastRenderedPageBreak/>
        <w:t>Total Regulatory Burden</w:t>
      </w:r>
      <w:bookmarkEnd w:id="72"/>
      <w:bookmarkEnd w:id="74"/>
      <w:bookmarkEnd w:id="75"/>
      <w:bookmarkEnd w:id="76"/>
    </w:p>
    <w:p w14:paraId="592E362C" w14:textId="6ED6390F" w:rsidR="00E56224" w:rsidRDefault="00DE495D" w:rsidP="001E6BB8">
      <w:r w:rsidRPr="00003F38">
        <w:t xml:space="preserve">A summary of the total regulatory burden is presented in </w:t>
      </w:r>
      <w:r w:rsidR="00E56224">
        <w:fldChar w:fldCharType="begin"/>
      </w:r>
      <w:r w:rsidR="00E56224">
        <w:instrText xml:space="preserve"> REF _Ref443463906 \h </w:instrText>
      </w:r>
      <w:r w:rsidR="00E56224">
        <w:fldChar w:fldCharType="separate"/>
      </w:r>
      <w:r w:rsidR="005403ED" w:rsidRPr="009C426B">
        <w:t xml:space="preserve">Table </w:t>
      </w:r>
      <w:r w:rsidR="005403ED">
        <w:rPr>
          <w:noProof/>
        </w:rPr>
        <w:t>2</w:t>
      </w:r>
      <w:r w:rsidR="00E56224">
        <w:fldChar w:fldCharType="end"/>
      </w:r>
      <w:r w:rsidRPr="00003F38">
        <w:t>.</w:t>
      </w:r>
    </w:p>
    <w:p w14:paraId="104A976E" w14:textId="1529E63B" w:rsidR="00E56224" w:rsidRPr="009C426B" w:rsidRDefault="00E56224" w:rsidP="009C426B">
      <w:pPr>
        <w:pStyle w:val="Caption"/>
        <w:jc w:val="left"/>
        <w:rPr>
          <w:sz w:val="24"/>
          <w:szCs w:val="24"/>
        </w:rPr>
      </w:pPr>
      <w:bookmarkStart w:id="77" w:name="_Ref443463906"/>
      <w:r w:rsidRPr="009C426B">
        <w:rPr>
          <w:sz w:val="24"/>
          <w:szCs w:val="24"/>
        </w:rPr>
        <w:t xml:space="preserve">Table </w:t>
      </w:r>
      <w:r w:rsidR="009C426B" w:rsidRPr="009C426B">
        <w:rPr>
          <w:sz w:val="24"/>
          <w:szCs w:val="24"/>
        </w:rPr>
        <w:fldChar w:fldCharType="begin"/>
      </w:r>
      <w:r w:rsidR="009C426B" w:rsidRPr="009C426B">
        <w:rPr>
          <w:sz w:val="24"/>
          <w:szCs w:val="24"/>
        </w:rPr>
        <w:instrText xml:space="preserve"> SEQ Table \* ARABIC </w:instrText>
      </w:r>
      <w:r w:rsidR="009C426B" w:rsidRPr="009C426B">
        <w:rPr>
          <w:sz w:val="24"/>
          <w:szCs w:val="24"/>
        </w:rPr>
        <w:fldChar w:fldCharType="separate"/>
      </w:r>
      <w:r w:rsidR="005403ED">
        <w:rPr>
          <w:noProof/>
          <w:sz w:val="24"/>
          <w:szCs w:val="24"/>
        </w:rPr>
        <w:t>2</w:t>
      </w:r>
      <w:r w:rsidR="009C426B" w:rsidRPr="009C426B">
        <w:rPr>
          <w:noProof/>
          <w:sz w:val="24"/>
          <w:szCs w:val="24"/>
        </w:rPr>
        <w:fldChar w:fldCharType="end"/>
      </w:r>
      <w:bookmarkEnd w:id="77"/>
      <w:r w:rsidRPr="009C426B">
        <w:rPr>
          <w:sz w:val="24"/>
          <w:szCs w:val="24"/>
        </w:rPr>
        <w:t xml:space="preserve"> Summary of regulatory burden</w:t>
      </w:r>
      <w:r w:rsidRPr="009C426B">
        <w:rPr>
          <w:rStyle w:val="FootnoteReference"/>
          <w:sz w:val="24"/>
          <w:szCs w:val="24"/>
        </w:rPr>
        <w:footnoteReference w:id="5"/>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2 is a summary of the regulatory burden estimated. Read across for the type of business  (split by Manufacturers and Retailers), the Categories of costs (Purchasing and Compliance for manufacturers; and Education and Compliance for retailers), the Type of cost (all costs identified are start-up costs), and the Value in Australian dollars of each type of cost identified. Read across the fourth row for total costs. The final row divides the total regulatory burden by the number of businesses to provide a &quot;total per business&quot; cost."/>
      </w:tblPr>
      <w:tblGrid>
        <w:gridCol w:w="2620"/>
        <w:gridCol w:w="2131"/>
        <w:gridCol w:w="2303"/>
        <w:gridCol w:w="2189"/>
      </w:tblGrid>
      <w:tr w:rsidR="009C426B" w:rsidRPr="00003F38" w14:paraId="30302E22" w14:textId="77777777" w:rsidTr="009C426B">
        <w:tc>
          <w:tcPr>
            <w:tcW w:w="1417" w:type="pct"/>
            <w:shd w:val="clear" w:color="auto" w:fill="DBE5F1" w:themeFill="accent1" w:themeFillTint="33"/>
            <w:vAlign w:val="center"/>
          </w:tcPr>
          <w:p w14:paraId="2106CAB8" w14:textId="77777777" w:rsidR="009C426B" w:rsidRPr="009C426B" w:rsidRDefault="009C426B" w:rsidP="005E2D88">
            <w:pPr>
              <w:pStyle w:val="tabletext0"/>
              <w:rPr>
                <w:b/>
              </w:rPr>
            </w:pPr>
            <w:r w:rsidRPr="009C426B">
              <w:rPr>
                <w:b/>
              </w:rPr>
              <w:t>Business</w:t>
            </w:r>
          </w:p>
        </w:tc>
        <w:tc>
          <w:tcPr>
            <w:tcW w:w="1153" w:type="pct"/>
            <w:shd w:val="clear" w:color="auto" w:fill="DBE5F1" w:themeFill="accent1" w:themeFillTint="33"/>
            <w:vAlign w:val="center"/>
          </w:tcPr>
          <w:p w14:paraId="1C9BAEFE" w14:textId="3CF90F87" w:rsidR="009C426B" w:rsidRPr="009C426B" w:rsidRDefault="009C426B" w:rsidP="005E2D88">
            <w:pPr>
              <w:pStyle w:val="tabletext0"/>
              <w:rPr>
                <w:b/>
              </w:rPr>
            </w:pPr>
            <w:r w:rsidRPr="009C426B">
              <w:rPr>
                <w:b/>
              </w:rPr>
              <w:t>Category</w:t>
            </w:r>
          </w:p>
        </w:tc>
        <w:tc>
          <w:tcPr>
            <w:tcW w:w="1246" w:type="pct"/>
            <w:shd w:val="clear" w:color="auto" w:fill="DBE5F1" w:themeFill="accent1" w:themeFillTint="33"/>
            <w:vAlign w:val="center"/>
          </w:tcPr>
          <w:p w14:paraId="1B94F7F4" w14:textId="39D57740" w:rsidR="009C426B" w:rsidRPr="009C426B" w:rsidRDefault="009C426B" w:rsidP="005E2D88">
            <w:pPr>
              <w:pStyle w:val="tabletext0"/>
              <w:rPr>
                <w:b/>
              </w:rPr>
            </w:pPr>
            <w:r w:rsidRPr="009C426B">
              <w:rPr>
                <w:b/>
              </w:rPr>
              <w:t>Type</w:t>
            </w:r>
          </w:p>
        </w:tc>
        <w:tc>
          <w:tcPr>
            <w:tcW w:w="1184" w:type="pct"/>
            <w:shd w:val="clear" w:color="auto" w:fill="DBE5F1" w:themeFill="accent1" w:themeFillTint="33"/>
            <w:vAlign w:val="center"/>
          </w:tcPr>
          <w:p w14:paraId="0F3CF282" w14:textId="4D4C977C" w:rsidR="009C426B" w:rsidRPr="009C426B" w:rsidRDefault="009C426B" w:rsidP="005E2D88">
            <w:pPr>
              <w:pStyle w:val="tabletext0"/>
              <w:rPr>
                <w:b/>
              </w:rPr>
            </w:pPr>
            <w:r w:rsidRPr="009C426B">
              <w:rPr>
                <w:b/>
              </w:rPr>
              <w:t>Value</w:t>
            </w:r>
          </w:p>
        </w:tc>
      </w:tr>
      <w:tr w:rsidR="00DE47B4" w:rsidRPr="00003F38" w14:paraId="3B4A5E00" w14:textId="77777777" w:rsidTr="00DE47B4">
        <w:trPr>
          <w:trHeight w:val="908"/>
        </w:trPr>
        <w:tc>
          <w:tcPr>
            <w:tcW w:w="1417" w:type="pct"/>
            <w:vMerge w:val="restart"/>
            <w:shd w:val="clear" w:color="auto" w:fill="auto"/>
          </w:tcPr>
          <w:p w14:paraId="43669E13" w14:textId="2875C9CB" w:rsidR="00DE47B4" w:rsidRPr="005E2D88" w:rsidRDefault="00DE47B4" w:rsidP="005E2D88">
            <w:pPr>
              <w:pStyle w:val="tabletext0"/>
            </w:pPr>
            <w:r w:rsidRPr="005E2D88">
              <w:t>Manufacturers, wholesalers and Importers (n≈25)</w:t>
            </w:r>
          </w:p>
        </w:tc>
        <w:tc>
          <w:tcPr>
            <w:tcW w:w="1153" w:type="pct"/>
            <w:shd w:val="clear" w:color="auto" w:fill="auto"/>
          </w:tcPr>
          <w:p w14:paraId="52CB22EE" w14:textId="77777777" w:rsidR="00DE47B4" w:rsidRPr="005E2D88" w:rsidRDefault="00DE47B4" w:rsidP="005E2D88">
            <w:pPr>
              <w:pStyle w:val="tabletext0"/>
            </w:pPr>
            <w:r w:rsidRPr="005E2D88">
              <w:t>Purchasing</w:t>
            </w:r>
          </w:p>
          <w:p w14:paraId="5607F11B" w14:textId="77777777" w:rsidR="00DE47B4" w:rsidRPr="005E2D88" w:rsidRDefault="00DE47B4" w:rsidP="005E2D88">
            <w:pPr>
              <w:pStyle w:val="tabletext0"/>
            </w:pPr>
            <w:r w:rsidRPr="005E2D88">
              <w:t>(Plant and Machinery)</w:t>
            </w:r>
          </w:p>
        </w:tc>
        <w:tc>
          <w:tcPr>
            <w:tcW w:w="1246" w:type="pct"/>
            <w:shd w:val="clear" w:color="auto" w:fill="auto"/>
            <w:vAlign w:val="center"/>
          </w:tcPr>
          <w:p w14:paraId="09B98130" w14:textId="77777777" w:rsidR="00DE47B4" w:rsidRPr="005E2D88" w:rsidRDefault="00DE47B4" w:rsidP="005E2D88">
            <w:pPr>
              <w:pStyle w:val="tabletext0"/>
            </w:pPr>
            <w:r w:rsidRPr="005E2D88">
              <w:t>Start-up cost</w:t>
            </w:r>
          </w:p>
        </w:tc>
        <w:tc>
          <w:tcPr>
            <w:tcW w:w="1184" w:type="pct"/>
            <w:shd w:val="clear" w:color="auto" w:fill="auto"/>
            <w:vAlign w:val="center"/>
          </w:tcPr>
          <w:p w14:paraId="2C9DC2E4" w14:textId="24FE6DCF" w:rsidR="00DE47B4" w:rsidRPr="005E2D88" w:rsidRDefault="00DE47B4" w:rsidP="005E2D88">
            <w:pPr>
              <w:pStyle w:val="tabletext0"/>
              <w:jc w:val="right"/>
            </w:pPr>
            <w:bookmarkStart w:id="78" w:name="_Toc442685275"/>
            <w:r w:rsidRPr="005E2D88">
              <w:t>$11.42 million</w:t>
            </w:r>
            <w:bookmarkEnd w:id="78"/>
          </w:p>
        </w:tc>
      </w:tr>
      <w:tr w:rsidR="00644A3D" w:rsidRPr="00003F38" w14:paraId="7AA6B517" w14:textId="77777777" w:rsidTr="009C426B">
        <w:tc>
          <w:tcPr>
            <w:tcW w:w="1417" w:type="pct"/>
            <w:vMerge/>
            <w:shd w:val="clear" w:color="auto" w:fill="auto"/>
          </w:tcPr>
          <w:p w14:paraId="7086F378" w14:textId="77777777" w:rsidR="00644A3D" w:rsidRPr="005E2D88" w:rsidRDefault="00644A3D" w:rsidP="005E2D88">
            <w:pPr>
              <w:pStyle w:val="tabletext0"/>
            </w:pPr>
          </w:p>
        </w:tc>
        <w:tc>
          <w:tcPr>
            <w:tcW w:w="1153" w:type="pct"/>
            <w:shd w:val="clear" w:color="auto" w:fill="auto"/>
          </w:tcPr>
          <w:p w14:paraId="04373DDB" w14:textId="77777777" w:rsidR="00644A3D" w:rsidRPr="005E2D88" w:rsidRDefault="003A177E" w:rsidP="005E2D88">
            <w:pPr>
              <w:pStyle w:val="tabletext0"/>
            </w:pPr>
            <w:r w:rsidRPr="005E2D88">
              <w:t>Compliance</w:t>
            </w:r>
          </w:p>
          <w:p w14:paraId="564CA664" w14:textId="77777777" w:rsidR="00FC6B02" w:rsidRPr="005E2D88" w:rsidRDefault="00FC6B02" w:rsidP="005E2D88">
            <w:pPr>
              <w:pStyle w:val="tabletext0"/>
            </w:pPr>
            <w:r w:rsidRPr="005E2D88">
              <w:t>(Packaging)</w:t>
            </w:r>
          </w:p>
        </w:tc>
        <w:tc>
          <w:tcPr>
            <w:tcW w:w="1246" w:type="pct"/>
            <w:shd w:val="clear" w:color="auto" w:fill="auto"/>
            <w:vAlign w:val="center"/>
          </w:tcPr>
          <w:p w14:paraId="55982E22" w14:textId="77777777" w:rsidR="00644A3D" w:rsidRPr="005E2D88" w:rsidRDefault="003A177E" w:rsidP="005E2D88">
            <w:pPr>
              <w:pStyle w:val="tabletext0"/>
            </w:pPr>
            <w:r w:rsidRPr="005E2D88">
              <w:t>Start-up cost</w:t>
            </w:r>
          </w:p>
        </w:tc>
        <w:tc>
          <w:tcPr>
            <w:tcW w:w="1184" w:type="pct"/>
            <w:shd w:val="clear" w:color="auto" w:fill="auto"/>
            <w:vAlign w:val="center"/>
          </w:tcPr>
          <w:p w14:paraId="4A2EA618" w14:textId="75A49172" w:rsidR="00644A3D" w:rsidRPr="005E2D88" w:rsidRDefault="00081786" w:rsidP="005E2D88">
            <w:pPr>
              <w:pStyle w:val="tabletext0"/>
              <w:jc w:val="right"/>
            </w:pPr>
            <w:r w:rsidRPr="005E2D88">
              <w:t>$</w:t>
            </w:r>
            <w:r w:rsidR="0021799A" w:rsidRPr="005E2D88">
              <w:t>57</w:t>
            </w:r>
            <w:r w:rsidRPr="005E2D88">
              <w:t>.</w:t>
            </w:r>
            <w:r w:rsidR="0021799A" w:rsidRPr="005E2D88">
              <w:t xml:space="preserve">73 </w:t>
            </w:r>
            <w:r w:rsidRPr="005E2D88">
              <w:t>million</w:t>
            </w:r>
          </w:p>
        </w:tc>
      </w:tr>
      <w:tr w:rsidR="00DE495D" w:rsidRPr="00003F38" w14:paraId="74CAF953" w14:textId="77777777" w:rsidTr="009C426B">
        <w:tc>
          <w:tcPr>
            <w:tcW w:w="1417" w:type="pct"/>
            <w:vMerge w:val="restart"/>
            <w:shd w:val="clear" w:color="auto" w:fill="auto"/>
          </w:tcPr>
          <w:p w14:paraId="1817E5D2" w14:textId="6A0ED026" w:rsidR="00DE495D" w:rsidRPr="005E2D88" w:rsidRDefault="00DE495D" w:rsidP="005E2D88">
            <w:pPr>
              <w:pStyle w:val="tabletext0"/>
            </w:pPr>
            <w:r w:rsidRPr="005E2D88">
              <w:t>Retailers (n</w:t>
            </w:r>
            <w:r w:rsidR="00F60A81" w:rsidRPr="005E2D88">
              <w:t>≈</w:t>
            </w:r>
            <w:r w:rsidRPr="005E2D88">
              <w:t>3</w:t>
            </w:r>
            <w:r w:rsidR="009F7C32" w:rsidRPr="005E2D88">
              <w:t>5</w:t>
            </w:r>
            <w:r w:rsidRPr="005E2D88">
              <w:t>,</w:t>
            </w:r>
            <w:r w:rsidR="009F7C32" w:rsidRPr="005E2D88">
              <w:t>000</w:t>
            </w:r>
            <w:r w:rsidRPr="005E2D88">
              <w:t>)</w:t>
            </w:r>
          </w:p>
        </w:tc>
        <w:tc>
          <w:tcPr>
            <w:tcW w:w="1153" w:type="pct"/>
            <w:shd w:val="clear" w:color="auto" w:fill="auto"/>
          </w:tcPr>
          <w:p w14:paraId="67D86DB2" w14:textId="77777777" w:rsidR="00DE495D" w:rsidRPr="005E2D88" w:rsidRDefault="00DE495D" w:rsidP="005E2D88">
            <w:pPr>
              <w:pStyle w:val="tabletext0"/>
            </w:pPr>
            <w:r w:rsidRPr="005E2D88">
              <w:t>Education</w:t>
            </w:r>
          </w:p>
        </w:tc>
        <w:tc>
          <w:tcPr>
            <w:tcW w:w="1246" w:type="pct"/>
            <w:shd w:val="clear" w:color="auto" w:fill="auto"/>
            <w:vAlign w:val="center"/>
          </w:tcPr>
          <w:p w14:paraId="74F53FA5" w14:textId="77777777" w:rsidR="00DE495D" w:rsidRPr="005E2D88" w:rsidRDefault="00DE495D" w:rsidP="005E2D88">
            <w:pPr>
              <w:pStyle w:val="tabletext0"/>
            </w:pPr>
            <w:r w:rsidRPr="005E2D88">
              <w:t>Start-up cost</w:t>
            </w:r>
          </w:p>
        </w:tc>
        <w:tc>
          <w:tcPr>
            <w:tcW w:w="1184" w:type="pct"/>
            <w:shd w:val="clear" w:color="auto" w:fill="auto"/>
            <w:vAlign w:val="center"/>
          </w:tcPr>
          <w:p w14:paraId="7F97920D" w14:textId="40EF2075" w:rsidR="00DE495D" w:rsidRPr="005E2D88" w:rsidRDefault="00B2688C" w:rsidP="005E2D88">
            <w:pPr>
              <w:pStyle w:val="tabletext0"/>
              <w:jc w:val="right"/>
            </w:pPr>
            <w:r w:rsidRPr="005E2D88">
              <w:t>$1.95 million</w:t>
            </w:r>
          </w:p>
        </w:tc>
      </w:tr>
      <w:tr w:rsidR="00DE495D" w:rsidRPr="00003F38" w14:paraId="1BDCC47B" w14:textId="77777777" w:rsidTr="009C426B">
        <w:tc>
          <w:tcPr>
            <w:tcW w:w="1417" w:type="pct"/>
            <w:vMerge/>
            <w:shd w:val="clear" w:color="auto" w:fill="auto"/>
            <w:vAlign w:val="center"/>
          </w:tcPr>
          <w:p w14:paraId="29CBE80E" w14:textId="77777777" w:rsidR="00DE495D" w:rsidRPr="005E2D88" w:rsidRDefault="00DE495D" w:rsidP="005E2D88">
            <w:pPr>
              <w:pStyle w:val="tabletext0"/>
            </w:pPr>
          </w:p>
        </w:tc>
        <w:tc>
          <w:tcPr>
            <w:tcW w:w="1153" w:type="pct"/>
            <w:shd w:val="clear" w:color="auto" w:fill="auto"/>
            <w:vAlign w:val="center"/>
          </w:tcPr>
          <w:p w14:paraId="0E922127" w14:textId="31BDF10B" w:rsidR="00DE495D" w:rsidRPr="005E2D88" w:rsidRDefault="00617E7B" w:rsidP="005E2D88">
            <w:pPr>
              <w:pStyle w:val="tabletext0"/>
            </w:pPr>
            <w:r w:rsidRPr="005E2D88">
              <w:t>Compliance (transaction time)</w:t>
            </w:r>
          </w:p>
        </w:tc>
        <w:tc>
          <w:tcPr>
            <w:tcW w:w="1246" w:type="pct"/>
            <w:shd w:val="clear" w:color="auto" w:fill="auto"/>
            <w:vAlign w:val="center"/>
          </w:tcPr>
          <w:p w14:paraId="170E9443" w14:textId="7CF57CC1" w:rsidR="00DE495D" w:rsidRPr="005E2D88" w:rsidRDefault="00617E7B" w:rsidP="005E2D88">
            <w:pPr>
              <w:pStyle w:val="tabletext0"/>
            </w:pPr>
            <w:r w:rsidRPr="005E2D88">
              <w:t>Start-up cost</w:t>
            </w:r>
          </w:p>
        </w:tc>
        <w:tc>
          <w:tcPr>
            <w:tcW w:w="1184" w:type="pct"/>
            <w:shd w:val="clear" w:color="auto" w:fill="auto"/>
            <w:vAlign w:val="center"/>
          </w:tcPr>
          <w:p w14:paraId="255A7F92" w14:textId="3221545C" w:rsidR="00DE495D" w:rsidRPr="005E2D88" w:rsidRDefault="00617E7B" w:rsidP="005E2D88">
            <w:pPr>
              <w:pStyle w:val="tabletext0"/>
              <w:jc w:val="right"/>
            </w:pPr>
            <w:r w:rsidRPr="005E2D88">
              <w:t>$2.78 million</w:t>
            </w:r>
          </w:p>
        </w:tc>
      </w:tr>
      <w:tr w:rsidR="00617E7B" w:rsidRPr="00003F38" w14:paraId="31A24B97" w14:textId="1A08F667" w:rsidTr="009C426B">
        <w:tc>
          <w:tcPr>
            <w:tcW w:w="1417" w:type="pct"/>
            <w:shd w:val="clear" w:color="auto" w:fill="auto"/>
            <w:vAlign w:val="center"/>
          </w:tcPr>
          <w:p w14:paraId="74B46F00" w14:textId="55543126" w:rsidR="00617E7B" w:rsidRPr="005E2D88" w:rsidRDefault="00617E7B" w:rsidP="005E2D88">
            <w:pPr>
              <w:pStyle w:val="tabletext0"/>
              <w:rPr>
                <w:b/>
              </w:rPr>
            </w:pPr>
            <w:r w:rsidRPr="005E2D88">
              <w:rPr>
                <w:b/>
              </w:rPr>
              <w:t>Total</w:t>
            </w:r>
          </w:p>
        </w:tc>
        <w:tc>
          <w:tcPr>
            <w:tcW w:w="1153" w:type="pct"/>
            <w:shd w:val="clear" w:color="auto" w:fill="auto"/>
            <w:vAlign w:val="center"/>
          </w:tcPr>
          <w:p w14:paraId="49135573" w14:textId="2753CE23" w:rsidR="00617E7B" w:rsidRPr="005E2D88" w:rsidRDefault="00617E7B" w:rsidP="005E2D88">
            <w:pPr>
              <w:pStyle w:val="tabletext0"/>
            </w:pPr>
          </w:p>
        </w:tc>
        <w:tc>
          <w:tcPr>
            <w:tcW w:w="1246" w:type="pct"/>
            <w:shd w:val="clear" w:color="auto" w:fill="auto"/>
            <w:vAlign w:val="center"/>
          </w:tcPr>
          <w:p w14:paraId="05C1FFC3" w14:textId="5517EF4D" w:rsidR="00617E7B" w:rsidRPr="005E2D88" w:rsidRDefault="00617E7B" w:rsidP="005E2D88">
            <w:pPr>
              <w:pStyle w:val="tabletext0"/>
            </w:pPr>
          </w:p>
        </w:tc>
        <w:tc>
          <w:tcPr>
            <w:tcW w:w="1184" w:type="pct"/>
            <w:shd w:val="clear" w:color="auto" w:fill="auto"/>
            <w:vAlign w:val="center"/>
          </w:tcPr>
          <w:p w14:paraId="7E7D8D4A" w14:textId="19EE5580" w:rsidR="00617E7B" w:rsidRPr="005E2D88" w:rsidRDefault="00617E7B" w:rsidP="005E2D88">
            <w:pPr>
              <w:pStyle w:val="tabletext0"/>
              <w:jc w:val="right"/>
              <w:rPr>
                <w:b/>
              </w:rPr>
            </w:pPr>
            <w:r w:rsidRPr="005E2D88">
              <w:rPr>
                <w:b/>
              </w:rPr>
              <w:t>$73.87 million</w:t>
            </w:r>
            <w:r w:rsidRPr="005E2D88">
              <w:rPr>
                <w:rStyle w:val="FootnoteReference"/>
                <w:b/>
              </w:rPr>
              <w:footnoteReference w:id="6"/>
            </w:r>
          </w:p>
        </w:tc>
      </w:tr>
      <w:tr w:rsidR="00617E7B" w:rsidRPr="00003F38" w14:paraId="2AF82E3D" w14:textId="77777777" w:rsidTr="009C426B">
        <w:tc>
          <w:tcPr>
            <w:tcW w:w="1417" w:type="pct"/>
            <w:shd w:val="clear" w:color="auto" w:fill="auto"/>
            <w:vAlign w:val="center"/>
          </w:tcPr>
          <w:p w14:paraId="5B85D430" w14:textId="1999779A" w:rsidR="00617E7B" w:rsidRPr="005E2D88" w:rsidRDefault="00617E7B" w:rsidP="005E2D88">
            <w:pPr>
              <w:pStyle w:val="tabletext0"/>
              <w:rPr>
                <w:b/>
              </w:rPr>
            </w:pPr>
            <w:r w:rsidRPr="005E2D88">
              <w:rPr>
                <w:b/>
              </w:rPr>
              <w:t>Total per business</w:t>
            </w:r>
          </w:p>
        </w:tc>
        <w:tc>
          <w:tcPr>
            <w:tcW w:w="1153" w:type="pct"/>
            <w:shd w:val="clear" w:color="auto" w:fill="auto"/>
            <w:vAlign w:val="center"/>
          </w:tcPr>
          <w:p w14:paraId="382A2648" w14:textId="77777777" w:rsidR="00617E7B" w:rsidRPr="005E2D88" w:rsidRDefault="00617E7B" w:rsidP="005E2D88">
            <w:pPr>
              <w:pStyle w:val="tabletext0"/>
            </w:pPr>
          </w:p>
        </w:tc>
        <w:tc>
          <w:tcPr>
            <w:tcW w:w="1246" w:type="pct"/>
            <w:shd w:val="clear" w:color="auto" w:fill="auto"/>
            <w:vAlign w:val="center"/>
          </w:tcPr>
          <w:p w14:paraId="440B60C3" w14:textId="77777777" w:rsidR="00617E7B" w:rsidRPr="005E2D88" w:rsidRDefault="00617E7B" w:rsidP="005E2D88">
            <w:pPr>
              <w:pStyle w:val="tabletext0"/>
            </w:pPr>
          </w:p>
        </w:tc>
        <w:tc>
          <w:tcPr>
            <w:tcW w:w="1184" w:type="pct"/>
            <w:shd w:val="clear" w:color="auto" w:fill="auto"/>
            <w:vAlign w:val="center"/>
          </w:tcPr>
          <w:p w14:paraId="038BF30F" w14:textId="7958D9A8" w:rsidR="00617E7B" w:rsidRPr="005E2D88" w:rsidRDefault="00617E7B" w:rsidP="005E2D88">
            <w:pPr>
              <w:pStyle w:val="tabletext0"/>
              <w:jc w:val="right"/>
              <w:rPr>
                <w:b/>
              </w:rPr>
            </w:pPr>
            <w:r w:rsidRPr="005E2D88">
              <w:rPr>
                <w:b/>
              </w:rPr>
              <w:t>$2,</w:t>
            </w:r>
            <w:r w:rsidR="006E3505" w:rsidRPr="005E2D88">
              <w:rPr>
                <w:b/>
              </w:rPr>
              <w:t>109</w:t>
            </w:r>
          </w:p>
        </w:tc>
      </w:tr>
    </w:tbl>
    <w:p w14:paraId="4F6F99C1" w14:textId="26ACA774" w:rsidR="00DE495D" w:rsidRDefault="00DE495D" w:rsidP="000B332F">
      <w:r w:rsidRPr="00003F38">
        <w:t xml:space="preserve">The total </w:t>
      </w:r>
      <w:r w:rsidRPr="009F432C">
        <w:t>regulatory burden is estimated as $</w:t>
      </w:r>
      <w:r w:rsidR="002C36F2">
        <w:t>7</w:t>
      </w:r>
      <w:r w:rsidR="006E3505">
        <w:t xml:space="preserve">3.87 </w:t>
      </w:r>
      <w:r w:rsidR="00B2688C">
        <w:t>million</w:t>
      </w:r>
      <w:r w:rsidR="00B2688C">
        <w:rPr>
          <w:rStyle w:val="CommentReference"/>
          <w:rFonts w:cs="Times New Roman"/>
        </w:rPr>
        <w:t>.</w:t>
      </w:r>
      <w:r w:rsidRPr="009F432C">
        <w:t xml:space="preserve"> Based on an estimated total of 3</w:t>
      </w:r>
      <w:r w:rsidR="007C40B9" w:rsidRPr="009F432C">
        <w:t>5</w:t>
      </w:r>
      <w:r w:rsidRPr="009F432C">
        <w:t>,</w:t>
      </w:r>
      <w:r w:rsidR="007C40B9" w:rsidRPr="009F432C">
        <w:t>025</w:t>
      </w:r>
      <w:r w:rsidRPr="009F432C">
        <w:t xml:space="preserve"> businesses, the average total regulatory cost per business is $</w:t>
      </w:r>
      <w:r w:rsidR="002C36F2">
        <w:t>2</w:t>
      </w:r>
      <w:r w:rsidR="006E3505">
        <w:t>,109</w:t>
      </w:r>
      <w:r w:rsidRPr="009F432C">
        <w:t xml:space="preserve">. </w:t>
      </w:r>
      <w:r w:rsidR="00CD4A01">
        <w:t xml:space="preserve">These costs are all considered one-off with no substantive ongoing costs associated with the TPP measure. As such, the above cost also reflects the total cost over ten years. </w:t>
      </w:r>
      <w:r w:rsidR="00B2688C">
        <w:t>As such, the average annual cost over ten years per business is $</w:t>
      </w:r>
      <w:r w:rsidR="006E3505">
        <w:t>211</w:t>
      </w:r>
      <w:r w:rsidR="00B2688C">
        <w:t xml:space="preserve">. </w:t>
      </w:r>
      <w:r w:rsidRPr="009F432C">
        <w:t>These estimates are relative to a business as usual scenario which includes</w:t>
      </w:r>
      <w:r w:rsidRPr="00003F38">
        <w:t xml:space="preserve"> compliance costs associated with the implementation of changes to the display of tobacco products and graphic health warnings. In addition, whilst education activities are typically ongoing with respect to staff turnover, it is assumed that the inclusion of </w:t>
      </w:r>
      <w:r w:rsidR="00826A4E">
        <w:t xml:space="preserve">tobacco </w:t>
      </w:r>
      <w:r w:rsidRPr="00003F38">
        <w:t xml:space="preserve">plain packaging </w:t>
      </w:r>
      <w:r w:rsidR="007C40B9">
        <w:t xml:space="preserve">education </w:t>
      </w:r>
      <w:r w:rsidRPr="00003F38">
        <w:t>along with the usual efficient business operation of staff training is not substantive.</w:t>
      </w:r>
      <w:r w:rsidR="00497E57">
        <w:t xml:space="preserve"> </w:t>
      </w:r>
    </w:p>
    <w:p w14:paraId="17104A3A" w14:textId="645AC9FD" w:rsidR="00DE495D" w:rsidRDefault="00DE495D" w:rsidP="002E7BE9">
      <w:pPr>
        <w:keepNext/>
      </w:pPr>
      <w:r w:rsidRPr="00003F38">
        <w:t xml:space="preserve">The regulatory burden and cost offset estimate is provided in </w:t>
      </w:r>
      <w:r w:rsidR="002D3D19">
        <w:fldChar w:fldCharType="begin"/>
      </w:r>
      <w:r w:rsidR="002D3D19">
        <w:instrText xml:space="preserve"> REF _Ref443561322 \h </w:instrText>
      </w:r>
      <w:r w:rsidR="002D3D19">
        <w:fldChar w:fldCharType="separate"/>
      </w:r>
      <w:r w:rsidR="005403ED" w:rsidRPr="009C426B">
        <w:t xml:space="preserve">Table </w:t>
      </w:r>
      <w:r w:rsidR="005403ED">
        <w:rPr>
          <w:noProof/>
        </w:rPr>
        <w:t>3</w:t>
      </w:r>
      <w:r w:rsidR="002D3D19">
        <w:fldChar w:fldCharType="end"/>
      </w:r>
      <w:r w:rsidRPr="00003F38">
        <w:t>.</w:t>
      </w:r>
    </w:p>
    <w:p w14:paraId="7AAC122E" w14:textId="2FA70824" w:rsidR="00DE495D" w:rsidRDefault="00D97A6A" w:rsidP="009C426B">
      <w:pPr>
        <w:pStyle w:val="Caption"/>
        <w:jc w:val="left"/>
        <w:rPr>
          <w:sz w:val="24"/>
          <w:szCs w:val="24"/>
        </w:rPr>
      </w:pPr>
      <w:bookmarkStart w:id="79" w:name="_Ref443561322"/>
      <w:r w:rsidRPr="009C426B">
        <w:rPr>
          <w:sz w:val="24"/>
          <w:szCs w:val="24"/>
        </w:rPr>
        <w:t xml:space="preserve">Table </w:t>
      </w:r>
      <w:r w:rsidR="009C426B" w:rsidRPr="009C426B">
        <w:rPr>
          <w:sz w:val="24"/>
          <w:szCs w:val="24"/>
        </w:rPr>
        <w:fldChar w:fldCharType="begin"/>
      </w:r>
      <w:r w:rsidR="009C426B" w:rsidRPr="009C426B">
        <w:rPr>
          <w:sz w:val="24"/>
          <w:szCs w:val="24"/>
        </w:rPr>
        <w:instrText xml:space="preserve"> SEQ Table \* ARABIC </w:instrText>
      </w:r>
      <w:r w:rsidR="009C426B" w:rsidRPr="009C426B">
        <w:rPr>
          <w:sz w:val="24"/>
          <w:szCs w:val="24"/>
        </w:rPr>
        <w:fldChar w:fldCharType="separate"/>
      </w:r>
      <w:r w:rsidR="005403ED">
        <w:rPr>
          <w:noProof/>
          <w:sz w:val="24"/>
          <w:szCs w:val="24"/>
        </w:rPr>
        <w:t>3</w:t>
      </w:r>
      <w:r w:rsidR="009C426B" w:rsidRPr="009C426B">
        <w:rPr>
          <w:noProof/>
          <w:sz w:val="24"/>
          <w:szCs w:val="24"/>
        </w:rPr>
        <w:fldChar w:fldCharType="end"/>
      </w:r>
      <w:bookmarkEnd w:id="79"/>
      <w:r w:rsidRPr="009C426B">
        <w:rPr>
          <w:sz w:val="24"/>
          <w:szCs w:val="24"/>
        </w:rPr>
        <w:t>: Regulatory burden and cost offset estimate table</w:t>
      </w:r>
      <w:r w:rsidR="00A41EB0" w:rsidRPr="009C426B">
        <w:rPr>
          <w:rStyle w:val="FootnoteReference"/>
          <w:sz w:val="24"/>
          <w:szCs w:val="24"/>
        </w:rPr>
        <w:footnoteReference w:id="7"/>
      </w:r>
    </w:p>
    <w:p w14:paraId="1F19684A" w14:textId="5AEF1894" w:rsidR="005C0499" w:rsidRPr="005C0499" w:rsidRDefault="005C0499" w:rsidP="005C0499">
      <w:pPr>
        <w:pStyle w:val="tabletext0"/>
        <w:spacing w:after="0"/>
        <w:rPr>
          <w:b/>
          <w:sz w:val="22"/>
        </w:rPr>
      </w:pPr>
      <w:r w:rsidRPr="005C0499">
        <w:rPr>
          <w:b/>
          <w:sz w:val="22"/>
        </w:rPr>
        <w:t>Average annual regulatory costs (from business as usual)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able 3 shows the average annual regulatory costs and offsets for different sector groups.   Read across row 2 for the average annual change in costs by sector (presented in millions) for Business (column 2), Community organisation (column 3) Individuals (column 4), and Total change (column 5). Read across row 4 for the average annual cost offset by sector for Business (column 2), Community organisation (column 3) Individuals (column 4), and Total change (column 5). An overall explanation of the total regulatory burden can be found in the text prior to Table 3."/>
      </w:tblPr>
      <w:tblGrid>
        <w:gridCol w:w="2518"/>
        <w:gridCol w:w="1559"/>
        <w:gridCol w:w="1701"/>
        <w:gridCol w:w="1701"/>
        <w:gridCol w:w="1764"/>
      </w:tblGrid>
      <w:tr w:rsidR="00817A55" w:rsidRPr="00817A55" w14:paraId="0159D5EC" w14:textId="77777777" w:rsidTr="001B7146">
        <w:tc>
          <w:tcPr>
            <w:tcW w:w="2518" w:type="dxa"/>
            <w:shd w:val="clear" w:color="auto" w:fill="auto"/>
            <w:vAlign w:val="center"/>
          </w:tcPr>
          <w:p w14:paraId="003595FF" w14:textId="77777777" w:rsidR="00817A55" w:rsidRPr="000146DB" w:rsidRDefault="00817A55" w:rsidP="00192A26">
            <w:pPr>
              <w:pStyle w:val="tabletext0"/>
              <w:spacing w:after="0"/>
              <w:rPr>
                <w:b/>
              </w:rPr>
            </w:pPr>
            <w:r w:rsidRPr="000146DB">
              <w:rPr>
                <w:b/>
                <w:sz w:val="22"/>
              </w:rPr>
              <w:t>Change in costs</w:t>
            </w:r>
          </w:p>
          <w:p w14:paraId="22C80951" w14:textId="77777777" w:rsidR="00DE495D" w:rsidRPr="000146DB" w:rsidRDefault="00DE495D" w:rsidP="002E7BE9">
            <w:pPr>
              <w:pStyle w:val="tabletext0"/>
              <w:spacing w:after="0"/>
              <w:rPr>
                <w:b/>
              </w:rPr>
            </w:pPr>
            <w:r w:rsidRPr="000146DB">
              <w:rPr>
                <w:b/>
                <w:sz w:val="22"/>
              </w:rPr>
              <w:t>($ million)</w:t>
            </w:r>
          </w:p>
        </w:tc>
        <w:tc>
          <w:tcPr>
            <w:tcW w:w="1559" w:type="dxa"/>
            <w:shd w:val="clear" w:color="auto" w:fill="auto"/>
            <w:vAlign w:val="center"/>
          </w:tcPr>
          <w:p w14:paraId="6F1A2C4F" w14:textId="77777777" w:rsidR="00DE495D" w:rsidRPr="000146DB" w:rsidRDefault="00DE495D" w:rsidP="002E7BE9">
            <w:pPr>
              <w:pStyle w:val="tabletext0"/>
              <w:spacing w:after="0"/>
              <w:jc w:val="center"/>
              <w:rPr>
                <w:b/>
              </w:rPr>
            </w:pPr>
            <w:r w:rsidRPr="000146DB">
              <w:rPr>
                <w:b/>
                <w:sz w:val="22"/>
              </w:rPr>
              <w:t>Business</w:t>
            </w:r>
          </w:p>
        </w:tc>
        <w:tc>
          <w:tcPr>
            <w:tcW w:w="1701" w:type="dxa"/>
            <w:shd w:val="clear" w:color="auto" w:fill="auto"/>
            <w:vAlign w:val="center"/>
          </w:tcPr>
          <w:p w14:paraId="5A22D0A7" w14:textId="77777777" w:rsidR="00DE495D" w:rsidRPr="000146DB" w:rsidRDefault="00DE495D" w:rsidP="002E7BE9">
            <w:pPr>
              <w:pStyle w:val="tabletext0"/>
              <w:spacing w:after="0"/>
              <w:jc w:val="center"/>
              <w:rPr>
                <w:b/>
              </w:rPr>
            </w:pPr>
            <w:r w:rsidRPr="000146DB">
              <w:rPr>
                <w:b/>
                <w:sz w:val="22"/>
              </w:rPr>
              <w:t>Community organisations</w:t>
            </w:r>
          </w:p>
        </w:tc>
        <w:tc>
          <w:tcPr>
            <w:tcW w:w="1701" w:type="dxa"/>
            <w:shd w:val="clear" w:color="auto" w:fill="auto"/>
            <w:vAlign w:val="center"/>
          </w:tcPr>
          <w:p w14:paraId="04AB7D8C" w14:textId="77777777" w:rsidR="00DE495D" w:rsidRPr="000146DB" w:rsidRDefault="00DE495D" w:rsidP="002E7BE9">
            <w:pPr>
              <w:pStyle w:val="tabletext0"/>
              <w:spacing w:after="0"/>
              <w:jc w:val="center"/>
              <w:rPr>
                <w:b/>
              </w:rPr>
            </w:pPr>
            <w:r w:rsidRPr="000146DB">
              <w:rPr>
                <w:b/>
                <w:sz w:val="22"/>
              </w:rPr>
              <w:t>Individuals</w:t>
            </w:r>
          </w:p>
        </w:tc>
        <w:tc>
          <w:tcPr>
            <w:tcW w:w="1764" w:type="dxa"/>
            <w:shd w:val="clear" w:color="auto" w:fill="auto"/>
            <w:vAlign w:val="center"/>
          </w:tcPr>
          <w:p w14:paraId="41FC2665" w14:textId="77777777" w:rsidR="00DE495D" w:rsidRPr="000146DB" w:rsidRDefault="00DE495D" w:rsidP="002E7BE9">
            <w:pPr>
              <w:pStyle w:val="tabletext0"/>
              <w:spacing w:after="0"/>
              <w:jc w:val="center"/>
              <w:rPr>
                <w:b/>
              </w:rPr>
            </w:pPr>
            <w:r w:rsidRPr="000146DB">
              <w:rPr>
                <w:b/>
                <w:sz w:val="22"/>
              </w:rPr>
              <w:t>Total change in costs</w:t>
            </w:r>
          </w:p>
        </w:tc>
      </w:tr>
      <w:tr w:rsidR="00817A55" w:rsidRPr="00817A55" w14:paraId="5C9B6053" w14:textId="77777777" w:rsidTr="001B7146">
        <w:tc>
          <w:tcPr>
            <w:tcW w:w="2518" w:type="dxa"/>
            <w:shd w:val="clear" w:color="auto" w:fill="auto"/>
            <w:vAlign w:val="center"/>
          </w:tcPr>
          <w:p w14:paraId="6E70816B" w14:textId="77777777" w:rsidR="00DE495D" w:rsidRPr="000146DB" w:rsidRDefault="00DE495D" w:rsidP="00192A26">
            <w:pPr>
              <w:pStyle w:val="tabletext0"/>
              <w:spacing w:after="0"/>
              <w:rPr>
                <w:b/>
              </w:rPr>
            </w:pPr>
            <w:r w:rsidRPr="000146DB">
              <w:rPr>
                <w:b/>
                <w:sz w:val="22"/>
              </w:rPr>
              <w:t>Total, by sector</w:t>
            </w:r>
          </w:p>
        </w:tc>
        <w:tc>
          <w:tcPr>
            <w:tcW w:w="1559" w:type="dxa"/>
            <w:shd w:val="clear" w:color="auto" w:fill="auto"/>
            <w:vAlign w:val="center"/>
          </w:tcPr>
          <w:p w14:paraId="6D21D909" w14:textId="64188B20" w:rsidR="00DE495D" w:rsidRPr="000146DB" w:rsidRDefault="00B2688C" w:rsidP="002E7BE9">
            <w:pPr>
              <w:pStyle w:val="tabletext0"/>
              <w:spacing w:after="0"/>
              <w:jc w:val="right"/>
            </w:pPr>
            <w:r>
              <w:rPr>
                <w:sz w:val="22"/>
              </w:rPr>
              <w:t>$</w:t>
            </w:r>
            <w:r w:rsidR="002C36F2">
              <w:rPr>
                <w:sz w:val="22"/>
              </w:rPr>
              <w:t>7.</w:t>
            </w:r>
            <w:r w:rsidR="006E3505">
              <w:rPr>
                <w:sz w:val="22"/>
              </w:rPr>
              <w:t>39</w:t>
            </w:r>
            <w:r w:rsidR="006E3505" w:rsidRPr="004D2478">
              <w:rPr>
                <w:sz w:val="22"/>
                <w:vertAlign w:val="superscript"/>
              </w:rPr>
              <w:t>1</w:t>
            </w:r>
          </w:p>
        </w:tc>
        <w:tc>
          <w:tcPr>
            <w:tcW w:w="1701" w:type="dxa"/>
            <w:shd w:val="clear" w:color="auto" w:fill="auto"/>
            <w:vAlign w:val="center"/>
          </w:tcPr>
          <w:p w14:paraId="46901AB1" w14:textId="77777777" w:rsidR="00DE495D" w:rsidRPr="000146DB" w:rsidRDefault="00B2688C" w:rsidP="002E7BE9">
            <w:pPr>
              <w:pStyle w:val="tabletext0"/>
              <w:spacing w:after="0"/>
              <w:jc w:val="right"/>
            </w:pPr>
            <w:r>
              <w:rPr>
                <w:sz w:val="22"/>
              </w:rPr>
              <w:t>None identified</w:t>
            </w:r>
          </w:p>
        </w:tc>
        <w:tc>
          <w:tcPr>
            <w:tcW w:w="1701" w:type="dxa"/>
            <w:shd w:val="clear" w:color="auto" w:fill="auto"/>
            <w:vAlign w:val="center"/>
          </w:tcPr>
          <w:p w14:paraId="215CCBD9" w14:textId="77777777" w:rsidR="00DE495D" w:rsidRPr="000146DB" w:rsidRDefault="00B2688C" w:rsidP="002E7BE9">
            <w:pPr>
              <w:pStyle w:val="tabletext0"/>
              <w:spacing w:after="0"/>
              <w:jc w:val="right"/>
            </w:pPr>
            <w:r>
              <w:rPr>
                <w:sz w:val="22"/>
              </w:rPr>
              <w:t>None identified</w:t>
            </w:r>
          </w:p>
        </w:tc>
        <w:tc>
          <w:tcPr>
            <w:tcW w:w="1764" w:type="dxa"/>
            <w:shd w:val="clear" w:color="auto" w:fill="auto"/>
            <w:vAlign w:val="center"/>
          </w:tcPr>
          <w:p w14:paraId="00050B9E" w14:textId="1C9E24C5" w:rsidR="00DE495D" w:rsidRPr="000146DB" w:rsidRDefault="00B2688C" w:rsidP="002E7BE9">
            <w:pPr>
              <w:pStyle w:val="tabletext0"/>
              <w:spacing w:after="0"/>
              <w:jc w:val="right"/>
            </w:pPr>
            <w:r>
              <w:rPr>
                <w:sz w:val="22"/>
              </w:rPr>
              <w:t>$</w:t>
            </w:r>
            <w:r w:rsidR="002C36F2">
              <w:rPr>
                <w:sz w:val="22"/>
              </w:rPr>
              <w:t>7.</w:t>
            </w:r>
            <w:r w:rsidR="006E3505">
              <w:rPr>
                <w:sz w:val="22"/>
              </w:rPr>
              <w:t>39</w:t>
            </w:r>
          </w:p>
        </w:tc>
      </w:tr>
      <w:tr w:rsidR="00817A55" w:rsidRPr="00817A55" w14:paraId="0DA52053" w14:textId="77777777" w:rsidTr="001B7146">
        <w:tc>
          <w:tcPr>
            <w:tcW w:w="2518" w:type="dxa"/>
            <w:shd w:val="clear" w:color="auto" w:fill="auto"/>
            <w:vAlign w:val="center"/>
          </w:tcPr>
          <w:p w14:paraId="49899203" w14:textId="77777777" w:rsidR="001B7146" w:rsidRDefault="00DE495D" w:rsidP="00192A26">
            <w:pPr>
              <w:pStyle w:val="tabletext0"/>
              <w:spacing w:after="0"/>
              <w:rPr>
                <w:b/>
              </w:rPr>
            </w:pPr>
            <w:r w:rsidRPr="000146DB">
              <w:rPr>
                <w:b/>
                <w:sz w:val="22"/>
              </w:rPr>
              <w:t>Cost offset</w:t>
            </w:r>
          </w:p>
          <w:p w14:paraId="3DB34FBC" w14:textId="77777777" w:rsidR="00DE495D" w:rsidRPr="000146DB" w:rsidRDefault="00DE495D" w:rsidP="002E7BE9">
            <w:pPr>
              <w:pStyle w:val="tabletext0"/>
              <w:spacing w:after="0"/>
              <w:rPr>
                <w:b/>
              </w:rPr>
            </w:pPr>
            <w:r w:rsidRPr="000146DB">
              <w:rPr>
                <w:b/>
                <w:sz w:val="22"/>
              </w:rPr>
              <w:t>($ million)</w:t>
            </w:r>
          </w:p>
        </w:tc>
        <w:tc>
          <w:tcPr>
            <w:tcW w:w="1559" w:type="dxa"/>
            <w:shd w:val="clear" w:color="auto" w:fill="auto"/>
            <w:vAlign w:val="center"/>
          </w:tcPr>
          <w:p w14:paraId="2306C68D" w14:textId="77777777" w:rsidR="00DE495D" w:rsidRPr="00041E7A" w:rsidRDefault="00DE495D" w:rsidP="002E7BE9">
            <w:pPr>
              <w:pStyle w:val="tabletext0"/>
              <w:spacing w:after="0"/>
              <w:jc w:val="center"/>
              <w:rPr>
                <w:b/>
              </w:rPr>
            </w:pPr>
            <w:r w:rsidRPr="00041E7A">
              <w:rPr>
                <w:b/>
                <w:sz w:val="22"/>
              </w:rPr>
              <w:t>Business</w:t>
            </w:r>
          </w:p>
        </w:tc>
        <w:tc>
          <w:tcPr>
            <w:tcW w:w="1701" w:type="dxa"/>
            <w:shd w:val="clear" w:color="auto" w:fill="auto"/>
            <w:vAlign w:val="center"/>
          </w:tcPr>
          <w:p w14:paraId="55FBCE3D" w14:textId="77777777" w:rsidR="00DE495D" w:rsidRPr="00041E7A" w:rsidRDefault="00DE495D" w:rsidP="002E7BE9">
            <w:pPr>
              <w:pStyle w:val="tabletext0"/>
              <w:spacing w:after="0"/>
              <w:jc w:val="center"/>
              <w:rPr>
                <w:b/>
              </w:rPr>
            </w:pPr>
            <w:r w:rsidRPr="00041E7A">
              <w:rPr>
                <w:b/>
                <w:sz w:val="22"/>
              </w:rPr>
              <w:t>Community organisations</w:t>
            </w:r>
          </w:p>
        </w:tc>
        <w:tc>
          <w:tcPr>
            <w:tcW w:w="1701" w:type="dxa"/>
            <w:shd w:val="clear" w:color="auto" w:fill="auto"/>
            <w:vAlign w:val="center"/>
          </w:tcPr>
          <w:p w14:paraId="3823CAC9" w14:textId="77777777" w:rsidR="00DE495D" w:rsidRPr="00041E7A" w:rsidRDefault="00DE495D" w:rsidP="002E7BE9">
            <w:pPr>
              <w:pStyle w:val="tabletext0"/>
              <w:spacing w:after="0"/>
              <w:jc w:val="center"/>
              <w:rPr>
                <w:b/>
              </w:rPr>
            </w:pPr>
            <w:r w:rsidRPr="00041E7A">
              <w:rPr>
                <w:b/>
                <w:sz w:val="22"/>
              </w:rPr>
              <w:t>Individuals</w:t>
            </w:r>
          </w:p>
        </w:tc>
        <w:tc>
          <w:tcPr>
            <w:tcW w:w="1764" w:type="dxa"/>
            <w:shd w:val="clear" w:color="auto" w:fill="auto"/>
            <w:vAlign w:val="center"/>
          </w:tcPr>
          <w:p w14:paraId="50274594" w14:textId="77777777" w:rsidR="00DE495D" w:rsidRPr="00041E7A" w:rsidRDefault="00DE495D" w:rsidP="002E7BE9">
            <w:pPr>
              <w:pStyle w:val="tabletext0"/>
              <w:spacing w:after="0"/>
              <w:jc w:val="center"/>
              <w:rPr>
                <w:b/>
              </w:rPr>
            </w:pPr>
            <w:r w:rsidRPr="00041E7A">
              <w:rPr>
                <w:b/>
                <w:sz w:val="22"/>
              </w:rPr>
              <w:t>Total cost offsets</w:t>
            </w:r>
          </w:p>
        </w:tc>
      </w:tr>
      <w:tr w:rsidR="00817A55" w:rsidRPr="00817A55" w14:paraId="76D66F08" w14:textId="77777777" w:rsidTr="001B7146">
        <w:trPr>
          <w:trHeight w:val="147"/>
        </w:trPr>
        <w:tc>
          <w:tcPr>
            <w:tcW w:w="2518" w:type="dxa"/>
            <w:shd w:val="clear" w:color="auto" w:fill="auto"/>
            <w:vAlign w:val="center"/>
          </w:tcPr>
          <w:p w14:paraId="12D5D6AA" w14:textId="77777777" w:rsidR="00DE495D" w:rsidRPr="000146DB" w:rsidRDefault="00DE495D" w:rsidP="00192A26">
            <w:pPr>
              <w:pStyle w:val="tabletext0"/>
              <w:spacing w:after="0"/>
              <w:rPr>
                <w:b/>
              </w:rPr>
            </w:pPr>
            <w:r w:rsidRPr="000146DB">
              <w:rPr>
                <w:b/>
                <w:sz w:val="22"/>
              </w:rPr>
              <w:t>Total, by sector</w:t>
            </w:r>
          </w:p>
        </w:tc>
        <w:tc>
          <w:tcPr>
            <w:tcW w:w="1559" w:type="dxa"/>
            <w:shd w:val="clear" w:color="auto" w:fill="auto"/>
            <w:vAlign w:val="center"/>
          </w:tcPr>
          <w:p w14:paraId="3098E850" w14:textId="77777777" w:rsidR="00DE495D" w:rsidRPr="000146DB" w:rsidRDefault="00BE6A23" w:rsidP="002E7BE9">
            <w:pPr>
              <w:pStyle w:val="tabletext0"/>
              <w:spacing w:after="0"/>
              <w:jc w:val="center"/>
            </w:pPr>
            <w:r w:rsidRPr="000146DB">
              <w:rPr>
                <w:sz w:val="22"/>
              </w:rPr>
              <w:t>Not applicable</w:t>
            </w:r>
          </w:p>
        </w:tc>
        <w:tc>
          <w:tcPr>
            <w:tcW w:w="1701" w:type="dxa"/>
            <w:shd w:val="clear" w:color="auto" w:fill="auto"/>
            <w:vAlign w:val="center"/>
          </w:tcPr>
          <w:p w14:paraId="75151382" w14:textId="77777777" w:rsidR="00DE495D" w:rsidRPr="000146DB" w:rsidRDefault="00BE6A23" w:rsidP="002E7BE9">
            <w:pPr>
              <w:pStyle w:val="tabletext0"/>
              <w:spacing w:after="0"/>
              <w:jc w:val="center"/>
            </w:pPr>
            <w:r w:rsidRPr="000146DB">
              <w:rPr>
                <w:sz w:val="22"/>
              </w:rPr>
              <w:t>Not applicable</w:t>
            </w:r>
          </w:p>
        </w:tc>
        <w:tc>
          <w:tcPr>
            <w:tcW w:w="1701" w:type="dxa"/>
            <w:shd w:val="clear" w:color="auto" w:fill="auto"/>
            <w:vAlign w:val="center"/>
          </w:tcPr>
          <w:p w14:paraId="449A693F" w14:textId="77777777" w:rsidR="00DE495D" w:rsidRPr="000146DB" w:rsidRDefault="00817A55" w:rsidP="002E7BE9">
            <w:pPr>
              <w:pStyle w:val="tabletext0"/>
              <w:spacing w:after="0"/>
              <w:jc w:val="center"/>
            </w:pPr>
            <w:r w:rsidRPr="000146DB">
              <w:rPr>
                <w:sz w:val="22"/>
              </w:rPr>
              <w:t>Not applicable</w:t>
            </w:r>
          </w:p>
        </w:tc>
        <w:tc>
          <w:tcPr>
            <w:tcW w:w="1764" w:type="dxa"/>
            <w:shd w:val="clear" w:color="auto" w:fill="auto"/>
            <w:vAlign w:val="center"/>
          </w:tcPr>
          <w:p w14:paraId="72C47C03" w14:textId="77777777" w:rsidR="00DE495D" w:rsidRPr="000146DB" w:rsidRDefault="00817A55" w:rsidP="002E7BE9">
            <w:pPr>
              <w:pStyle w:val="tabletext0"/>
              <w:spacing w:after="0"/>
              <w:jc w:val="center"/>
            </w:pPr>
            <w:r w:rsidRPr="000146DB">
              <w:rPr>
                <w:sz w:val="22"/>
              </w:rPr>
              <w:t>Not applicable</w:t>
            </w:r>
          </w:p>
        </w:tc>
      </w:tr>
    </w:tbl>
    <w:p w14:paraId="1B6E6E22" w14:textId="1F838094" w:rsidR="00497E57" w:rsidRDefault="004D2478" w:rsidP="002E7BE9">
      <w:pPr>
        <w:pStyle w:val="tablenotes2"/>
        <w:keepNext/>
      </w:pPr>
      <w:r w:rsidRPr="005C0499">
        <w:rPr>
          <w:vertAlign w:val="superscript"/>
        </w:rPr>
        <w:t>1</w:t>
      </w:r>
      <w:r>
        <w:t xml:space="preserve"> Equal to </w:t>
      </w:r>
      <w:r w:rsidR="006E3505">
        <w:t>73</w:t>
      </w:r>
      <w:r w:rsidR="002C36F2">
        <w:t>.</w:t>
      </w:r>
      <w:r w:rsidR="006E3505">
        <w:t xml:space="preserve">87 </w:t>
      </w:r>
      <w:r>
        <w:t xml:space="preserve">million / 10 = </w:t>
      </w:r>
      <w:r w:rsidR="002C36F2">
        <w:t>7</w:t>
      </w:r>
      <w:r>
        <w:t>.</w:t>
      </w:r>
      <w:r w:rsidR="006E3505">
        <w:t xml:space="preserve">39 </w:t>
      </w:r>
      <w:r>
        <w:t>million</w:t>
      </w:r>
    </w:p>
    <w:p w14:paraId="3B8107B8" w14:textId="77777777" w:rsidR="007C40B9" w:rsidRDefault="007C40B9" w:rsidP="000B332F">
      <w:r>
        <w:t>The format of this table is mandated in OBPR guidelines</w:t>
      </w:r>
      <w:r w:rsidR="00486BAB">
        <w:t xml:space="preserve">; </w:t>
      </w:r>
      <w:r>
        <w:t xml:space="preserve">however, it is not necessary to identify cost offsets across the </w:t>
      </w:r>
      <w:r w:rsidR="00B90650">
        <w:t xml:space="preserve">portfolio </w:t>
      </w:r>
      <w:r>
        <w:t>in a PIR. No regulatory costs to community organisations or individuals were identified with respect to this regulation.</w:t>
      </w:r>
    </w:p>
    <w:p w14:paraId="6011E34D" w14:textId="6D23F286" w:rsidR="00DE495D" w:rsidRPr="000B332F" w:rsidRDefault="00DE495D" w:rsidP="007D0C18">
      <w:r w:rsidRPr="00003F38">
        <w:t>Based on a time frame of ten years, in line with the OBPR guidance</w:t>
      </w:r>
      <w:r w:rsidR="00CD4A01">
        <w:t xml:space="preserve"> note for RBM</w:t>
      </w:r>
      <w:r w:rsidRPr="00003F38">
        <w:t xml:space="preserve">, the average annual cost of the </w:t>
      </w:r>
      <w:r w:rsidR="00826A4E">
        <w:t xml:space="preserve">tobacco </w:t>
      </w:r>
      <w:r w:rsidRPr="00003F38">
        <w:t xml:space="preserve">plain </w:t>
      </w:r>
      <w:r w:rsidRPr="009F432C">
        <w:t>packaging regulation is $</w:t>
      </w:r>
      <w:r w:rsidR="002C36F2">
        <w:t>7</w:t>
      </w:r>
      <w:r w:rsidR="00B2688C">
        <w:t>.</w:t>
      </w:r>
      <w:r w:rsidR="006E3505">
        <w:t xml:space="preserve">39 </w:t>
      </w:r>
      <w:r w:rsidR="00B2688C">
        <w:t>million</w:t>
      </w:r>
      <w:r w:rsidR="00BD7C82">
        <w:t>.</w:t>
      </w:r>
      <w:r w:rsidR="00245471">
        <w:rPr>
          <w:rStyle w:val="FootnoteReference"/>
        </w:rPr>
        <w:footnoteReference w:id="8"/>
      </w:r>
      <w:r w:rsidR="003705F8">
        <w:t xml:space="preserve"> However, all cost submissions received were estimate</w:t>
      </w:r>
      <w:r w:rsidR="003B7FA4">
        <w:t>d</w:t>
      </w:r>
      <w:r w:rsidR="003705F8">
        <w:t xml:space="preserve"> one-off cost</w:t>
      </w:r>
      <w:r w:rsidR="003B7FA4">
        <w:t>s</w:t>
      </w:r>
      <w:r w:rsidR="003705F8">
        <w:t xml:space="preserve"> only that were transitional in nature. </w:t>
      </w:r>
      <w:bookmarkEnd w:id="1"/>
      <w:bookmarkEnd w:id="2"/>
    </w:p>
    <w:p w14:paraId="2949E96D" w14:textId="3EE956DE" w:rsidR="00DE495D" w:rsidRPr="00CA0A6F" w:rsidRDefault="00BE2F16" w:rsidP="00CA0A6F">
      <w:pPr>
        <w:pStyle w:val="Heading2"/>
      </w:pPr>
      <w:bookmarkStart w:id="80" w:name="_Toc443560339"/>
      <w:bookmarkStart w:id="81" w:name="_Toc443560367"/>
      <w:bookmarkStart w:id="82" w:name="_Toc443560417"/>
      <w:bookmarkEnd w:id="3"/>
      <w:r>
        <w:lastRenderedPageBreak/>
        <w:t>Analysis of Costs and Benefits</w:t>
      </w:r>
      <w:bookmarkEnd w:id="80"/>
      <w:bookmarkEnd w:id="81"/>
      <w:bookmarkEnd w:id="82"/>
    </w:p>
    <w:p w14:paraId="138CB605" w14:textId="77777777" w:rsidR="00CA0A6F" w:rsidRDefault="00CA0A6F" w:rsidP="00CA0A6F">
      <w:pPr>
        <w:pStyle w:val="Heading3"/>
      </w:pPr>
      <w:bookmarkStart w:id="83" w:name="_Toc427737352"/>
      <w:bookmarkStart w:id="84" w:name="_Toc443560340"/>
      <w:bookmarkStart w:id="85" w:name="_Toc443560368"/>
      <w:bookmarkStart w:id="86" w:name="_Toc443560418"/>
      <w:bookmarkStart w:id="87" w:name="_Toc417504684"/>
      <w:bookmarkStart w:id="88" w:name="_Toc418770525"/>
      <w:r>
        <w:t xml:space="preserve">Evidence of TPP </w:t>
      </w:r>
      <w:bookmarkEnd w:id="83"/>
      <w:r w:rsidR="00B90650">
        <w:t>Efficacy</w:t>
      </w:r>
      <w:bookmarkEnd w:id="84"/>
      <w:bookmarkEnd w:id="85"/>
      <w:bookmarkEnd w:id="86"/>
    </w:p>
    <w:p w14:paraId="182F92DE" w14:textId="77777777" w:rsidR="00501360" w:rsidRDefault="00501360" w:rsidP="00497E57">
      <w:pPr>
        <w:rPr>
          <w:lang w:val="en-GB"/>
        </w:rPr>
      </w:pPr>
      <w:r>
        <w:t>Subsection 3(1) of the TPP Act sets out the “general objectives” of improving public health by reducing people's use of and exposure to tobacco products, and carrying out Australia’s obligations under the</w:t>
      </w:r>
      <w:r w:rsidR="00E95290">
        <w:t xml:space="preserve"> World Health Organization Framework Convention on Tobacco Control </w:t>
      </w:r>
      <w:r w:rsidR="00B90650">
        <w:t>(</w:t>
      </w:r>
      <w:r>
        <w:t>FCTC</w:t>
      </w:r>
      <w:r w:rsidR="00B90650">
        <w:t>)</w:t>
      </w:r>
      <w:r>
        <w:t xml:space="preserve">. Subsection 3(2) provides that the tobacco plain packaging measure is intended to “contribute to” achieving these general objectives </w:t>
      </w:r>
      <w:r w:rsidR="00826732">
        <w:t>“</w:t>
      </w:r>
      <w:r>
        <w:t>by regulating the retail packaging and appearance of tobacco products</w:t>
      </w:r>
      <w:r w:rsidR="00826732">
        <w:t>”</w:t>
      </w:r>
      <w:r>
        <w:t xml:space="preserve"> through three specific mechanisms: reducing the appeal of tobacco products to consumers; increasing the effectiveness of health warnings; and reducing the ability of the retail packaging of tobacco products to mislead consumers as to the harmful effects of smoking and using tobacco.</w:t>
      </w:r>
    </w:p>
    <w:p w14:paraId="74221933" w14:textId="77777777" w:rsidR="00497E57" w:rsidRDefault="00497E57" w:rsidP="00497E57">
      <w:pPr>
        <w:rPr>
          <w:lang w:val="en-GB"/>
        </w:rPr>
      </w:pPr>
      <w:r w:rsidRPr="008040A0">
        <w:rPr>
          <w:lang w:val="en-GB"/>
        </w:rPr>
        <w:t xml:space="preserve">This section </w:t>
      </w:r>
      <w:r>
        <w:rPr>
          <w:lang w:val="en-GB"/>
        </w:rPr>
        <w:t xml:space="preserve">reviews </w:t>
      </w:r>
      <w:r w:rsidR="003F21D7">
        <w:rPr>
          <w:lang w:val="en-GB"/>
        </w:rPr>
        <w:t xml:space="preserve">some of </w:t>
      </w:r>
      <w:r>
        <w:rPr>
          <w:lang w:val="en-GB"/>
        </w:rPr>
        <w:t xml:space="preserve">the </w:t>
      </w:r>
      <w:r w:rsidR="0096458B">
        <w:rPr>
          <w:lang w:val="en-GB"/>
        </w:rPr>
        <w:t xml:space="preserve">literature on the </w:t>
      </w:r>
      <w:r>
        <w:rPr>
          <w:lang w:val="en-GB"/>
        </w:rPr>
        <w:t>effect</w:t>
      </w:r>
      <w:r w:rsidR="00A43F9A">
        <w:rPr>
          <w:lang w:val="en-GB"/>
        </w:rPr>
        <w:t>iveness</w:t>
      </w:r>
      <w:r>
        <w:rPr>
          <w:lang w:val="en-GB"/>
        </w:rPr>
        <w:t xml:space="preserve"> of </w:t>
      </w:r>
      <w:r w:rsidR="00A43F9A">
        <w:rPr>
          <w:lang w:val="en-GB"/>
        </w:rPr>
        <w:t xml:space="preserve">the TPP </w:t>
      </w:r>
      <w:r w:rsidR="00B90650">
        <w:rPr>
          <w:lang w:val="en-GB"/>
        </w:rPr>
        <w:t xml:space="preserve">measure </w:t>
      </w:r>
      <w:r w:rsidR="00A43F9A">
        <w:rPr>
          <w:lang w:val="en-GB"/>
        </w:rPr>
        <w:t>to achieve its stated objectives</w:t>
      </w:r>
      <w:r w:rsidR="003F21D7">
        <w:rPr>
          <w:lang w:val="en-GB"/>
        </w:rPr>
        <w:t xml:space="preserve">, through the </w:t>
      </w:r>
      <w:r w:rsidR="00302118">
        <w:rPr>
          <w:lang w:val="en-GB"/>
        </w:rPr>
        <w:t>mechanism</w:t>
      </w:r>
      <w:r w:rsidR="009920F6">
        <w:rPr>
          <w:lang w:val="en-GB"/>
        </w:rPr>
        <w:t>s</w:t>
      </w:r>
      <w:r w:rsidR="00302118">
        <w:rPr>
          <w:lang w:val="en-GB"/>
        </w:rPr>
        <w:t xml:space="preserve"> </w:t>
      </w:r>
      <w:r w:rsidR="003F21D7">
        <w:rPr>
          <w:lang w:val="en-GB"/>
        </w:rPr>
        <w:t xml:space="preserve">identified in </w:t>
      </w:r>
      <w:r w:rsidR="00302118">
        <w:rPr>
          <w:lang w:val="en-GB"/>
        </w:rPr>
        <w:t xml:space="preserve">the TPP </w:t>
      </w:r>
      <w:r w:rsidR="003F21D7">
        <w:rPr>
          <w:lang w:val="en-GB"/>
        </w:rPr>
        <w:t>Act</w:t>
      </w:r>
      <w:r w:rsidR="00302118">
        <w:rPr>
          <w:lang w:val="en-GB"/>
        </w:rPr>
        <w:t xml:space="preserve">. </w:t>
      </w:r>
      <w:r>
        <w:rPr>
          <w:lang w:val="en-GB"/>
        </w:rPr>
        <w:t xml:space="preserve">Following the implementation of tobacco plain packaging in Australia, a number of studies have assessed the impact of tobacco plain packaging on appeal, warning salience, and misleading consumers about </w:t>
      </w:r>
      <w:r w:rsidR="009920F6">
        <w:rPr>
          <w:lang w:val="en-GB"/>
        </w:rPr>
        <w:t xml:space="preserve">the </w:t>
      </w:r>
      <w:r>
        <w:rPr>
          <w:lang w:val="en-GB"/>
        </w:rPr>
        <w:t>harm of tobacco products.</w:t>
      </w:r>
      <w:r w:rsidR="00302118">
        <w:rPr>
          <w:lang w:val="en-GB"/>
        </w:rPr>
        <w:t xml:space="preserve"> </w:t>
      </w:r>
    </w:p>
    <w:p w14:paraId="5B2DAF77" w14:textId="77777777" w:rsidR="00497E57" w:rsidRDefault="00497E57" w:rsidP="00497E57">
      <w:pPr>
        <w:rPr>
          <w:lang w:val="en-GB"/>
        </w:rPr>
      </w:pPr>
      <w:r>
        <w:rPr>
          <w:lang w:val="en-GB"/>
        </w:rPr>
        <w:t xml:space="preserve">In general, studies </w:t>
      </w:r>
      <w:r w:rsidR="00FC6B02">
        <w:rPr>
          <w:lang w:val="en-GB"/>
        </w:rPr>
        <w:t>showed</w:t>
      </w:r>
      <w:r>
        <w:rPr>
          <w:lang w:val="en-GB"/>
        </w:rPr>
        <w:t xml:space="preserve"> that tobacco plain packaging reduced the appeal of tobacco products. In Australia, research has shown that tobacco plain packaging has reduced the appeal of cigarettes among brand-loyal cigarette smokers and most smokers disliked their packs of cigarettes in the year following tobacco plain packaging </w:t>
      </w:r>
      <w:r w:rsidR="00A05B75">
        <w:rPr>
          <w:lang w:val="en-GB"/>
        </w:rPr>
        <w:fldChar w:fldCharType="begin">
          <w:fldData xml:space="preserve">PEVuZE5vdGU+PENpdGU+PEF1dGhvcj5XYWtlZmllbGQ8L0F1dGhvcj48WWVhcj4yMDE1PC9ZZWFy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</w:fldData>
        </w:fldChar>
      </w:r>
      <w:r w:rsidR="00C95CF3">
        <w:rPr>
          <w:lang w:val="en-GB"/>
        </w:rPr>
        <w:instrText xml:space="preserve"> ADDIN EN.CITE </w:instrText>
      </w:r>
      <w:r w:rsidR="00C95CF3">
        <w:rPr>
          <w:lang w:val="en-GB"/>
        </w:rPr>
        <w:fldChar w:fldCharType="begin">
          <w:fldData xml:space="preserve">PEVuZE5vdGU+PENpdGU+PEF1dGhvcj5XYWtlZmllbGQ8L0F1dGhvcj48WWVhcj4yMDE1PC9ZZWFy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</w:fldData>
        </w:fldChar>
      </w:r>
      <w:r w:rsidR="00C95CF3">
        <w:rPr>
          <w:lang w:val="en-GB"/>
        </w:rPr>
        <w:instrText xml:space="preserve"> ADDIN EN.CITE.DATA </w:instrText>
      </w:r>
      <w:r w:rsidR="00C95CF3">
        <w:rPr>
          <w:lang w:val="en-GB"/>
        </w:rPr>
      </w:r>
      <w:r w:rsidR="00C95CF3">
        <w:rPr>
          <w:lang w:val="en-GB"/>
        </w:rPr>
        <w:fldChar w:fldCharType="end"/>
      </w:r>
      <w:r w:rsidR="00A05B75">
        <w:rPr>
          <w:lang w:val="en-GB"/>
        </w:rPr>
      </w:r>
      <w:r w:rsidR="00A05B75">
        <w:rPr>
          <w:lang w:val="en-GB"/>
        </w:rPr>
        <w:fldChar w:fldCharType="separate"/>
      </w:r>
      <w:r w:rsidR="00B1645A">
        <w:rPr>
          <w:noProof/>
          <w:lang w:val="en-GB"/>
        </w:rPr>
        <w:t>(</w:t>
      </w:r>
      <w:hyperlink w:anchor="_ENREF_66" w:tooltip="Wakefield, 2015 #6" w:history="1">
        <w:r w:rsidR="008A14C8">
          <w:rPr>
            <w:noProof/>
            <w:lang w:val="en-GB"/>
          </w:rPr>
          <w:t>Wakefield et al., 2015</w:t>
        </w:r>
      </w:hyperlink>
      <w:r w:rsidR="00B1645A">
        <w:rPr>
          <w:noProof/>
          <w:lang w:val="en-GB"/>
        </w:rPr>
        <w:t xml:space="preserve">; </w:t>
      </w:r>
      <w:hyperlink w:anchor="_ENREF_67" w:tooltip="Wakefield, 2013 #7" w:history="1">
        <w:r w:rsidR="008A14C8">
          <w:rPr>
            <w:noProof/>
            <w:lang w:val="en-GB"/>
          </w:rPr>
          <w:t>Wakefield, Hayes, Durkin, &amp; Borland, 2013</w:t>
        </w:r>
      </w:hyperlink>
      <w:r w:rsidR="00B1645A">
        <w:rPr>
          <w:noProof/>
          <w:lang w:val="en-GB"/>
        </w:rPr>
        <w:t xml:space="preserve">; </w:t>
      </w:r>
      <w:hyperlink w:anchor="_ENREF_69" w:tooltip="White, 2015b #8" w:history="1">
        <w:r w:rsidR="008A14C8">
          <w:rPr>
            <w:noProof/>
            <w:lang w:val="en-GB"/>
          </w:rPr>
          <w:t>White, Williams, Faulkner, &amp; Wakefield, 2015b</w:t>
        </w:r>
      </w:hyperlink>
      <w:r w:rsidR="00B1645A">
        <w:rPr>
          <w:noProof/>
          <w:lang w:val="en-GB"/>
        </w:rPr>
        <w:t>)</w:t>
      </w:r>
      <w:r w:rsidR="00A05B75">
        <w:rPr>
          <w:lang w:val="en-GB"/>
        </w:rPr>
        <w:fldChar w:fldCharType="end"/>
      </w:r>
      <w:r>
        <w:rPr>
          <w:lang w:val="en-GB"/>
        </w:rPr>
        <w:t>.</w:t>
      </w:r>
    </w:p>
    <w:p w14:paraId="02B13E7A" w14:textId="77777777" w:rsidR="003F21D7" w:rsidRDefault="00497E57" w:rsidP="00497E57">
      <w:pPr>
        <w:rPr>
          <w:lang w:val="en-GB"/>
        </w:rPr>
      </w:pPr>
      <w:r>
        <w:rPr>
          <w:lang w:val="en-GB"/>
        </w:rPr>
        <w:t xml:space="preserve">Studies also </w:t>
      </w:r>
      <w:r w:rsidR="00FC6B02">
        <w:rPr>
          <w:lang w:val="en-GB"/>
        </w:rPr>
        <w:t>showed</w:t>
      </w:r>
      <w:r>
        <w:rPr>
          <w:lang w:val="en-GB"/>
        </w:rPr>
        <w:t xml:space="preserve"> that tobacco plain packaging was more effective in promoting health warnings. Australian studies found that following the implementation of tobacco plain packaging, individuals were more likely to notice the health warnings label and more likely to think about the health risk</w:t>
      </w:r>
      <w:r w:rsidR="00FC6B02">
        <w:rPr>
          <w:lang w:val="en-GB"/>
        </w:rPr>
        <w:t>s</w:t>
      </w:r>
      <w:r>
        <w:rPr>
          <w:lang w:val="en-GB"/>
        </w:rPr>
        <w:t xml:space="preserve"> of smoking</w:t>
      </w:r>
      <w:r w:rsidR="00486BAB">
        <w:rPr>
          <w:lang w:val="en-GB"/>
        </w:rPr>
        <w:t xml:space="preserve"> </w:t>
      </w:r>
      <w:r w:rsidR="00A05B75">
        <w:rPr>
          <w:lang w:val="en-GB"/>
        </w:rPr>
        <w:fldChar w:fldCharType="begin">
          <w:fldData xml:space="preserve">PEVuZE5vdGU+PENpdGU+PEF1dGhvcj5Cb3JsYW5kPC9BdXRob3I+PFllYXI+MjAxMzwvWWVhcj48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</w:fldData>
        </w:fldChar>
      </w:r>
      <w:r w:rsidR="00B1645A">
        <w:rPr>
          <w:lang w:val="en-GB"/>
        </w:rPr>
        <w:instrText xml:space="preserve"> ADDIN EN.CITE </w:instrText>
      </w:r>
      <w:r w:rsidR="00B1645A">
        <w:rPr>
          <w:lang w:val="en-GB"/>
        </w:rPr>
        <w:fldChar w:fldCharType="begin">
          <w:fldData xml:space="preserve">PEVuZE5vdGU+PENpdGU+PEF1dGhvcj5Cb3JsYW5kPC9BdXRob3I+PFllYXI+MjAxMzwvWWVhcj48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</w:fldData>
        </w:fldChar>
      </w:r>
      <w:r w:rsidR="00B1645A">
        <w:rPr>
          <w:lang w:val="en-GB"/>
        </w:rPr>
        <w:instrText xml:space="preserve"> ADDIN EN.CITE.DATA </w:instrText>
      </w:r>
      <w:r w:rsidR="00B1645A">
        <w:rPr>
          <w:lang w:val="en-GB"/>
        </w:rPr>
      </w:r>
      <w:r w:rsidR="00B1645A">
        <w:rPr>
          <w:lang w:val="en-GB"/>
        </w:rPr>
        <w:fldChar w:fldCharType="end"/>
      </w:r>
      <w:r w:rsidR="00A05B75">
        <w:rPr>
          <w:lang w:val="en-GB"/>
        </w:rPr>
      </w:r>
      <w:r w:rsidR="00A05B75">
        <w:rPr>
          <w:lang w:val="en-GB"/>
        </w:rPr>
        <w:fldChar w:fldCharType="separate"/>
      </w:r>
      <w:r w:rsidR="00B1645A">
        <w:rPr>
          <w:noProof/>
          <w:lang w:val="en-GB"/>
        </w:rPr>
        <w:t>(</w:t>
      </w:r>
      <w:hyperlink w:anchor="_ENREF_11" w:tooltip="Borland, 2013 #9" w:history="1">
        <w:r w:rsidR="008A14C8">
          <w:rPr>
            <w:noProof/>
            <w:lang w:val="en-GB"/>
          </w:rPr>
          <w:t>Borland, Savvas, Sharkie, &amp; Moore, 2013</w:t>
        </w:r>
      </w:hyperlink>
      <w:r w:rsidR="00B1645A">
        <w:rPr>
          <w:noProof/>
          <w:lang w:val="en-GB"/>
        </w:rPr>
        <w:t xml:space="preserve">; </w:t>
      </w:r>
      <w:hyperlink w:anchor="_ENREF_66" w:tooltip="Wakefield, 2015 #6" w:history="1">
        <w:r w:rsidR="008A14C8">
          <w:rPr>
            <w:noProof/>
            <w:lang w:val="en-GB"/>
          </w:rPr>
          <w:t>Wakefield et al., 2015</w:t>
        </w:r>
      </w:hyperlink>
      <w:r w:rsidR="00B1645A">
        <w:rPr>
          <w:noProof/>
          <w:lang w:val="en-GB"/>
        </w:rPr>
        <w:t xml:space="preserve">; </w:t>
      </w:r>
      <w:hyperlink w:anchor="_ENREF_72" w:tooltip="Yong, 2015 #10" w:history="1">
        <w:r w:rsidR="008A14C8">
          <w:rPr>
            <w:noProof/>
            <w:lang w:val="en-GB"/>
          </w:rPr>
          <w:t>Yong et al., 2015</w:t>
        </w:r>
      </w:hyperlink>
      <w:r w:rsidR="00B1645A">
        <w:rPr>
          <w:noProof/>
          <w:lang w:val="en-GB"/>
        </w:rPr>
        <w:t>)</w:t>
      </w:r>
      <w:r w:rsidR="00A05B75">
        <w:rPr>
          <w:lang w:val="en-GB"/>
        </w:rPr>
        <w:fldChar w:fldCharType="end"/>
      </w:r>
      <w:r>
        <w:rPr>
          <w:lang w:val="en-GB"/>
        </w:rPr>
        <w:t>. Studies also showed that individuals agreed with the health statements reflecting diseases or conditions featured in health warnings displayed on tobacco products</w:t>
      </w:r>
      <w:r w:rsidR="00486BAB">
        <w:rPr>
          <w:lang w:val="en-GB"/>
        </w:rPr>
        <w:t xml:space="preserve"> </w:t>
      </w:r>
      <w:r w:rsidR="00A05B75">
        <w:rPr>
          <w:lang w:val="en-GB"/>
        </w:rPr>
        <w:fldChar w:fldCharType="begin"/>
      </w:r>
      <w:r w:rsidR="00C95CF3">
        <w:rPr>
          <w:lang w:val="en-GB"/>
        </w:rPr>
        <w:instrText xml:space="preserve"> ADDIN EN.CITE &lt;EndNote&gt;&lt;Cite&gt;&lt;Author&gt;White&lt;/Author&gt;&lt;Year&gt;2015b&lt;/Year&gt;&lt;RecNum&gt;8&lt;/RecNum&gt;&lt;DisplayText&gt;(White et al., 2015b)&lt;/DisplayText&gt;&lt;record&gt;&lt;rec-number&gt;8&lt;/rec-number&gt;&lt;foreign-keys&gt;&lt;key app="EN" db-id="edfppa0tc0tfd1etp5xvexpnzfefzewwwas9" timestamp="1441592648"&gt;8&lt;/key&gt;&lt;/foreign-keys&gt;&lt;ref-type name="Journal Article"&gt;17&lt;/ref-type&gt;&lt;contributors&gt;&lt;authors&gt;&lt;author&gt;White, V&lt;/author&gt;&lt;author&gt;Williams, T&lt;/author&gt;&lt;author&gt;Faulkner, A&lt;/author&gt;&lt;author&gt;Wakefield, M&lt;/author&gt;&lt;/authors&gt;&lt;/contributors&gt;&lt;titles&gt;&lt;title&gt;Do larger graphic health warnings on standardised cigarette packs increase adolescents’ cognitive processing of consumer health information and beliefs about smoking-related harms?&lt;/title&gt;&lt;secondary-title&gt;Tobacco control&lt;/secondary-title&gt;&lt;/titles&gt;&lt;periodical&gt;&lt;full-title&gt;Tobacco control&lt;/full-title&gt;&lt;/periodical&gt;&lt;pages&gt;ii50-ii57&lt;/pages&gt;&lt;volume&gt;24&lt;/volume&gt;&lt;number&gt;Supplement 2&lt;/number&gt;&lt;dates&gt;&lt;year&gt;2015b&lt;/year&gt;&lt;/dates&gt;&lt;urls&gt;&lt;/urls&gt;&lt;/record&gt;&lt;/Cite&gt;&lt;/EndNote&gt;</w:instrText>
      </w:r>
      <w:r w:rsidR="00A05B75">
        <w:rPr>
          <w:lang w:val="en-GB"/>
        </w:rPr>
        <w:fldChar w:fldCharType="separate"/>
      </w:r>
      <w:r w:rsidR="00B1645A">
        <w:rPr>
          <w:noProof/>
          <w:lang w:val="en-GB"/>
        </w:rPr>
        <w:t>(</w:t>
      </w:r>
      <w:hyperlink w:anchor="_ENREF_69" w:tooltip="White, 2015b #8" w:history="1">
        <w:r w:rsidR="008A14C8">
          <w:rPr>
            <w:noProof/>
            <w:lang w:val="en-GB"/>
          </w:rPr>
          <w:t>White et al., 2015b</w:t>
        </w:r>
      </w:hyperlink>
      <w:r w:rsidR="00B1645A">
        <w:rPr>
          <w:noProof/>
          <w:lang w:val="en-GB"/>
        </w:rPr>
        <w:t>)</w:t>
      </w:r>
      <w:r w:rsidR="00A05B75">
        <w:rPr>
          <w:lang w:val="en-GB"/>
        </w:rPr>
        <w:fldChar w:fldCharType="end"/>
      </w:r>
      <w:r>
        <w:rPr>
          <w:lang w:val="en-GB"/>
        </w:rPr>
        <w:t xml:space="preserve">. </w:t>
      </w:r>
    </w:p>
    <w:p w14:paraId="64B6846B" w14:textId="77777777" w:rsidR="00497E57" w:rsidRDefault="00486BAB" w:rsidP="00497E57">
      <w:pPr>
        <w:rPr>
          <w:lang w:val="en-GB"/>
        </w:rPr>
      </w:pPr>
      <w:r>
        <w:rPr>
          <w:lang w:val="en-GB"/>
        </w:rPr>
        <w:t>Further</w:t>
      </w:r>
      <w:r w:rsidR="00497E57">
        <w:rPr>
          <w:lang w:val="en-GB"/>
        </w:rPr>
        <w:t>, studies suggested that graphic health warnings on tobacco plain packaging appeared to provide more motivation to quit</w:t>
      </w:r>
      <w:r>
        <w:rPr>
          <w:lang w:val="en-GB"/>
        </w:rPr>
        <w:t xml:space="preserve"> </w:t>
      </w:r>
      <w:r w:rsidR="00A05B75">
        <w:rPr>
          <w:lang w:val="en-GB"/>
        </w:rPr>
        <w:fldChar w:fldCharType="begin">
          <w:fldData xml:space="preserve">PEVuZE5vdGU+PENpdGU+PEF1dGhvcj5CcmVubmFuPC9BdXRob3I+PFllYXI+MjAxNTwvWWVhcj48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</w:fldData>
        </w:fldChar>
      </w:r>
      <w:r w:rsidR="00B1645A">
        <w:rPr>
          <w:lang w:val="en-GB"/>
        </w:rPr>
        <w:instrText xml:space="preserve"> ADDIN EN.CITE </w:instrText>
      </w:r>
      <w:r w:rsidR="00B1645A">
        <w:rPr>
          <w:lang w:val="en-GB"/>
        </w:rPr>
        <w:fldChar w:fldCharType="begin">
          <w:fldData xml:space="preserve">PEVuZE5vdGU+PENpdGU+PEF1dGhvcj5CcmVubmFuPC9BdXRob3I+PFllYXI+MjAxNTwvWWVhcj48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</w:fldData>
        </w:fldChar>
      </w:r>
      <w:r w:rsidR="00B1645A">
        <w:rPr>
          <w:lang w:val="en-GB"/>
        </w:rPr>
        <w:instrText xml:space="preserve"> ADDIN EN.CITE.DATA </w:instrText>
      </w:r>
      <w:r w:rsidR="00B1645A">
        <w:rPr>
          <w:lang w:val="en-GB"/>
        </w:rPr>
      </w:r>
      <w:r w:rsidR="00B1645A">
        <w:rPr>
          <w:lang w:val="en-GB"/>
        </w:rPr>
        <w:fldChar w:fldCharType="end"/>
      </w:r>
      <w:r w:rsidR="00A05B75">
        <w:rPr>
          <w:lang w:val="en-GB"/>
        </w:rPr>
      </w:r>
      <w:r w:rsidR="00A05B75">
        <w:rPr>
          <w:lang w:val="en-GB"/>
        </w:rPr>
        <w:fldChar w:fldCharType="separate"/>
      </w:r>
      <w:r w:rsidR="00B1645A">
        <w:rPr>
          <w:noProof/>
          <w:lang w:val="en-GB"/>
        </w:rPr>
        <w:t>(</w:t>
      </w:r>
      <w:hyperlink w:anchor="_ENREF_12" w:tooltip="Brennan, 2015 #11" w:history="1">
        <w:r w:rsidR="008A14C8">
          <w:rPr>
            <w:noProof/>
            <w:lang w:val="en-GB"/>
          </w:rPr>
          <w:t>Brennan et al., 2015</w:t>
        </w:r>
      </w:hyperlink>
      <w:proofErr w:type="gramStart"/>
      <w:r w:rsidR="00B1645A">
        <w:rPr>
          <w:noProof/>
          <w:lang w:val="en-GB"/>
        </w:rPr>
        <w:t xml:space="preserve">; </w:t>
      </w:r>
      <w:hyperlink w:anchor="_ENREF_66" w:tooltip="Wakefield, 2015 #6" w:history="1">
        <w:r w:rsidR="008A14C8">
          <w:rPr>
            <w:noProof/>
            <w:lang w:val="en-GB"/>
          </w:rPr>
          <w:t>Wakefield et al., 2015</w:t>
        </w:r>
      </w:hyperlink>
      <w:r w:rsidR="00B1645A">
        <w:rPr>
          <w:noProof/>
          <w:lang w:val="en-GB"/>
        </w:rPr>
        <w:t xml:space="preserve">; </w:t>
      </w:r>
      <w:hyperlink w:anchor="_ENREF_67" w:tooltip="Wakefield, 2013 #7" w:history="1">
        <w:r w:rsidR="008A14C8">
          <w:rPr>
            <w:noProof/>
            <w:lang w:val="en-GB"/>
          </w:rPr>
          <w:t>Wakefield et al., 2013</w:t>
        </w:r>
      </w:hyperlink>
      <w:r w:rsidR="00B1645A">
        <w:rPr>
          <w:noProof/>
          <w:lang w:val="en-GB"/>
        </w:rPr>
        <w:t>;</w:t>
      </w:r>
      <w:proofErr w:type="gramEnd"/>
      <w:r w:rsidR="00B1645A">
        <w:rPr>
          <w:noProof/>
          <w:lang w:val="en-GB"/>
        </w:rPr>
        <w:t xml:space="preserve"> </w:t>
      </w:r>
      <w:hyperlink w:anchor="_ENREF_73" w:tooltip="Young, 2014 #12" w:history="1">
        <w:r w:rsidR="008A14C8">
          <w:rPr>
            <w:noProof/>
            <w:lang w:val="en-GB"/>
          </w:rPr>
          <w:t>Young, Currow, &amp; Dunlop, 2014</w:t>
        </w:r>
      </w:hyperlink>
      <w:r w:rsidR="00B1645A">
        <w:rPr>
          <w:noProof/>
          <w:lang w:val="en-GB"/>
        </w:rPr>
        <w:t>)</w:t>
      </w:r>
      <w:r w:rsidR="00A05B75">
        <w:rPr>
          <w:lang w:val="en-GB"/>
        </w:rPr>
        <w:fldChar w:fldCharType="end"/>
      </w:r>
      <w:r w:rsidR="00497E57">
        <w:rPr>
          <w:lang w:val="en-GB"/>
        </w:rPr>
        <w:t>.</w:t>
      </w:r>
      <w:r w:rsidR="00E95EE0">
        <w:rPr>
          <w:lang w:val="en-GB"/>
        </w:rPr>
        <w:t xml:space="preserve">  </w:t>
      </w:r>
      <w:r w:rsidR="00497E57">
        <w:rPr>
          <w:lang w:val="en-GB"/>
        </w:rPr>
        <w:t xml:space="preserve">Finally, studies mostly suggested that tobacco plain packaging reduced the level of false belief about the harmfulness of different brands </w:t>
      </w:r>
      <w:r w:rsidR="00A05B75">
        <w:rPr>
          <w:lang w:val="en-GB"/>
        </w:rPr>
        <w:fldChar w:fldCharType="begin"/>
      </w:r>
      <w:r w:rsidR="00C95CF3">
        <w:rPr>
          <w:lang w:val="en-GB"/>
        </w:rPr>
        <w:instrText xml:space="preserve"> ADDIN EN.CITE &lt;EndNote&gt;&lt;Cite&gt;&lt;Author&gt;United States Department of Health and Human Services&lt;/Author&gt;&lt;Year&gt;2012&lt;/Year&gt;&lt;RecNum&gt;13&lt;/RecNum&gt;&lt;DisplayText&gt;(United States Department of Health and Human Services, 2012)&lt;/DisplayText&gt;&lt;record&gt;&lt;rec-number&gt;13&lt;/rec-number&gt;&lt;foreign-keys&gt;&lt;key app="EN" db-id="edfppa0tc0tfd1etp5xvexpnzfefzewwwas9" timestamp="1441592648"&gt;13&lt;/key&gt;&lt;/foreign-keys&gt;&lt;ref-type name="Government Document"&gt;46&lt;/ref-type&gt;&lt;contributors&gt;&lt;authors&gt;&lt;author&gt;United States Department of Health and Human Services,&lt;/author&gt;&lt;/authors&gt;&lt;/contributors&gt;&lt;titles&gt;&lt;title&gt; Preventing Tobacco Use Among Youth and Young Adults: A Report of the Surgeon General.&lt;/title&gt;&lt;/titles&gt;&lt;dates&gt;&lt;year&gt;2012&lt;/year&gt;&lt;/dates&gt;&lt;pub-location&gt;Atlanta&lt;/pub-location&gt;&lt;publisher&gt;U.S. Department of Health and Human Services, Centers for Disease Control and Prevention, National Center for Chronic Disease Prevention&amp;#xD;and Health Promotion, Office on Smoking and Health&lt;/publisher&gt;&lt;urls&gt;&lt;/urls&gt;&lt;/record&gt;&lt;/Cite&gt;&lt;/EndNote&gt;</w:instrText>
      </w:r>
      <w:r w:rsidR="00A05B75">
        <w:rPr>
          <w:lang w:val="en-GB"/>
        </w:rPr>
        <w:fldChar w:fldCharType="separate"/>
      </w:r>
      <w:r w:rsidR="00C95CF3">
        <w:rPr>
          <w:noProof/>
          <w:lang w:val="en-GB"/>
        </w:rPr>
        <w:t>(</w:t>
      </w:r>
      <w:hyperlink w:anchor="_ENREF_63" w:tooltip="United States Department of Health and Human Services, 2012 #13" w:history="1">
        <w:r w:rsidR="008A14C8">
          <w:rPr>
            <w:noProof/>
            <w:lang w:val="en-GB"/>
          </w:rPr>
          <w:t>United States Department of Health and Human Services, 2012</w:t>
        </w:r>
      </w:hyperlink>
      <w:r w:rsidR="00C95CF3">
        <w:rPr>
          <w:noProof/>
          <w:lang w:val="en-GB"/>
        </w:rPr>
        <w:t>)</w:t>
      </w:r>
      <w:r w:rsidR="00A05B75">
        <w:rPr>
          <w:lang w:val="en-GB"/>
        </w:rPr>
        <w:fldChar w:fldCharType="end"/>
      </w:r>
      <w:r w:rsidR="00497E57">
        <w:rPr>
          <w:lang w:val="en-GB"/>
        </w:rPr>
        <w:t>.</w:t>
      </w:r>
      <w:r>
        <w:rPr>
          <w:lang w:val="en-GB"/>
        </w:rPr>
        <w:t xml:space="preserve"> </w:t>
      </w:r>
      <w:r w:rsidR="00497E57">
        <w:rPr>
          <w:lang w:val="en-GB"/>
        </w:rPr>
        <w:t>Research found that variant descriptors systematically influenced individuals’ perceptions of tobacco products</w:t>
      </w:r>
      <w:r w:rsidR="00987641">
        <w:rPr>
          <w:lang w:val="en-GB"/>
        </w:rPr>
        <w:t xml:space="preserve"> </w:t>
      </w:r>
      <w:r w:rsidR="00A05B75">
        <w:rPr>
          <w:lang w:val="en-GB"/>
        </w:rPr>
        <w:fldChar w:fldCharType="begin"/>
      </w:r>
      <w:r w:rsidR="00B1645A">
        <w:rPr>
          <w:lang w:val="en-GB"/>
        </w:rPr>
        <w:instrText xml:space="preserve"> ADDIN EN.CITE &lt;EndNote&gt;&lt;Cite&gt;&lt;Author&gt;Borland&lt;/Author&gt;&lt;Year&gt;2014&lt;/Year&gt;&lt;RecNum&gt;14&lt;/RecNum&gt;&lt;DisplayText&gt;(Borland &amp;amp; Savvas, 2014)&lt;/DisplayText&gt;&lt;record&gt;&lt;rec-number&gt;14&lt;/rec-number&gt;&lt;foreign-keys&gt;&lt;key app="EN" db-id="edfppa0tc0tfd1etp5xvexpnzfefzewwwas9" timestamp="1441592648"&gt;14&lt;/key&gt;&lt;/foreign-keys&gt;&lt;ref-type name="Journal Article"&gt;17&lt;/ref-type&gt;&lt;contributors&gt;&lt;authors&gt;&lt;author&gt;Borland, R&lt;/author&gt;&lt;author&gt;Savvas, S&lt;/author&gt;&lt;/authors&gt;&lt;/contributors&gt;&lt;titles&gt;&lt;title&gt;The effects of variant descriptors on the potential effectiveness of plain packaging&lt;/title&gt;&lt;secondary-title&gt;Tobacco control&lt;/secondary-title&gt;&lt;/titles&gt;&lt;periodical&gt;&lt;full-title&gt;Tobacco control&lt;/full-title&gt;&lt;/periodical&gt;&lt;pages&gt;58-63&lt;/pages&gt;&lt;volume&gt;23&lt;/volume&gt;&lt;dates&gt;&lt;year&gt;2014&lt;/year&gt;&lt;/dates&gt;&lt;urls&gt;&lt;/urls&gt;&lt;/record&gt;&lt;/Cite&gt;&lt;/EndNote&gt;</w:instrText>
      </w:r>
      <w:r w:rsidR="00A05B75">
        <w:rPr>
          <w:lang w:val="en-GB"/>
        </w:rPr>
        <w:fldChar w:fldCharType="separate"/>
      </w:r>
      <w:r w:rsidR="00B1645A">
        <w:rPr>
          <w:noProof/>
          <w:lang w:val="en-GB"/>
        </w:rPr>
        <w:t>(</w:t>
      </w:r>
      <w:hyperlink w:anchor="_ENREF_10" w:tooltip="Borland, 2014 #14" w:history="1">
        <w:r w:rsidR="008A14C8">
          <w:rPr>
            <w:noProof/>
            <w:lang w:val="en-GB"/>
          </w:rPr>
          <w:t>Borland &amp; Savvas, 2014</w:t>
        </w:r>
      </w:hyperlink>
      <w:r w:rsidR="00B1645A">
        <w:rPr>
          <w:noProof/>
          <w:lang w:val="en-GB"/>
        </w:rPr>
        <w:t>)</w:t>
      </w:r>
      <w:r w:rsidR="00A05B75">
        <w:rPr>
          <w:lang w:val="en-GB"/>
        </w:rPr>
        <w:fldChar w:fldCharType="end"/>
      </w:r>
      <w:r w:rsidR="00497E57">
        <w:rPr>
          <w:lang w:val="en-GB"/>
        </w:rPr>
        <w:t xml:space="preserve"> and following tobacco plain packaging implementation, more smokers believed brands did not differ in harmfulness </w:t>
      </w:r>
      <w:r w:rsidR="00A05B75">
        <w:rPr>
          <w:lang w:val="en-GB"/>
        </w:rPr>
        <w:fldChar w:fldCharType="begin"/>
      </w:r>
      <w:r w:rsidR="00B1645A">
        <w:rPr>
          <w:lang w:val="en-GB"/>
        </w:rPr>
        <w:instrText xml:space="preserve"> ADDIN EN.CITE &lt;EndNote&gt;&lt;Cite&gt;&lt;Author&gt;Wakefield&lt;/Author&gt;&lt;Year&gt;2015&lt;/Year&gt;&lt;RecNum&gt;6&lt;/RecNum&gt;&lt;DisplayText&gt;(Wakefield et al., 2015)&lt;/DisplayText&gt;&lt;record&gt;&lt;rec-number&gt;6&lt;/rec-number&gt;&lt;foreign-keys&gt;&lt;key app="EN" db-id="edfppa0tc0tfd1etp5xvexpnzfefzewwwas9" timestamp="1441592648"&gt;6&lt;/key&gt;&lt;/foreign-keys&gt;&lt;ref-type name="Journal Article"&gt;17&lt;/ref-type&gt;&lt;contributors&gt;&lt;authors&gt;&lt;author&gt;Wakefield, M&lt;/author&gt;&lt;author&gt;Coomber, K&lt;/author&gt;&lt;author&gt;Zacher, M&lt;/author&gt;&lt;author&gt;Durkin, S&lt;/author&gt;&lt;author&gt;Brennan, E&lt;/author&gt;&lt;author&gt;Scollo, M&lt;/author&gt;&lt;/authors&gt;&lt;/contributors&gt;&lt;titles&gt;&lt;title&gt;Australian adult smokers&amp;apos; responses to plain packaging with larger graphci health warnings 1 year after implementation: results from a national cross-sectional tracking survey.&lt;/title&gt;&lt;secondary-title&gt;Tobacco control&lt;/secondary-title&gt;&lt;/titles&gt;&lt;periodical&gt;&lt;full-title&gt;Tobacco control&lt;/full-title&gt;&lt;/periodical&gt;&lt;pages&gt;ii17-ii25&lt;/pages&gt;&lt;volume&gt;215&lt;/volume&gt;&lt;number&gt;24&lt;/number&gt;&lt;dates&gt;&lt;year&gt;2015&lt;/year&gt;&lt;/dates&gt;&lt;urls&gt;&lt;/urls&gt;&lt;/record&gt;&lt;/Cite&gt;&lt;/EndNote&gt;</w:instrText>
      </w:r>
      <w:r w:rsidR="00A05B75">
        <w:rPr>
          <w:lang w:val="en-GB"/>
        </w:rPr>
        <w:fldChar w:fldCharType="separate"/>
      </w:r>
      <w:r w:rsidR="00B1645A">
        <w:rPr>
          <w:noProof/>
          <w:lang w:val="en-GB"/>
        </w:rPr>
        <w:t>(</w:t>
      </w:r>
      <w:hyperlink w:anchor="_ENREF_66" w:tooltip="Wakefield, 2015 #6" w:history="1">
        <w:r w:rsidR="008A14C8">
          <w:rPr>
            <w:noProof/>
            <w:lang w:val="en-GB"/>
          </w:rPr>
          <w:t>Wakefield et al., 2015</w:t>
        </w:r>
      </w:hyperlink>
      <w:r w:rsidR="00B1645A">
        <w:rPr>
          <w:noProof/>
          <w:lang w:val="en-GB"/>
        </w:rPr>
        <w:t>)</w:t>
      </w:r>
      <w:r w:rsidR="00A05B75">
        <w:rPr>
          <w:lang w:val="en-GB"/>
        </w:rPr>
        <w:fldChar w:fldCharType="end"/>
      </w:r>
      <w:r w:rsidR="00497E57">
        <w:rPr>
          <w:lang w:val="en-GB"/>
        </w:rPr>
        <w:t>.</w:t>
      </w:r>
    </w:p>
    <w:p w14:paraId="4902DC42" w14:textId="21863F9D" w:rsidR="00497E57" w:rsidRDefault="003A3D34" w:rsidP="00497E57">
      <w:pPr>
        <w:rPr>
          <w:lang w:val="en-GB"/>
        </w:rPr>
      </w:pPr>
      <w:r>
        <w:rPr>
          <w:lang w:val="en-GB"/>
        </w:rPr>
        <w:t xml:space="preserve">In addition to reducing the appeal of tobacco products to consumers, increased effectiveness of health warnings on tobacco products, and reduced ability of the retail packaging of tobacco products to mislead consumers about the harmful effects, there is evidence that </w:t>
      </w:r>
      <w:r w:rsidR="00497E57" w:rsidRPr="00100A32">
        <w:rPr>
          <w:lang w:val="en-GB"/>
        </w:rPr>
        <w:t>a greater proportion of smokers considered quitting smoking</w:t>
      </w:r>
      <w:r w:rsidR="00497E57">
        <w:rPr>
          <w:lang w:val="en-GB"/>
        </w:rPr>
        <w:t xml:space="preserve"> </w:t>
      </w:r>
      <w:r>
        <w:rPr>
          <w:lang w:val="en-GB"/>
        </w:rPr>
        <w:t xml:space="preserve">following </w:t>
      </w:r>
      <w:r w:rsidRPr="00100A32">
        <w:rPr>
          <w:lang w:val="en-GB"/>
        </w:rPr>
        <w:t xml:space="preserve">the implementation of </w:t>
      </w:r>
      <w:r>
        <w:rPr>
          <w:lang w:val="en-GB"/>
        </w:rPr>
        <w:t xml:space="preserve">tobacco plain packaging </w:t>
      </w:r>
      <w:r w:rsidR="00A05B75">
        <w:rPr>
          <w:lang w:val="en-GB"/>
        </w:rPr>
        <w:fldChar w:fldCharType="begin"/>
      </w:r>
      <w:r w:rsidR="00B1645A">
        <w:rPr>
          <w:lang w:val="en-GB"/>
        </w:rPr>
        <w:instrText xml:space="preserve"> ADDIN EN.CITE &lt;EndNote&gt;&lt;Cite&gt;&lt;Author&gt;Brennan&lt;/Author&gt;&lt;Year&gt;2015&lt;/Year&gt;&lt;RecNum&gt;11&lt;/RecNum&gt;&lt;DisplayText&gt;(Brennan et al., 2015)&lt;/DisplayText&gt;&lt;record&gt;&lt;rec-number&gt;11&lt;/rec-number&gt;&lt;foreign-keys&gt;&lt;key app="EN" db-id="edfppa0tc0tfd1etp5xvexpnzfefzewwwas9" timestamp="1441592648"&gt;11&lt;/key&gt;&lt;/foreign-keys&gt;&lt;ref-type name="Journal Article"&gt;17&lt;/ref-type&gt;&lt;contributors&gt;&lt;authors&gt;&lt;author&gt;Brennan, E&lt;/author&gt;&lt;author&gt;Durkin, S&lt;/author&gt;&lt;author&gt;Coomber, K&lt;/author&gt;&lt;author&gt;Zacher, M&lt;/author&gt;&lt;author&gt;Scollo, M&lt;/author&gt;&lt;author&gt;Wakefield, M&lt;/author&gt;&lt;/authors&gt;&lt;/contributors&gt;&lt;titles&gt;&lt;title&gt;Are quitting-related cognitions and behaviours predicted by proximal responses to plain packaging with larger health warnings? Findings from a national cohort study with Australian adult smokers&lt;/title&gt;&lt;secondary-title&gt;Tobacco control&lt;/secondary-title&gt;&lt;/titles&gt;&lt;periodical&gt;&lt;full-title&gt;Tobacco control&lt;/full-title&gt;&lt;/periodical&gt;&lt;pages&gt;ii33-ii41&lt;/pages&gt;&lt;volume&gt;24&lt;/volume&gt;&lt;number&gt;Suppl 2&lt;/number&gt;&lt;dates&gt;&lt;year&gt;2015&lt;/year&gt;&lt;/dates&gt;&lt;urls&gt;&lt;/urls&gt;&lt;/record&gt;&lt;/Cite&gt;&lt;/EndNote&gt;</w:instrText>
      </w:r>
      <w:r w:rsidR="00A05B75">
        <w:rPr>
          <w:lang w:val="en-GB"/>
        </w:rPr>
        <w:fldChar w:fldCharType="separate"/>
      </w:r>
      <w:r w:rsidR="00B1645A">
        <w:rPr>
          <w:noProof/>
          <w:lang w:val="en-GB"/>
        </w:rPr>
        <w:t>(</w:t>
      </w:r>
      <w:hyperlink w:anchor="_ENREF_12" w:tooltip="Brennan, 2015 #11" w:history="1">
        <w:r w:rsidR="008A14C8">
          <w:rPr>
            <w:noProof/>
            <w:lang w:val="en-GB"/>
          </w:rPr>
          <w:t>Brennan et al., 2015</w:t>
        </w:r>
      </w:hyperlink>
      <w:r w:rsidR="00B1645A">
        <w:rPr>
          <w:noProof/>
          <w:lang w:val="en-GB"/>
        </w:rPr>
        <w:t>)</w:t>
      </w:r>
      <w:r w:rsidR="00A05B75">
        <w:rPr>
          <w:lang w:val="en-GB"/>
        </w:rPr>
        <w:fldChar w:fldCharType="end"/>
      </w:r>
      <w:r w:rsidR="00497E57">
        <w:rPr>
          <w:lang w:val="en-GB"/>
        </w:rPr>
        <w:t>.</w:t>
      </w:r>
      <w:r w:rsidR="00497E57" w:rsidRPr="00100A32">
        <w:rPr>
          <w:lang w:val="en-GB"/>
        </w:rPr>
        <w:t xml:space="preserve"> </w:t>
      </w:r>
    </w:p>
    <w:p w14:paraId="0DC8A33A" w14:textId="14B77368" w:rsidR="003F21D7" w:rsidRDefault="003F21D7" w:rsidP="00060678">
      <w:pPr>
        <w:keepNext/>
        <w:keepLines/>
        <w:rPr>
          <w:lang w:val="en-GB"/>
        </w:rPr>
      </w:pPr>
      <w:r>
        <w:rPr>
          <w:lang w:val="en-GB"/>
        </w:rPr>
        <w:lastRenderedPageBreak/>
        <w:t>Moreover, a study of cigarette pack display and smoking at outdoor venues before and after implementation of the TPP Act found that visible pack display declined by 15% and active smoking dropped by 23%</w:t>
      </w:r>
      <w:r w:rsidR="00D018E0">
        <w:rPr>
          <w:lang w:val="en-GB"/>
        </w:rPr>
        <w:t xml:space="preserve"> </w:t>
      </w:r>
      <w:r w:rsidR="00F64B02">
        <w:rPr>
          <w:lang w:val="en-GB"/>
        </w:rPr>
        <w:fldChar w:fldCharType="begin">
          <w:fldData xml:space="preserve">PEVuZE5vdGU+PENpdGU+PEF1dGhvcj5aYWNoZXI8L0F1dGhvcj48WWVhcj4yMDE0PC9ZZWFyPjxS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</w:fldData>
        </w:fldChar>
      </w:r>
      <w:r w:rsidR="00B1645A">
        <w:rPr>
          <w:lang w:val="en-GB"/>
        </w:rPr>
        <w:instrText xml:space="preserve"> ADDIN EN.CITE </w:instrText>
      </w:r>
      <w:r w:rsidR="00B1645A">
        <w:rPr>
          <w:lang w:val="en-GB"/>
        </w:rPr>
        <w:fldChar w:fldCharType="begin">
          <w:fldData xml:space="preserve">PEVuZE5vdGU+PENpdGU+PEF1dGhvcj5aYWNoZXI8L0F1dGhvcj48WWVhcj4yMDE0PC9ZZWFyPjxS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</w:fldData>
        </w:fldChar>
      </w:r>
      <w:r w:rsidR="00B1645A">
        <w:rPr>
          <w:lang w:val="en-GB"/>
        </w:rPr>
        <w:instrText xml:space="preserve"> ADDIN EN.CITE.DATA </w:instrText>
      </w:r>
      <w:r w:rsidR="00B1645A">
        <w:rPr>
          <w:lang w:val="en-GB"/>
        </w:rPr>
      </w:r>
      <w:r w:rsidR="00B1645A">
        <w:rPr>
          <w:lang w:val="en-GB"/>
        </w:rPr>
        <w:fldChar w:fldCharType="end"/>
      </w:r>
      <w:r w:rsidR="00F64B02">
        <w:rPr>
          <w:lang w:val="en-GB"/>
        </w:rPr>
      </w:r>
      <w:r w:rsidR="00F64B02">
        <w:rPr>
          <w:lang w:val="en-GB"/>
        </w:rPr>
        <w:fldChar w:fldCharType="separate"/>
      </w:r>
      <w:r w:rsidR="00B1645A">
        <w:rPr>
          <w:noProof/>
          <w:lang w:val="en-GB"/>
        </w:rPr>
        <w:t>(</w:t>
      </w:r>
      <w:hyperlink w:anchor="_ENREF_74" w:tooltip="Zacher, 2014 #15" w:history="1">
        <w:r w:rsidR="008A14C8">
          <w:rPr>
            <w:noProof/>
            <w:lang w:val="en-GB"/>
          </w:rPr>
          <w:t>Zacher et al., 2014</w:t>
        </w:r>
      </w:hyperlink>
      <w:r w:rsidR="00B1645A">
        <w:rPr>
          <w:noProof/>
          <w:lang w:val="en-GB"/>
        </w:rPr>
        <w:t>)</w:t>
      </w:r>
      <w:r w:rsidR="00F64B02">
        <w:rPr>
          <w:lang w:val="en-GB"/>
        </w:rPr>
        <w:fldChar w:fldCharType="end"/>
      </w:r>
      <w:r>
        <w:rPr>
          <w:lang w:val="en-GB"/>
        </w:rPr>
        <w:t xml:space="preserve">. As such, </w:t>
      </w:r>
      <w:r w:rsidRPr="005B5827">
        <w:rPr>
          <w:lang w:val="en-GB"/>
        </w:rPr>
        <w:t>the TPP Act may not only be associated with reductions in the prevalence and consumption of tobacco in Australia but also with reducing the extent to which smokers expose non-smokers to tobacco smoke</w:t>
      </w:r>
      <w:r>
        <w:rPr>
          <w:lang w:val="en-GB"/>
        </w:rPr>
        <w:t xml:space="preserve"> (above and beyond any reduced exposure to non-smokers from reduced prevalence and consumption).</w:t>
      </w:r>
    </w:p>
    <w:p w14:paraId="652A93FA" w14:textId="0A4FD303" w:rsidR="00042B42" w:rsidRDefault="00042B42" w:rsidP="00042B42">
      <w:r>
        <w:t>Whilst the above may be considered intermediate outcomes</w:t>
      </w:r>
      <w:r w:rsidR="003A3D34">
        <w:t>,</w:t>
      </w:r>
      <w:r>
        <w:t xml:space="preserve"> they are </w:t>
      </w:r>
      <w:r w:rsidR="006330C7">
        <w:t>also</w:t>
      </w:r>
      <w:r w:rsidR="00B82D86">
        <w:t>,</w:t>
      </w:r>
      <w:r w:rsidR="006330C7">
        <w:t xml:space="preserve"> and </w:t>
      </w:r>
      <w:r>
        <w:t>important</w:t>
      </w:r>
      <w:r w:rsidR="006330C7">
        <w:t>ly</w:t>
      </w:r>
      <w:r w:rsidR="00B82D86">
        <w:t>,</w:t>
      </w:r>
      <w:r>
        <w:t xml:space="preserve"> precursors and potential predictors of change in prevalence. For example, in the 2012 US Surgeon General’s report it states that: “According to many theoretical models of behaviour…behavioural intentions are immediate precursors to behaviour and are one of the strongest predictors of future behaviour</w:t>
      </w:r>
      <w:r w:rsidR="007560DE">
        <w:t>”</w:t>
      </w:r>
      <w:r w:rsidR="009920F6">
        <w:t xml:space="preserve"> </w:t>
      </w:r>
      <w:r>
        <w:t xml:space="preserve">(A Report of the Surgeon General, 2012). </w:t>
      </w:r>
    </w:p>
    <w:p w14:paraId="2D7BC898" w14:textId="21DEBD7C" w:rsidR="00042B42" w:rsidRDefault="00042B42" w:rsidP="00042B42">
      <w:r>
        <w:t xml:space="preserve">As these sources suggest, </w:t>
      </w:r>
      <w:r w:rsidR="0007738B">
        <w:t xml:space="preserve">and as identified within the TPP Act, </w:t>
      </w:r>
      <w:r>
        <w:t>the achievement of the short-term objectives (the mechanisms under subsection 3(2) of the Act)</w:t>
      </w:r>
      <w:r w:rsidR="00D018E0">
        <w:t xml:space="preserve"> </w:t>
      </w:r>
      <w:r>
        <w:t>which relate to knowledge, beliefs, attitudes and intentions should be strongly associated with the achievement of longer-term outcomes in public health (under subsection 3(1) of the Act). There is strong empirical evidence on the three specific mechanisms described above (and under subsection 3(2) of the Act), which suggests that the achievement of these objectives are the direct means by which tobacco plain packaging is intended to contribute to the objective of improving public health described u</w:t>
      </w:r>
      <w:r w:rsidR="0007738B">
        <w:t>nder subsection 3(1) of the Act</w:t>
      </w:r>
      <w:r>
        <w:t>.</w:t>
      </w:r>
    </w:p>
    <w:p w14:paraId="00CB42D8" w14:textId="5DCBFAB6" w:rsidR="009757AA" w:rsidRPr="00725B99" w:rsidRDefault="003A3D34" w:rsidP="001C5863">
      <w:r>
        <w:t>T</w:t>
      </w:r>
      <w:r w:rsidR="0007738B" w:rsidRPr="00725B99">
        <w:t xml:space="preserve">hree sources </w:t>
      </w:r>
      <w:r w:rsidR="009920F6">
        <w:t xml:space="preserve">available to Siggins Miller </w:t>
      </w:r>
      <w:r>
        <w:t xml:space="preserve">were identified </w:t>
      </w:r>
      <w:r w:rsidR="0007738B" w:rsidRPr="00725B99">
        <w:t xml:space="preserve">to assess the change in tobacco </w:t>
      </w:r>
      <w:r w:rsidR="00725B99">
        <w:t xml:space="preserve">smoking prevalence or consumption </w:t>
      </w:r>
      <w:r w:rsidR="0007738B" w:rsidRPr="00725B99">
        <w:t xml:space="preserve">since the introduction of plain packaging. </w:t>
      </w:r>
      <w:r w:rsidR="00725B99">
        <w:t>Namely, ABS quarterly estimates of tobacco expenditure, National Drug and Alcohol Strategy Household Survey</w:t>
      </w:r>
      <w:r w:rsidR="00B90650">
        <w:t xml:space="preserve"> (NDSHS)</w:t>
      </w:r>
      <w:r w:rsidR="00725B99">
        <w:t xml:space="preserve">, and </w:t>
      </w:r>
      <w:r w:rsidR="00B90650">
        <w:t xml:space="preserve">the </w:t>
      </w:r>
      <w:r w:rsidR="00725B99">
        <w:t>Commonwealth Treasury clearances data.</w:t>
      </w:r>
      <w:r w:rsidR="009757AA">
        <w:t xml:space="preserve"> </w:t>
      </w:r>
      <w:r w:rsidR="009757AA" w:rsidRPr="00725B99">
        <w:t xml:space="preserve">The National Health Survey in Australia also collects information on tobacco consumption. </w:t>
      </w:r>
      <w:r w:rsidR="009757AA">
        <w:t xml:space="preserve">However, </w:t>
      </w:r>
      <w:r w:rsidR="009757AA" w:rsidRPr="00725B99">
        <w:t>the latest available wave</w:t>
      </w:r>
      <w:r w:rsidR="00C93922">
        <w:t xml:space="preserve"> at the time of writing this analysis of costs and benefits</w:t>
      </w:r>
      <w:r w:rsidR="009757AA" w:rsidRPr="00725B99">
        <w:t xml:space="preserve"> was 2007-2008</w:t>
      </w:r>
      <w:r w:rsidR="009C3559">
        <w:t xml:space="preserve"> and s</w:t>
      </w:r>
      <w:r w:rsidR="009757AA" w:rsidRPr="00725B99">
        <w:t xml:space="preserve">ince this was before the implementation of plain packaging, the data is not </w:t>
      </w:r>
      <w:r w:rsidR="009C3559">
        <w:t>applicable</w:t>
      </w:r>
      <w:r w:rsidR="009757AA" w:rsidRPr="00725B99">
        <w:t xml:space="preserve"> here.</w:t>
      </w:r>
    </w:p>
    <w:p w14:paraId="4D5E4E45" w14:textId="39825022" w:rsidR="00A237CD" w:rsidRDefault="0007738B" w:rsidP="00A237CD">
      <w:r w:rsidRPr="00725B99">
        <w:t xml:space="preserve">First, the ABS estimates household expenditure on tobacco on a quarterly basis. </w:t>
      </w:r>
      <w:r w:rsidR="00011181">
        <w:fldChar w:fldCharType="begin"/>
      </w:r>
      <w:r w:rsidR="00011181">
        <w:instrText xml:space="preserve"> REF _Ref443469497 \h </w:instrText>
      </w:r>
      <w:r w:rsidR="00011181">
        <w:fldChar w:fldCharType="separate"/>
      </w:r>
      <w:r w:rsidR="005403ED" w:rsidRPr="005C0499">
        <w:t xml:space="preserve">Figure </w:t>
      </w:r>
      <w:r w:rsidR="005403ED">
        <w:rPr>
          <w:noProof/>
        </w:rPr>
        <w:t>2</w:t>
      </w:r>
      <w:r w:rsidR="00011181">
        <w:fldChar w:fldCharType="end"/>
      </w:r>
      <w:r w:rsidR="00226485">
        <w:t xml:space="preserve"> </w:t>
      </w:r>
      <w:r w:rsidRPr="00725B99">
        <w:t xml:space="preserve">below presents the chain volume </w:t>
      </w:r>
      <w:r w:rsidR="003E5441" w:rsidRPr="00725B99">
        <w:t>measure for</w:t>
      </w:r>
      <w:r w:rsidRPr="00725B99">
        <w:t xml:space="preserve"> cigarettes and tobacco for the period </w:t>
      </w:r>
      <w:r w:rsidR="005C0499">
        <w:t>2009</w:t>
      </w:r>
      <w:r w:rsidRPr="00725B99">
        <w:t xml:space="preserve">-2015. </w:t>
      </w:r>
      <w:r w:rsidR="00725B99" w:rsidRPr="00725B99">
        <w:t>To estimate household expenditure on tobacco, the ABS uses aggregate sales data from relevant suppliers and deflates their values using a single price index for the cigarette and tobacco expenditure category</w:t>
      </w:r>
      <w:r w:rsidR="00725B99" w:rsidRPr="0022078F">
        <w:t xml:space="preserve">. </w:t>
      </w:r>
      <w:r w:rsidR="00812272" w:rsidRPr="0022078F">
        <w:t xml:space="preserve">Over the period </w:t>
      </w:r>
      <w:r w:rsidR="00F00F7B" w:rsidRPr="0022078F">
        <w:t xml:space="preserve">December </w:t>
      </w:r>
      <w:r w:rsidR="00812272" w:rsidRPr="0022078F">
        <w:t>20</w:t>
      </w:r>
      <w:r w:rsidR="00F00F7B" w:rsidRPr="0022078F">
        <w:t>12</w:t>
      </w:r>
      <w:r w:rsidR="00812272" w:rsidRPr="0022078F">
        <w:t xml:space="preserve"> to 2014, the chain volume measure (seasonally adjusted) of household consumption for cigarettes and tobacco declined </w:t>
      </w:r>
      <w:r w:rsidR="00F00F7B" w:rsidRPr="0022078F">
        <w:t>by 14.4</w:t>
      </w:r>
      <w:r w:rsidR="00812272" w:rsidRPr="0022078F">
        <w:t>%.</w:t>
      </w:r>
      <w:r w:rsidR="00812272" w:rsidRPr="00725B99">
        <w:t xml:space="preserve"> </w:t>
      </w:r>
      <w:bookmarkStart w:id="89" w:name="_Ref425770746"/>
      <w:r w:rsidR="00A237CD">
        <w:br w:type="page"/>
      </w:r>
    </w:p>
    <w:p w14:paraId="42C4D984" w14:textId="18C12280" w:rsidR="00011181" w:rsidRPr="005C0499" w:rsidRDefault="00011181" w:rsidP="005C0499">
      <w:pPr>
        <w:pStyle w:val="Caption"/>
        <w:jc w:val="left"/>
        <w:rPr>
          <w:sz w:val="24"/>
          <w:szCs w:val="24"/>
        </w:rPr>
      </w:pPr>
      <w:bookmarkStart w:id="90" w:name="_Ref443469497"/>
      <w:r w:rsidRPr="005C0499">
        <w:rPr>
          <w:sz w:val="24"/>
          <w:szCs w:val="24"/>
        </w:rPr>
        <w:lastRenderedPageBreak/>
        <w:t xml:space="preserve">Figure </w:t>
      </w:r>
      <w:r w:rsidR="009C426B" w:rsidRPr="005C0499">
        <w:rPr>
          <w:sz w:val="24"/>
          <w:szCs w:val="24"/>
        </w:rPr>
        <w:fldChar w:fldCharType="begin"/>
      </w:r>
      <w:r w:rsidR="009C426B" w:rsidRPr="005C0499">
        <w:rPr>
          <w:sz w:val="24"/>
          <w:szCs w:val="24"/>
        </w:rPr>
        <w:instrText xml:space="preserve"> SEQ Figure \* ARABIC </w:instrText>
      </w:r>
      <w:r w:rsidR="009C426B" w:rsidRPr="005C0499">
        <w:rPr>
          <w:sz w:val="24"/>
          <w:szCs w:val="24"/>
        </w:rPr>
        <w:fldChar w:fldCharType="separate"/>
      </w:r>
      <w:r w:rsidR="005403ED">
        <w:rPr>
          <w:noProof/>
          <w:sz w:val="24"/>
          <w:szCs w:val="24"/>
        </w:rPr>
        <w:t>2</w:t>
      </w:r>
      <w:r w:rsidR="009C426B" w:rsidRPr="005C0499">
        <w:rPr>
          <w:noProof/>
          <w:sz w:val="24"/>
          <w:szCs w:val="24"/>
        </w:rPr>
        <w:fldChar w:fldCharType="end"/>
      </w:r>
      <w:bookmarkEnd w:id="90"/>
      <w:r w:rsidRPr="005C0499">
        <w:rPr>
          <w:sz w:val="24"/>
          <w:szCs w:val="24"/>
        </w:rPr>
        <w:t>: Cigarettes and tobacco chain volume measures of expenditure</w:t>
      </w:r>
    </w:p>
    <w:p w14:paraId="3DA0BBD2" w14:textId="44C61CCB" w:rsidR="00701A5D" w:rsidRPr="00701A5D" w:rsidRDefault="00701A5D" w:rsidP="00701A5D">
      <w:r>
        <w:rPr>
          <w:noProof/>
          <w:lang w:eastAsia="en-AU"/>
        </w:rPr>
        <w:drawing>
          <wp:inline distT="0" distB="0" distL="0" distR="0" wp14:anchorId="228D8A29" wp14:editId="53591175">
            <wp:extent cx="5742940" cy="3152140"/>
            <wp:effectExtent l="0" t="0" r="0" b="0"/>
            <wp:docPr id="7" name="Picture 7" descr="Figure 2 is a line graph measuring the chain volume measure value of expenditure for cigarettes and tobacco over the period from December 2009 to March 2015 by quarterly increments. The graph shows a decline over this period from $4400 million to $3100 million. A vertical line on the graph identifies the introduction of plain packaging in December 2012.  An overall explanation of this graph can be found in the text prior to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152140"/>
                    </a:xfrm>
                    <a:prstGeom prst="rect">
                      <a:avLst/>
                    </a:prstGeom>
                    <a:noFill/>
                  </pic:spPr>
                </pic:pic>
              </a:graphicData>
            </a:graphic>
          </wp:inline>
        </w:drawing>
      </w:r>
    </w:p>
    <w:bookmarkEnd w:id="89"/>
    <w:p w14:paraId="7DA36576" w14:textId="7F4B7BC6" w:rsidR="0007738B" w:rsidRPr="00725B99" w:rsidRDefault="0007738B" w:rsidP="00987641">
      <w:pPr>
        <w:pStyle w:val="tablenotes2"/>
        <w:keepNext/>
      </w:pPr>
      <w:r w:rsidRPr="00725B99">
        <w:t xml:space="preserve">Source: </w:t>
      </w:r>
      <w:r w:rsidR="008631E6">
        <w:t xml:space="preserve">Australian National </w:t>
      </w:r>
      <w:proofErr w:type="gramStart"/>
      <w:r w:rsidR="008631E6">
        <w:t>Accounts,</w:t>
      </w:r>
      <w:proofErr w:type="gramEnd"/>
      <w:r w:rsidR="008631E6">
        <w:t xml:space="preserve"> Cat. No. 5206.0 </w:t>
      </w:r>
      <w:r w:rsidR="00A05B75">
        <w:fldChar w:fldCharType="begin"/>
      </w:r>
      <w:r w:rsidR="00B1645A">
        <w:instrText xml:space="preserve"> ADDIN EN.CITE &lt;EndNote&gt;&lt;Cite&gt;&lt;Author&gt;Australian Bureau of Statistics&lt;/Author&gt;&lt;Year&gt;2015&lt;/Year&gt;&lt;RecNum&gt;16&lt;/RecNum&gt;&lt;DisplayText&gt;(Australian Bureau of Statistics, 2015)&lt;/DisplayText&gt;&lt;record&gt;&lt;rec-number&gt;16&lt;/rec-number&gt;&lt;foreign-keys&gt;&lt;key app="EN" db-id="edfppa0tc0tfd1etp5xvexpnzfefzewwwas9" timestamp="1441592648"&gt;16&lt;/key&gt;&lt;/foreign-keys&gt;&lt;ref-type name="Book"&gt;6&lt;/ref-type&gt;&lt;contributors&gt;&lt;authors&gt;&lt;author&gt;Australian Bureau of Statistics,&lt;/author&gt;&lt;/authors&gt;&lt;/contributors&gt;&lt;titles&gt;&lt;title&gt;Australian National Accounts&lt;/title&gt;&lt;secondary-title&gt;cat. no. 5206.0&lt;/secondary-title&gt;&lt;/titles&gt;&lt;dates&gt;&lt;year&gt;2015&lt;/year&gt;&lt;/dates&gt;&lt;pub-location&gt;Canberra&lt;/pub-location&gt;&lt;publisher&gt;ABS&lt;/publisher&gt;&lt;urls&gt;&lt;/urls&gt;&lt;/record&gt;&lt;/Cite&gt;&lt;/EndNote&gt;</w:instrText>
      </w:r>
      <w:r w:rsidR="00A05B75">
        <w:fldChar w:fldCharType="separate"/>
      </w:r>
      <w:r w:rsidR="00B1645A">
        <w:rPr>
          <w:noProof/>
        </w:rPr>
        <w:t>(</w:t>
      </w:r>
      <w:hyperlink w:anchor="_ENREF_5" w:tooltip="Australian Bureau of Statistics, 2015 #16" w:history="1">
        <w:r w:rsidR="008A14C8">
          <w:rPr>
            <w:noProof/>
          </w:rPr>
          <w:t>Australian Bureau of Statistics, 2015</w:t>
        </w:r>
      </w:hyperlink>
      <w:r w:rsidR="00B1645A">
        <w:rPr>
          <w:noProof/>
        </w:rPr>
        <w:t>)</w:t>
      </w:r>
      <w:r w:rsidR="00A05B75">
        <w:fldChar w:fldCharType="end"/>
      </w:r>
    </w:p>
    <w:p w14:paraId="265C2521" w14:textId="241743CE" w:rsidR="0007738B" w:rsidRDefault="0007738B" w:rsidP="00725B99">
      <w:r w:rsidRPr="00725B99">
        <w:t xml:space="preserve">Second, the </w:t>
      </w:r>
      <w:r w:rsidR="00B90650">
        <w:t>AIHW</w:t>
      </w:r>
      <w:r w:rsidRPr="00725B99">
        <w:t xml:space="preserve"> used data from the </w:t>
      </w:r>
      <w:r w:rsidR="00B90650">
        <w:t>NDSHS</w:t>
      </w:r>
      <w:r w:rsidRPr="00725B99">
        <w:t xml:space="preserve"> to estimate various smoking rates. </w:t>
      </w:r>
      <w:r w:rsidR="00A237CD">
        <w:fldChar w:fldCharType="begin"/>
      </w:r>
      <w:r w:rsidR="00A237CD">
        <w:instrText xml:space="preserve"> REF _Ref443469705 \h </w:instrText>
      </w:r>
      <w:r w:rsidR="00A237CD">
        <w:fldChar w:fldCharType="separate"/>
      </w:r>
      <w:r w:rsidR="005403ED" w:rsidRPr="00BD0D79">
        <w:t xml:space="preserve">Figure </w:t>
      </w:r>
      <w:r w:rsidR="005403ED">
        <w:rPr>
          <w:noProof/>
        </w:rPr>
        <w:t>3</w:t>
      </w:r>
      <w:r w:rsidR="00A237CD">
        <w:fldChar w:fldCharType="end"/>
      </w:r>
      <w:r w:rsidRPr="00725B99">
        <w:t xml:space="preserve"> below </w:t>
      </w:r>
      <w:proofErr w:type="gramStart"/>
      <w:r w:rsidRPr="00725B99">
        <w:t>presents</w:t>
      </w:r>
      <w:proofErr w:type="gramEnd"/>
      <w:r w:rsidRPr="00725B99">
        <w:t xml:space="preserve"> tobacco </w:t>
      </w:r>
      <w:r w:rsidR="00652C40">
        <w:t xml:space="preserve">related </w:t>
      </w:r>
      <w:r w:rsidRPr="00725B99">
        <w:t>behaviour since 1991.</w:t>
      </w:r>
    </w:p>
    <w:p w14:paraId="4CECD284" w14:textId="21E1D395" w:rsidR="00A237CD" w:rsidRPr="00BD0D79" w:rsidRDefault="00A237CD" w:rsidP="00BD0D79">
      <w:pPr>
        <w:pStyle w:val="Caption"/>
        <w:jc w:val="left"/>
        <w:rPr>
          <w:sz w:val="24"/>
          <w:szCs w:val="24"/>
        </w:rPr>
      </w:pPr>
      <w:bookmarkStart w:id="91" w:name="_Ref443469705"/>
      <w:r w:rsidRPr="00BD0D79">
        <w:rPr>
          <w:sz w:val="24"/>
          <w:szCs w:val="24"/>
        </w:rPr>
        <w:t xml:space="preserve">Figure </w:t>
      </w:r>
      <w:r w:rsidR="009C426B" w:rsidRPr="00BD0D79">
        <w:rPr>
          <w:sz w:val="24"/>
          <w:szCs w:val="24"/>
        </w:rPr>
        <w:fldChar w:fldCharType="begin"/>
      </w:r>
      <w:r w:rsidR="009C426B" w:rsidRPr="00BD0D79">
        <w:rPr>
          <w:sz w:val="24"/>
          <w:szCs w:val="24"/>
        </w:rPr>
        <w:instrText xml:space="preserve"> SEQ Figure \* ARABIC </w:instrText>
      </w:r>
      <w:r w:rsidR="009C426B" w:rsidRPr="00BD0D79">
        <w:rPr>
          <w:sz w:val="24"/>
          <w:szCs w:val="24"/>
        </w:rPr>
        <w:fldChar w:fldCharType="separate"/>
      </w:r>
      <w:r w:rsidR="005403ED">
        <w:rPr>
          <w:noProof/>
          <w:sz w:val="24"/>
          <w:szCs w:val="24"/>
        </w:rPr>
        <w:t>3</w:t>
      </w:r>
      <w:r w:rsidR="009C426B" w:rsidRPr="00BD0D79">
        <w:rPr>
          <w:noProof/>
          <w:sz w:val="24"/>
          <w:szCs w:val="24"/>
        </w:rPr>
        <w:fldChar w:fldCharType="end"/>
      </w:r>
      <w:bookmarkEnd w:id="91"/>
      <w:r w:rsidRPr="00BD0D79">
        <w:rPr>
          <w:sz w:val="24"/>
          <w:szCs w:val="24"/>
        </w:rPr>
        <w:t>: Tobacco behaviour since 1991</w:t>
      </w:r>
    </w:p>
    <w:p w14:paraId="535BA61D" w14:textId="4800483A" w:rsidR="0007738B" w:rsidRPr="00725B99" w:rsidRDefault="0007738B" w:rsidP="00987641">
      <w:pPr>
        <w:keepNext/>
      </w:pPr>
      <w:r w:rsidRPr="00725B99">
        <w:rPr>
          <w:noProof/>
          <w:lang w:eastAsia="en-AU"/>
        </w:rPr>
        <w:drawing>
          <wp:inline distT="0" distB="0" distL="0" distR="0" wp14:anchorId="4C3EA0A3" wp14:editId="0B7EF902">
            <wp:extent cx="5731510" cy="3463925"/>
            <wp:effectExtent l="0" t="0" r="2540" b="3175"/>
            <wp:docPr id="4" name="Picture 4" descr="Figure 3 is a line graph of the prevalence of tobacco behaviours from 1991 to 2013.  Three lines present the percentages of Australians who have never smoked, are ex-smokers and daily smokers at the time of each periodic survey. &#10;The percentage of never smokers shows a gradual upwards trend from around 49% to around 60%. The percentage of ex-smokers was relatively steady at around 21% from 1991 to 1995, with an increase between 1995 and 1998 (to 26%) and then a gradual decline from 1998 through to 2013 (to 24%). The percentage of daily smokers shows a downwards trend starting at around 23% and dipping to around 15%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463925"/>
                    </a:xfrm>
                    <a:prstGeom prst="rect">
                      <a:avLst/>
                    </a:prstGeom>
                    <a:noFill/>
                    <a:ln>
                      <a:noFill/>
                    </a:ln>
                  </pic:spPr>
                </pic:pic>
              </a:graphicData>
            </a:graphic>
          </wp:inline>
        </w:drawing>
      </w:r>
    </w:p>
    <w:p w14:paraId="7E0089BD" w14:textId="77777777" w:rsidR="0007738B" w:rsidRDefault="00812272" w:rsidP="00987641">
      <w:pPr>
        <w:pStyle w:val="tablenotes2"/>
        <w:keepNext/>
      </w:pPr>
      <w:r>
        <w:t>Source: National Drug Strategy Household Survey, 2014</w:t>
      </w:r>
    </w:p>
    <w:p w14:paraId="54D86233" w14:textId="77777777" w:rsidR="008F1173" w:rsidRDefault="008F1173">
      <w:pPr>
        <w:tabs>
          <w:tab w:val="clear" w:pos="357"/>
        </w:tabs>
        <w:spacing w:before="0" w:after="200" w:line="276" w:lineRule="auto"/>
      </w:pPr>
      <w:r>
        <w:br w:type="page"/>
      </w:r>
    </w:p>
    <w:p w14:paraId="2301ECA9" w14:textId="2D05DC12" w:rsidR="0007738B" w:rsidRPr="00725B99" w:rsidRDefault="0007738B" w:rsidP="00060678">
      <w:pPr>
        <w:spacing w:before="0" w:after="80"/>
      </w:pPr>
      <w:r w:rsidRPr="00725B99">
        <w:lastRenderedPageBreak/>
        <w:t xml:space="preserve">The latest </w:t>
      </w:r>
      <w:r w:rsidR="00725174">
        <w:t xml:space="preserve">data for </w:t>
      </w:r>
      <w:r w:rsidRPr="00725B99">
        <w:t xml:space="preserve">the </w:t>
      </w:r>
      <w:r w:rsidR="00B90650">
        <w:t>NDSHS</w:t>
      </w:r>
      <w:r w:rsidRPr="00725B99">
        <w:t xml:space="preserve"> was collected in 2013</w:t>
      </w:r>
      <w:r w:rsidR="00725174">
        <w:t>.</w:t>
      </w:r>
      <w:r w:rsidRPr="00725B99">
        <w:t xml:space="preserve"> </w:t>
      </w:r>
      <w:r w:rsidR="00725174">
        <w:t>P</w:t>
      </w:r>
      <w:r w:rsidRPr="00725B99">
        <w:t>revious</w:t>
      </w:r>
      <w:r w:rsidR="00725174">
        <w:t xml:space="preserve"> NDSHS</w:t>
      </w:r>
      <w:r w:rsidRPr="00725B99">
        <w:t xml:space="preserve"> surveys were conducted in 1985, 1988, 1993, 1995, 1998, 2001, 2004, 2007, and 2010. The 2013 </w:t>
      </w:r>
      <w:r w:rsidR="00725174">
        <w:t>data</w:t>
      </w:r>
      <w:r w:rsidR="00725174" w:rsidRPr="00725B99">
        <w:t xml:space="preserve"> </w:t>
      </w:r>
      <w:r w:rsidRPr="00725B99">
        <w:t xml:space="preserve">included 23,855 Australian respondents. </w:t>
      </w:r>
      <w:r w:rsidR="00563336">
        <w:fldChar w:fldCharType="begin"/>
      </w:r>
      <w:r w:rsidR="00563336">
        <w:instrText xml:space="preserve"> REF _Ref443469705 \h </w:instrText>
      </w:r>
      <w:r w:rsidR="00563336">
        <w:fldChar w:fldCharType="separate"/>
      </w:r>
      <w:r w:rsidR="005403ED" w:rsidRPr="00BD0D79">
        <w:t xml:space="preserve">Figure </w:t>
      </w:r>
      <w:r w:rsidR="005403ED">
        <w:rPr>
          <w:noProof/>
        </w:rPr>
        <w:t>3</w:t>
      </w:r>
      <w:r w:rsidR="00563336">
        <w:fldChar w:fldCharType="end"/>
      </w:r>
      <w:r w:rsidR="00563336">
        <w:t xml:space="preserve"> </w:t>
      </w:r>
      <w:r w:rsidRPr="00725B99">
        <w:t>shows that smoking rates have been decreasing steadily since 1993. The proportion of both males and females aged 14 or older who smoked daily declined between 2010 and 2013. In 2013, 12.8% of Australian</w:t>
      </w:r>
      <w:r w:rsidR="00CC228D">
        <w:t>s</w:t>
      </w:r>
      <w:r w:rsidRPr="00725B99">
        <w:t xml:space="preserve"> aged 14 or older were daily smokers, declining from 15.1% in 2010. </w:t>
      </w:r>
    </w:p>
    <w:p w14:paraId="1BE0C6C5" w14:textId="15F3B359" w:rsidR="0007738B" w:rsidRPr="00725B99" w:rsidRDefault="0007738B" w:rsidP="00060678">
      <w:pPr>
        <w:spacing w:before="80" w:after="80"/>
      </w:pPr>
      <w:r w:rsidRPr="00DB7DDC">
        <w:t xml:space="preserve">Third, the Commonwealth Treasury has further advised that tobacco clearances (including excise and customs duty) fell by 3.4% in 2013 relative to 2012 </w:t>
      </w:r>
      <w:r w:rsidR="00FC6B02">
        <w:t>(</w:t>
      </w:r>
      <w:r w:rsidR="00FC6B02" w:rsidRPr="00DB7DDC">
        <w:t>when tobacco plain packaging was introduced</w:t>
      </w:r>
      <w:r w:rsidR="00FC6B02">
        <w:t>) and have subsequently fallen a further 7.7% in 2014</w:t>
      </w:r>
      <w:r w:rsidR="00200056">
        <w:t xml:space="preserve"> </w:t>
      </w:r>
      <w:r w:rsidR="00A05B75">
        <w:fldChar w:fldCharType="begin"/>
      </w:r>
      <w:r w:rsidR="00B1645A">
        <w:instrText xml:space="preserve"> ADDIN EN.CITE &lt;EndNote&gt;&lt;Cite&gt;&lt;Author&gt;Department of Health&lt;/Author&gt;&lt;Year&gt;2015&lt;/Year&gt;&lt;RecNum&gt;17&lt;/RecNum&gt;&lt;DisplayText&gt;(Department of Health, 2015)&lt;/DisplayText&gt;&lt;record&gt;&lt;rec-number&gt;17&lt;/rec-number&gt;&lt;foreign-keys&gt;&lt;key app="EN" db-id="edfppa0tc0tfd1etp5xvexpnzfefzewwwas9" timestamp="1441592648"&gt;17&lt;/key&gt;&lt;/foreign-keys&gt;&lt;ref-type name="Government Document"&gt;46&lt;/ref-type&gt;&lt;contributors&gt;&lt;authors&gt;&lt;author&gt;Department of Health,&lt;/author&gt;&lt;/authors&gt;&lt;/contributors&gt;&lt;titles&gt;&lt;title&gt;Tobacco key facts and figures&lt;/title&gt;&lt;/titles&gt;&lt;volume&gt;2015&lt;/volume&gt;&lt;number&gt;13 August&lt;/number&gt;&lt;dates&gt;&lt;year&gt;2015&lt;/year&gt;&lt;pub-dates&gt;&lt;date&gt;12 August 2015&lt;/date&gt;&lt;/pub-dates&gt;&lt;/dates&gt;&lt;pub-location&gt;http://www.health.gov.au/internet/main/publishing.nsf/content/tobacco-kff&lt;/pub-location&gt;&lt;publisher&gt;Australian Government&lt;/publisher&gt;&lt;urls&gt;&lt;/urls&gt;&lt;/record&gt;&lt;/Cite&gt;&lt;/EndNote&gt;</w:instrText>
      </w:r>
      <w:r w:rsidR="00A05B75">
        <w:fldChar w:fldCharType="separate"/>
      </w:r>
      <w:r w:rsidR="00B1645A">
        <w:rPr>
          <w:noProof/>
        </w:rPr>
        <w:t>(</w:t>
      </w:r>
      <w:hyperlink w:anchor="_ENREF_26" w:tooltip="Department of Health, 2015 #17" w:history="1">
        <w:r w:rsidR="008A14C8">
          <w:rPr>
            <w:noProof/>
          </w:rPr>
          <w:t>Department of Health, 2015</w:t>
        </w:r>
      </w:hyperlink>
      <w:r w:rsidR="00B1645A">
        <w:rPr>
          <w:noProof/>
        </w:rPr>
        <w:t>)</w:t>
      </w:r>
      <w:r w:rsidR="00A05B75">
        <w:fldChar w:fldCharType="end"/>
      </w:r>
      <w:r w:rsidRPr="00DB7DDC">
        <w:t>. Clearances are an indicator of tobacco volumes in the Australian market</w:t>
      </w:r>
      <w:r w:rsidR="00B7186E" w:rsidRPr="00DB7DDC">
        <w:t xml:space="preserve">. </w:t>
      </w:r>
    </w:p>
    <w:p w14:paraId="19362FF6" w14:textId="1377B565" w:rsidR="00B7186E" w:rsidRPr="00725B99" w:rsidRDefault="00B7186E" w:rsidP="00060678">
      <w:pPr>
        <w:spacing w:before="80" w:after="80"/>
      </w:pPr>
      <w:r>
        <w:t xml:space="preserve">Despite the above evidence that smoking prevalence </w:t>
      </w:r>
      <w:r w:rsidR="00810E1B">
        <w:t xml:space="preserve">and consumption of tobacco products </w:t>
      </w:r>
      <w:r>
        <w:t>ha</w:t>
      </w:r>
      <w:r w:rsidR="003F7DC4">
        <w:t>ve</w:t>
      </w:r>
      <w:r>
        <w:t xml:space="preserve"> fallen since the introduction of the TPP </w:t>
      </w:r>
      <w:r w:rsidR="00B90650">
        <w:t>measure</w:t>
      </w:r>
      <w:r w:rsidR="00CC228D">
        <w:t>,</w:t>
      </w:r>
      <w:r w:rsidR="00B90650">
        <w:t xml:space="preserve"> </w:t>
      </w:r>
      <w:r>
        <w:t xml:space="preserve">a number of limitations </w:t>
      </w:r>
      <w:r w:rsidR="00D971FF">
        <w:t xml:space="preserve">made it difficult </w:t>
      </w:r>
      <w:r>
        <w:t xml:space="preserve">to attribute this decline </w:t>
      </w:r>
      <w:r w:rsidR="00810E1B">
        <w:t xml:space="preserve">solely </w:t>
      </w:r>
      <w:r>
        <w:t xml:space="preserve">to the TPP </w:t>
      </w:r>
      <w:r w:rsidR="00B90650">
        <w:t>measure</w:t>
      </w:r>
      <w:r>
        <w:t xml:space="preserve">. Firstly, </w:t>
      </w:r>
      <w:r w:rsidR="00B90650">
        <w:t xml:space="preserve">the </w:t>
      </w:r>
      <w:r>
        <w:t xml:space="preserve">TPP </w:t>
      </w:r>
      <w:r w:rsidR="00B90650">
        <w:t xml:space="preserve">measure </w:t>
      </w:r>
      <w:r>
        <w:t>was introduced simultaneously with increased graphic health warnings</w:t>
      </w:r>
      <w:r w:rsidR="00BB3445">
        <w:t xml:space="preserve"> and this is difficult to disentangle </w:t>
      </w:r>
      <w:r w:rsidR="008D20AD">
        <w:t>the effect of plain packaging</w:t>
      </w:r>
      <w:r>
        <w:t xml:space="preserve"> </w:t>
      </w:r>
      <w:r w:rsidR="008D20AD">
        <w:t>from any effect</w:t>
      </w:r>
      <w:r w:rsidR="00BB3445">
        <w:t>s resulting</w:t>
      </w:r>
      <w:r w:rsidR="008D20AD">
        <w:t xml:space="preserve"> from changes to health warnings. </w:t>
      </w:r>
      <w:r w:rsidR="009757AA">
        <w:t xml:space="preserve">Secondly, there is an underlying trend for reduced tobacco consumption and prevalence. </w:t>
      </w:r>
      <w:r w:rsidR="00D83A18">
        <w:t>Third</w:t>
      </w:r>
      <w:r w:rsidR="007768C7">
        <w:t>ly</w:t>
      </w:r>
      <w:r w:rsidR="00D83A18">
        <w:t>, in the case of expenditure data, whilst chain-volume</w:t>
      </w:r>
      <w:r w:rsidR="009757AA">
        <w:t xml:space="preserve"> </w:t>
      </w:r>
      <w:r w:rsidR="003231B5">
        <w:t xml:space="preserve">measures are estimated by the ABS to better reflect changes in quantity (as opposed to both changes in price and quantity), </w:t>
      </w:r>
      <w:r w:rsidR="00FE4C03">
        <w:t xml:space="preserve">expenditure </w:t>
      </w:r>
      <w:r w:rsidR="003231B5">
        <w:t>remain</w:t>
      </w:r>
      <w:r w:rsidR="00FE4C03">
        <w:t>s</w:t>
      </w:r>
      <w:r w:rsidR="003231B5">
        <w:t xml:space="preserve"> an imperfect measure of changes </w:t>
      </w:r>
      <w:r w:rsidR="008D20AD">
        <w:t>in</w:t>
      </w:r>
      <w:r w:rsidR="00A43F9A">
        <w:t xml:space="preserve"> quantity</w:t>
      </w:r>
      <w:r w:rsidR="003231B5">
        <w:t>. Fourth</w:t>
      </w:r>
      <w:r w:rsidR="007768C7">
        <w:t>ly</w:t>
      </w:r>
      <w:r w:rsidR="003231B5">
        <w:t>, during the data collection period of the 2013 NDSHS</w:t>
      </w:r>
      <w:r w:rsidR="00810E1B">
        <w:t xml:space="preserve"> (</w:t>
      </w:r>
      <w:r w:rsidR="00562579">
        <w:t xml:space="preserve">31 </w:t>
      </w:r>
      <w:r w:rsidR="00810E1B">
        <w:t xml:space="preserve">July – </w:t>
      </w:r>
      <w:r w:rsidR="00562579">
        <w:t xml:space="preserve">1 </w:t>
      </w:r>
      <w:r w:rsidR="00810E1B">
        <w:t>December 2013)</w:t>
      </w:r>
      <w:r w:rsidR="003231B5">
        <w:t>, it was announced that a four staged tobacco excise increase would be implemented</w:t>
      </w:r>
      <w:r w:rsidR="00810E1B">
        <w:t>. Fifth</w:t>
      </w:r>
      <w:r w:rsidR="007768C7">
        <w:t>ly</w:t>
      </w:r>
      <w:r w:rsidR="00810E1B">
        <w:t xml:space="preserve">, analyses of </w:t>
      </w:r>
      <w:r w:rsidR="008D20AD">
        <w:t xml:space="preserve">tobacco consumption and smoking prevalence are limited by a pre-post design. </w:t>
      </w:r>
      <w:r w:rsidR="00A43F9A">
        <w:t>C</w:t>
      </w:r>
      <w:r w:rsidR="008D20AD">
        <w:t>hanges in other determinants of smoking (such as income and population socio-demographics) over the study period may also confound the</w:t>
      </w:r>
      <w:r w:rsidR="00A43F9A">
        <w:t xml:space="preserve"> observed relationship that consumption and prevalence have fallen after the introduction of the TPP </w:t>
      </w:r>
      <w:r w:rsidR="00B90650">
        <w:t>measure</w:t>
      </w:r>
      <w:r w:rsidR="00A43F9A">
        <w:t>.</w:t>
      </w:r>
      <w:r w:rsidR="008D20AD">
        <w:t xml:space="preserve"> </w:t>
      </w:r>
      <w:r w:rsidR="00BB3445">
        <w:t xml:space="preserve"> As such, this was not possible, based on the materials available to Siggins Miller, to quantify </w:t>
      </w:r>
      <w:r w:rsidR="00563336">
        <w:t>with confidence</w:t>
      </w:r>
      <w:r w:rsidR="00BB3445">
        <w:t xml:space="preserve"> the effects of plain packaging by itself on smoking prevalence and tobacco consumption. </w:t>
      </w:r>
    </w:p>
    <w:p w14:paraId="4EDAB347" w14:textId="47ACC129" w:rsidR="008D20AD" w:rsidRDefault="00AA4786" w:rsidP="00060678">
      <w:pPr>
        <w:spacing w:before="80" w:after="80"/>
        <w:rPr>
          <w:lang w:val="en-GB"/>
        </w:rPr>
      </w:pPr>
      <w:r>
        <w:rPr>
          <w:lang w:val="en-GB"/>
        </w:rPr>
        <w:t xml:space="preserve">Despite these limitations, </w:t>
      </w:r>
      <w:r w:rsidR="008D20AD">
        <w:rPr>
          <w:lang w:val="en-GB"/>
        </w:rPr>
        <w:t xml:space="preserve">a recent review of the evidence of plain packaging in </w:t>
      </w:r>
      <w:r>
        <w:rPr>
          <w:lang w:val="en-GB"/>
        </w:rPr>
        <w:t>Australia</w:t>
      </w:r>
      <w:r w:rsidR="008D20AD">
        <w:rPr>
          <w:lang w:val="en-GB"/>
        </w:rPr>
        <w:t xml:space="preserve"> </w:t>
      </w:r>
      <w:r>
        <w:rPr>
          <w:lang w:val="en-GB"/>
        </w:rPr>
        <w:t xml:space="preserve">identified </w:t>
      </w:r>
      <w:r w:rsidR="008D20AD">
        <w:rPr>
          <w:lang w:val="en-GB"/>
        </w:rPr>
        <w:t xml:space="preserve">that whilst reductions in smoking prevalence after the introduction of tobacco plain packaging </w:t>
      </w:r>
      <w:r w:rsidR="00B90650">
        <w:rPr>
          <w:lang w:val="en-GB"/>
        </w:rPr>
        <w:t>“</w:t>
      </w:r>
      <w:r w:rsidR="008D20AD">
        <w:rPr>
          <w:lang w:val="en-GB"/>
        </w:rPr>
        <w:t>cannot be directly attributable to plain packaging alone, they are strongly suggestive that plain packaging is contributing to decreases in smoking at the population level</w:t>
      </w:r>
      <w:r w:rsidR="00FC6B02">
        <w:rPr>
          <w:lang w:val="en-GB"/>
        </w:rPr>
        <w:t>”</w:t>
      </w:r>
      <w:r w:rsidR="00B90650">
        <w:rPr>
          <w:lang w:val="en-GB"/>
        </w:rPr>
        <w:t xml:space="preserve"> (p.26) </w:t>
      </w:r>
      <w:r w:rsidR="00A05B75">
        <w:rPr>
          <w:lang w:val="en-GB"/>
        </w:rPr>
        <w:fldChar w:fldCharType="begin"/>
      </w:r>
      <w:r w:rsidR="00B1645A">
        <w:rPr>
          <w:lang w:val="en-GB"/>
        </w:rPr>
        <w:instrText xml:space="preserve"> ADDIN EN.CITE &lt;EndNote&gt;&lt;Cite&gt;&lt;Author&gt;Smith&lt;/Author&gt;&lt;Year&gt;2015&lt;/Year&gt;&lt;RecNum&gt;18&lt;/RecNum&gt;&lt;DisplayText&gt;(Smith, Kraemer, Johnson, &amp;amp; Mays, 2015)&lt;/DisplayText&gt;&lt;record&gt;&lt;rec-number&gt;18&lt;/rec-number&gt;&lt;foreign-keys&gt;&lt;key app="EN" db-id="edfppa0tc0tfd1etp5xvexpnzfefzewwwas9" timestamp="1441592648"&gt;18&lt;/key&gt;&lt;/foreign-keys&gt;&lt;ref-type name="Journal Article"&gt;17&lt;/ref-type&gt;&lt;contributors&gt;&lt;authors&gt;&lt;author&gt;Smith, Collin N.&lt;/author&gt;&lt;author&gt;Kraemer, John D.&lt;/author&gt;&lt;author&gt;Johnson, Andrea C.&lt;/author&gt;&lt;author&gt;Mays, Darren&lt;/author&gt;&lt;/authors&gt;&lt;/contributors&gt;&lt;titles&gt;&lt;title&gt;Plain packaging of cigarettes: do we have sufficient evidence?&lt;/title&gt;&lt;secondary-title&gt;Risk management and healthcare policy&lt;/secondary-title&gt;&lt;/titles&gt;&lt;periodical&gt;&lt;full-title&gt;Risk management and healthcare policy&lt;/full-title&gt;&lt;/periodical&gt;&lt;pages&gt;21&lt;/pages&gt;&lt;volume&gt;8&lt;/volume&gt;&lt;dates&gt;&lt;year&gt;2015&lt;/year&gt;&lt;/dates&gt;&lt;pub-location&gt;England&lt;/pub-location&gt;&lt;urls&gt;&lt;/urls&gt;&lt;/record&gt;&lt;/Cite&gt;&lt;/EndNote&gt;</w:instrText>
      </w:r>
      <w:r w:rsidR="00A05B75">
        <w:rPr>
          <w:lang w:val="en-GB"/>
        </w:rPr>
        <w:fldChar w:fldCharType="separate"/>
      </w:r>
      <w:r w:rsidR="00B1645A">
        <w:rPr>
          <w:noProof/>
          <w:lang w:val="en-GB"/>
        </w:rPr>
        <w:t>(</w:t>
      </w:r>
      <w:hyperlink w:anchor="_ENREF_59" w:tooltip="Smith, 2015 #18" w:history="1">
        <w:r w:rsidR="008A14C8">
          <w:rPr>
            <w:noProof/>
            <w:lang w:val="en-GB"/>
          </w:rPr>
          <w:t>Smith, Kraemer, Johnson, &amp; Mays, 2015</w:t>
        </w:r>
      </w:hyperlink>
      <w:r w:rsidR="00B1645A">
        <w:rPr>
          <w:noProof/>
          <w:lang w:val="en-GB"/>
        </w:rPr>
        <w:t>)</w:t>
      </w:r>
      <w:r w:rsidR="00A05B75">
        <w:rPr>
          <w:lang w:val="en-GB"/>
        </w:rPr>
        <w:fldChar w:fldCharType="end"/>
      </w:r>
      <w:r w:rsidR="008D20AD">
        <w:rPr>
          <w:lang w:val="en-GB"/>
        </w:rPr>
        <w:t>.</w:t>
      </w:r>
      <w:r>
        <w:rPr>
          <w:lang w:val="en-GB"/>
        </w:rPr>
        <w:t xml:space="preserve"> This finding is consistent with the evidence that the introduction of the TPP </w:t>
      </w:r>
      <w:r w:rsidR="00B90650">
        <w:rPr>
          <w:lang w:val="en-GB"/>
        </w:rPr>
        <w:t xml:space="preserve">measure </w:t>
      </w:r>
      <w:r>
        <w:rPr>
          <w:lang w:val="en-GB"/>
        </w:rPr>
        <w:t>has reduced the appeal of tobacco products to consumers, increased effectiveness of health warnings on tobacco products, and reduced the ability of the retail packaging of tobacco products to mislead consumers about the harmful effects</w:t>
      </w:r>
      <w:r w:rsidR="00CC228D">
        <w:rPr>
          <w:lang w:val="en-GB"/>
        </w:rPr>
        <w:t xml:space="preserve"> of smoking</w:t>
      </w:r>
      <w:r>
        <w:rPr>
          <w:lang w:val="en-GB"/>
        </w:rPr>
        <w:t xml:space="preserve">. </w:t>
      </w:r>
    </w:p>
    <w:p w14:paraId="5D46DEF1" w14:textId="77777777" w:rsidR="00DE495D" w:rsidRPr="00830649" w:rsidRDefault="00A80939" w:rsidP="00060678">
      <w:pPr>
        <w:keepNext/>
        <w:spacing w:before="80" w:after="80"/>
        <w:rPr>
          <w:u w:val="single"/>
          <w:lang w:val="en-GB"/>
        </w:rPr>
      </w:pPr>
      <w:bookmarkStart w:id="92" w:name="_Toc417504685"/>
      <w:bookmarkStart w:id="93" w:name="_Toc418770526"/>
      <w:bookmarkEnd w:id="87"/>
      <w:bookmarkEnd w:id="88"/>
      <w:r>
        <w:rPr>
          <w:sz w:val="32"/>
          <w:u w:val="single"/>
          <w:lang w:val="en-GB"/>
        </w:rPr>
        <w:t>Measurement and V</w:t>
      </w:r>
      <w:r w:rsidR="00DE495D" w:rsidRPr="00830649">
        <w:rPr>
          <w:sz w:val="32"/>
          <w:u w:val="single"/>
          <w:lang w:val="en-GB"/>
        </w:rPr>
        <w:t>aluation</w:t>
      </w:r>
      <w:bookmarkEnd w:id="92"/>
      <w:bookmarkEnd w:id="93"/>
    </w:p>
    <w:p w14:paraId="02E3B898" w14:textId="77777777" w:rsidR="00AD6CB8" w:rsidRPr="000146DB" w:rsidRDefault="00AD6CB8" w:rsidP="00060678">
      <w:pPr>
        <w:pStyle w:val="Heading3"/>
        <w:spacing w:before="80" w:after="80"/>
        <w:rPr>
          <w:lang w:val="en-GB"/>
        </w:rPr>
      </w:pPr>
      <w:bookmarkStart w:id="94" w:name="_Toc427737353"/>
      <w:bookmarkStart w:id="95" w:name="_Toc443560341"/>
      <w:bookmarkStart w:id="96" w:name="_Toc443560369"/>
      <w:bookmarkStart w:id="97" w:name="_Toc443560419"/>
      <w:r w:rsidRPr="000146DB">
        <w:rPr>
          <w:lang w:val="en-GB"/>
        </w:rPr>
        <w:t>Health Benefits</w:t>
      </w:r>
      <w:bookmarkEnd w:id="94"/>
      <w:bookmarkEnd w:id="95"/>
      <w:bookmarkEnd w:id="96"/>
      <w:bookmarkEnd w:id="97"/>
    </w:p>
    <w:p w14:paraId="65321AB3" w14:textId="13D95D34" w:rsidR="00AD6CB8" w:rsidRPr="008040A0" w:rsidRDefault="00444B21" w:rsidP="00060678">
      <w:pPr>
        <w:spacing w:after="0"/>
        <w:rPr>
          <w:lang w:val="en-GB"/>
        </w:rPr>
      </w:pPr>
      <w:r>
        <w:rPr>
          <w:lang w:val="en-GB"/>
        </w:rPr>
        <w:t>Evidence shows that</w:t>
      </w:r>
      <w:r w:rsidR="00AD6CB8" w:rsidRPr="008040A0">
        <w:rPr>
          <w:lang w:val="en-GB"/>
        </w:rPr>
        <w:t xml:space="preserve"> </w:t>
      </w:r>
      <w:r w:rsidR="003649A2">
        <w:rPr>
          <w:lang w:val="en-GB"/>
        </w:rPr>
        <w:t xml:space="preserve">not smoking and </w:t>
      </w:r>
      <w:r w:rsidR="00AD6CB8" w:rsidRPr="008040A0">
        <w:rPr>
          <w:lang w:val="en-GB"/>
        </w:rPr>
        <w:t>quitting smoking ha</w:t>
      </w:r>
      <w:r w:rsidR="003649A2">
        <w:rPr>
          <w:lang w:val="en-GB"/>
        </w:rPr>
        <w:t>ve</w:t>
      </w:r>
      <w:r w:rsidR="00AD6CB8" w:rsidRPr="008040A0">
        <w:rPr>
          <w:lang w:val="en-GB"/>
        </w:rPr>
        <w:t xml:space="preserve"> both short- and long-term health benefits for men and women of all ages. Quitting smoking reduces risk of diseases caused by smoking</w:t>
      </w:r>
      <w:r w:rsidR="002309A2">
        <w:rPr>
          <w:lang w:val="en-GB"/>
        </w:rPr>
        <w:t xml:space="preserve"> and improves health in general</w:t>
      </w:r>
      <w:r w:rsidR="00AD6CB8" w:rsidRPr="008040A0">
        <w:rPr>
          <w:lang w:val="en-GB"/>
        </w:rPr>
        <w:t xml:space="preserve"> </w:t>
      </w:r>
      <w:r w:rsidR="00A05B75" w:rsidRPr="008040A0">
        <w:rPr>
          <w:lang w:val="en-GB"/>
        </w:rPr>
        <w:fldChar w:fldCharType="begin"/>
      </w:r>
      <w:r w:rsidR="00C95CF3">
        <w:rPr>
          <w:lang w:val="en-GB"/>
        </w:rPr>
        <w:instrText xml:space="preserve"> ADDIN EN.CITE &lt;EndNote&gt;&lt;Cite&gt;&lt;Author&gt;Campaign&lt;/Author&gt;&lt;Year&gt;2012&lt;/Year&gt;&lt;RecNum&gt;19&lt;/RecNum&gt;&lt;DisplayText&gt;(The National Tobacco Campaign, 2012)&lt;/DisplayText&gt;&lt;record&gt;&lt;rec-number&gt;19&lt;/rec-number&gt;&lt;foreign-keys&gt;&lt;key app="EN" db-id="edfppa0tc0tfd1etp5xvexpnzfefzewwwas9" timestamp="1441592648"&gt;19&lt;/key&gt;&lt;/foreign-keys&gt;&lt;ref-type name="Government Document"&gt;46&lt;/ref-type&gt;&lt;contributors&gt;&lt;authors&gt;&lt;author&gt;The National Tobacco Campaign,&lt;/author&gt;&lt;/authors&gt;&lt;/contributors&gt;&lt;titles&gt;&lt;title&gt;Benefits of quitting&lt;/title&gt;&lt;/titles&gt;&lt;dates&gt;&lt;year&gt;2012&lt;/year&gt;&lt;/dates&gt;&lt;urls&gt;&lt;related-urls&gt;&lt;url&gt;http://www.quitnow.gov.au/internet/quitnow/publishing.nsf/Content/benefits-of-quitting&lt;/url&gt;&lt;/related-urls&gt;&lt;/urls&gt;&lt;/record&gt;&lt;/Cite&gt;&lt;/EndNote&gt;</w:instrText>
      </w:r>
      <w:r w:rsidR="00A05B75" w:rsidRPr="008040A0">
        <w:rPr>
          <w:lang w:val="en-GB"/>
        </w:rPr>
        <w:fldChar w:fldCharType="separate"/>
      </w:r>
      <w:r w:rsidR="00B1645A">
        <w:rPr>
          <w:noProof/>
          <w:lang w:val="en-GB"/>
        </w:rPr>
        <w:t>(</w:t>
      </w:r>
      <w:hyperlink w:anchor="_ENREF_60" w:tooltip="The National Tobacco Campaign, 2012 #19" w:history="1">
        <w:r w:rsidR="008A14C8">
          <w:rPr>
            <w:noProof/>
            <w:lang w:val="en-GB"/>
          </w:rPr>
          <w:t>The National Tobacco Campaign, 2012</w:t>
        </w:r>
      </w:hyperlink>
      <w:r w:rsidR="00B1645A">
        <w:rPr>
          <w:noProof/>
          <w:lang w:val="en-GB"/>
        </w:rPr>
        <w:t>)</w:t>
      </w:r>
      <w:r w:rsidR="00A05B75" w:rsidRPr="008040A0">
        <w:fldChar w:fldCharType="end"/>
      </w:r>
      <w:r w:rsidR="002309A2">
        <w:t>.</w:t>
      </w:r>
      <w:r w:rsidR="00AD6CB8" w:rsidRPr="008040A0">
        <w:rPr>
          <w:lang w:val="en-GB"/>
        </w:rPr>
        <w:t xml:space="preserve"> Studies have shown that quitting can reduce the level of carbon monoxide in the blood and after 24 hours, the level of oxygen in the bloodstream </w:t>
      </w:r>
      <w:r w:rsidR="00CC228D">
        <w:rPr>
          <w:lang w:val="en-GB"/>
        </w:rPr>
        <w:t>improves</w:t>
      </w:r>
      <w:r w:rsidR="00AD6CB8" w:rsidRPr="008040A0">
        <w:rPr>
          <w:lang w:val="en-GB"/>
        </w:rPr>
        <w:t>. Quitting also improves the sense of tas</w:t>
      </w:r>
      <w:r w:rsidR="00652C40">
        <w:rPr>
          <w:lang w:val="en-GB"/>
        </w:rPr>
        <w:t>te and smell and it improves</w:t>
      </w:r>
      <w:r w:rsidR="00AD6CB8" w:rsidRPr="008040A0">
        <w:rPr>
          <w:lang w:val="en-GB"/>
        </w:rPr>
        <w:t xml:space="preserve"> blood pressure and immune system</w:t>
      </w:r>
      <w:r w:rsidR="00652C40">
        <w:rPr>
          <w:lang w:val="en-GB"/>
        </w:rPr>
        <w:t xml:space="preserve"> functioning</w:t>
      </w:r>
      <w:r w:rsidR="00AD6CB8" w:rsidRPr="008040A0">
        <w:rPr>
          <w:lang w:val="en-GB"/>
        </w:rPr>
        <w:t xml:space="preserve">. Within two months of quitting, the lungs stop producing extra phlegm caused by smoking and within a </w:t>
      </w:r>
      <w:r w:rsidR="00AD6CB8" w:rsidRPr="008040A0">
        <w:rPr>
          <w:lang w:val="en-GB"/>
        </w:rPr>
        <w:lastRenderedPageBreak/>
        <w:t>year of quitting, the mortality risk associa</w:t>
      </w:r>
      <w:r w:rsidR="00652C40">
        <w:rPr>
          <w:lang w:val="en-GB"/>
        </w:rPr>
        <w:t>ted with heart disease decreases</w:t>
      </w:r>
      <w:r w:rsidR="00AD6CB8" w:rsidRPr="008040A0">
        <w:rPr>
          <w:lang w:val="en-GB"/>
        </w:rPr>
        <w:t xml:space="preserve"> significantly. Quitting smoking significantly reduces the risk of developing lung disease and the </w:t>
      </w:r>
      <w:r w:rsidR="002309A2">
        <w:rPr>
          <w:lang w:val="en-GB"/>
        </w:rPr>
        <w:t>risk of heart attack and stroke</w:t>
      </w:r>
      <w:r w:rsidR="00AD6CB8" w:rsidRPr="008040A0">
        <w:rPr>
          <w:lang w:val="en-GB"/>
        </w:rPr>
        <w:t xml:space="preserve"> </w:t>
      </w:r>
      <w:r w:rsidR="00A05B75" w:rsidRPr="008040A0">
        <w:rPr>
          <w:lang w:val="en-GB"/>
        </w:rPr>
        <w:fldChar w:fldCharType="begin"/>
      </w:r>
      <w:r w:rsidR="00B1645A">
        <w:rPr>
          <w:lang w:val="en-GB"/>
        </w:rPr>
        <w:instrText xml:space="preserve"> ADDIN EN.CITE &lt;EndNote&gt;&lt;Cite&gt;&lt;Author&gt;Jang&lt;/Author&gt;&lt;Year&gt;2010&lt;/Year&gt;&lt;RecNum&gt;20&lt;/RecNum&gt;&lt;DisplayText&gt;(Jang et al., 2010)&lt;/DisplayText&gt;&lt;record&gt;&lt;rec-number&gt;20&lt;/rec-number&gt;&lt;foreign-keys&gt;&lt;key app="EN" db-id="edfppa0tc0tfd1etp5xvexpnzfefzewwwas9" timestamp="1441592648"&gt;20&lt;/key&gt;&lt;/foreign-keys&gt;&lt;ref-type name="Journal Article"&gt;17&lt;/ref-type&gt;&lt;contributors&gt;&lt;authors&gt;&lt;author&gt;Jang, A&lt;/author&gt;&lt;author&gt;Park, S&lt;/author&gt;&lt;author&gt;Kim, D&lt;/author&gt;&lt;author&gt;Whang, H&lt;/author&gt;&lt;author&gt;Lim, G&lt;/author&gt;&lt;author&gt;Park, C&lt;/author&gt;&lt;/authors&gt;&lt;/contributors&gt;&lt;titles&gt;&lt;title&gt;Effects of smoking cessation on airflow obstruction and quality of life in asthmatic smokers&lt;/title&gt;&lt;secondary-title&gt;Allergy Astma Immunol Res.&lt;/secondary-title&gt;&lt;/titles&gt;&lt;periodical&gt;&lt;full-title&gt;Allergy Astma Immunol Res.&lt;/full-title&gt;&lt;/periodical&gt;&lt;pages&gt;254-9&lt;/pages&gt;&lt;volume&gt;2&lt;/volume&gt;&lt;number&gt;4&lt;/number&gt;&lt;dates&gt;&lt;year&gt;2010&lt;/year&gt;&lt;/dates&gt;&lt;urls&gt;&lt;/urls&gt;&lt;/record&gt;&lt;/Cite&gt;&lt;/EndNote&gt;</w:instrText>
      </w:r>
      <w:r w:rsidR="00A05B75" w:rsidRPr="008040A0">
        <w:rPr>
          <w:lang w:val="en-GB"/>
        </w:rPr>
        <w:fldChar w:fldCharType="separate"/>
      </w:r>
      <w:r w:rsidR="00B1645A">
        <w:rPr>
          <w:noProof/>
          <w:lang w:val="en-GB"/>
        </w:rPr>
        <w:t>(</w:t>
      </w:r>
      <w:hyperlink w:anchor="_ENREF_34" w:tooltip="Jang, 2010 #20" w:history="1">
        <w:r w:rsidR="008A14C8">
          <w:rPr>
            <w:noProof/>
            <w:lang w:val="en-GB"/>
          </w:rPr>
          <w:t>Jang et al., 2010</w:t>
        </w:r>
      </w:hyperlink>
      <w:r w:rsidR="00B1645A">
        <w:rPr>
          <w:noProof/>
          <w:lang w:val="en-GB"/>
        </w:rPr>
        <w:t>)</w:t>
      </w:r>
      <w:r w:rsidR="00A05B75" w:rsidRPr="008040A0">
        <w:fldChar w:fldCharType="end"/>
      </w:r>
      <w:r w:rsidR="002309A2">
        <w:t>.</w:t>
      </w:r>
    </w:p>
    <w:p w14:paraId="4E373F3C" w14:textId="4F45DCD9" w:rsidR="003B4167" w:rsidRPr="008040A0" w:rsidRDefault="003B4167" w:rsidP="003B4167">
      <w:pPr>
        <w:rPr>
          <w:lang w:val="en-GB"/>
        </w:rPr>
      </w:pPr>
      <w:r w:rsidRPr="008040A0">
        <w:rPr>
          <w:lang w:val="en-GB"/>
        </w:rPr>
        <w:t xml:space="preserve">Looking at the social cost of tobacco to the Australian society, it was estimated that in 1998/99, the total </w:t>
      </w:r>
      <w:r>
        <w:rPr>
          <w:lang w:val="en-GB"/>
        </w:rPr>
        <w:t xml:space="preserve">social </w:t>
      </w:r>
      <w:r w:rsidRPr="008040A0">
        <w:rPr>
          <w:lang w:val="en-GB"/>
        </w:rPr>
        <w:t>cost of tobacco was $25,500 million</w:t>
      </w:r>
      <w:r>
        <w:rPr>
          <w:lang w:val="en-GB"/>
        </w:rPr>
        <w:t>,</w:t>
      </w:r>
      <w:r w:rsidRPr="008040A0">
        <w:rPr>
          <w:lang w:val="en-GB"/>
        </w:rPr>
        <w:t xml:space="preserve"> increasing to $31,486 million in 200</w:t>
      </w:r>
      <w:r>
        <w:rPr>
          <w:lang w:val="en-GB"/>
        </w:rPr>
        <w:t>4</w:t>
      </w:r>
      <w:r w:rsidR="00725174">
        <w:rPr>
          <w:lang w:val="en-GB"/>
        </w:rPr>
        <w:t>/</w:t>
      </w:r>
      <w:r w:rsidRPr="008040A0">
        <w:rPr>
          <w:lang w:val="en-GB"/>
        </w:rPr>
        <w:t>05</w:t>
      </w:r>
      <w:r w:rsidR="008A14C8">
        <w:rPr>
          <w:lang w:val="en-GB"/>
        </w:rPr>
        <w:t xml:space="preserve"> </w:t>
      </w:r>
      <w:r w:rsidR="008A14C8">
        <w:rPr>
          <w:lang w:val="en-GB"/>
        </w:rPr>
        <w:fldChar w:fldCharType="begin"/>
      </w:r>
      <w:r w:rsidR="008A14C8">
        <w:rPr>
          <w:lang w:val="en-GB"/>
        </w:rPr>
        <w:instrText xml:space="preserve"> ADDIN EN.CITE &lt;EndNote&gt;&lt;Cite&gt;&lt;Author&gt;Collins&lt;/Author&gt;&lt;Year&gt;2008&lt;/Year&gt;&lt;RecNum&gt;44&lt;/RecNum&gt;&lt;DisplayText&gt;(Collins &amp;amp; Lapsley, 2008)&lt;/DisplayText&gt;&lt;record&gt;&lt;rec-number&gt;44&lt;/rec-number&gt;&lt;foreign-keys&gt;&lt;key app="EN" db-id="ex2fzvvp1dfxr0e20x3pfddrr9ddfzpw22pa" timestamp="1442283111"&gt;44&lt;/key&gt;&lt;/foreign-keys&gt;&lt;ref-type name="Government Document"&gt;46&lt;/ref-type&gt;&lt;contributors&gt;&lt;authors&gt;&lt;author&gt;Collins, David J&lt;/author&gt;&lt;author&gt;Lapsley, Helen M&lt;/author&gt;&lt;/authors&gt;&lt;/contributors&gt;&lt;titles&gt;&lt;title&gt;The costs of tobacco, alcohol and illicit drug abuse to Australian Society in 2004/05&lt;/title&gt;&lt;/titles&gt;&lt;dates&gt;&lt;year&gt;2008&lt;/year&gt;&lt;/dates&gt;&lt;pub-location&gt;Canberra&lt;/pub-location&gt;&lt;publisher&gt;Department of Health and Ageing&lt;/publisher&gt;&lt;urls&gt;&lt;/urls&gt;&lt;/record&gt;&lt;/Cite&gt;&lt;/EndNote&gt;</w:instrText>
      </w:r>
      <w:r w:rsidR="008A14C8">
        <w:rPr>
          <w:lang w:val="en-GB"/>
        </w:rPr>
        <w:fldChar w:fldCharType="separate"/>
      </w:r>
      <w:r w:rsidR="008A14C8">
        <w:rPr>
          <w:noProof/>
          <w:lang w:val="en-GB"/>
        </w:rPr>
        <w:t>(</w:t>
      </w:r>
      <w:hyperlink w:anchor="_ENREF_21" w:tooltip="Collins, 2008 #44" w:history="1">
        <w:r w:rsidR="008A14C8">
          <w:rPr>
            <w:noProof/>
            <w:lang w:val="en-GB"/>
          </w:rPr>
          <w:t>Collins &amp; Lapsley, 2008</w:t>
        </w:r>
      </w:hyperlink>
      <w:r w:rsidR="008A14C8">
        <w:rPr>
          <w:noProof/>
          <w:lang w:val="en-GB"/>
        </w:rPr>
        <w:t>)</w:t>
      </w:r>
      <w:r w:rsidR="008A14C8">
        <w:rPr>
          <w:lang w:val="en-GB"/>
        </w:rPr>
        <w:fldChar w:fldCharType="end"/>
      </w:r>
      <w:r w:rsidRPr="008040A0">
        <w:rPr>
          <w:lang w:val="en-GB"/>
        </w:rPr>
        <w:t>. The social cost of tobacco increased by 23.5% between 1998</w:t>
      </w:r>
      <w:r w:rsidR="00725174">
        <w:rPr>
          <w:lang w:val="en-GB"/>
        </w:rPr>
        <w:t>/</w:t>
      </w:r>
      <w:r w:rsidRPr="008040A0">
        <w:rPr>
          <w:lang w:val="en-GB"/>
        </w:rPr>
        <w:t>99 and 2004</w:t>
      </w:r>
      <w:r w:rsidR="00725174">
        <w:rPr>
          <w:lang w:val="en-GB"/>
        </w:rPr>
        <w:t>/</w:t>
      </w:r>
      <w:r w:rsidRPr="008040A0">
        <w:rPr>
          <w:lang w:val="en-GB"/>
        </w:rPr>
        <w:t>05</w:t>
      </w:r>
      <w:r>
        <w:t>.</w:t>
      </w:r>
      <w:r w:rsidRPr="008040A0">
        <w:rPr>
          <w:lang w:val="en-GB"/>
        </w:rPr>
        <w:t xml:space="preserve"> Of the total estimated social cost, it was estimated that 38% were tangible costs. Tangible costs included lost productive capacity due to premature death or smoking-associated illness, health care for smoking-associated illness, fires attributable to smoking, and consumption of tobacco products. The remaining 62% were intangible costs and included psychological costs of premature death incurred by family and friends and loss of enjoyment of life</w:t>
      </w:r>
      <w:r w:rsidR="008A14C8">
        <w:rPr>
          <w:lang w:val="en-GB"/>
        </w:rPr>
        <w:t xml:space="preserve"> </w:t>
      </w:r>
      <w:r w:rsidR="008A14C8">
        <w:rPr>
          <w:lang w:val="en-GB"/>
        </w:rPr>
        <w:fldChar w:fldCharType="begin"/>
      </w:r>
      <w:r w:rsidR="008A14C8">
        <w:rPr>
          <w:lang w:val="en-GB"/>
        </w:rPr>
        <w:instrText xml:space="preserve"> ADDIN EN.CITE &lt;EndNote&gt;&lt;Cite&gt;&lt;Author&gt;Collins&lt;/Author&gt;&lt;Year&gt;2008&lt;/Year&gt;&lt;RecNum&gt;44&lt;/RecNum&gt;&lt;DisplayText&gt;(Collins &amp;amp; Lapsley, 2008)&lt;/DisplayText&gt;&lt;record&gt;&lt;rec-number&gt;44&lt;/rec-number&gt;&lt;foreign-keys&gt;&lt;key app="EN" db-id="ex2fzvvp1dfxr0e20x3pfddrr9ddfzpw22pa" timestamp="1442283111"&gt;44&lt;/key&gt;&lt;/foreign-keys&gt;&lt;ref-type name="Government Document"&gt;46&lt;/ref-type&gt;&lt;contributors&gt;&lt;authors&gt;&lt;author&gt;Collins, David J&lt;/author&gt;&lt;author&gt;Lapsley, Helen M&lt;/author&gt;&lt;/authors&gt;&lt;/contributors&gt;&lt;titles&gt;&lt;title&gt;The costs of tobacco, alcohol and illicit drug abuse to Australian Society in 2004/05&lt;/title&gt;&lt;/titles&gt;&lt;dates&gt;&lt;year&gt;2008&lt;/year&gt;&lt;/dates&gt;&lt;pub-location&gt;Canberra&lt;/pub-location&gt;&lt;publisher&gt;Department of Health and Ageing&lt;/publisher&gt;&lt;urls&gt;&lt;/urls&gt;&lt;/record&gt;&lt;/Cite&gt;&lt;/EndNote&gt;</w:instrText>
      </w:r>
      <w:r w:rsidR="008A14C8">
        <w:rPr>
          <w:lang w:val="en-GB"/>
        </w:rPr>
        <w:fldChar w:fldCharType="separate"/>
      </w:r>
      <w:r w:rsidR="008A14C8">
        <w:rPr>
          <w:noProof/>
          <w:lang w:val="en-GB"/>
        </w:rPr>
        <w:t>(</w:t>
      </w:r>
      <w:hyperlink w:anchor="_ENREF_21" w:tooltip="Collins, 2008 #44" w:history="1">
        <w:r w:rsidR="008A14C8">
          <w:rPr>
            <w:noProof/>
            <w:lang w:val="en-GB"/>
          </w:rPr>
          <w:t>Collins &amp; Lapsley, 2008</w:t>
        </w:r>
      </w:hyperlink>
      <w:r w:rsidR="008A14C8">
        <w:rPr>
          <w:noProof/>
          <w:lang w:val="en-GB"/>
        </w:rPr>
        <w:t>)</w:t>
      </w:r>
      <w:r w:rsidR="008A14C8">
        <w:rPr>
          <w:lang w:val="en-GB"/>
        </w:rPr>
        <w:fldChar w:fldCharType="end"/>
      </w:r>
      <w:r>
        <w:t>.</w:t>
      </w:r>
      <w:r w:rsidRPr="008040A0">
        <w:rPr>
          <w:lang w:val="en-GB"/>
        </w:rPr>
        <w:t xml:space="preserve"> </w:t>
      </w:r>
    </w:p>
    <w:p w14:paraId="3881C474" w14:textId="1BDFD74C" w:rsidR="00AD6CB8" w:rsidRPr="008040A0" w:rsidRDefault="003B4167" w:rsidP="000B332F">
      <w:pPr>
        <w:rPr>
          <w:lang w:val="en-GB"/>
        </w:rPr>
      </w:pPr>
      <w:r>
        <w:rPr>
          <w:lang w:val="en-GB"/>
        </w:rPr>
        <w:t>More recently, i</w:t>
      </w:r>
      <w:r w:rsidR="00AD6CB8" w:rsidRPr="008040A0">
        <w:rPr>
          <w:lang w:val="en-GB"/>
        </w:rPr>
        <w:t xml:space="preserve">n a report for the </w:t>
      </w:r>
      <w:r w:rsidR="00AD6CB8">
        <w:rPr>
          <w:lang w:val="en-GB"/>
        </w:rPr>
        <w:t>Cancer Council in Western Australia</w:t>
      </w:r>
      <w:r w:rsidR="00AD6CB8" w:rsidRPr="008040A0">
        <w:rPr>
          <w:lang w:val="en-GB"/>
        </w:rPr>
        <w:t xml:space="preserve">, it was estimated that in </w:t>
      </w:r>
      <w:r w:rsidR="00AD6CB8">
        <w:rPr>
          <w:lang w:val="en-GB"/>
        </w:rPr>
        <w:t>2009/10</w:t>
      </w:r>
      <w:r w:rsidR="00AD6CB8" w:rsidRPr="008040A0">
        <w:rPr>
          <w:lang w:val="en-GB"/>
        </w:rPr>
        <w:t xml:space="preserve">, </w:t>
      </w:r>
      <w:r w:rsidR="00AD6CB8">
        <w:rPr>
          <w:lang w:val="en-GB"/>
        </w:rPr>
        <w:t>the total direct health care costs attributable to smoking was $202.1</w:t>
      </w:r>
      <w:r w:rsidR="00AD6CB8" w:rsidRPr="008040A0">
        <w:rPr>
          <w:lang w:val="en-GB"/>
        </w:rPr>
        <w:t xml:space="preserve"> million with $</w:t>
      </w:r>
      <w:r w:rsidR="00AD6CB8">
        <w:rPr>
          <w:lang w:val="en-GB"/>
        </w:rPr>
        <w:t>93.7</w:t>
      </w:r>
      <w:r w:rsidR="00AD6CB8" w:rsidRPr="008040A0">
        <w:rPr>
          <w:lang w:val="en-GB"/>
        </w:rPr>
        <w:t xml:space="preserve"> million attributed to hospital costs, $</w:t>
      </w:r>
      <w:r w:rsidR="00AD6CB8">
        <w:rPr>
          <w:lang w:val="en-GB"/>
        </w:rPr>
        <w:t xml:space="preserve">53 </w:t>
      </w:r>
      <w:r w:rsidR="00AD6CB8" w:rsidRPr="008040A0">
        <w:rPr>
          <w:lang w:val="en-GB"/>
        </w:rPr>
        <w:t>million attributed to nursing homes, $</w:t>
      </w:r>
      <w:r w:rsidR="00AD6CB8">
        <w:rPr>
          <w:lang w:val="en-GB"/>
        </w:rPr>
        <w:t>37.3</w:t>
      </w:r>
      <w:r w:rsidR="00AD6CB8" w:rsidRPr="008040A0">
        <w:rPr>
          <w:lang w:val="en-GB"/>
        </w:rPr>
        <w:t xml:space="preserve"> million attributed to medical services, and $</w:t>
      </w:r>
      <w:r w:rsidR="00AD6CB8">
        <w:rPr>
          <w:lang w:val="en-GB"/>
        </w:rPr>
        <w:t>14.9</w:t>
      </w:r>
      <w:r w:rsidR="00AD6CB8" w:rsidRPr="008040A0">
        <w:rPr>
          <w:lang w:val="en-GB"/>
        </w:rPr>
        <w:t xml:space="preserve"> million attributed to pharmaceutical products </w:t>
      </w:r>
      <w:r w:rsidR="00A05B75">
        <w:rPr>
          <w:lang w:val="en-GB"/>
        </w:rPr>
        <w:fldChar w:fldCharType="begin"/>
      </w:r>
      <w:r w:rsidR="00C95CF3">
        <w:rPr>
          <w:lang w:val="en-GB"/>
        </w:rPr>
        <w:instrText xml:space="preserve"> ADDIN EN.CITE &lt;EndNote&gt;&lt;Cite&gt;&lt;Author&gt;Collins&lt;/Author&gt;&lt;Year&gt;2014&lt;/Year&gt;&lt;RecNum&gt;21&lt;/RecNum&gt;&lt;DisplayText&gt;(Collins &amp;amp; Lapsley, 2014)&lt;/DisplayText&gt;&lt;record&gt;&lt;rec-number&gt;21&lt;/rec-number&gt;&lt;foreign-keys&gt;&lt;key app="EN" db-id="edfppa0tc0tfd1etp5xvexpnzfefzewwwas9" timestamp="1441592648"&gt;21&lt;/key&gt;&lt;/foreign-keys&gt;&lt;ref-type name="Government Document"&gt;46&lt;/ref-type&gt;&lt;contributors&gt;&lt;authors&gt;&lt;author&gt;Collins, David J&lt;/author&gt;&lt;author&gt;Lapsley, Helen M&lt;/author&gt;&lt;/authors&gt;&lt;/contributors&gt;&lt;titles&gt;&lt;title&gt;The social costs of smoking in Western Australia in 2009/10 and the social benefits of public policy measures to reduce smoking prevalence.&lt;/title&gt;&lt;/titles&gt;&lt;dates&gt;&lt;year&gt;2014&lt;/year&gt;&lt;/dates&gt;&lt;pub-location&gt;Perth&lt;/pub-location&gt;&lt;publisher&gt;Cancer Council Western Australia&lt;/publisher&gt;&lt;urls&gt;&lt;/urls&gt;&lt;/record&gt;&lt;/Cite&gt;&lt;/EndNote&gt;</w:instrText>
      </w:r>
      <w:r w:rsidR="00A05B75">
        <w:rPr>
          <w:lang w:val="en-GB"/>
        </w:rPr>
        <w:fldChar w:fldCharType="separate"/>
      </w:r>
      <w:r w:rsidR="00B1645A">
        <w:rPr>
          <w:noProof/>
          <w:lang w:val="en-GB"/>
        </w:rPr>
        <w:t>(</w:t>
      </w:r>
      <w:hyperlink w:anchor="_ENREF_22" w:tooltip="Collins, 2014 #21" w:history="1">
        <w:r w:rsidR="008A14C8">
          <w:rPr>
            <w:noProof/>
            <w:lang w:val="en-GB"/>
          </w:rPr>
          <w:t>Collins &amp; Lapsley, 2014</w:t>
        </w:r>
      </w:hyperlink>
      <w:r w:rsidR="00B1645A">
        <w:rPr>
          <w:noProof/>
          <w:lang w:val="en-GB"/>
        </w:rPr>
        <w:t>)</w:t>
      </w:r>
      <w:r w:rsidR="00A05B75">
        <w:rPr>
          <w:lang w:val="en-GB"/>
        </w:rPr>
        <w:fldChar w:fldCharType="end"/>
      </w:r>
      <w:r w:rsidR="002309A2">
        <w:rPr>
          <w:lang w:val="en-GB"/>
        </w:rPr>
        <w:t>.</w:t>
      </w:r>
      <w:r w:rsidR="00AD6CB8">
        <w:rPr>
          <w:lang w:val="en-GB"/>
        </w:rPr>
        <w:t xml:space="preserve"> </w:t>
      </w:r>
      <w:r w:rsidR="00AD6CB8" w:rsidRPr="008040A0">
        <w:rPr>
          <w:lang w:val="en-GB"/>
        </w:rPr>
        <w:t xml:space="preserve">The report </w:t>
      </w:r>
      <w:r w:rsidR="0089534C">
        <w:rPr>
          <w:lang w:val="en-GB"/>
        </w:rPr>
        <w:t>also estimated the costs of lost</w:t>
      </w:r>
      <w:r w:rsidR="00AD6CB8" w:rsidRPr="008040A0">
        <w:rPr>
          <w:lang w:val="en-GB"/>
        </w:rPr>
        <w:t xml:space="preserve"> productivity associated with smoking and found that the total net production cost of smoking was $</w:t>
      </w:r>
      <w:r w:rsidR="00AD6CB8">
        <w:rPr>
          <w:lang w:val="en-GB"/>
        </w:rPr>
        <w:t>862.1</w:t>
      </w:r>
      <w:r w:rsidR="00AD6CB8" w:rsidRPr="008040A0">
        <w:rPr>
          <w:lang w:val="en-GB"/>
        </w:rPr>
        <w:t xml:space="preserve"> million in </w:t>
      </w:r>
      <w:r w:rsidR="00AD6CB8">
        <w:rPr>
          <w:lang w:val="en-GB"/>
        </w:rPr>
        <w:t>2009/10</w:t>
      </w:r>
      <w:r w:rsidR="00AD6CB8" w:rsidRPr="008040A0">
        <w:rPr>
          <w:lang w:val="en-GB"/>
        </w:rPr>
        <w:t xml:space="preserve"> in </w:t>
      </w:r>
      <w:r w:rsidR="00AD6CB8">
        <w:rPr>
          <w:lang w:val="en-GB"/>
        </w:rPr>
        <w:t>Western Australia</w:t>
      </w:r>
      <w:r w:rsidR="00AD6CB8" w:rsidRPr="008040A0">
        <w:rPr>
          <w:lang w:val="en-GB"/>
        </w:rPr>
        <w:t xml:space="preserve">. The report estimated the total social costs of smoking, and for the year </w:t>
      </w:r>
      <w:r w:rsidR="00AD6CB8">
        <w:rPr>
          <w:lang w:val="en-GB"/>
        </w:rPr>
        <w:t>2009/10</w:t>
      </w:r>
      <w:r w:rsidR="00AD6CB8" w:rsidRPr="008040A0">
        <w:rPr>
          <w:lang w:val="en-GB"/>
        </w:rPr>
        <w:t xml:space="preserve">, estimated the value of loss of life in </w:t>
      </w:r>
      <w:r w:rsidR="00AD6CB8">
        <w:rPr>
          <w:lang w:val="en-GB"/>
        </w:rPr>
        <w:t>Western Australia</w:t>
      </w:r>
      <w:r w:rsidR="00AD6CB8" w:rsidRPr="008040A0">
        <w:rPr>
          <w:lang w:val="en-GB"/>
        </w:rPr>
        <w:t xml:space="preserve"> at $</w:t>
      </w:r>
      <w:r w:rsidR="00AD6CB8">
        <w:rPr>
          <w:lang w:val="en-GB"/>
        </w:rPr>
        <w:t>1,697</w:t>
      </w:r>
      <w:r w:rsidR="00AD6CB8" w:rsidRPr="008040A0">
        <w:rPr>
          <w:lang w:val="en-GB"/>
        </w:rPr>
        <w:t xml:space="preserve"> million. Finally, the report estimated that the present value in </w:t>
      </w:r>
      <w:r w:rsidR="00AD6CB8">
        <w:rPr>
          <w:lang w:val="en-GB"/>
        </w:rPr>
        <w:t>2009/10</w:t>
      </w:r>
      <w:r w:rsidR="00AD6CB8" w:rsidRPr="008040A0">
        <w:rPr>
          <w:lang w:val="en-GB"/>
        </w:rPr>
        <w:t xml:space="preserve"> of the social benefit of a reduction in smoking prevalence in </w:t>
      </w:r>
      <w:r w:rsidR="00AD6CB8">
        <w:rPr>
          <w:lang w:val="en-GB"/>
        </w:rPr>
        <w:t>Western Australia from 15.6% to 10% over 15 years</w:t>
      </w:r>
      <w:r w:rsidR="00AD6CB8" w:rsidRPr="008040A0">
        <w:rPr>
          <w:lang w:val="en-GB"/>
        </w:rPr>
        <w:t xml:space="preserve"> was most likely to be around $</w:t>
      </w:r>
      <w:r w:rsidR="00AD6CB8">
        <w:rPr>
          <w:lang w:val="en-GB"/>
        </w:rPr>
        <w:t>14</w:t>
      </w:r>
      <w:r w:rsidR="00AD6CB8" w:rsidRPr="008040A0">
        <w:rPr>
          <w:lang w:val="en-GB"/>
        </w:rPr>
        <w:t>,0</w:t>
      </w:r>
      <w:r w:rsidR="002309A2">
        <w:rPr>
          <w:lang w:val="en-GB"/>
        </w:rPr>
        <w:t>00 per smoker</w:t>
      </w:r>
      <w:r w:rsidR="00AD6CB8" w:rsidRPr="008040A0">
        <w:rPr>
          <w:lang w:val="en-GB"/>
        </w:rPr>
        <w:t xml:space="preserve"> </w:t>
      </w:r>
      <w:r w:rsidR="00A05B75">
        <w:rPr>
          <w:lang w:val="en-GB"/>
        </w:rPr>
        <w:fldChar w:fldCharType="begin"/>
      </w:r>
      <w:r w:rsidR="00C95CF3">
        <w:rPr>
          <w:lang w:val="en-GB"/>
        </w:rPr>
        <w:instrText xml:space="preserve"> ADDIN EN.CITE &lt;EndNote&gt;&lt;Cite&gt;&lt;Author&gt;Collins&lt;/Author&gt;&lt;Year&gt;2014&lt;/Year&gt;&lt;RecNum&gt;21&lt;/RecNum&gt;&lt;DisplayText&gt;(Collins &amp;amp; Lapsley, 2014)&lt;/DisplayText&gt;&lt;record&gt;&lt;rec-number&gt;21&lt;/rec-number&gt;&lt;foreign-keys&gt;&lt;key app="EN" db-id="edfppa0tc0tfd1etp5xvexpnzfefzewwwas9" timestamp="1441592648"&gt;21&lt;/key&gt;&lt;/foreign-keys&gt;&lt;ref-type name="Government Document"&gt;46&lt;/ref-type&gt;&lt;contributors&gt;&lt;authors&gt;&lt;author&gt;Collins, David J&lt;/author&gt;&lt;author&gt;Lapsley, Helen M&lt;/author&gt;&lt;/authors&gt;&lt;/contributors&gt;&lt;titles&gt;&lt;title&gt;The social costs of smoking in Western Australia in 2009/10 and the social benefits of public policy measures to reduce smoking prevalence.&lt;/title&gt;&lt;/titles&gt;&lt;dates&gt;&lt;year&gt;2014&lt;/year&gt;&lt;/dates&gt;&lt;pub-location&gt;Perth&lt;/pub-location&gt;&lt;publisher&gt;Cancer Council Western Australia&lt;/publisher&gt;&lt;urls&gt;&lt;/urls&gt;&lt;/record&gt;&lt;/Cite&gt;&lt;/EndNote&gt;</w:instrText>
      </w:r>
      <w:r w:rsidR="00A05B75">
        <w:rPr>
          <w:lang w:val="en-GB"/>
        </w:rPr>
        <w:fldChar w:fldCharType="separate"/>
      </w:r>
      <w:r w:rsidR="00B1645A">
        <w:rPr>
          <w:noProof/>
          <w:lang w:val="en-GB"/>
        </w:rPr>
        <w:t>(</w:t>
      </w:r>
      <w:hyperlink w:anchor="_ENREF_22" w:tooltip="Collins, 2014 #21" w:history="1">
        <w:r w:rsidR="008A14C8">
          <w:rPr>
            <w:noProof/>
            <w:lang w:val="en-GB"/>
          </w:rPr>
          <w:t>Collins &amp; Lapsley, 2014</w:t>
        </w:r>
      </w:hyperlink>
      <w:r w:rsidR="00B1645A">
        <w:rPr>
          <w:noProof/>
          <w:lang w:val="en-GB"/>
        </w:rPr>
        <w:t>)</w:t>
      </w:r>
      <w:r w:rsidR="00A05B75">
        <w:rPr>
          <w:lang w:val="en-GB"/>
        </w:rPr>
        <w:fldChar w:fldCharType="end"/>
      </w:r>
      <w:r w:rsidR="002309A2">
        <w:rPr>
          <w:lang w:val="en-GB"/>
        </w:rPr>
        <w:t>.</w:t>
      </w:r>
      <w:r w:rsidR="00054512">
        <w:rPr>
          <w:lang w:val="en-GB"/>
        </w:rPr>
        <w:t xml:space="preserve"> For the purpose of this report we have not undertaken an analysis to quantify the </w:t>
      </w:r>
      <w:r w:rsidR="008A14C8">
        <w:rPr>
          <w:lang w:val="en-GB"/>
        </w:rPr>
        <w:t xml:space="preserve">marginal </w:t>
      </w:r>
      <w:r w:rsidR="00054512">
        <w:rPr>
          <w:lang w:val="en-GB"/>
        </w:rPr>
        <w:t>he</w:t>
      </w:r>
      <w:r w:rsidR="008A14C8">
        <w:rPr>
          <w:lang w:val="en-GB"/>
        </w:rPr>
        <w:t>alth care cost savings associated with the TPP measure</w:t>
      </w:r>
      <w:r w:rsidR="00054512">
        <w:rPr>
          <w:lang w:val="en-GB"/>
        </w:rPr>
        <w:t>.</w:t>
      </w:r>
    </w:p>
    <w:p w14:paraId="655A5FF1" w14:textId="662601EA" w:rsidR="00AD6CB8" w:rsidRPr="008040A0" w:rsidRDefault="00AD6CB8" w:rsidP="000B332F">
      <w:pPr>
        <w:rPr>
          <w:lang w:val="en-GB"/>
        </w:rPr>
      </w:pPr>
      <w:r w:rsidRPr="008040A0">
        <w:rPr>
          <w:lang w:val="en-GB"/>
        </w:rPr>
        <w:t xml:space="preserve">A reduction in premature mortality due to smoking is most likely to result in significant cost-savings. </w:t>
      </w:r>
      <w:r w:rsidR="00987641">
        <w:rPr>
          <w:lang w:val="en-GB"/>
        </w:rPr>
        <w:t>A</w:t>
      </w:r>
      <w:r w:rsidRPr="008040A0">
        <w:rPr>
          <w:lang w:val="en-GB"/>
        </w:rPr>
        <w:t xml:space="preserve">lmost 90% of the lost productive value due to excess mortality by smokers could be saved by quitting smoking </w:t>
      </w:r>
      <w:r w:rsidR="00A05B75" w:rsidRPr="008040A0">
        <w:rPr>
          <w:lang w:val="en-GB"/>
        </w:rPr>
        <w:fldChar w:fldCharType="begin"/>
      </w:r>
      <w:r w:rsidR="00B1645A">
        <w:rPr>
          <w:lang w:val="en-GB"/>
        </w:rPr>
        <w:instrText xml:space="preserve"> ADDIN EN.CITE &lt;EndNote&gt;&lt;Cite&gt;&lt;Author&gt;Kiiskinen&lt;/Author&gt;&lt;Year&gt;2002&lt;/Year&gt;&lt;RecNum&gt;23&lt;/RecNum&gt;&lt;DisplayText&gt;(Kiiskinen, Vartiainen, Puska, &amp;amp; Pekurinen, 2002)&lt;/DisplayText&gt;&lt;record&gt;&lt;rec-number&gt;23&lt;/rec-number&gt;&lt;foreign-keys&gt;&lt;key app="EN" db-id="edfppa0tc0tfd1etp5xvexpnzfefzewwwas9" timestamp="1441592648"&gt;23&lt;/key&gt;&lt;/foreign-keys&gt;&lt;ref-type name="Journal Article"&gt;17&lt;/ref-type&gt;&lt;contributors&gt;&lt;authors&gt;&lt;author&gt;Kiiskinen, U&lt;/author&gt;&lt;author&gt;Vartiainen, E&lt;/author&gt;&lt;author&gt;Puska, P&lt;/author&gt;&lt;author&gt;Pekurinen, M&lt;/author&gt;&lt;/authors&gt;&lt;/contributors&gt;&lt;titles&gt;&lt;title&gt;Smoking-related costs among 25 to 59 year-old males in 19-year individual follow-up&lt;/title&gt;&lt;secondary-title&gt;The European Journal of Public Health&lt;/secondary-title&gt;&lt;/titles&gt;&lt;periodical&gt;&lt;full-title&gt;The European Journal of Public Health&lt;/full-title&gt;&lt;/periodical&gt;&lt;pages&gt;145-151&lt;/pages&gt;&lt;volume&gt;12&lt;/volume&gt;&lt;number&gt;2&lt;/number&gt;&lt;dates&gt;&lt;year&gt;2002&lt;/year&gt;&lt;/dates&gt;&lt;urls&gt;&lt;/urls&gt;&lt;/record&gt;&lt;/Cite&gt;&lt;/EndNote&gt;</w:instrText>
      </w:r>
      <w:r w:rsidR="00A05B75" w:rsidRPr="008040A0">
        <w:rPr>
          <w:lang w:val="en-GB"/>
        </w:rPr>
        <w:fldChar w:fldCharType="separate"/>
      </w:r>
      <w:r w:rsidR="00B1645A">
        <w:rPr>
          <w:noProof/>
          <w:lang w:val="en-GB"/>
        </w:rPr>
        <w:t>(</w:t>
      </w:r>
      <w:hyperlink w:anchor="_ENREF_40" w:tooltip="Kiiskinen, 2002 #23" w:history="1">
        <w:r w:rsidR="008A14C8">
          <w:rPr>
            <w:noProof/>
            <w:lang w:val="en-GB"/>
          </w:rPr>
          <w:t>Kiiskinen, Vartiainen, Puska, &amp; Pekurinen, 2002</w:t>
        </w:r>
      </w:hyperlink>
      <w:r w:rsidR="00B1645A">
        <w:rPr>
          <w:noProof/>
          <w:lang w:val="en-GB"/>
        </w:rPr>
        <w:t>)</w:t>
      </w:r>
      <w:r w:rsidR="00A05B75" w:rsidRPr="008040A0">
        <w:fldChar w:fldCharType="end"/>
      </w:r>
      <w:r w:rsidR="002309A2">
        <w:t>.</w:t>
      </w:r>
      <w:r w:rsidR="00CD4A01">
        <w:t xml:space="preserve"> </w:t>
      </w:r>
      <w:r w:rsidR="00994AD7">
        <w:rPr>
          <w:lang w:val="en-GB"/>
        </w:rPr>
        <w:t>To analyse the costs and benefits of the measure</w:t>
      </w:r>
      <w:r w:rsidRPr="008040A0">
        <w:rPr>
          <w:lang w:val="en-GB"/>
        </w:rPr>
        <w:t xml:space="preserve">, the health benefits of smoking cessation on mortality are therefore relevant. The strongest evidence for this comes from three studies: </w:t>
      </w:r>
    </w:p>
    <w:p w14:paraId="571F9D88" w14:textId="38AF0349" w:rsidR="00562579" w:rsidRPr="008040A0" w:rsidRDefault="00562579" w:rsidP="00562579">
      <w:pPr>
        <w:pStyle w:val="Bullet"/>
        <w:rPr>
          <w:lang w:val="en-GB"/>
        </w:rPr>
      </w:pPr>
      <w:r>
        <w:rPr>
          <w:lang w:val="en-GB"/>
        </w:rPr>
        <w:t>A four</w:t>
      </w:r>
      <w:r w:rsidRPr="008040A0">
        <w:rPr>
          <w:lang w:val="en-GB"/>
        </w:rPr>
        <w:t xml:space="preserve">-year follow-up of 204,953 Australian individuals recruited via the 45 and Up Study </w:t>
      </w:r>
      <w:r w:rsidR="00A05B75" w:rsidRPr="008040A0">
        <w:rPr>
          <w:lang w:val="en-GB"/>
        </w:rPr>
        <w:fldChar w:fldCharType="begin"/>
      </w:r>
      <w:r w:rsidR="00B1645A">
        <w:rPr>
          <w:lang w:val="en-GB"/>
        </w:rPr>
        <w:instrText xml:space="preserve"> ADDIN EN.CITE &lt;EndNote&gt;&lt;Cite&gt;&lt;Author&gt;Banks&lt;/Author&gt;&lt;Year&gt;2015&lt;/Year&gt;&lt;RecNum&gt;24&lt;/RecNum&gt;&lt;DisplayText&gt;(Banks et al., 2015)&lt;/DisplayText&gt;&lt;record&gt;&lt;rec-number&gt;24&lt;/rec-number&gt;&lt;foreign-keys&gt;&lt;key app="EN" db-id="edfppa0tc0tfd1etp5xvexpnzfefzewwwas9" timestamp="1441592648"&gt;24&lt;/key&gt;&lt;/foreign-keys&gt;&lt;ref-type name="Journal Article"&gt;17&lt;/ref-type&gt;&lt;contributors&gt;&lt;authors&gt;&lt;author&gt;Banks, Emily&lt;/author&gt;&lt;author&gt;Joshy, Grace&lt;/author&gt;&lt;author&gt;Weber, Marianne F&lt;/author&gt;&lt;author&gt;Liu, Bette&lt;/author&gt;&lt;author&gt;Grenfell, Robert&lt;/author&gt;&lt;author&gt;Egger, Sam&lt;/author&gt;&lt;author&gt;Paige, Ellie&lt;/author&gt;&lt;author&gt;Lopez, Alan&lt;/author&gt;&lt;author&gt;Sitas, Freddy&lt;/author&gt;&lt;author&gt;Beral, Valerie&lt;/author&gt;&lt;/authors&gt;&lt;/contributors&gt;&lt;titles&gt;&lt;title&gt;Tobacco smoking an all-cause mortality in a large Australian cohort study: findings from a mature epidemic with current low smoking prevalence.&lt;/title&gt;&lt;secondary-title&gt;BMC Medicine&lt;/secondary-title&gt;&lt;/titles&gt;&lt;periodical&gt;&lt;full-title&gt;BMC Medicine&lt;/full-title&gt;&lt;/periodical&gt;&lt;pages&gt;38&lt;/pages&gt;&lt;volume&gt;13&lt;/volume&gt;&lt;dates&gt;&lt;year&gt;2015&lt;/year&gt;&lt;/dates&gt;&lt;urls&gt;&lt;/urls&gt;&lt;/record&gt;&lt;/Cite&gt;&lt;/EndNote&gt;</w:instrText>
      </w:r>
      <w:r w:rsidR="00A05B75" w:rsidRPr="008040A0">
        <w:rPr>
          <w:lang w:val="en-GB"/>
        </w:rPr>
        <w:fldChar w:fldCharType="separate"/>
      </w:r>
      <w:r w:rsidR="00B1645A">
        <w:rPr>
          <w:noProof/>
          <w:lang w:val="en-GB"/>
        </w:rPr>
        <w:t>(</w:t>
      </w:r>
      <w:hyperlink w:anchor="_ENREF_8" w:tooltip="Banks, 2015 #24" w:history="1">
        <w:r w:rsidR="008A14C8">
          <w:rPr>
            <w:noProof/>
            <w:lang w:val="en-GB"/>
          </w:rPr>
          <w:t>Banks et al., 2015</w:t>
        </w:r>
      </w:hyperlink>
      <w:r w:rsidR="00B1645A">
        <w:rPr>
          <w:noProof/>
          <w:lang w:val="en-GB"/>
        </w:rPr>
        <w:t>)</w:t>
      </w:r>
      <w:r w:rsidR="00A05B75" w:rsidRPr="008040A0">
        <w:fldChar w:fldCharType="end"/>
      </w:r>
      <w:r>
        <w:rPr>
          <w:lang w:val="en-GB"/>
        </w:rPr>
        <w:t xml:space="preserve">; </w:t>
      </w:r>
    </w:p>
    <w:p w14:paraId="72EB4358" w14:textId="42C9252F" w:rsidR="00AD6CB8" w:rsidRPr="008040A0" w:rsidRDefault="00AD6CB8" w:rsidP="00972CBE">
      <w:pPr>
        <w:pStyle w:val="Bullet"/>
        <w:rPr>
          <w:lang w:val="en-GB"/>
        </w:rPr>
      </w:pPr>
      <w:r w:rsidRPr="008040A0">
        <w:rPr>
          <w:lang w:val="en-GB"/>
        </w:rPr>
        <w:t xml:space="preserve">A 50-year follow-up of 34,000 British male doctors first studied in 1951 </w:t>
      </w:r>
      <w:r w:rsidR="00A05B75" w:rsidRPr="008040A0">
        <w:rPr>
          <w:lang w:val="en-GB"/>
        </w:rPr>
        <w:fldChar w:fldCharType="begin"/>
      </w:r>
      <w:r w:rsidR="00B1645A">
        <w:rPr>
          <w:lang w:val="en-GB"/>
        </w:rPr>
        <w:instrText xml:space="preserve"> ADDIN EN.CITE &lt;EndNote&gt;&lt;Cite&gt;&lt;Author&gt;Doll&lt;/Author&gt;&lt;Year&gt;2004&lt;/Year&gt;&lt;RecNum&gt;25&lt;/RecNum&gt;&lt;DisplayText&gt;(Doll, Peto, Boreham, &amp;amp; Sutherland, 2004)&lt;/DisplayText&gt;&lt;record&gt;&lt;rec-number&gt;25&lt;/rec-number&gt;&lt;foreign-keys&gt;&lt;key app="EN" db-id="edfppa0tc0tfd1etp5xvexpnzfefzewwwas9" timestamp="1441592648"&gt;25&lt;/key&gt;&lt;/foreign-keys&gt;&lt;ref-type name="Journal Article"&gt;17&lt;/ref-type&gt;&lt;contributors&gt;&lt;authors&gt;&lt;author&gt;Doll, Richard&lt;/author&gt;&lt;author&gt;Peto, Richard&lt;/author&gt;&lt;author&gt;Boreham, Jillian&lt;/author&gt;&lt;author&gt;Sutherland, Isabelle&lt;/author&gt;&lt;/authors&gt;&lt;/contributors&gt;&lt;titles&gt;&lt;title&gt;Mortality in relation to smoking: 50 years&amp;apos; observations on male British doctors&lt;/title&gt;&lt;secondary-title&gt;BMJ&lt;/secondary-title&gt;&lt;/titles&gt;&lt;periodical&gt;&lt;full-title&gt;BMJ&lt;/full-title&gt;&lt;/periodical&gt;&lt;pages&gt;1519-1528&lt;/pages&gt;&lt;volume&gt;328&lt;/volume&gt;&lt;number&gt;7455&lt;/number&gt;&lt;dates&gt;&lt;year&gt;2004&lt;/year&gt;&lt;/dates&gt;&lt;urls&gt;&lt;/urls&gt;&lt;/record&gt;&lt;/Cite&gt;&lt;/EndNote&gt;</w:instrText>
      </w:r>
      <w:r w:rsidR="00A05B75" w:rsidRPr="008040A0">
        <w:rPr>
          <w:lang w:val="en-GB"/>
        </w:rPr>
        <w:fldChar w:fldCharType="separate"/>
      </w:r>
      <w:r w:rsidR="00B1645A">
        <w:rPr>
          <w:noProof/>
          <w:lang w:val="en-GB"/>
        </w:rPr>
        <w:t>(</w:t>
      </w:r>
      <w:hyperlink w:anchor="_ENREF_27" w:tooltip="Doll, 2004 #25" w:history="1">
        <w:r w:rsidR="008A14C8">
          <w:rPr>
            <w:noProof/>
            <w:lang w:val="en-GB"/>
          </w:rPr>
          <w:t>Doll, Peto, Boreham, &amp; Sutherland, 2004</w:t>
        </w:r>
      </w:hyperlink>
      <w:r w:rsidR="00B1645A">
        <w:rPr>
          <w:noProof/>
          <w:lang w:val="en-GB"/>
        </w:rPr>
        <w:t>)</w:t>
      </w:r>
      <w:r w:rsidR="00A05B75" w:rsidRPr="008040A0">
        <w:fldChar w:fldCharType="end"/>
      </w:r>
      <w:r w:rsidR="002309A2">
        <w:t>;</w:t>
      </w:r>
      <w:r w:rsidR="007D67D6" w:rsidRPr="007D67D6">
        <w:rPr>
          <w:lang w:val="en-GB"/>
        </w:rPr>
        <w:t xml:space="preserve"> </w:t>
      </w:r>
      <w:r w:rsidR="007D67D6">
        <w:rPr>
          <w:lang w:val="en-GB"/>
        </w:rPr>
        <w:t>and</w:t>
      </w:r>
    </w:p>
    <w:p w14:paraId="4683781C" w14:textId="2D1DD73F" w:rsidR="00AD6CB8" w:rsidRPr="008040A0" w:rsidRDefault="00AD6CB8" w:rsidP="00972CBE">
      <w:pPr>
        <w:pStyle w:val="Bullet"/>
        <w:rPr>
          <w:lang w:val="en-GB"/>
        </w:rPr>
      </w:pPr>
      <w:r>
        <w:rPr>
          <w:lang w:val="en-GB"/>
        </w:rPr>
        <w:t>A seven-</w:t>
      </w:r>
      <w:r w:rsidRPr="008040A0">
        <w:rPr>
          <w:lang w:val="en-GB"/>
        </w:rPr>
        <w:t xml:space="preserve">year follow-up of 113,752 American women and 88,496 American men over the period 1997-2004 </w:t>
      </w:r>
      <w:r w:rsidR="00A05B75" w:rsidRPr="008040A0">
        <w:rPr>
          <w:lang w:val="en-GB"/>
        </w:rPr>
        <w:fldChar w:fldCharType="begin"/>
      </w:r>
      <w:r w:rsidR="00B1645A">
        <w:rPr>
          <w:lang w:val="en-GB"/>
        </w:rPr>
        <w:instrText xml:space="preserve"> ADDIN EN.CITE &lt;EndNote&gt;&lt;Cite&gt;&lt;Author&gt;Jha&lt;/Author&gt;&lt;Year&gt;2013&lt;/Year&gt;&lt;RecNum&gt;26&lt;/RecNum&gt;&lt;DisplayText&gt;(Jha et al., 2013)&lt;/DisplayText&gt;&lt;record&gt;&lt;rec-number&gt;26&lt;/rec-number&gt;&lt;foreign-keys&gt;&lt;key app="EN" db-id="edfppa0tc0tfd1etp5xvexpnzfefzewwwas9" timestamp="1441592648"&gt;26&lt;/key&gt;&lt;/foreign-keys&gt;&lt;ref-type name="Journal Article"&gt;17&lt;/ref-type&gt;&lt;contributors&gt;&lt;authors&gt;&lt;author&gt;Jha, P&lt;/author&gt;&lt;author&gt;Ramasundarahettige, C&lt;/author&gt;&lt;author&gt;Landsman, V&lt;/author&gt;&lt;author&gt;Rostron, B&lt;/author&gt;&lt;author&gt;Thun, M&lt;/author&gt;&lt;author&gt;Anderson, R&lt;/author&gt;&lt;author&gt;McAfee, T&lt;/author&gt;&lt;author&gt;Peto, Richard&lt;/author&gt;&lt;/authors&gt;&lt;/contributors&gt;&lt;titles&gt;&lt;title&gt;21-st Century hazards of smoking and benefits of cessation in the United States&lt;/title&gt;&lt;secondary-title&gt;The New England Journal of Medicine&lt;/secondary-title&gt;&lt;/titles&gt;&lt;periodical&gt;&lt;full-title&gt;The New England Journal of Medicine&lt;/full-title&gt;&lt;/periodical&gt;&lt;pages&gt;341&lt;/pages&gt;&lt;volume&gt;367&lt;/volume&gt;&lt;number&gt;4&lt;/number&gt;&lt;dates&gt;&lt;year&gt;2013&lt;/year&gt;&lt;/dates&gt;&lt;urls&gt;&lt;/urls&gt;&lt;/record&gt;&lt;/Cite&gt;&lt;/EndNote&gt;</w:instrText>
      </w:r>
      <w:r w:rsidR="00A05B75" w:rsidRPr="008040A0">
        <w:rPr>
          <w:lang w:val="en-GB"/>
        </w:rPr>
        <w:fldChar w:fldCharType="separate"/>
      </w:r>
      <w:r w:rsidR="00B1645A">
        <w:rPr>
          <w:noProof/>
          <w:lang w:val="en-GB"/>
        </w:rPr>
        <w:t>(</w:t>
      </w:r>
      <w:hyperlink w:anchor="_ENREF_35" w:tooltip="Jha, 2013 #26" w:history="1">
        <w:r w:rsidR="008A14C8">
          <w:rPr>
            <w:noProof/>
            <w:lang w:val="en-GB"/>
          </w:rPr>
          <w:t>Jha et al., 2013</w:t>
        </w:r>
      </w:hyperlink>
      <w:r w:rsidR="00B1645A">
        <w:rPr>
          <w:noProof/>
          <w:lang w:val="en-GB"/>
        </w:rPr>
        <w:t>)</w:t>
      </w:r>
      <w:r w:rsidR="00A05B75" w:rsidRPr="008040A0">
        <w:fldChar w:fldCharType="end"/>
      </w:r>
      <w:r w:rsidR="007D67D6">
        <w:t>.</w:t>
      </w:r>
    </w:p>
    <w:p w14:paraId="6E75C623" w14:textId="72769046" w:rsidR="000B5ACB" w:rsidRDefault="00E17754" w:rsidP="000B5ACB">
      <w:pPr>
        <w:rPr>
          <w:lang w:val="en-GB"/>
        </w:rPr>
      </w:pPr>
      <w:r>
        <w:rPr>
          <w:lang w:val="en-GB"/>
        </w:rPr>
        <w:t>An</w:t>
      </w:r>
      <w:r w:rsidR="000B5ACB">
        <w:rPr>
          <w:lang w:val="en-GB"/>
        </w:rPr>
        <w:t xml:space="preserve"> Australian population</w:t>
      </w:r>
      <w:r w:rsidR="00471EBA">
        <w:rPr>
          <w:lang w:val="en-GB"/>
        </w:rPr>
        <w:t xml:space="preserve"> </w:t>
      </w:r>
      <w:r w:rsidR="000B5ACB">
        <w:rPr>
          <w:lang w:val="en-GB"/>
        </w:rPr>
        <w:t>study recruited men and women aged 45 and over residing in NSW in 2006-08</w:t>
      </w:r>
      <w:r w:rsidR="00471EBA">
        <w:rPr>
          <w:lang w:val="en-GB"/>
        </w:rPr>
        <w:t xml:space="preserve"> </w:t>
      </w:r>
      <w:r w:rsidR="00A05B75">
        <w:rPr>
          <w:lang w:val="en-GB"/>
        </w:rPr>
        <w:fldChar w:fldCharType="begin"/>
      </w:r>
      <w:r w:rsidR="00B1645A">
        <w:rPr>
          <w:lang w:val="en-GB"/>
        </w:rPr>
        <w:instrText xml:space="preserve"> ADDIN EN.CITE &lt;EndNote&gt;&lt;Cite&gt;&lt;Author&gt;Banks&lt;/Author&gt;&lt;Year&gt;2015&lt;/Year&gt;&lt;RecNum&gt;24&lt;/RecNum&gt;&lt;DisplayText&gt;(Banks et al., 2015)&lt;/DisplayText&gt;&lt;record&gt;&lt;rec-number&gt;24&lt;/rec-number&gt;&lt;foreign-keys&gt;&lt;key app="EN" db-id="edfppa0tc0tfd1etp5xvexpnzfefzewwwas9" timestamp="1441592648"&gt;24&lt;/key&gt;&lt;/foreign-keys&gt;&lt;ref-type name="Journal Article"&gt;17&lt;/ref-type&gt;&lt;contributors&gt;&lt;authors&gt;&lt;author&gt;Banks, Emily&lt;/author&gt;&lt;author&gt;Joshy, Grace&lt;/author&gt;&lt;author&gt;Weber, Marianne F&lt;/author&gt;&lt;author&gt;Liu, Bette&lt;/author&gt;&lt;author&gt;Grenfell, Robert&lt;/author&gt;&lt;author&gt;Egger, Sam&lt;/author&gt;&lt;author&gt;Paige, Ellie&lt;/author&gt;&lt;author&gt;Lopez, Alan&lt;/author&gt;&lt;author&gt;Sitas, Freddy&lt;/author&gt;&lt;author&gt;Beral, Valerie&lt;/author&gt;&lt;/authors&gt;&lt;/contributors&gt;&lt;titles&gt;&lt;title&gt;Tobacco smoking an all-cause mortality in a large Australian cohort study: findings from a mature epidemic with current low smoking prevalence.&lt;/title&gt;&lt;secondary-title&gt;BMC Medicine&lt;/secondary-title&gt;&lt;/titles&gt;&lt;periodical&gt;&lt;full-title&gt;BMC Medicine&lt;/full-title&gt;&lt;/periodical&gt;&lt;pages&gt;38&lt;/pages&gt;&lt;volume&gt;13&lt;/volume&gt;&lt;dates&gt;&lt;year&gt;2015&lt;/year&gt;&lt;/dates&gt;&lt;urls&gt;&lt;/urls&gt;&lt;/record&gt;&lt;/Cite&gt;&lt;/EndNote&gt;</w:instrText>
      </w:r>
      <w:r w:rsidR="00A05B75">
        <w:rPr>
          <w:lang w:val="en-GB"/>
        </w:rPr>
        <w:fldChar w:fldCharType="separate"/>
      </w:r>
      <w:r w:rsidR="00B1645A">
        <w:rPr>
          <w:noProof/>
          <w:lang w:val="en-GB"/>
        </w:rPr>
        <w:t>(</w:t>
      </w:r>
      <w:hyperlink w:anchor="_ENREF_8" w:tooltip="Banks, 2015 #24" w:history="1">
        <w:r w:rsidR="008A14C8">
          <w:rPr>
            <w:noProof/>
            <w:lang w:val="en-GB"/>
          </w:rPr>
          <w:t>Banks et al., 2015</w:t>
        </w:r>
      </w:hyperlink>
      <w:r w:rsidR="00B1645A">
        <w:rPr>
          <w:noProof/>
          <w:lang w:val="en-GB"/>
        </w:rPr>
        <w:t>)</w:t>
      </w:r>
      <w:r w:rsidR="00A05B75">
        <w:fldChar w:fldCharType="end"/>
      </w:r>
      <w:r w:rsidR="000B5ACB">
        <w:rPr>
          <w:lang w:val="en-GB"/>
        </w:rPr>
        <w:t xml:space="preserve">. Data from study participants were linked to the NSW Register of Births, Deaths and </w:t>
      </w:r>
      <w:r w:rsidR="004B4C4D">
        <w:rPr>
          <w:lang w:val="en-GB"/>
        </w:rPr>
        <w:t>M</w:t>
      </w:r>
      <w:r w:rsidR="000B5ACB">
        <w:rPr>
          <w:lang w:val="en-GB"/>
        </w:rPr>
        <w:t xml:space="preserve">arriages up to 30 June 2012 to provide data on mortality. Banks </w:t>
      </w:r>
      <w:r>
        <w:rPr>
          <w:lang w:val="en-GB"/>
        </w:rPr>
        <w:t>(</w:t>
      </w:r>
      <w:r w:rsidR="000B5ACB">
        <w:rPr>
          <w:lang w:val="en-GB"/>
        </w:rPr>
        <w:t>2015</w:t>
      </w:r>
      <w:r>
        <w:rPr>
          <w:lang w:val="en-GB"/>
        </w:rPr>
        <w:t>)</w:t>
      </w:r>
      <w:r w:rsidR="000B5ACB">
        <w:rPr>
          <w:lang w:val="en-GB"/>
        </w:rPr>
        <w:t xml:space="preserve"> used a sample of 204,953 Australians, with 7.7% being current smokers at baseline, and 34.1% past smokers. Around 67% of the individuals were aged 45-64 years and this proportion was higher for current smokers compared with past smokers (82% of current smokers were aged 45-64</w:t>
      </w:r>
      <w:r w:rsidR="00563336">
        <w:rPr>
          <w:lang w:val="en-GB"/>
        </w:rPr>
        <w:t xml:space="preserve"> </w:t>
      </w:r>
      <w:r w:rsidR="000B5ACB">
        <w:rPr>
          <w:lang w:val="en-GB"/>
        </w:rPr>
        <w:t xml:space="preserve">years compared with 65% in past smokers). </w:t>
      </w:r>
    </w:p>
    <w:p w14:paraId="373F1A7C" w14:textId="77777777" w:rsidR="00CD4A01" w:rsidRDefault="00562579" w:rsidP="000B332F">
      <w:pPr>
        <w:rPr>
          <w:lang w:val="en-GB"/>
        </w:rPr>
      </w:pPr>
      <w:r w:rsidRPr="008040A0">
        <w:rPr>
          <w:lang w:val="en-GB"/>
        </w:rPr>
        <w:t xml:space="preserve">The study compared mortality rates of smokers and never-smokers. The results suggested that starting from age 45, the mortality rate for smokers by age 75 was estimated at 44.6% for men and 33.0% for women compared with 18.9% and 12.2% respectively for non-smokers. </w:t>
      </w:r>
      <w:r w:rsidRPr="008040A0">
        <w:rPr>
          <w:lang w:val="en-GB"/>
        </w:rPr>
        <w:lastRenderedPageBreak/>
        <w:t>The study found that current smokers were estimated to die an average of 10 years earlier than non-smokers. The study also found that among current smokers, the mortality rate increased markedly with the number of cigarettes smoked per day. For instance, mortality increased by two-fold in the groups smoking 14 or fewer cigarettes per day and around four-fold in the groups who smoke more than 25 cigarettes per day, compared with never-smokers.</w:t>
      </w:r>
    </w:p>
    <w:p w14:paraId="0AE7E4F0" w14:textId="77777777" w:rsidR="00AD6CB8" w:rsidRPr="008040A0" w:rsidRDefault="00AD6CB8" w:rsidP="000B332F">
      <w:pPr>
        <w:rPr>
          <w:lang w:val="en-GB"/>
        </w:rPr>
      </w:pPr>
      <w:r w:rsidRPr="008040A0">
        <w:rPr>
          <w:lang w:val="en-GB"/>
        </w:rPr>
        <w:t xml:space="preserve">The study by Doll </w:t>
      </w:r>
      <w:r w:rsidR="00562579">
        <w:rPr>
          <w:lang w:val="en-GB"/>
        </w:rPr>
        <w:t>(</w:t>
      </w:r>
      <w:r w:rsidRPr="008040A0">
        <w:rPr>
          <w:lang w:val="en-GB"/>
        </w:rPr>
        <w:t>2004</w:t>
      </w:r>
      <w:r w:rsidR="00562579">
        <w:rPr>
          <w:lang w:val="en-GB"/>
        </w:rPr>
        <w:t>)</w:t>
      </w:r>
      <w:r w:rsidRPr="008040A0">
        <w:rPr>
          <w:lang w:val="en-GB"/>
        </w:rPr>
        <w:t xml:space="preserve"> compared the hazards of cigarette smoking in British men and the extent of the reduction in risk when cigarette smoking was stopped at different ages. The study used data from 1951 to 2001 of 34,439 male British doctors. The primary outcome of the study was overall mortality by smoking habit. The study assumed that the excess overall mortality among participants identified as smokers was an approximate measure of the excess mortality actually caused by smoking. The results showed that for doctors born between 1920 and 1929, the probability of death </w:t>
      </w:r>
      <w:r w:rsidR="00562579">
        <w:rPr>
          <w:lang w:val="en-GB"/>
        </w:rPr>
        <w:t>in middle age (35-69)</w:t>
      </w:r>
      <w:r w:rsidRPr="008040A0">
        <w:rPr>
          <w:lang w:val="en-GB"/>
        </w:rPr>
        <w:t xml:space="preserve"> was 43% for smokers compared </w:t>
      </w:r>
      <w:r w:rsidR="00C26F95">
        <w:rPr>
          <w:lang w:val="en-GB"/>
        </w:rPr>
        <w:t>with</w:t>
      </w:r>
      <w:r w:rsidR="00C26F95" w:rsidRPr="008040A0">
        <w:rPr>
          <w:lang w:val="en-GB"/>
        </w:rPr>
        <w:t xml:space="preserve"> </w:t>
      </w:r>
      <w:r w:rsidRPr="008040A0">
        <w:rPr>
          <w:lang w:val="en-GB"/>
        </w:rPr>
        <w:t>15% for lifelong non-smokers. The excess mortality was higher than in the groups of doctors born between 1910 and 1919 and those born in 1900-09.</w:t>
      </w:r>
    </w:p>
    <w:p w14:paraId="7D466F26" w14:textId="3401867C" w:rsidR="00AD6CB8" w:rsidRDefault="00AD6CB8" w:rsidP="000B332F">
      <w:pPr>
        <w:rPr>
          <w:lang w:val="en-GB"/>
        </w:rPr>
      </w:pPr>
      <w:r w:rsidRPr="008040A0">
        <w:rPr>
          <w:lang w:val="en-GB"/>
        </w:rPr>
        <w:t xml:space="preserve">When considering the complete cohort, the results suggested a shift of about 10 years between the overall survival patterns of the continuing smokers and the lifelong non-smokers in doctors born between 1900 and 1930. The study also showed that overall mortality rates differed greatly between lifelong non-smokers and continuing cigarette smokers. For instance, the mortality rate for the 45-54 years was about 0.38% for non-smokers compared with 0.85% for smokers. Similarly, the mortality rate for 65-74 years was 1.9% for non-smokers </w:t>
      </w:r>
      <w:r w:rsidR="00EE0FC1">
        <w:rPr>
          <w:lang w:val="en-GB"/>
        </w:rPr>
        <w:t>compared with 5.1% for smokers.</w:t>
      </w:r>
    </w:p>
    <w:p w14:paraId="3991080E" w14:textId="775CEA18" w:rsidR="00EE0FC1" w:rsidRPr="00BD0D79" w:rsidRDefault="00EE0FC1" w:rsidP="00BD0D79">
      <w:pPr>
        <w:pStyle w:val="Caption"/>
        <w:jc w:val="left"/>
        <w:rPr>
          <w:sz w:val="24"/>
          <w:szCs w:val="24"/>
          <w:lang w:val="en-GB"/>
        </w:rPr>
      </w:pPr>
      <w:bookmarkStart w:id="98" w:name="_Ref444087400"/>
      <w:r w:rsidRPr="00BD0D79">
        <w:rPr>
          <w:sz w:val="24"/>
          <w:szCs w:val="24"/>
        </w:rPr>
        <w:t xml:space="preserve">Figure </w:t>
      </w:r>
      <w:r w:rsidR="009C426B" w:rsidRPr="00BD0D79">
        <w:rPr>
          <w:sz w:val="24"/>
          <w:szCs w:val="24"/>
        </w:rPr>
        <w:fldChar w:fldCharType="begin"/>
      </w:r>
      <w:r w:rsidR="009C426B" w:rsidRPr="00BD0D79">
        <w:rPr>
          <w:sz w:val="24"/>
          <w:szCs w:val="24"/>
        </w:rPr>
        <w:instrText xml:space="preserve"> SEQ Figure \* ARABIC </w:instrText>
      </w:r>
      <w:r w:rsidR="009C426B" w:rsidRPr="00BD0D79">
        <w:rPr>
          <w:sz w:val="24"/>
          <w:szCs w:val="24"/>
        </w:rPr>
        <w:fldChar w:fldCharType="separate"/>
      </w:r>
      <w:r w:rsidR="005403ED">
        <w:rPr>
          <w:noProof/>
          <w:sz w:val="24"/>
          <w:szCs w:val="24"/>
        </w:rPr>
        <w:t>4</w:t>
      </w:r>
      <w:r w:rsidR="009C426B" w:rsidRPr="00BD0D79">
        <w:rPr>
          <w:noProof/>
          <w:sz w:val="24"/>
          <w:szCs w:val="24"/>
        </w:rPr>
        <w:fldChar w:fldCharType="end"/>
      </w:r>
      <w:bookmarkEnd w:id="98"/>
      <w:r w:rsidRPr="00BD0D79">
        <w:rPr>
          <w:sz w:val="24"/>
          <w:szCs w:val="24"/>
        </w:rPr>
        <w:t>: Survival from age 35 for continuing cig</w:t>
      </w:r>
      <w:r w:rsidR="00563336">
        <w:rPr>
          <w:sz w:val="24"/>
          <w:szCs w:val="24"/>
        </w:rPr>
        <w:t>arette smokers and lifelong non</w:t>
      </w:r>
      <w:r w:rsidR="00563336">
        <w:rPr>
          <w:sz w:val="24"/>
          <w:szCs w:val="24"/>
        </w:rPr>
        <w:noBreakHyphen/>
      </w:r>
      <w:r w:rsidRPr="00BD0D79">
        <w:rPr>
          <w:sz w:val="24"/>
          <w:szCs w:val="24"/>
        </w:rPr>
        <w:t>smokers among UK male doctors born 1900-1930, with p</w:t>
      </w:r>
      <w:r w:rsidR="00CF37E6">
        <w:rPr>
          <w:sz w:val="24"/>
          <w:szCs w:val="24"/>
        </w:rPr>
        <w:t>ercentage alive at each decade</w:t>
      </w:r>
    </w:p>
    <w:p w14:paraId="0EEE8AD2" w14:textId="77777777" w:rsidR="00AD6CB8" w:rsidRDefault="00AD6CB8" w:rsidP="002309A2">
      <w:pPr>
        <w:keepNext/>
      </w:pPr>
      <w:r w:rsidRPr="00E727C3">
        <w:rPr>
          <w:noProof/>
          <w:lang w:eastAsia="en-AU"/>
        </w:rPr>
        <w:drawing>
          <wp:inline distT="0" distB="0" distL="0" distR="0" wp14:anchorId="7C2CB633" wp14:editId="3C4FB8C2">
            <wp:extent cx="4848225" cy="2876550"/>
            <wp:effectExtent l="0" t="0" r="9525" b="0"/>
            <wp:docPr id="5" name="Picture 5" descr="Figure 4 is a line graph comparing 2 related variables, the survival rates of Non-smokers and Cigarette smokers from the age of 35 to 100 years. The data is compared by rate of survival as a percentage at each age in years. The lines show that Cigarette smokers have a lower rate of survival at almost all times. An overall explanation of this study and summary of the data can be found in the text prior to Figure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8225" cy="2876550"/>
                    </a:xfrm>
                    <a:prstGeom prst="rect">
                      <a:avLst/>
                    </a:prstGeom>
                    <a:noFill/>
                    <a:ln>
                      <a:noFill/>
                    </a:ln>
                  </pic:spPr>
                </pic:pic>
              </a:graphicData>
            </a:graphic>
          </wp:inline>
        </w:drawing>
      </w:r>
    </w:p>
    <w:p w14:paraId="705061FE" w14:textId="77777777" w:rsidR="00AD6CB8" w:rsidRDefault="00AD6CB8" w:rsidP="002309A2">
      <w:pPr>
        <w:pStyle w:val="tablenotes2"/>
        <w:keepNext/>
      </w:pPr>
      <w:r w:rsidRPr="00E33868">
        <w:t xml:space="preserve">Source: </w:t>
      </w:r>
      <w:r w:rsidR="00A05B75">
        <w:fldChar w:fldCharType="begin"/>
      </w:r>
      <w:r w:rsidR="00B1645A">
        <w:instrText xml:space="preserve"> ADDIN EN.CITE &lt;EndNote&gt;&lt;Cite&gt;&lt;Author&gt;Doll&lt;/Author&gt;&lt;Year&gt;2004&lt;/Year&gt;&lt;RecNum&gt;25&lt;/RecNum&gt;&lt;DisplayText&gt;(Doll et al., 2004)&lt;/DisplayText&gt;&lt;record&gt;&lt;rec-number&gt;25&lt;/rec-number&gt;&lt;foreign-keys&gt;&lt;key app="EN" db-id="edfppa0tc0tfd1etp5xvexpnzfefzewwwas9" timestamp="1441592648"&gt;25&lt;/key&gt;&lt;/foreign-keys&gt;&lt;ref-type name="Journal Article"&gt;17&lt;/ref-type&gt;&lt;contributors&gt;&lt;authors&gt;&lt;author&gt;Doll, Richard&lt;/author&gt;&lt;author&gt;Peto, Richard&lt;/author&gt;&lt;author&gt;Boreham, Jillian&lt;/author&gt;&lt;author&gt;Sutherland, Isabelle&lt;/author&gt;&lt;/authors&gt;&lt;/contributors&gt;&lt;titles&gt;&lt;title&gt;Mortality in relation to smoking: 50 years&amp;apos; observations on male British doctors&lt;/title&gt;&lt;secondary-title&gt;BMJ&lt;/secondary-title&gt;&lt;/titles&gt;&lt;periodical&gt;&lt;full-title&gt;BMJ&lt;/full-title&gt;&lt;/periodical&gt;&lt;pages&gt;1519-1528&lt;/pages&gt;&lt;volume&gt;328&lt;/volume&gt;&lt;number&gt;7455&lt;/number&gt;&lt;dates&gt;&lt;year&gt;2004&lt;/year&gt;&lt;/dates&gt;&lt;urls&gt;&lt;/urls&gt;&lt;/record&gt;&lt;/Cite&gt;&lt;/EndNote&gt;</w:instrText>
      </w:r>
      <w:r w:rsidR="00A05B75">
        <w:fldChar w:fldCharType="separate"/>
      </w:r>
      <w:r w:rsidR="00B1645A">
        <w:rPr>
          <w:noProof/>
        </w:rPr>
        <w:t>(</w:t>
      </w:r>
      <w:hyperlink w:anchor="_ENREF_27" w:tooltip="Doll, 2004 #25" w:history="1">
        <w:r w:rsidR="008A14C8">
          <w:rPr>
            <w:noProof/>
          </w:rPr>
          <w:t>Doll et al., 2004</w:t>
        </w:r>
      </w:hyperlink>
      <w:r w:rsidR="00B1645A">
        <w:rPr>
          <w:noProof/>
        </w:rPr>
        <w:t>)</w:t>
      </w:r>
      <w:r w:rsidR="00A05B75">
        <w:fldChar w:fldCharType="end"/>
      </w:r>
    </w:p>
    <w:p w14:paraId="75CAFE3E" w14:textId="6CD7498D" w:rsidR="00AD6CB8" w:rsidRPr="008040A0" w:rsidRDefault="00562579" w:rsidP="000B332F">
      <w:pPr>
        <w:rPr>
          <w:lang w:val="en-GB"/>
        </w:rPr>
      </w:pPr>
      <w:r w:rsidRPr="008040A0">
        <w:rPr>
          <w:lang w:val="en-GB"/>
        </w:rPr>
        <w:t>Finally,</w:t>
      </w:r>
      <w:r>
        <w:rPr>
          <w:lang w:val="en-GB"/>
        </w:rPr>
        <w:t xml:space="preserve"> </w:t>
      </w:r>
      <w:r w:rsidR="00AD6CB8" w:rsidRPr="008040A0">
        <w:rPr>
          <w:lang w:val="en-GB"/>
        </w:rPr>
        <w:t>a similar analysis comparing the mortality rates of smokers and non-smokers in the USA</w:t>
      </w:r>
      <w:r w:rsidR="002309A2">
        <w:rPr>
          <w:lang w:val="en-GB"/>
        </w:rPr>
        <w:t xml:space="preserve"> </w:t>
      </w:r>
      <w:r w:rsidR="00E17754">
        <w:rPr>
          <w:lang w:val="en-GB"/>
        </w:rPr>
        <w:t xml:space="preserve">was also assessed </w:t>
      </w:r>
      <w:r w:rsidR="00A05B75" w:rsidRPr="008040A0">
        <w:rPr>
          <w:lang w:val="en-GB"/>
        </w:rPr>
        <w:fldChar w:fldCharType="begin"/>
      </w:r>
      <w:r w:rsidR="00B1645A">
        <w:rPr>
          <w:lang w:val="en-GB"/>
        </w:rPr>
        <w:instrText xml:space="preserve"> ADDIN EN.CITE &lt;EndNote&gt;&lt;Cite&gt;&lt;Author&gt;Jha&lt;/Author&gt;&lt;Year&gt;2013&lt;/Year&gt;&lt;RecNum&gt;26&lt;/RecNum&gt;&lt;DisplayText&gt;(Jha et al., 2013)&lt;/DisplayText&gt;&lt;record&gt;&lt;rec-number&gt;26&lt;/rec-number&gt;&lt;foreign-keys&gt;&lt;key app="EN" db-id="edfppa0tc0tfd1etp5xvexpnzfefzewwwas9" timestamp="1441592648"&gt;26&lt;/key&gt;&lt;/foreign-keys&gt;&lt;ref-type name="Journal Article"&gt;17&lt;/ref-type&gt;&lt;contributors&gt;&lt;authors&gt;&lt;author&gt;Jha, P&lt;/author&gt;&lt;author&gt;Ramasundarahettige, C&lt;/author&gt;&lt;author&gt;Landsman, V&lt;/author&gt;&lt;author&gt;Rostron, B&lt;/author&gt;&lt;author&gt;Thun, M&lt;/author&gt;&lt;author&gt;Anderson, R&lt;/author&gt;&lt;author&gt;McAfee, T&lt;/author&gt;&lt;author&gt;Peto, Richard&lt;/author&gt;&lt;/authors&gt;&lt;/contributors&gt;&lt;titles&gt;&lt;title&gt;21-st Century hazards of smoking and benefits of cessation in the United States&lt;/title&gt;&lt;secondary-title&gt;The New England Journal of Medicine&lt;/secondary-title&gt;&lt;/titles&gt;&lt;periodical&gt;&lt;full-title&gt;The New England Journal of Medicine&lt;/full-title&gt;&lt;/periodical&gt;&lt;pages&gt;341&lt;/pages&gt;&lt;volume&gt;367&lt;/volume&gt;&lt;number&gt;4&lt;/number&gt;&lt;dates&gt;&lt;year&gt;2013&lt;/year&gt;&lt;/dates&gt;&lt;urls&gt;&lt;/urls&gt;&lt;/record&gt;&lt;/Cite&gt;&lt;/EndNote&gt;</w:instrText>
      </w:r>
      <w:r w:rsidR="00A05B75" w:rsidRPr="008040A0">
        <w:rPr>
          <w:lang w:val="en-GB"/>
        </w:rPr>
        <w:fldChar w:fldCharType="separate"/>
      </w:r>
      <w:r w:rsidR="00B1645A">
        <w:rPr>
          <w:noProof/>
          <w:lang w:val="en-GB"/>
        </w:rPr>
        <w:t>(</w:t>
      </w:r>
      <w:hyperlink w:anchor="_ENREF_35" w:tooltip="Jha, 2013 #26" w:history="1">
        <w:r w:rsidR="008A14C8">
          <w:rPr>
            <w:noProof/>
            <w:lang w:val="en-GB"/>
          </w:rPr>
          <w:t>Jha et al., 2013</w:t>
        </w:r>
      </w:hyperlink>
      <w:r w:rsidR="00B1645A">
        <w:rPr>
          <w:noProof/>
          <w:lang w:val="en-GB"/>
        </w:rPr>
        <w:t>)</w:t>
      </w:r>
      <w:r w:rsidR="00A05B75" w:rsidRPr="008040A0">
        <w:fldChar w:fldCharType="end"/>
      </w:r>
      <w:r w:rsidR="002309A2">
        <w:t>.</w:t>
      </w:r>
      <w:r w:rsidR="00AD6CB8" w:rsidRPr="008040A0">
        <w:rPr>
          <w:lang w:val="en-GB"/>
        </w:rPr>
        <w:t xml:space="preserve"> The </w:t>
      </w:r>
      <w:r w:rsidR="00E17754">
        <w:rPr>
          <w:lang w:val="en-GB"/>
        </w:rPr>
        <w:t xml:space="preserve">study </w:t>
      </w:r>
      <w:r w:rsidR="00AD6CB8" w:rsidRPr="008040A0">
        <w:rPr>
          <w:lang w:val="en-GB"/>
        </w:rPr>
        <w:t>included adults recruited via the US</w:t>
      </w:r>
      <w:r w:rsidR="00AD6CB8">
        <w:rPr>
          <w:lang w:val="en-GB"/>
        </w:rPr>
        <w:t>A</w:t>
      </w:r>
      <w:r w:rsidR="00AD6CB8" w:rsidRPr="008040A0">
        <w:rPr>
          <w:lang w:val="en-GB"/>
        </w:rPr>
        <w:t xml:space="preserve"> National Health Interview Survey between 1997 and 2004 whose records were </w:t>
      </w:r>
      <w:r w:rsidR="00AD6CB8">
        <w:rPr>
          <w:lang w:val="en-GB"/>
        </w:rPr>
        <w:t xml:space="preserve">linked </w:t>
      </w:r>
      <w:r w:rsidR="00AD6CB8" w:rsidRPr="008040A0">
        <w:rPr>
          <w:lang w:val="en-GB"/>
        </w:rPr>
        <w:t xml:space="preserve">to the National Death Index. The study identified former smokers as adults who had smoked at least 100 cigarettes in their lifetime but had not smoked within the previous five years. Never </w:t>
      </w:r>
      <w:r w:rsidR="00AD6CB8" w:rsidRPr="008040A0">
        <w:rPr>
          <w:lang w:val="en-GB"/>
        </w:rPr>
        <w:lastRenderedPageBreak/>
        <w:t xml:space="preserve">having smoked individuals were those who had smoked fewer than 100 cigarettes in their lifetime. The </w:t>
      </w:r>
      <w:r w:rsidR="007D67D6">
        <w:rPr>
          <w:lang w:val="en-GB"/>
        </w:rPr>
        <w:t xml:space="preserve">study </w:t>
      </w:r>
      <w:r w:rsidR="00AD6CB8" w:rsidRPr="008040A0">
        <w:rPr>
          <w:lang w:val="en-GB"/>
        </w:rPr>
        <w:t xml:space="preserve">sample consisted of 113,752 women and 88,496 men who were followed for seven years on average. The results suggested that a person who had never smoked was about twice as likely as a current smoker to reach 80 years of age. The rates differed between women and men. Among current smokers, survival was about 11 years shorter for women and about 12 years shorter for men, compared with individuals who had never smoked. </w:t>
      </w:r>
    </w:p>
    <w:p w14:paraId="0788772E" w14:textId="77777777" w:rsidR="00AD6CB8" w:rsidRPr="008040A0" w:rsidRDefault="00AD6CB8" w:rsidP="000B332F">
      <w:pPr>
        <w:rPr>
          <w:lang w:val="en-GB"/>
        </w:rPr>
      </w:pPr>
      <w:r w:rsidRPr="008040A0">
        <w:rPr>
          <w:lang w:val="en-GB"/>
        </w:rPr>
        <w:t xml:space="preserve">The </w:t>
      </w:r>
      <w:proofErr w:type="spellStart"/>
      <w:r w:rsidR="00990C13">
        <w:rPr>
          <w:lang w:val="en-GB"/>
        </w:rPr>
        <w:t>Jha</w:t>
      </w:r>
      <w:proofErr w:type="spellEnd"/>
      <w:r w:rsidR="00990C13">
        <w:rPr>
          <w:lang w:val="en-GB"/>
        </w:rPr>
        <w:t xml:space="preserve"> et al., (2013) </w:t>
      </w:r>
      <w:r w:rsidRPr="008040A0">
        <w:rPr>
          <w:lang w:val="en-GB"/>
        </w:rPr>
        <w:t xml:space="preserve">study also looked at the benefits of smoking cessation. The results suggested that the greatest benefits were when cessation occurred at </w:t>
      </w:r>
      <w:r w:rsidR="00185157">
        <w:rPr>
          <w:lang w:val="en-GB"/>
        </w:rPr>
        <w:t xml:space="preserve">a </w:t>
      </w:r>
      <w:r w:rsidRPr="008040A0">
        <w:rPr>
          <w:lang w:val="en-GB"/>
        </w:rPr>
        <w:t xml:space="preserve">younger age. For smokers who quit at 25 to 34 years of age, they would gain about 10 years of life compared with those who continued to smoke. Smokers who quit smoking at 35 to 44 could expect to gain about </w:t>
      </w:r>
      <w:r>
        <w:rPr>
          <w:lang w:val="en-GB"/>
        </w:rPr>
        <w:t>nine</w:t>
      </w:r>
      <w:r w:rsidRPr="008040A0">
        <w:rPr>
          <w:lang w:val="en-GB"/>
        </w:rPr>
        <w:t xml:space="preserve"> years of life compared with those who continue to smoke. Finally, smokers who stopped smoking at 45 to 54 years and 55 to 64 years gained about </w:t>
      </w:r>
      <w:r>
        <w:rPr>
          <w:lang w:val="en-GB"/>
        </w:rPr>
        <w:t>six</w:t>
      </w:r>
      <w:r w:rsidRPr="008040A0">
        <w:rPr>
          <w:lang w:val="en-GB"/>
        </w:rPr>
        <w:t xml:space="preserve"> and </w:t>
      </w:r>
      <w:r>
        <w:rPr>
          <w:lang w:val="en-GB"/>
        </w:rPr>
        <w:t>four</w:t>
      </w:r>
      <w:r w:rsidRPr="008040A0">
        <w:rPr>
          <w:lang w:val="en-GB"/>
        </w:rPr>
        <w:t xml:space="preserve"> years of life respectively. </w:t>
      </w:r>
    </w:p>
    <w:p w14:paraId="292BB329" w14:textId="77777777" w:rsidR="006C3CA9" w:rsidRDefault="00A15B7F" w:rsidP="000B332F">
      <w:pPr>
        <w:rPr>
          <w:lang w:val="en-GB"/>
        </w:rPr>
      </w:pPr>
      <w:r>
        <w:rPr>
          <w:lang w:val="en-GB"/>
        </w:rPr>
        <w:t>Consequently, w</w:t>
      </w:r>
      <w:r w:rsidR="00453008" w:rsidRPr="00453008">
        <w:rPr>
          <w:lang w:val="en-GB"/>
        </w:rPr>
        <w:t xml:space="preserve">here </w:t>
      </w:r>
      <w:r w:rsidR="00826A4E">
        <w:rPr>
          <w:lang w:val="en-GB"/>
        </w:rPr>
        <w:t>tobacco plain packaging</w:t>
      </w:r>
      <w:r w:rsidR="00453008" w:rsidRPr="00453008">
        <w:rPr>
          <w:lang w:val="en-GB"/>
        </w:rPr>
        <w:t xml:space="preserve"> as part of broader tobacco control policies results in reduced uptake, increased quit rates or reduced consumption of tobacco and/or reduced relapse rates for those who quit, substantial health benefits at both an individual and population level will be achieved. </w:t>
      </w:r>
      <w:r>
        <w:rPr>
          <w:lang w:val="en-GB"/>
        </w:rPr>
        <w:t xml:space="preserve">It is possible to estimate the value of this potential health benefit </w:t>
      </w:r>
      <w:r w:rsidR="00B746E3">
        <w:rPr>
          <w:lang w:val="en-GB"/>
        </w:rPr>
        <w:t>using</w:t>
      </w:r>
      <w:r>
        <w:rPr>
          <w:lang w:val="en-GB"/>
        </w:rPr>
        <w:t xml:space="preserve"> Australian Life Tables</w:t>
      </w:r>
      <w:r w:rsidR="002309A2">
        <w:rPr>
          <w:lang w:val="en-GB"/>
        </w:rPr>
        <w:t xml:space="preserve"> </w:t>
      </w:r>
      <w:r w:rsidR="00A05B75" w:rsidRPr="00BB16A5">
        <w:rPr>
          <w:lang w:val="en-GB"/>
        </w:rPr>
        <w:fldChar w:fldCharType="begin"/>
      </w:r>
      <w:r w:rsidR="00B1645A">
        <w:rPr>
          <w:lang w:val="en-GB"/>
        </w:rPr>
        <w:instrText xml:space="preserve"> ADDIN EN.CITE &lt;EndNote&gt;&lt;Cite&gt;&lt;Author&gt;Australian Bureau of Statistics&lt;/Author&gt;&lt;Year&gt;2014&lt;/Year&gt;&lt;RecNum&gt;27&lt;/RecNum&gt;&lt;DisplayText&gt;(Australian Bureau of Statistics, 2014b)&lt;/DisplayText&gt;&lt;record&gt;&lt;rec-number&gt;27&lt;/rec-number&gt;&lt;foreign-keys&gt;&lt;key app="EN" db-id="edfppa0tc0tfd1etp5xvexpnzfefzewwwas9" timestamp="1441592648"&gt;27&lt;/key&gt;&lt;/foreign-keys&gt;&lt;ref-type name="Book"&gt;6&lt;/ref-type&gt;&lt;contributors&gt;&lt;authors&gt;&lt;author&gt;Australian Bureau of Statistics,&lt;/author&gt;&lt;/authors&gt;&lt;/contributors&gt;&lt;titles&gt;&lt;title&gt;Life Tables, States, Territories and Australia, 2011-2013&lt;/title&gt;&lt;secondary-title&gt;cat. no. 3302.0.55.001&amp;#xD;&lt;/secondary-title&gt;&lt;/titles&gt;&lt;dates&gt;&lt;year&gt;2014&lt;/year&gt;&lt;/dates&gt;&lt;pub-location&gt;Canberra&lt;/pub-location&gt;&lt;publisher&gt;ABS&lt;/publisher&gt;&lt;urls&gt;&lt;/urls&gt;&lt;/record&gt;&lt;/Cite&gt;&lt;/EndNote&gt;</w:instrText>
      </w:r>
      <w:r w:rsidR="00A05B75" w:rsidRPr="00BB16A5">
        <w:rPr>
          <w:lang w:val="en-GB"/>
        </w:rPr>
        <w:fldChar w:fldCharType="separate"/>
      </w:r>
      <w:r w:rsidR="00B1645A">
        <w:rPr>
          <w:noProof/>
          <w:lang w:val="en-GB"/>
        </w:rPr>
        <w:t>(</w:t>
      </w:r>
      <w:hyperlink w:anchor="_ENREF_4" w:tooltip="Australian Bureau of Statistics, 2014 #27" w:history="1">
        <w:r w:rsidR="008A14C8">
          <w:rPr>
            <w:noProof/>
            <w:lang w:val="en-GB"/>
          </w:rPr>
          <w:t>Australian Bureau of Statistics, 2014b</w:t>
        </w:r>
      </w:hyperlink>
      <w:r w:rsidR="00B1645A">
        <w:rPr>
          <w:noProof/>
          <w:lang w:val="en-GB"/>
        </w:rPr>
        <w:t>)</w:t>
      </w:r>
      <w:r w:rsidR="00A05B75" w:rsidRPr="00BB16A5">
        <w:rPr>
          <w:lang w:val="en-GB"/>
        </w:rPr>
        <w:fldChar w:fldCharType="end"/>
      </w:r>
      <w:r>
        <w:rPr>
          <w:lang w:val="en-GB"/>
        </w:rPr>
        <w:t xml:space="preserve">, </w:t>
      </w:r>
      <w:r w:rsidR="00B746E3">
        <w:rPr>
          <w:lang w:val="en-GB"/>
        </w:rPr>
        <w:t xml:space="preserve">estimates of the prevalence of smoking from </w:t>
      </w:r>
      <w:r>
        <w:rPr>
          <w:lang w:val="en-GB"/>
        </w:rPr>
        <w:t xml:space="preserve">the </w:t>
      </w:r>
      <w:r w:rsidR="00344420">
        <w:rPr>
          <w:lang w:val="en-GB"/>
        </w:rPr>
        <w:t>NDSHS</w:t>
      </w:r>
      <w:r w:rsidR="002309A2">
        <w:rPr>
          <w:lang w:val="en-GB"/>
        </w:rPr>
        <w:t xml:space="preserve"> </w:t>
      </w:r>
      <w:r w:rsidR="00A05B75">
        <w:rPr>
          <w:lang w:val="en-GB"/>
        </w:rPr>
        <w:fldChar w:fldCharType="begin"/>
      </w:r>
      <w:r w:rsidR="00B1645A">
        <w:rPr>
          <w:lang w:val="en-GB"/>
        </w:rPr>
        <w:instrText xml:space="preserve"> ADDIN EN.CITE &lt;EndNote&gt;&lt;Cite&gt;&lt;Author&gt;Australian Institute of Health and Welfare&lt;/Author&gt;&lt;Year&gt;2014&lt;/Year&gt;&lt;RecNum&gt;5&lt;/RecNum&gt;&lt;DisplayText&gt;(Australian Institute of Health and Welfare, 2014)&lt;/DisplayText&gt;&lt;record&gt;&lt;rec-number&gt;5&lt;/rec-number&gt;&lt;foreign-keys&gt;&lt;key app="EN" db-id="edfppa0tc0tfd1etp5xvexpnzfefzewwwas9" timestamp="1441592648"&gt;5&lt;/key&gt;&lt;/foreign-keys&gt;&lt;ref-type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no.28 Cat. no. PHE 183&lt;/secondary-title&gt;&lt;/titles&gt;&lt;volume&gt;Drug statistics series no.28 Cat. no. PHE 183&lt;/volume&gt;&lt;dates&gt;&lt;year&gt;2014&lt;/year&gt;&lt;/dates&gt;&lt;pub-location&gt;Canberra&lt;/pub-location&gt;&lt;publisher&gt;AIHW&lt;/publisher&gt;&lt;urls&gt;&lt;/urls&gt;&lt;/record&gt;&lt;/Cite&gt;&lt;/EndNote&gt;</w:instrText>
      </w:r>
      <w:r w:rsidR="00A05B75">
        <w:rPr>
          <w:lang w:val="en-GB"/>
        </w:rPr>
        <w:fldChar w:fldCharType="separate"/>
      </w:r>
      <w:r w:rsidR="00B1645A">
        <w:rPr>
          <w:noProof/>
          <w:lang w:val="en-GB"/>
        </w:rPr>
        <w:t>(</w:t>
      </w:r>
      <w:hyperlink w:anchor="_ENREF_7" w:tooltip="Australian Institute of Health and Welfare, 2014 #5" w:history="1">
        <w:r w:rsidR="008A14C8">
          <w:rPr>
            <w:noProof/>
            <w:lang w:val="en-GB"/>
          </w:rPr>
          <w:t>Australian Institute of Health and Welfare, 2014</w:t>
        </w:r>
      </w:hyperlink>
      <w:r w:rsidR="00B1645A">
        <w:rPr>
          <w:noProof/>
          <w:lang w:val="en-GB"/>
        </w:rPr>
        <w:t>)</w:t>
      </w:r>
      <w:r w:rsidR="00A05B75">
        <w:rPr>
          <w:lang w:val="en-GB"/>
        </w:rPr>
        <w:fldChar w:fldCharType="end"/>
      </w:r>
      <w:r>
        <w:rPr>
          <w:lang w:val="en-GB"/>
        </w:rPr>
        <w:t xml:space="preserve"> and estimates of the relative risk of death for current smokers and former smokers</w:t>
      </w:r>
      <w:r w:rsidR="002309A2">
        <w:rPr>
          <w:lang w:val="en-GB"/>
        </w:rPr>
        <w:t xml:space="preserve"> </w:t>
      </w:r>
      <w:r w:rsidR="00A05B75">
        <w:rPr>
          <w:lang w:val="en-GB"/>
        </w:rPr>
        <w:fldChar w:fldCharType="begin"/>
      </w:r>
      <w:r w:rsidR="00B1645A">
        <w:rPr>
          <w:lang w:val="en-GB"/>
        </w:rPr>
        <w:instrText xml:space="preserve"> ADDIN EN.CITE &lt;EndNote&gt;&lt;Cite&gt;&lt;Author&gt;Doll&lt;/Author&gt;&lt;Year&gt;2004&lt;/Year&gt;&lt;RecNum&gt;25&lt;/RecNum&gt;&lt;DisplayText&gt;(Doll et al., 2004)&lt;/DisplayText&gt;&lt;record&gt;&lt;rec-number&gt;25&lt;/rec-number&gt;&lt;foreign-keys&gt;&lt;key app="EN" db-id="edfppa0tc0tfd1etp5xvexpnzfefzewwwas9" timestamp="1441592648"&gt;25&lt;/key&gt;&lt;/foreign-keys&gt;&lt;ref-type name="Journal Article"&gt;17&lt;/ref-type&gt;&lt;contributors&gt;&lt;authors&gt;&lt;author&gt;Doll, Richard&lt;/author&gt;&lt;author&gt;Peto, Richard&lt;/author&gt;&lt;author&gt;Boreham, Jillian&lt;/author&gt;&lt;author&gt;Sutherland, Isabelle&lt;/author&gt;&lt;/authors&gt;&lt;/contributors&gt;&lt;titles&gt;&lt;title&gt;Mortality in relation to smoking: 50 years&amp;apos; observations on male British doctors&lt;/title&gt;&lt;secondary-title&gt;BMJ&lt;/secondary-title&gt;&lt;/titles&gt;&lt;periodical&gt;&lt;full-title&gt;BMJ&lt;/full-title&gt;&lt;/periodical&gt;&lt;pages&gt;1519-1528&lt;/pages&gt;&lt;volume&gt;328&lt;/volume&gt;&lt;number&gt;7455&lt;/number&gt;&lt;dates&gt;&lt;year&gt;2004&lt;/year&gt;&lt;/dates&gt;&lt;urls&gt;&lt;/urls&gt;&lt;/record&gt;&lt;/Cite&gt;&lt;/EndNote&gt;</w:instrText>
      </w:r>
      <w:r w:rsidR="00A05B75">
        <w:rPr>
          <w:lang w:val="en-GB"/>
        </w:rPr>
        <w:fldChar w:fldCharType="separate"/>
      </w:r>
      <w:r w:rsidR="00B1645A">
        <w:rPr>
          <w:noProof/>
          <w:lang w:val="en-GB"/>
        </w:rPr>
        <w:t>(</w:t>
      </w:r>
      <w:hyperlink w:anchor="_ENREF_27" w:tooltip="Doll, 2004 #25" w:history="1">
        <w:r w:rsidR="008A14C8">
          <w:rPr>
            <w:noProof/>
            <w:lang w:val="en-GB"/>
          </w:rPr>
          <w:t>Doll et al., 2004</w:t>
        </w:r>
      </w:hyperlink>
      <w:r w:rsidR="00B1645A">
        <w:rPr>
          <w:noProof/>
          <w:lang w:val="en-GB"/>
        </w:rPr>
        <w:t>)</w:t>
      </w:r>
      <w:r w:rsidR="00A05B75">
        <w:rPr>
          <w:lang w:val="en-GB"/>
        </w:rPr>
        <w:fldChar w:fldCharType="end"/>
      </w:r>
      <w:r>
        <w:rPr>
          <w:lang w:val="en-GB"/>
        </w:rPr>
        <w:t xml:space="preserve">. Importantly, this analysis accounts for quit rates observed in the absence of the </w:t>
      </w:r>
      <w:r w:rsidR="00826A4E">
        <w:rPr>
          <w:lang w:val="en-GB"/>
        </w:rPr>
        <w:t>tobacco plain packaging</w:t>
      </w:r>
      <w:r>
        <w:rPr>
          <w:lang w:val="en-GB"/>
        </w:rPr>
        <w:t xml:space="preserve"> measure. That is, those who quit smoking following the implementation of the </w:t>
      </w:r>
      <w:r w:rsidR="00826A4E">
        <w:rPr>
          <w:lang w:val="en-GB"/>
        </w:rPr>
        <w:t>tobacco plain packaging</w:t>
      </w:r>
      <w:r>
        <w:rPr>
          <w:lang w:val="en-GB"/>
        </w:rPr>
        <w:t xml:space="preserve"> measure, may have otherwise quit smoking over the course of their life. </w:t>
      </w:r>
    </w:p>
    <w:p w14:paraId="1950CD7F" w14:textId="0C84FDA5" w:rsidR="00C54373" w:rsidRDefault="00C54373" w:rsidP="000B332F">
      <w:pPr>
        <w:rPr>
          <w:lang w:val="en-GB"/>
        </w:rPr>
      </w:pPr>
      <w:r>
        <w:rPr>
          <w:lang w:val="en-GB"/>
        </w:rPr>
        <w:t>For the purpose of this analysis, t</w:t>
      </w:r>
      <w:r w:rsidRPr="00C54373">
        <w:rPr>
          <w:lang w:val="en-GB"/>
        </w:rPr>
        <w:t xml:space="preserve">he following assumptions are made with respect to the relative risks </w:t>
      </w:r>
      <w:r>
        <w:rPr>
          <w:lang w:val="en-GB"/>
        </w:rPr>
        <w:t xml:space="preserve">sourced from </w:t>
      </w:r>
      <w:r w:rsidR="004C5077">
        <w:rPr>
          <w:lang w:val="en-GB"/>
        </w:rPr>
        <w:t xml:space="preserve">the scientific literature </w:t>
      </w:r>
      <w:r>
        <w:rPr>
          <w:lang w:val="en-GB"/>
        </w:rPr>
        <w:t xml:space="preserve">as that research </w:t>
      </w:r>
      <w:r w:rsidRPr="00C54373">
        <w:rPr>
          <w:lang w:val="en-GB"/>
        </w:rPr>
        <w:t>does not report results for all ages</w:t>
      </w:r>
      <w:r>
        <w:rPr>
          <w:lang w:val="en-GB"/>
        </w:rPr>
        <w:t>:</w:t>
      </w:r>
      <w:r w:rsidRPr="00C54373">
        <w:rPr>
          <w:lang w:val="en-GB"/>
        </w:rPr>
        <w:t xml:space="preserve"> </w:t>
      </w:r>
    </w:p>
    <w:p w14:paraId="261D5DDF" w14:textId="77777777" w:rsidR="00C54373" w:rsidRPr="000B332F" w:rsidRDefault="00C54373" w:rsidP="000B332F">
      <w:pPr>
        <w:pStyle w:val="Bullet"/>
      </w:pPr>
      <w:r w:rsidRPr="000B332F">
        <w:t>The relative risk of smokers aged Under 35 is 1;</w:t>
      </w:r>
    </w:p>
    <w:p w14:paraId="4FA70C20" w14:textId="77777777" w:rsidR="00C54373" w:rsidRPr="000B332F" w:rsidRDefault="00C54373" w:rsidP="000B332F">
      <w:pPr>
        <w:pStyle w:val="Bullet"/>
      </w:pPr>
      <w:r w:rsidRPr="000B332F">
        <w:t>The relative risk of those who quit Under the age of 35 is 1;</w:t>
      </w:r>
    </w:p>
    <w:p w14:paraId="568918D7" w14:textId="428D912E" w:rsidR="00C54373" w:rsidRPr="000B332F" w:rsidRDefault="00C54373" w:rsidP="000B332F">
      <w:pPr>
        <w:pStyle w:val="Bullet"/>
      </w:pPr>
      <w:r w:rsidRPr="000B332F">
        <w:t>The relative risk of those the same age as the age they quit is the same as a smoker of that age;</w:t>
      </w:r>
      <w:r w:rsidR="00CF37E6">
        <w:t xml:space="preserve"> and</w:t>
      </w:r>
    </w:p>
    <w:p w14:paraId="648ADB8D" w14:textId="77777777" w:rsidR="00A15B7F" w:rsidRDefault="00C54373" w:rsidP="000B332F">
      <w:pPr>
        <w:pStyle w:val="Bullet"/>
      </w:pPr>
      <w:r w:rsidRPr="000B332F">
        <w:t>The relative risk of smokers aged 85 and over is 1.</w:t>
      </w:r>
    </w:p>
    <w:p w14:paraId="5E15FA30" w14:textId="77777777" w:rsidR="00C54373" w:rsidRDefault="00C54373" w:rsidP="000B332F">
      <w:pPr>
        <w:rPr>
          <w:lang w:val="en-GB"/>
        </w:rPr>
      </w:pPr>
      <w:r w:rsidRPr="00C54373">
        <w:rPr>
          <w:lang w:val="en-GB"/>
        </w:rPr>
        <w:t xml:space="preserve">These assumptions are consistent with those made in the </w:t>
      </w:r>
      <w:r>
        <w:rPr>
          <w:lang w:val="en-GB"/>
        </w:rPr>
        <w:t>UK i</w:t>
      </w:r>
      <w:r w:rsidRPr="00C54373">
        <w:rPr>
          <w:lang w:val="en-GB"/>
        </w:rPr>
        <w:t>mpact assessment</w:t>
      </w:r>
      <w:r>
        <w:rPr>
          <w:lang w:val="en-GB"/>
        </w:rPr>
        <w:t xml:space="preserve"> of standardised tobacco packaging</w:t>
      </w:r>
      <w:r w:rsidRPr="00C54373">
        <w:rPr>
          <w:lang w:val="en-GB"/>
        </w:rPr>
        <w:t xml:space="preserve">. These assumptions </w:t>
      </w:r>
      <w:r>
        <w:rPr>
          <w:lang w:val="en-GB"/>
        </w:rPr>
        <w:t>are likely to</w:t>
      </w:r>
      <w:r w:rsidRPr="00C54373">
        <w:rPr>
          <w:lang w:val="en-GB"/>
        </w:rPr>
        <w:t xml:space="preserve"> overstate the relative risk for quitters resulting in slight underestimates of life years saved for adult quitters and slight overestimates of life years saved for children.</w:t>
      </w:r>
    </w:p>
    <w:p w14:paraId="2614CD81" w14:textId="77777777" w:rsidR="00CF37E6" w:rsidRDefault="00C54373" w:rsidP="00CF37E6">
      <w:pPr>
        <w:rPr>
          <w:lang w:val="en-GB"/>
        </w:rPr>
      </w:pPr>
      <w:r w:rsidRPr="00C54373">
        <w:rPr>
          <w:lang w:val="en-GB"/>
        </w:rPr>
        <w:t>Based on revised age-specific mortality rates for non-smoker</w:t>
      </w:r>
      <w:r w:rsidR="00B746E3">
        <w:rPr>
          <w:lang w:val="en-GB"/>
        </w:rPr>
        <w:t>s</w:t>
      </w:r>
      <w:r w:rsidRPr="00C54373">
        <w:rPr>
          <w:lang w:val="en-GB"/>
        </w:rPr>
        <w:t>, quitters (by age of which the</w:t>
      </w:r>
      <w:r w:rsidR="00B746E3">
        <w:rPr>
          <w:lang w:val="en-GB"/>
        </w:rPr>
        <w:t>y</w:t>
      </w:r>
      <w:r w:rsidRPr="00C54373">
        <w:rPr>
          <w:lang w:val="en-GB"/>
        </w:rPr>
        <w:t xml:space="preserve"> quit) and lifelong smokers, corresponding life-tables </w:t>
      </w:r>
      <w:r>
        <w:rPr>
          <w:lang w:val="en-GB"/>
        </w:rPr>
        <w:t>were</w:t>
      </w:r>
      <w:r w:rsidRPr="00C54373">
        <w:rPr>
          <w:lang w:val="en-GB"/>
        </w:rPr>
        <w:t xml:space="preserve"> constructed following </w:t>
      </w:r>
      <w:r w:rsidR="00471EBA">
        <w:rPr>
          <w:lang w:val="en-GB"/>
        </w:rPr>
        <w:t xml:space="preserve">accepted </w:t>
      </w:r>
      <w:r w:rsidRPr="00C54373">
        <w:rPr>
          <w:lang w:val="en-GB"/>
        </w:rPr>
        <w:t>meth</w:t>
      </w:r>
      <w:r>
        <w:rPr>
          <w:lang w:val="en-GB"/>
        </w:rPr>
        <w:t>od</w:t>
      </w:r>
      <w:r w:rsidR="00471EBA">
        <w:rPr>
          <w:lang w:val="en-GB"/>
        </w:rPr>
        <w:t>s</w:t>
      </w:r>
      <w:r>
        <w:rPr>
          <w:lang w:val="en-GB"/>
        </w:rPr>
        <w:t xml:space="preserve"> </w:t>
      </w:r>
      <w:r w:rsidR="00A05B75">
        <w:rPr>
          <w:lang w:val="en-GB"/>
        </w:rPr>
        <w:fldChar w:fldCharType="begin"/>
      </w:r>
      <w:r w:rsidR="00B1645A">
        <w:rPr>
          <w:lang w:val="en-GB"/>
        </w:rPr>
        <w:instrText xml:space="preserve"> ADDIN EN.CITE &lt;EndNote&gt;&lt;Cite&gt;&lt;Author&gt;Chiang&lt;/Author&gt;&lt;Year&gt;1984&lt;/Year&gt;&lt;RecNum&gt;28&lt;/RecNum&gt;&lt;DisplayText&gt;(Chiang, 1984)&lt;/DisplayText&gt;&lt;record&gt;&lt;rec-number&gt;28&lt;/rec-number&gt;&lt;foreign-keys&gt;&lt;key app="EN" db-id="edfppa0tc0tfd1etp5xvexpnzfefzewwwas9" timestamp="1441592648"&gt;28&lt;/key&gt;&lt;/foreign-keys&gt;&lt;ref-type name="Book"&gt;6&lt;/ref-type&gt;&lt;contributors&gt;&lt;authors&gt;&lt;author&gt;Chiang, CL&lt;/author&gt;&lt;/authors&gt;&lt;/contributors&gt;&lt;titles&gt;&lt;title&gt;The Life Table and its Applications&lt;/title&gt;&lt;/titles&gt;&lt;dates&gt;&lt;year&gt;1984&lt;/year&gt;&lt;/dates&gt;&lt;pub-location&gt;Malabar, FL&lt;/pub-location&gt;&lt;publisher&gt;Krieger&lt;/publisher&gt;&lt;urls&gt;&lt;/urls&gt;&lt;/record&gt;&lt;/Cite&gt;&lt;/EndNote&gt;</w:instrText>
      </w:r>
      <w:r w:rsidR="00A05B75">
        <w:rPr>
          <w:lang w:val="en-GB"/>
        </w:rPr>
        <w:fldChar w:fldCharType="separate"/>
      </w:r>
      <w:r w:rsidR="00B1645A">
        <w:rPr>
          <w:noProof/>
          <w:lang w:val="en-GB"/>
        </w:rPr>
        <w:t>(</w:t>
      </w:r>
      <w:hyperlink w:anchor="_ENREF_20" w:tooltip="Chiang, 1984 #28" w:history="1">
        <w:r w:rsidR="008A14C8">
          <w:rPr>
            <w:noProof/>
            <w:lang w:val="en-GB"/>
          </w:rPr>
          <w:t>Chiang, 1984</w:t>
        </w:r>
      </w:hyperlink>
      <w:r w:rsidR="00B1645A">
        <w:rPr>
          <w:noProof/>
          <w:lang w:val="en-GB"/>
        </w:rPr>
        <w:t>)</w:t>
      </w:r>
      <w:r w:rsidR="00A05B75">
        <w:rPr>
          <w:lang w:val="en-GB"/>
        </w:rPr>
        <w:fldChar w:fldCharType="end"/>
      </w:r>
      <w:r>
        <w:rPr>
          <w:lang w:val="en-GB"/>
        </w:rPr>
        <w:t xml:space="preserve"> and </w:t>
      </w:r>
      <w:r w:rsidR="00344420">
        <w:rPr>
          <w:lang w:val="en-GB"/>
        </w:rPr>
        <w:t xml:space="preserve">are </w:t>
      </w:r>
      <w:r w:rsidRPr="00C54373">
        <w:rPr>
          <w:lang w:val="en-GB"/>
        </w:rPr>
        <w:t xml:space="preserve">consistent with the approach adopted in the UK </w:t>
      </w:r>
      <w:r>
        <w:rPr>
          <w:lang w:val="en-GB"/>
        </w:rPr>
        <w:t>impact assessment</w:t>
      </w:r>
      <w:r w:rsidRPr="00C54373">
        <w:rPr>
          <w:lang w:val="en-GB"/>
        </w:rPr>
        <w:t>.</w:t>
      </w:r>
      <w:r>
        <w:rPr>
          <w:lang w:val="en-GB"/>
        </w:rPr>
        <w:t xml:space="preserve"> </w:t>
      </w:r>
      <w:r w:rsidR="00CF37E6">
        <w:rPr>
          <w:lang w:val="en-GB"/>
        </w:rPr>
        <w:fldChar w:fldCharType="begin"/>
      </w:r>
      <w:r w:rsidR="00CF37E6">
        <w:rPr>
          <w:lang w:val="en-GB"/>
        </w:rPr>
        <w:instrText xml:space="preserve"> REF _Ref444087425 \h </w:instrText>
      </w:r>
      <w:r w:rsidR="00CF37E6">
        <w:rPr>
          <w:lang w:val="en-GB"/>
        </w:rPr>
      </w:r>
      <w:r w:rsidR="00CF37E6">
        <w:rPr>
          <w:lang w:val="en-GB"/>
        </w:rPr>
        <w:fldChar w:fldCharType="separate"/>
      </w:r>
      <w:r w:rsidR="005403ED" w:rsidRPr="00BD0D79">
        <w:t xml:space="preserve">Table </w:t>
      </w:r>
      <w:r w:rsidR="005403ED">
        <w:rPr>
          <w:noProof/>
        </w:rPr>
        <w:t>4</w:t>
      </w:r>
      <w:r w:rsidR="00CF37E6">
        <w:rPr>
          <w:lang w:val="en-GB"/>
        </w:rPr>
        <w:fldChar w:fldCharType="end"/>
      </w:r>
      <w:r w:rsidR="00CF37E6">
        <w:rPr>
          <w:lang w:val="en-GB"/>
        </w:rPr>
        <w:t xml:space="preserve"> </w:t>
      </w:r>
      <w:r>
        <w:rPr>
          <w:lang w:val="en-GB"/>
        </w:rPr>
        <w:t xml:space="preserve">provides the estimated life years lived for those turning 16 (average age of smoking initiation) </w:t>
      </w:r>
      <w:r w:rsidR="00D13704">
        <w:rPr>
          <w:lang w:val="en-GB"/>
        </w:rPr>
        <w:t xml:space="preserve">based on </w:t>
      </w:r>
      <w:r w:rsidR="00994AD7">
        <w:rPr>
          <w:lang w:val="en-GB"/>
        </w:rPr>
        <w:t>lifetime</w:t>
      </w:r>
      <w:r w:rsidR="00D13704">
        <w:rPr>
          <w:lang w:val="en-GB"/>
        </w:rPr>
        <w:t xml:space="preserve"> smoker status</w:t>
      </w:r>
      <w:r w:rsidR="00B746E3">
        <w:rPr>
          <w:lang w:val="en-GB"/>
        </w:rPr>
        <w:t>.</w:t>
      </w:r>
      <w:r w:rsidR="00D13704">
        <w:rPr>
          <w:lang w:val="en-GB"/>
        </w:rPr>
        <w:t xml:space="preserve"> </w:t>
      </w:r>
    </w:p>
    <w:p w14:paraId="09C93EFC" w14:textId="4D112D4B" w:rsidR="00231EAF" w:rsidRDefault="00CF37E6" w:rsidP="000B332F">
      <w:pPr>
        <w:rPr>
          <w:lang w:val="en-GB"/>
        </w:rPr>
      </w:pPr>
      <w:r>
        <w:rPr>
          <w:lang w:val="en-GB"/>
        </w:rPr>
        <w:fldChar w:fldCharType="begin"/>
      </w:r>
      <w:r>
        <w:rPr>
          <w:lang w:val="en-GB"/>
        </w:rPr>
        <w:instrText xml:space="preserve"> REF _Ref444087446 \h </w:instrText>
      </w:r>
      <w:r>
        <w:rPr>
          <w:lang w:val="en-GB"/>
        </w:rPr>
      </w:r>
      <w:r>
        <w:rPr>
          <w:lang w:val="en-GB"/>
        </w:rPr>
        <w:fldChar w:fldCharType="separate"/>
      </w:r>
      <w:r w:rsidR="005403ED" w:rsidRPr="00BD0D79">
        <w:t xml:space="preserve">Table </w:t>
      </w:r>
      <w:r w:rsidR="005403ED">
        <w:rPr>
          <w:noProof/>
        </w:rPr>
        <w:t>5</w:t>
      </w:r>
      <w:r>
        <w:rPr>
          <w:lang w:val="en-GB"/>
        </w:rPr>
        <w:fldChar w:fldCharType="end"/>
      </w:r>
      <w:r>
        <w:rPr>
          <w:lang w:val="en-GB"/>
        </w:rPr>
        <w:t xml:space="preserve"> </w:t>
      </w:r>
      <w:r w:rsidR="00C54373">
        <w:rPr>
          <w:lang w:val="en-GB"/>
        </w:rPr>
        <w:t>provides the estimated life</w:t>
      </w:r>
      <w:r w:rsidR="006C3CA9">
        <w:rPr>
          <w:lang w:val="en-GB"/>
        </w:rPr>
        <w:t xml:space="preserve"> years lived for five adult age</w:t>
      </w:r>
      <w:r w:rsidR="00C54373">
        <w:rPr>
          <w:lang w:val="en-GB"/>
        </w:rPr>
        <w:t xml:space="preserve"> categories</w:t>
      </w:r>
      <w:r w:rsidR="00D13704">
        <w:rPr>
          <w:lang w:val="en-GB"/>
        </w:rPr>
        <w:t xml:space="preserve"> based on potential future quit ages.</w:t>
      </w:r>
    </w:p>
    <w:p w14:paraId="421AE6F0" w14:textId="77777777" w:rsidR="00231EAF" w:rsidRDefault="00231EAF">
      <w:pPr>
        <w:tabs>
          <w:tab w:val="clear" w:pos="357"/>
        </w:tabs>
        <w:spacing w:before="0" w:after="200" w:line="276" w:lineRule="auto"/>
        <w:rPr>
          <w:lang w:val="en-GB"/>
        </w:rPr>
      </w:pPr>
      <w:r>
        <w:rPr>
          <w:lang w:val="en-GB"/>
        </w:rPr>
        <w:br w:type="page"/>
      </w:r>
    </w:p>
    <w:p w14:paraId="08820D10" w14:textId="2C20AD5B" w:rsidR="00C54373" w:rsidRPr="00BD0D79" w:rsidRDefault="00231EAF" w:rsidP="00BD0D79">
      <w:pPr>
        <w:pStyle w:val="Caption"/>
        <w:jc w:val="left"/>
        <w:rPr>
          <w:sz w:val="24"/>
          <w:szCs w:val="24"/>
        </w:rPr>
      </w:pPr>
      <w:bookmarkStart w:id="99" w:name="_Ref444087425"/>
      <w:bookmarkStart w:id="100" w:name="_Ref422423643"/>
      <w:r w:rsidRPr="00BD0D79">
        <w:rPr>
          <w:sz w:val="24"/>
          <w:szCs w:val="24"/>
        </w:rPr>
        <w:lastRenderedPageBreak/>
        <w:t xml:space="preserve">Table </w:t>
      </w:r>
      <w:r w:rsidR="009C426B" w:rsidRPr="00BD0D79">
        <w:rPr>
          <w:sz w:val="24"/>
          <w:szCs w:val="24"/>
        </w:rPr>
        <w:fldChar w:fldCharType="begin"/>
      </w:r>
      <w:r w:rsidR="009C426B" w:rsidRPr="00BD0D79">
        <w:rPr>
          <w:sz w:val="24"/>
          <w:szCs w:val="24"/>
        </w:rPr>
        <w:instrText xml:space="preserve"> SEQ Table \* ARABIC </w:instrText>
      </w:r>
      <w:r w:rsidR="009C426B" w:rsidRPr="00BD0D79">
        <w:rPr>
          <w:sz w:val="24"/>
          <w:szCs w:val="24"/>
        </w:rPr>
        <w:fldChar w:fldCharType="separate"/>
      </w:r>
      <w:r w:rsidR="005403ED">
        <w:rPr>
          <w:noProof/>
          <w:sz w:val="24"/>
          <w:szCs w:val="24"/>
        </w:rPr>
        <w:t>4</w:t>
      </w:r>
      <w:r w:rsidR="009C426B" w:rsidRPr="00BD0D79">
        <w:rPr>
          <w:noProof/>
          <w:sz w:val="24"/>
          <w:szCs w:val="24"/>
        </w:rPr>
        <w:fldChar w:fldCharType="end"/>
      </w:r>
      <w:bookmarkEnd w:id="99"/>
      <w:r w:rsidRPr="00BD0D79">
        <w:rPr>
          <w:sz w:val="24"/>
          <w:szCs w:val="24"/>
        </w:rPr>
        <w:t>: Life years lived from now for someone turning 16 by life-time smoker status</w:t>
      </w:r>
      <w:bookmarkEnd w:id="100"/>
    </w:p>
    <w:tbl>
      <w:tblPr>
        <w:tblStyle w:val="TableGrid"/>
        <w:tblW w:w="5000" w:type="pct"/>
        <w:jc w:val="center"/>
        <w:tblLook w:val="04A0" w:firstRow="1" w:lastRow="0" w:firstColumn="1" w:lastColumn="0" w:noHBand="0" w:noVBand="1"/>
        <w:tblDescription w:val="Table 4 lists the estimated life years lived for 7 categories of persons determined by smoker status (Never smokers, Quit under 35, Quit 35 to 44, Quit 45 to 54, Quit 55 to 64, Lifelong smokers, All persons). Read across for Life-time smoker status and the corresponding estimated life in years lived."/>
      </w:tblPr>
      <w:tblGrid>
        <w:gridCol w:w="3085"/>
        <w:gridCol w:w="6158"/>
      </w:tblGrid>
      <w:tr w:rsidR="00C54373" w:rsidRPr="000146DB" w14:paraId="2420E81D" w14:textId="77777777" w:rsidTr="00B50287">
        <w:trPr>
          <w:tblHeader/>
          <w:jc w:val="center"/>
        </w:trPr>
        <w:tc>
          <w:tcPr>
            <w:tcW w:w="3085" w:type="dxa"/>
            <w:tcBorders>
              <w:top w:val="single" w:sz="4" w:space="0" w:color="auto"/>
              <w:left w:val="nil"/>
              <w:bottom w:val="single" w:sz="4" w:space="0" w:color="auto"/>
              <w:right w:val="nil"/>
            </w:tcBorders>
            <w:shd w:val="clear" w:color="auto" w:fill="DBE5F1" w:themeFill="accent1" w:themeFillTint="33"/>
            <w:vAlign w:val="center"/>
          </w:tcPr>
          <w:p w14:paraId="003BC52E" w14:textId="77777777" w:rsidR="00C54373" w:rsidRPr="000146DB" w:rsidRDefault="00D13704" w:rsidP="00951CB3">
            <w:pPr>
              <w:pStyle w:val="tabletext0"/>
              <w:rPr>
                <w:b/>
                <w:sz w:val="22"/>
              </w:rPr>
            </w:pPr>
            <w:r w:rsidRPr="000146DB">
              <w:rPr>
                <w:b/>
                <w:sz w:val="22"/>
              </w:rPr>
              <w:t>Life-time s</w:t>
            </w:r>
            <w:r w:rsidR="00C54373" w:rsidRPr="000146DB">
              <w:rPr>
                <w:b/>
                <w:sz w:val="22"/>
              </w:rPr>
              <w:t>moker status</w:t>
            </w:r>
          </w:p>
        </w:tc>
        <w:tc>
          <w:tcPr>
            <w:tcW w:w="6158" w:type="dxa"/>
            <w:tcBorders>
              <w:top w:val="single" w:sz="4" w:space="0" w:color="auto"/>
              <w:left w:val="nil"/>
              <w:bottom w:val="single" w:sz="4" w:space="0" w:color="auto"/>
              <w:right w:val="nil"/>
            </w:tcBorders>
            <w:shd w:val="clear" w:color="auto" w:fill="DBE5F1" w:themeFill="accent1" w:themeFillTint="33"/>
            <w:vAlign w:val="center"/>
          </w:tcPr>
          <w:p w14:paraId="10082931" w14:textId="77777777" w:rsidR="00C54373" w:rsidRPr="000146DB" w:rsidRDefault="00C54373" w:rsidP="00951CB3">
            <w:pPr>
              <w:pStyle w:val="tabletext0"/>
              <w:jc w:val="center"/>
              <w:rPr>
                <w:b/>
                <w:sz w:val="22"/>
              </w:rPr>
            </w:pPr>
            <w:r w:rsidRPr="000146DB">
              <w:rPr>
                <w:b/>
                <w:sz w:val="22"/>
              </w:rPr>
              <w:t>Life years</w:t>
            </w:r>
          </w:p>
        </w:tc>
      </w:tr>
      <w:tr w:rsidR="00C54373" w:rsidRPr="000146DB" w14:paraId="56CEC763" w14:textId="77777777" w:rsidTr="005940B8">
        <w:trPr>
          <w:jc w:val="center"/>
        </w:trPr>
        <w:tc>
          <w:tcPr>
            <w:tcW w:w="3085" w:type="dxa"/>
            <w:tcBorders>
              <w:top w:val="single" w:sz="4" w:space="0" w:color="auto"/>
              <w:left w:val="nil"/>
              <w:bottom w:val="nil"/>
              <w:right w:val="nil"/>
            </w:tcBorders>
            <w:vAlign w:val="center"/>
          </w:tcPr>
          <w:p w14:paraId="1D7561EE" w14:textId="77777777" w:rsidR="00C54373" w:rsidRPr="000146DB" w:rsidRDefault="00C54373" w:rsidP="00951CB3">
            <w:pPr>
              <w:pStyle w:val="tabletext0"/>
              <w:ind w:firstLine="426"/>
              <w:rPr>
                <w:sz w:val="22"/>
              </w:rPr>
            </w:pPr>
            <w:r w:rsidRPr="000146DB">
              <w:rPr>
                <w:sz w:val="22"/>
              </w:rPr>
              <w:t>Never smoker</w:t>
            </w:r>
          </w:p>
        </w:tc>
        <w:tc>
          <w:tcPr>
            <w:tcW w:w="6158" w:type="dxa"/>
            <w:tcBorders>
              <w:top w:val="single" w:sz="4" w:space="0" w:color="auto"/>
              <w:left w:val="nil"/>
              <w:bottom w:val="nil"/>
              <w:right w:val="nil"/>
            </w:tcBorders>
            <w:vAlign w:val="center"/>
          </w:tcPr>
          <w:p w14:paraId="3B3AB8C2" w14:textId="77777777" w:rsidR="00C54373" w:rsidRPr="000146DB" w:rsidRDefault="00C54373" w:rsidP="00951CB3">
            <w:pPr>
              <w:pStyle w:val="tabletext0"/>
              <w:jc w:val="center"/>
              <w:rPr>
                <w:sz w:val="22"/>
              </w:rPr>
            </w:pPr>
            <w:r w:rsidRPr="000146DB">
              <w:rPr>
                <w:sz w:val="22"/>
              </w:rPr>
              <w:t>67.79</w:t>
            </w:r>
          </w:p>
        </w:tc>
      </w:tr>
      <w:tr w:rsidR="00C54373" w:rsidRPr="000146DB" w14:paraId="3392317F" w14:textId="77777777" w:rsidTr="005940B8">
        <w:trPr>
          <w:jc w:val="center"/>
        </w:trPr>
        <w:tc>
          <w:tcPr>
            <w:tcW w:w="3085" w:type="dxa"/>
            <w:tcBorders>
              <w:top w:val="nil"/>
              <w:left w:val="nil"/>
              <w:bottom w:val="nil"/>
              <w:right w:val="nil"/>
            </w:tcBorders>
            <w:vAlign w:val="center"/>
          </w:tcPr>
          <w:p w14:paraId="55C403CB" w14:textId="77777777" w:rsidR="00C54373" w:rsidRPr="000146DB" w:rsidRDefault="00C54373" w:rsidP="00951CB3">
            <w:pPr>
              <w:pStyle w:val="tabletext0"/>
              <w:ind w:firstLine="426"/>
              <w:rPr>
                <w:sz w:val="22"/>
              </w:rPr>
            </w:pPr>
            <w:r w:rsidRPr="000146DB">
              <w:rPr>
                <w:sz w:val="22"/>
              </w:rPr>
              <w:t>Quit under 35</w:t>
            </w:r>
          </w:p>
        </w:tc>
        <w:tc>
          <w:tcPr>
            <w:tcW w:w="6158" w:type="dxa"/>
            <w:tcBorders>
              <w:top w:val="nil"/>
              <w:left w:val="nil"/>
              <w:bottom w:val="nil"/>
              <w:right w:val="nil"/>
            </w:tcBorders>
            <w:vAlign w:val="center"/>
          </w:tcPr>
          <w:p w14:paraId="5BD272FD" w14:textId="77777777" w:rsidR="00C54373" w:rsidRPr="000146DB" w:rsidRDefault="00C54373" w:rsidP="00951CB3">
            <w:pPr>
              <w:pStyle w:val="tabletext0"/>
              <w:jc w:val="center"/>
              <w:rPr>
                <w:sz w:val="22"/>
              </w:rPr>
            </w:pPr>
            <w:r w:rsidRPr="000146DB">
              <w:rPr>
                <w:sz w:val="22"/>
              </w:rPr>
              <w:t>67.79</w:t>
            </w:r>
          </w:p>
        </w:tc>
      </w:tr>
      <w:tr w:rsidR="00C54373" w:rsidRPr="000146DB" w14:paraId="65EDCA7D" w14:textId="77777777" w:rsidTr="005940B8">
        <w:trPr>
          <w:jc w:val="center"/>
        </w:trPr>
        <w:tc>
          <w:tcPr>
            <w:tcW w:w="3085" w:type="dxa"/>
            <w:tcBorders>
              <w:top w:val="nil"/>
              <w:left w:val="nil"/>
              <w:bottom w:val="nil"/>
              <w:right w:val="nil"/>
            </w:tcBorders>
            <w:vAlign w:val="center"/>
          </w:tcPr>
          <w:p w14:paraId="0A81A9F6" w14:textId="77777777" w:rsidR="00C54373" w:rsidRPr="000146DB" w:rsidRDefault="00C54373" w:rsidP="00951CB3">
            <w:pPr>
              <w:pStyle w:val="tabletext0"/>
              <w:ind w:firstLine="426"/>
              <w:rPr>
                <w:sz w:val="22"/>
              </w:rPr>
            </w:pPr>
            <w:r w:rsidRPr="000146DB">
              <w:rPr>
                <w:sz w:val="22"/>
              </w:rPr>
              <w:t>Quit 35 to 44</w:t>
            </w:r>
          </w:p>
        </w:tc>
        <w:tc>
          <w:tcPr>
            <w:tcW w:w="6158" w:type="dxa"/>
            <w:tcBorders>
              <w:top w:val="nil"/>
              <w:left w:val="nil"/>
              <w:bottom w:val="nil"/>
              <w:right w:val="nil"/>
            </w:tcBorders>
            <w:vAlign w:val="center"/>
          </w:tcPr>
          <w:p w14:paraId="2B61E729" w14:textId="77777777" w:rsidR="00C54373" w:rsidRPr="000146DB" w:rsidRDefault="00C54373" w:rsidP="00951CB3">
            <w:pPr>
              <w:pStyle w:val="tabletext0"/>
              <w:jc w:val="center"/>
              <w:rPr>
                <w:sz w:val="22"/>
              </w:rPr>
            </w:pPr>
            <w:r w:rsidRPr="000146DB">
              <w:rPr>
                <w:sz w:val="22"/>
              </w:rPr>
              <w:t>66.71</w:t>
            </w:r>
          </w:p>
        </w:tc>
      </w:tr>
      <w:tr w:rsidR="00C54373" w:rsidRPr="000146DB" w14:paraId="491307B8" w14:textId="77777777" w:rsidTr="005940B8">
        <w:trPr>
          <w:jc w:val="center"/>
        </w:trPr>
        <w:tc>
          <w:tcPr>
            <w:tcW w:w="3085" w:type="dxa"/>
            <w:tcBorders>
              <w:top w:val="nil"/>
              <w:left w:val="nil"/>
              <w:bottom w:val="nil"/>
              <w:right w:val="nil"/>
            </w:tcBorders>
            <w:vAlign w:val="center"/>
          </w:tcPr>
          <w:p w14:paraId="6E7DF8E5" w14:textId="5805401D" w:rsidR="00C54373" w:rsidRPr="000146DB" w:rsidRDefault="00C54373" w:rsidP="00AD389B">
            <w:pPr>
              <w:pStyle w:val="tabletext0"/>
              <w:ind w:firstLine="426"/>
              <w:rPr>
                <w:sz w:val="22"/>
              </w:rPr>
            </w:pPr>
            <w:r w:rsidRPr="000146DB">
              <w:rPr>
                <w:sz w:val="22"/>
              </w:rPr>
              <w:t xml:space="preserve">Quit 45 to </w:t>
            </w:r>
            <w:r w:rsidR="00AD389B">
              <w:rPr>
                <w:sz w:val="22"/>
              </w:rPr>
              <w:t>5</w:t>
            </w:r>
            <w:r w:rsidR="00AD389B" w:rsidRPr="000146DB">
              <w:rPr>
                <w:sz w:val="22"/>
              </w:rPr>
              <w:t>4</w:t>
            </w:r>
          </w:p>
        </w:tc>
        <w:tc>
          <w:tcPr>
            <w:tcW w:w="6158" w:type="dxa"/>
            <w:tcBorders>
              <w:top w:val="nil"/>
              <w:left w:val="nil"/>
              <w:bottom w:val="nil"/>
              <w:right w:val="nil"/>
            </w:tcBorders>
            <w:vAlign w:val="center"/>
          </w:tcPr>
          <w:p w14:paraId="71C26113" w14:textId="77777777" w:rsidR="00C54373" w:rsidRPr="000146DB" w:rsidRDefault="00C54373" w:rsidP="00951CB3">
            <w:pPr>
              <w:pStyle w:val="tabletext0"/>
              <w:jc w:val="center"/>
              <w:rPr>
                <w:sz w:val="22"/>
              </w:rPr>
            </w:pPr>
            <w:r w:rsidRPr="000146DB">
              <w:rPr>
                <w:sz w:val="22"/>
              </w:rPr>
              <w:t>63.56</w:t>
            </w:r>
          </w:p>
        </w:tc>
      </w:tr>
      <w:tr w:rsidR="00C54373" w:rsidRPr="000146DB" w14:paraId="1E1D053D" w14:textId="77777777" w:rsidTr="005940B8">
        <w:trPr>
          <w:jc w:val="center"/>
        </w:trPr>
        <w:tc>
          <w:tcPr>
            <w:tcW w:w="3085" w:type="dxa"/>
            <w:tcBorders>
              <w:top w:val="nil"/>
              <w:left w:val="nil"/>
              <w:bottom w:val="nil"/>
              <w:right w:val="nil"/>
            </w:tcBorders>
            <w:vAlign w:val="center"/>
          </w:tcPr>
          <w:p w14:paraId="7A1BF462" w14:textId="5C797A3E" w:rsidR="00C54373" w:rsidRPr="000146DB" w:rsidRDefault="00C54373" w:rsidP="00AD389B">
            <w:pPr>
              <w:pStyle w:val="tabletext0"/>
              <w:ind w:firstLine="426"/>
              <w:rPr>
                <w:sz w:val="22"/>
              </w:rPr>
            </w:pPr>
            <w:r w:rsidRPr="000146DB">
              <w:rPr>
                <w:sz w:val="22"/>
              </w:rPr>
              <w:t xml:space="preserve">Quit 55 to </w:t>
            </w:r>
            <w:r w:rsidR="00AD389B">
              <w:rPr>
                <w:sz w:val="22"/>
              </w:rPr>
              <w:t>6</w:t>
            </w:r>
            <w:r w:rsidR="00AD389B" w:rsidRPr="000146DB">
              <w:rPr>
                <w:sz w:val="22"/>
              </w:rPr>
              <w:t>4</w:t>
            </w:r>
          </w:p>
        </w:tc>
        <w:tc>
          <w:tcPr>
            <w:tcW w:w="6158" w:type="dxa"/>
            <w:tcBorders>
              <w:top w:val="nil"/>
              <w:left w:val="nil"/>
              <w:bottom w:val="nil"/>
              <w:right w:val="nil"/>
            </w:tcBorders>
            <w:vAlign w:val="center"/>
          </w:tcPr>
          <w:p w14:paraId="1D7B4BF0" w14:textId="77777777" w:rsidR="00C54373" w:rsidRPr="000146DB" w:rsidRDefault="00C54373" w:rsidP="00951CB3">
            <w:pPr>
              <w:pStyle w:val="tabletext0"/>
              <w:jc w:val="center"/>
              <w:rPr>
                <w:sz w:val="22"/>
              </w:rPr>
            </w:pPr>
            <w:r w:rsidRPr="000146DB">
              <w:rPr>
                <w:sz w:val="22"/>
              </w:rPr>
              <w:t>62.24</w:t>
            </w:r>
          </w:p>
        </w:tc>
      </w:tr>
      <w:tr w:rsidR="00C54373" w:rsidRPr="000146DB" w14:paraId="501BE68A" w14:textId="77777777" w:rsidTr="005940B8">
        <w:trPr>
          <w:jc w:val="center"/>
        </w:trPr>
        <w:tc>
          <w:tcPr>
            <w:tcW w:w="3085" w:type="dxa"/>
            <w:tcBorders>
              <w:top w:val="nil"/>
              <w:left w:val="nil"/>
              <w:bottom w:val="nil"/>
              <w:right w:val="nil"/>
            </w:tcBorders>
            <w:vAlign w:val="center"/>
          </w:tcPr>
          <w:p w14:paraId="5A5EC0D6" w14:textId="77777777" w:rsidR="00C54373" w:rsidRPr="000146DB" w:rsidRDefault="00C54373" w:rsidP="00951CB3">
            <w:pPr>
              <w:pStyle w:val="tabletext0"/>
              <w:ind w:firstLine="426"/>
              <w:rPr>
                <w:sz w:val="22"/>
              </w:rPr>
            </w:pPr>
            <w:r w:rsidRPr="000146DB">
              <w:rPr>
                <w:sz w:val="22"/>
              </w:rPr>
              <w:t>Lifelong smokers</w:t>
            </w:r>
          </w:p>
        </w:tc>
        <w:tc>
          <w:tcPr>
            <w:tcW w:w="6158" w:type="dxa"/>
            <w:tcBorders>
              <w:top w:val="nil"/>
              <w:left w:val="nil"/>
              <w:bottom w:val="nil"/>
              <w:right w:val="nil"/>
            </w:tcBorders>
            <w:vAlign w:val="center"/>
          </w:tcPr>
          <w:p w14:paraId="0018BD1E" w14:textId="77777777" w:rsidR="00C54373" w:rsidRPr="000146DB" w:rsidRDefault="00C54373" w:rsidP="00951CB3">
            <w:pPr>
              <w:pStyle w:val="tabletext0"/>
              <w:jc w:val="center"/>
              <w:rPr>
                <w:sz w:val="22"/>
              </w:rPr>
            </w:pPr>
            <w:r w:rsidRPr="000146DB">
              <w:rPr>
                <w:sz w:val="22"/>
              </w:rPr>
              <w:t>61.05</w:t>
            </w:r>
          </w:p>
        </w:tc>
      </w:tr>
      <w:tr w:rsidR="00C54373" w:rsidRPr="000146DB" w14:paraId="67B15B26" w14:textId="77777777" w:rsidTr="005940B8">
        <w:trPr>
          <w:jc w:val="center"/>
        </w:trPr>
        <w:tc>
          <w:tcPr>
            <w:tcW w:w="3085" w:type="dxa"/>
            <w:tcBorders>
              <w:top w:val="nil"/>
              <w:left w:val="nil"/>
              <w:bottom w:val="single" w:sz="4" w:space="0" w:color="auto"/>
              <w:right w:val="nil"/>
            </w:tcBorders>
            <w:vAlign w:val="center"/>
          </w:tcPr>
          <w:p w14:paraId="59681047" w14:textId="77777777" w:rsidR="00C54373" w:rsidRPr="000146DB" w:rsidRDefault="00C54373" w:rsidP="00951CB3">
            <w:pPr>
              <w:pStyle w:val="tabletext0"/>
              <w:ind w:firstLine="426"/>
              <w:rPr>
                <w:sz w:val="22"/>
              </w:rPr>
            </w:pPr>
            <w:r w:rsidRPr="000146DB">
              <w:rPr>
                <w:sz w:val="22"/>
              </w:rPr>
              <w:t>All persons</w:t>
            </w:r>
          </w:p>
        </w:tc>
        <w:tc>
          <w:tcPr>
            <w:tcW w:w="6158" w:type="dxa"/>
            <w:tcBorders>
              <w:top w:val="nil"/>
              <w:left w:val="nil"/>
              <w:bottom w:val="single" w:sz="4" w:space="0" w:color="auto"/>
              <w:right w:val="nil"/>
            </w:tcBorders>
            <w:vAlign w:val="center"/>
          </w:tcPr>
          <w:p w14:paraId="08455A99" w14:textId="77777777" w:rsidR="00C54373" w:rsidRPr="000146DB" w:rsidRDefault="00C54373" w:rsidP="00951CB3">
            <w:pPr>
              <w:pStyle w:val="tabletext0"/>
              <w:jc w:val="center"/>
              <w:rPr>
                <w:sz w:val="22"/>
              </w:rPr>
            </w:pPr>
            <w:r w:rsidRPr="000146DB">
              <w:rPr>
                <w:sz w:val="22"/>
              </w:rPr>
              <w:t>66.47</w:t>
            </w:r>
          </w:p>
        </w:tc>
      </w:tr>
    </w:tbl>
    <w:p w14:paraId="1D1A5942" w14:textId="4CDEF9FD" w:rsidR="00231EAF" w:rsidRPr="00BD0D79" w:rsidRDefault="00231EAF" w:rsidP="00BD0D79">
      <w:pPr>
        <w:pStyle w:val="Caption"/>
        <w:spacing w:before="240"/>
        <w:jc w:val="left"/>
        <w:rPr>
          <w:sz w:val="24"/>
          <w:szCs w:val="24"/>
        </w:rPr>
      </w:pPr>
      <w:bookmarkStart w:id="101" w:name="_Ref444087446"/>
      <w:bookmarkStart w:id="102" w:name="_Ref422423645"/>
      <w:r w:rsidRPr="00BD0D79">
        <w:rPr>
          <w:sz w:val="24"/>
          <w:szCs w:val="24"/>
        </w:rPr>
        <w:t xml:space="preserve">Table </w:t>
      </w:r>
      <w:r w:rsidR="009C426B" w:rsidRPr="00BD0D79">
        <w:rPr>
          <w:sz w:val="24"/>
          <w:szCs w:val="24"/>
        </w:rPr>
        <w:fldChar w:fldCharType="begin"/>
      </w:r>
      <w:r w:rsidR="009C426B" w:rsidRPr="00BD0D79">
        <w:rPr>
          <w:sz w:val="24"/>
          <w:szCs w:val="24"/>
        </w:rPr>
        <w:instrText xml:space="preserve"> SEQ Table \* ARABIC </w:instrText>
      </w:r>
      <w:r w:rsidR="009C426B" w:rsidRPr="00BD0D79">
        <w:rPr>
          <w:sz w:val="24"/>
          <w:szCs w:val="24"/>
        </w:rPr>
        <w:fldChar w:fldCharType="separate"/>
      </w:r>
      <w:r w:rsidR="005403ED">
        <w:rPr>
          <w:noProof/>
          <w:sz w:val="24"/>
          <w:szCs w:val="24"/>
        </w:rPr>
        <w:t>5</w:t>
      </w:r>
      <w:r w:rsidR="009C426B" w:rsidRPr="00BD0D79">
        <w:rPr>
          <w:noProof/>
          <w:sz w:val="24"/>
          <w:szCs w:val="24"/>
        </w:rPr>
        <w:fldChar w:fldCharType="end"/>
      </w:r>
      <w:bookmarkEnd w:id="101"/>
      <w:r w:rsidRPr="00BD0D79">
        <w:rPr>
          <w:sz w:val="24"/>
          <w:szCs w:val="24"/>
        </w:rPr>
        <w:t>: Life years lived from now by age and age at which they quit smoking</w:t>
      </w:r>
    </w:p>
    <w:bookmarkEnd w:id="10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5 lists the life years lived from now for each age category by the age of quitting smoking.  Read across for the Quit age, followed by the expected life years lived according to smoker age categories (18-34, 35-44, 45-54, 55-64, and 65+)."/>
      </w:tblPr>
      <w:tblGrid>
        <w:gridCol w:w="2321"/>
        <w:gridCol w:w="538"/>
        <w:gridCol w:w="845"/>
        <w:gridCol w:w="1385"/>
        <w:gridCol w:w="1383"/>
        <w:gridCol w:w="1385"/>
        <w:gridCol w:w="1386"/>
      </w:tblGrid>
      <w:tr w:rsidR="00C54373" w:rsidRPr="000146DB" w14:paraId="63DB17DC" w14:textId="77777777" w:rsidTr="00B50287">
        <w:trPr>
          <w:tblHeader/>
        </w:trPr>
        <w:tc>
          <w:tcPr>
            <w:tcW w:w="1547" w:type="pct"/>
            <w:gridSpan w:val="2"/>
            <w:tcBorders>
              <w:top w:val="single" w:sz="4" w:space="0" w:color="auto"/>
            </w:tcBorders>
            <w:shd w:val="clear" w:color="auto" w:fill="DBE5F1" w:themeFill="accent1" w:themeFillTint="33"/>
          </w:tcPr>
          <w:p w14:paraId="731668CA" w14:textId="77777777" w:rsidR="00C54373" w:rsidRPr="000146DB" w:rsidRDefault="00C54373" w:rsidP="00C54373">
            <w:pPr>
              <w:pStyle w:val="tabletext0"/>
              <w:rPr>
                <w:sz w:val="22"/>
              </w:rPr>
            </w:pPr>
          </w:p>
        </w:tc>
        <w:tc>
          <w:tcPr>
            <w:tcW w:w="3453" w:type="pct"/>
            <w:gridSpan w:val="5"/>
            <w:tcBorders>
              <w:top w:val="single" w:sz="4" w:space="0" w:color="auto"/>
              <w:bottom w:val="single" w:sz="4" w:space="0" w:color="auto"/>
            </w:tcBorders>
            <w:shd w:val="clear" w:color="auto" w:fill="DBE5F1" w:themeFill="accent1" w:themeFillTint="33"/>
          </w:tcPr>
          <w:p w14:paraId="3DBF02CC" w14:textId="77777777" w:rsidR="00C54373" w:rsidRPr="000146DB" w:rsidRDefault="00C54373" w:rsidP="005940B8">
            <w:pPr>
              <w:pStyle w:val="tabletext0"/>
              <w:tabs>
                <w:tab w:val="clear" w:pos="357"/>
                <w:tab w:val="left" w:pos="-165"/>
              </w:tabs>
              <w:jc w:val="center"/>
              <w:rPr>
                <w:sz w:val="22"/>
              </w:rPr>
            </w:pPr>
            <w:r w:rsidRPr="000146DB">
              <w:rPr>
                <w:b/>
                <w:sz w:val="22"/>
              </w:rPr>
              <w:t>Smoker age</w:t>
            </w:r>
          </w:p>
        </w:tc>
      </w:tr>
      <w:tr w:rsidR="00C54373" w:rsidRPr="000146DB" w14:paraId="70A30989" w14:textId="77777777" w:rsidTr="00231EAF">
        <w:trPr>
          <w:tblHeader/>
        </w:trPr>
        <w:tc>
          <w:tcPr>
            <w:tcW w:w="1256" w:type="pct"/>
            <w:tcBorders>
              <w:bottom w:val="single" w:sz="4" w:space="0" w:color="auto"/>
            </w:tcBorders>
            <w:shd w:val="clear" w:color="auto" w:fill="DBE5F1" w:themeFill="accent1" w:themeFillTint="33"/>
          </w:tcPr>
          <w:p w14:paraId="672F4543" w14:textId="77777777" w:rsidR="00C54373" w:rsidRPr="000146DB" w:rsidRDefault="00C54373" w:rsidP="00C54373">
            <w:pPr>
              <w:pStyle w:val="tabletext0"/>
              <w:rPr>
                <w:b/>
                <w:sz w:val="22"/>
              </w:rPr>
            </w:pPr>
            <w:r w:rsidRPr="000146DB">
              <w:rPr>
                <w:b/>
                <w:sz w:val="22"/>
              </w:rPr>
              <w:t>Quit Age</w:t>
            </w:r>
          </w:p>
        </w:tc>
        <w:tc>
          <w:tcPr>
            <w:tcW w:w="748" w:type="pct"/>
            <w:gridSpan w:val="2"/>
            <w:tcBorders>
              <w:top w:val="single" w:sz="4" w:space="0" w:color="auto"/>
              <w:bottom w:val="single" w:sz="4" w:space="0" w:color="auto"/>
            </w:tcBorders>
            <w:shd w:val="clear" w:color="auto" w:fill="DBE5F1" w:themeFill="accent1" w:themeFillTint="33"/>
            <w:vAlign w:val="center"/>
          </w:tcPr>
          <w:p w14:paraId="1B80FC3A" w14:textId="77777777" w:rsidR="00C54373" w:rsidRPr="000146DB" w:rsidRDefault="00C54373" w:rsidP="005940B8">
            <w:pPr>
              <w:pStyle w:val="tabletext0"/>
              <w:jc w:val="center"/>
              <w:rPr>
                <w:b/>
                <w:sz w:val="22"/>
              </w:rPr>
            </w:pPr>
            <w:r w:rsidRPr="000146DB">
              <w:rPr>
                <w:b/>
                <w:sz w:val="22"/>
              </w:rPr>
              <w:t>18-34</w:t>
            </w:r>
          </w:p>
        </w:tc>
        <w:tc>
          <w:tcPr>
            <w:tcW w:w="749" w:type="pct"/>
            <w:tcBorders>
              <w:top w:val="single" w:sz="4" w:space="0" w:color="auto"/>
              <w:bottom w:val="single" w:sz="4" w:space="0" w:color="auto"/>
            </w:tcBorders>
            <w:shd w:val="clear" w:color="auto" w:fill="DBE5F1" w:themeFill="accent1" w:themeFillTint="33"/>
            <w:vAlign w:val="center"/>
          </w:tcPr>
          <w:p w14:paraId="3E58EB3A" w14:textId="77777777" w:rsidR="00C54373" w:rsidRPr="000146DB" w:rsidRDefault="00C54373" w:rsidP="005940B8">
            <w:pPr>
              <w:pStyle w:val="tabletext0"/>
              <w:jc w:val="center"/>
              <w:rPr>
                <w:b/>
                <w:sz w:val="22"/>
              </w:rPr>
            </w:pPr>
            <w:r w:rsidRPr="000146DB">
              <w:rPr>
                <w:b/>
                <w:sz w:val="22"/>
              </w:rPr>
              <w:t>35-44</w:t>
            </w:r>
          </w:p>
        </w:tc>
        <w:tc>
          <w:tcPr>
            <w:tcW w:w="748" w:type="pct"/>
            <w:tcBorders>
              <w:top w:val="single" w:sz="4" w:space="0" w:color="auto"/>
              <w:bottom w:val="single" w:sz="4" w:space="0" w:color="auto"/>
            </w:tcBorders>
            <w:shd w:val="clear" w:color="auto" w:fill="DBE5F1" w:themeFill="accent1" w:themeFillTint="33"/>
            <w:vAlign w:val="center"/>
          </w:tcPr>
          <w:p w14:paraId="7444E5B6" w14:textId="77777777" w:rsidR="00C54373" w:rsidRPr="000146DB" w:rsidRDefault="00C54373" w:rsidP="005940B8">
            <w:pPr>
              <w:pStyle w:val="tabletext0"/>
              <w:jc w:val="center"/>
              <w:rPr>
                <w:b/>
                <w:sz w:val="22"/>
              </w:rPr>
            </w:pPr>
            <w:r w:rsidRPr="000146DB">
              <w:rPr>
                <w:b/>
                <w:sz w:val="22"/>
              </w:rPr>
              <w:t>45-54</w:t>
            </w:r>
          </w:p>
        </w:tc>
        <w:tc>
          <w:tcPr>
            <w:tcW w:w="749" w:type="pct"/>
            <w:tcBorders>
              <w:top w:val="single" w:sz="4" w:space="0" w:color="auto"/>
              <w:bottom w:val="single" w:sz="4" w:space="0" w:color="auto"/>
            </w:tcBorders>
            <w:shd w:val="clear" w:color="auto" w:fill="DBE5F1" w:themeFill="accent1" w:themeFillTint="33"/>
            <w:vAlign w:val="center"/>
          </w:tcPr>
          <w:p w14:paraId="122D6890" w14:textId="77777777" w:rsidR="00C54373" w:rsidRPr="000146DB" w:rsidRDefault="00C54373" w:rsidP="005940B8">
            <w:pPr>
              <w:pStyle w:val="tabletext0"/>
              <w:jc w:val="center"/>
              <w:rPr>
                <w:b/>
                <w:sz w:val="22"/>
              </w:rPr>
            </w:pPr>
            <w:r w:rsidRPr="000146DB">
              <w:rPr>
                <w:b/>
                <w:sz w:val="22"/>
              </w:rPr>
              <w:t>55-64</w:t>
            </w:r>
          </w:p>
        </w:tc>
        <w:tc>
          <w:tcPr>
            <w:tcW w:w="750" w:type="pct"/>
            <w:tcBorders>
              <w:top w:val="single" w:sz="4" w:space="0" w:color="auto"/>
              <w:bottom w:val="single" w:sz="4" w:space="0" w:color="auto"/>
            </w:tcBorders>
            <w:shd w:val="clear" w:color="auto" w:fill="DBE5F1" w:themeFill="accent1" w:themeFillTint="33"/>
            <w:vAlign w:val="center"/>
          </w:tcPr>
          <w:p w14:paraId="73111016" w14:textId="77777777" w:rsidR="00C54373" w:rsidRPr="000146DB" w:rsidRDefault="00C54373" w:rsidP="005940B8">
            <w:pPr>
              <w:pStyle w:val="tabletext0"/>
              <w:jc w:val="center"/>
              <w:rPr>
                <w:b/>
                <w:sz w:val="22"/>
              </w:rPr>
            </w:pPr>
            <w:r w:rsidRPr="000146DB">
              <w:rPr>
                <w:b/>
                <w:sz w:val="22"/>
              </w:rPr>
              <w:t>65+</w:t>
            </w:r>
          </w:p>
        </w:tc>
      </w:tr>
      <w:tr w:rsidR="00C54373" w:rsidRPr="000146DB" w14:paraId="4AEE1D5A" w14:textId="77777777" w:rsidTr="00231EAF">
        <w:tc>
          <w:tcPr>
            <w:tcW w:w="1256" w:type="pct"/>
            <w:tcBorders>
              <w:top w:val="single" w:sz="4" w:space="0" w:color="auto"/>
            </w:tcBorders>
            <w:vAlign w:val="center"/>
          </w:tcPr>
          <w:p w14:paraId="39B1BC30" w14:textId="77777777" w:rsidR="00C54373" w:rsidRPr="000146DB" w:rsidRDefault="00C54373" w:rsidP="005940B8">
            <w:pPr>
              <w:pStyle w:val="tabletext0"/>
              <w:rPr>
                <w:sz w:val="22"/>
              </w:rPr>
            </w:pPr>
            <w:r w:rsidRPr="000146DB">
              <w:rPr>
                <w:sz w:val="22"/>
              </w:rPr>
              <w:t>Under 35</w:t>
            </w:r>
          </w:p>
        </w:tc>
        <w:tc>
          <w:tcPr>
            <w:tcW w:w="748" w:type="pct"/>
            <w:gridSpan w:val="2"/>
            <w:tcBorders>
              <w:top w:val="single" w:sz="4" w:space="0" w:color="auto"/>
            </w:tcBorders>
            <w:vAlign w:val="center"/>
          </w:tcPr>
          <w:p w14:paraId="728D5B2C" w14:textId="77777777" w:rsidR="00C54373" w:rsidRPr="000146DB" w:rsidRDefault="00C54373" w:rsidP="005940B8">
            <w:pPr>
              <w:pStyle w:val="tabletext0"/>
              <w:jc w:val="center"/>
              <w:rPr>
                <w:sz w:val="22"/>
              </w:rPr>
            </w:pPr>
            <w:r w:rsidRPr="000146DB">
              <w:rPr>
                <w:sz w:val="22"/>
              </w:rPr>
              <w:t>59.02</w:t>
            </w:r>
          </w:p>
        </w:tc>
        <w:tc>
          <w:tcPr>
            <w:tcW w:w="749" w:type="pct"/>
            <w:tcBorders>
              <w:top w:val="single" w:sz="4" w:space="0" w:color="auto"/>
            </w:tcBorders>
            <w:vAlign w:val="center"/>
          </w:tcPr>
          <w:p w14:paraId="33EF89BE" w14:textId="77777777" w:rsidR="00C54373" w:rsidRPr="000146DB" w:rsidRDefault="00C54373" w:rsidP="005940B8">
            <w:pPr>
              <w:pStyle w:val="tabletext0"/>
              <w:jc w:val="center"/>
              <w:rPr>
                <w:sz w:val="22"/>
              </w:rPr>
            </w:pPr>
          </w:p>
        </w:tc>
        <w:tc>
          <w:tcPr>
            <w:tcW w:w="748" w:type="pct"/>
            <w:tcBorders>
              <w:top w:val="single" w:sz="4" w:space="0" w:color="auto"/>
            </w:tcBorders>
            <w:vAlign w:val="center"/>
          </w:tcPr>
          <w:p w14:paraId="07840117" w14:textId="77777777" w:rsidR="00C54373" w:rsidRPr="000146DB" w:rsidRDefault="00C54373" w:rsidP="005940B8">
            <w:pPr>
              <w:pStyle w:val="tabletext0"/>
              <w:jc w:val="center"/>
              <w:rPr>
                <w:sz w:val="22"/>
              </w:rPr>
            </w:pPr>
          </w:p>
        </w:tc>
        <w:tc>
          <w:tcPr>
            <w:tcW w:w="749" w:type="pct"/>
            <w:tcBorders>
              <w:top w:val="single" w:sz="4" w:space="0" w:color="auto"/>
            </w:tcBorders>
            <w:vAlign w:val="center"/>
          </w:tcPr>
          <w:p w14:paraId="6E2A7245" w14:textId="77777777" w:rsidR="00C54373" w:rsidRPr="000146DB" w:rsidRDefault="00C54373" w:rsidP="005940B8">
            <w:pPr>
              <w:pStyle w:val="tabletext0"/>
              <w:jc w:val="center"/>
              <w:rPr>
                <w:sz w:val="22"/>
              </w:rPr>
            </w:pPr>
          </w:p>
        </w:tc>
        <w:tc>
          <w:tcPr>
            <w:tcW w:w="750" w:type="pct"/>
            <w:tcBorders>
              <w:top w:val="single" w:sz="4" w:space="0" w:color="auto"/>
            </w:tcBorders>
            <w:vAlign w:val="center"/>
          </w:tcPr>
          <w:p w14:paraId="6D6EB3A1" w14:textId="77777777" w:rsidR="00C54373" w:rsidRPr="000146DB" w:rsidRDefault="00C54373" w:rsidP="005940B8">
            <w:pPr>
              <w:pStyle w:val="tabletext0"/>
              <w:jc w:val="center"/>
              <w:rPr>
                <w:sz w:val="22"/>
              </w:rPr>
            </w:pPr>
          </w:p>
        </w:tc>
      </w:tr>
      <w:tr w:rsidR="00C54373" w:rsidRPr="000146DB" w14:paraId="33DD7690" w14:textId="77777777" w:rsidTr="00231EAF">
        <w:tc>
          <w:tcPr>
            <w:tcW w:w="1256" w:type="pct"/>
            <w:vAlign w:val="center"/>
          </w:tcPr>
          <w:p w14:paraId="2BE8D4E5" w14:textId="77777777" w:rsidR="00C54373" w:rsidRPr="000146DB" w:rsidRDefault="00C54373" w:rsidP="005940B8">
            <w:pPr>
              <w:pStyle w:val="tabletext0"/>
              <w:rPr>
                <w:sz w:val="22"/>
              </w:rPr>
            </w:pPr>
            <w:r w:rsidRPr="000146DB">
              <w:rPr>
                <w:sz w:val="22"/>
              </w:rPr>
              <w:t>35 to 44</w:t>
            </w:r>
          </w:p>
        </w:tc>
        <w:tc>
          <w:tcPr>
            <w:tcW w:w="748" w:type="pct"/>
            <w:gridSpan w:val="2"/>
            <w:vAlign w:val="center"/>
          </w:tcPr>
          <w:p w14:paraId="1E3C2ECF" w14:textId="77777777" w:rsidR="00C54373" w:rsidRPr="000146DB" w:rsidRDefault="00C54373" w:rsidP="005940B8">
            <w:pPr>
              <w:pStyle w:val="tabletext0"/>
              <w:jc w:val="center"/>
              <w:rPr>
                <w:sz w:val="22"/>
              </w:rPr>
            </w:pPr>
            <w:r w:rsidRPr="000146DB">
              <w:rPr>
                <w:sz w:val="22"/>
              </w:rPr>
              <w:t>57.94</w:t>
            </w:r>
          </w:p>
        </w:tc>
        <w:tc>
          <w:tcPr>
            <w:tcW w:w="749" w:type="pct"/>
            <w:vAlign w:val="center"/>
          </w:tcPr>
          <w:p w14:paraId="05DC77F8" w14:textId="77777777" w:rsidR="00C54373" w:rsidRPr="000146DB" w:rsidRDefault="00C54373" w:rsidP="005940B8">
            <w:pPr>
              <w:pStyle w:val="tabletext0"/>
              <w:jc w:val="center"/>
              <w:rPr>
                <w:sz w:val="22"/>
              </w:rPr>
            </w:pPr>
            <w:r w:rsidRPr="000146DB">
              <w:rPr>
                <w:sz w:val="22"/>
              </w:rPr>
              <w:t>43.52</w:t>
            </w:r>
          </w:p>
        </w:tc>
        <w:tc>
          <w:tcPr>
            <w:tcW w:w="748" w:type="pct"/>
            <w:vAlign w:val="center"/>
          </w:tcPr>
          <w:p w14:paraId="75F3247B" w14:textId="77777777" w:rsidR="00C54373" w:rsidRPr="000146DB" w:rsidRDefault="00C54373" w:rsidP="005940B8">
            <w:pPr>
              <w:pStyle w:val="tabletext0"/>
              <w:jc w:val="center"/>
              <w:rPr>
                <w:sz w:val="22"/>
              </w:rPr>
            </w:pPr>
          </w:p>
        </w:tc>
        <w:tc>
          <w:tcPr>
            <w:tcW w:w="749" w:type="pct"/>
            <w:vAlign w:val="center"/>
          </w:tcPr>
          <w:p w14:paraId="0BCB7627" w14:textId="77777777" w:rsidR="00C54373" w:rsidRPr="000146DB" w:rsidRDefault="00C54373" w:rsidP="005940B8">
            <w:pPr>
              <w:pStyle w:val="tabletext0"/>
              <w:jc w:val="center"/>
              <w:rPr>
                <w:sz w:val="22"/>
              </w:rPr>
            </w:pPr>
          </w:p>
        </w:tc>
        <w:tc>
          <w:tcPr>
            <w:tcW w:w="750" w:type="pct"/>
            <w:vAlign w:val="center"/>
          </w:tcPr>
          <w:p w14:paraId="17806633" w14:textId="77777777" w:rsidR="00C54373" w:rsidRPr="000146DB" w:rsidRDefault="00C54373" w:rsidP="005940B8">
            <w:pPr>
              <w:pStyle w:val="tabletext0"/>
              <w:jc w:val="center"/>
              <w:rPr>
                <w:sz w:val="22"/>
              </w:rPr>
            </w:pPr>
          </w:p>
        </w:tc>
      </w:tr>
      <w:tr w:rsidR="00C54373" w:rsidRPr="000146DB" w14:paraId="639C227E" w14:textId="77777777" w:rsidTr="00231EAF">
        <w:tc>
          <w:tcPr>
            <w:tcW w:w="1256" w:type="pct"/>
            <w:vAlign w:val="center"/>
          </w:tcPr>
          <w:p w14:paraId="521A4974" w14:textId="77777777" w:rsidR="00C54373" w:rsidRPr="000146DB" w:rsidRDefault="00C54373" w:rsidP="005940B8">
            <w:pPr>
              <w:pStyle w:val="tabletext0"/>
              <w:rPr>
                <w:sz w:val="22"/>
              </w:rPr>
            </w:pPr>
            <w:r w:rsidRPr="000146DB">
              <w:rPr>
                <w:sz w:val="22"/>
              </w:rPr>
              <w:t>45 to 54</w:t>
            </w:r>
          </w:p>
        </w:tc>
        <w:tc>
          <w:tcPr>
            <w:tcW w:w="748" w:type="pct"/>
            <w:gridSpan w:val="2"/>
            <w:vAlign w:val="center"/>
          </w:tcPr>
          <w:p w14:paraId="5580CA7F" w14:textId="77777777" w:rsidR="00C54373" w:rsidRPr="000146DB" w:rsidRDefault="00C54373" w:rsidP="005940B8">
            <w:pPr>
              <w:pStyle w:val="tabletext0"/>
              <w:jc w:val="center"/>
              <w:rPr>
                <w:sz w:val="22"/>
              </w:rPr>
            </w:pPr>
            <w:r w:rsidRPr="000146DB">
              <w:rPr>
                <w:sz w:val="22"/>
              </w:rPr>
              <w:t>54.78</w:t>
            </w:r>
          </w:p>
        </w:tc>
        <w:tc>
          <w:tcPr>
            <w:tcW w:w="749" w:type="pct"/>
            <w:vAlign w:val="center"/>
          </w:tcPr>
          <w:p w14:paraId="48E53E6E" w14:textId="77777777" w:rsidR="00C54373" w:rsidRPr="000146DB" w:rsidRDefault="00C54373" w:rsidP="005940B8">
            <w:pPr>
              <w:pStyle w:val="tabletext0"/>
              <w:jc w:val="center"/>
              <w:rPr>
                <w:sz w:val="22"/>
              </w:rPr>
            </w:pPr>
            <w:r w:rsidRPr="000146DB">
              <w:rPr>
                <w:sz w:val="22"/>
              </w:rPr>
              <w:t>40.32</w:t>
            </w:r>
          </w:p>
        </w:tc>
        <w:tc>
          <w:tcPr>
            <w:tcW w:w="748" w:type="pct"/>
            <w:vAlign w:val="center"/>
          </w:tcPr>
          <w:p w14:paraId="1D98E911" w14:textId="77777777" w:rsidR="00C54373" w:rsidRPr="000146DB" w:rsidRDefault="00C54373" w:rsidP="005940B8">
            <w:pPr>
              <w:pStyle w:val="tabletext0"/>
              <w:jc w:val="center"/>
              <w:rPr>
                <w:sz w:val="22"/>
              </w:rPr>
            </w:pPr>
            <w:r w:rsidRPr="000146DB">
              <w:rPr>
                <w:sz w:val="22"/>
              </w:rPr>
              <w:t>31.21</w:t>
            </w:r>
          </w:p>
        </w:tc>
        <w:tc>
          <w:tcPr>
            <w:tcW w:w="749" w:type="pct"/>
            <w:vAlign w:val="center"/>
          </w:tcPr>
          <w:p w14:paraId="0E31E242" w14:textId="77777777" w:rsidR="00C54373" w:rsidRPr="000146DB" w:rsidRDefault="00C54373" w:rsidP="005940B8">
            <w:pPr>
              <w:pStyle w:val="tabletext0"/>
              <w:jc w:val="center"/>
              <w:rPr>
                <w:sz w:val="22"/>
              </w:rPr>
            </w:pPr>
          </w:p>
        </w:tc>
        <w:tc>
          <w:tcPr>
            <w:tcW w:w="750" w:type="pct"/>
            <w:vAlign w:val="center"/>
          </w:tcPr>
          <w:p w14:paraId="2AC1B07B" w14:textId="77777777" w:rsidR="00C54373" w:rsidRPr="000146DB" w:rsidRDefault="00C54373" w:rsidP="005940B8">
            <w:pPr>
              <w:pStyle w:val="tabletext0"/>
              <w:jc w:val="center"/>
              <w:rPr>
                <w:sz w:val="22"/>
              </w:rPr>
            </w:pPr>
          </w:p>
        </w:tc>
      </w:tr>
      <w:tr w:rsidR="00C54373" w:rsidRPr="000146DB" w14:paraId="46D26A60" w14:textId="77777777" w:rsidTr="00231EAF">
        <w:tc>
          <w:tcPr>
            <w:tcW w:w="1256" w:type="pct"/>
            <w:vAlign w:val="center"/>
          </w:tcPr>
          <w:p w14:paraId="77E4245F" w14:textId="77777777" w:rsidR="00C54373" w:rsidRPr="000146DB" w:rsidRDefault="00C54373" w:rsidP="005940B8">
            <w:pPr>
              <w:pStyle w:val="tabletext0"/>
              <w:rPr>
                <w:sz w:val="22"/>
              </w:rPr>
            </w:pPr>
            <w:r w:rsidRPr="000146DB">
              <w:rPr>
                <w:sz w:val="22"/>
              </w:rPr>
              <w:t>55 to 64</w:t>
            </w:r>
          </w:p>
        </w:tc>
        <w:tc>
          <w:tcPr>
            <w:tcW w:w="748" w:type="pct"/>
            <w:gridSpan w:val="2"/>
            <w:vAlign w:val="center"/>
          </w:tcPr>
          <w:p w14:paraId="0654403C" w14:textId="77777777" w:rsidR="00C54373" w:rsidRPr="000146DB" w:rsidRDefault="00C54373" w:rsidP="005940B8">
            <w:pPr>
              <w:pStyle w:val="tabletext0"/>
              <w:jc w:val="center"/>
              <w:rPr>
                <w:sz w:val="22"/>
              </w:rPr>
            </w:pPr>
            <w:r w:rsidRPr="000146DB">
              <w:rPr>
                <w:sz w:val="22"/>
              </w:rPr>
              <w:t>53.45</w:t>
            </w:r>
          </w:p>
        </w:tc>
        <w:tc>
          <w:tcPr>
            <w:tcW w:w="749" w:type="pct"/>
            <w:vAlign w:val="center"/>
          </w:tcPr>
          <w:p w14:paraId="6930EAAD" w14:textId="77777777" w:rsidR="00C54373" w:rsidRPr="000146DB" w:rsidRDefault="00C54373" w:rsidP="005940B8">
            <w:pPr>
              <w:pStyle w:val="tabletext0"/>
              <w:jc w:val="center"/>
              <w:rPr>
                <w:sz w:val="22"/>
              </w:rPr>
            </w:pPr>
            <w:r w:rsidRPr="000146DB">
              <w:rPr>
                <w:sz w:val="22"/>
              </w:rPr>
              <w:t>38.98</w:t>
            </w:r>
          </w:p>
        </w:tc>
        <w:tc>
          <w:tcPr>
            <w:tcW w:w="748" w:type="pct"/>
            <w:vAlign w:val="center"/>
          </w:tcPr>
          <w:p w14:paraId="14A7E77C" w14:textId="77777777" w:rsidR="00C54373" w:rsidRPr="000146DB" w:rsidRDefault="00C54373" w:rsidP="005940B8">
            <w:pPr>
              <w:pStyle w:val="tabletext0"/>
              <w:jc w:val="center"/>
              <w:rPr>
                <w:sz w:val="22"/>
              </w:rPr>
            </w:pPr>
            <w:r w:rsidRPr="000146DB">
              <w:rPr>
                <w:sz w:val="22"/>
              </w:rPr>
              <w:t>29.83</w:t>
            </w:r>
          </w:p>
        </w:tc>
        <w:tc>
          <w:tcPr>
            <w:tcW w:w="749" w:type="pct"/>
            <w:vAlign w:val="center"/>
          </w:tcPr>
          <w:p w14:paraId="08684476" w14:textId="77777777" w:rsidR="00C54373" w:rsidRPr="000146DB" w:rsidRDefault="00C54373" w:rsidP="005940B8">
            <w:pPr>
              <w:pStyle w:val="tabletext0"/>
              <w:jc w:val="center"/>
              <w:rPr>
                <w:sz w:val="22"/>
              </w:rPr>
            </w:pPr>
            <w:r w:rsidRPr="000146DB">
              <w:rPr>
                <w:sz w:val="22"/>
              </w:rPr>
              <w:t>21.55</w:t>
            </w:r>
          </w:p>
        </w:tc>
        <w:tc>
          <w:tcPr>
            <w:tcW w:w="750" w:type="pct"/>
            <w:vAlign w:val="center"/>
          </w:tcPr>
          <w:p w14:paraId="23171020" w14:textId="77777777" w:rsidR="00C54373" w:rsidRPr="000146DB" w:rsidRDefault="00C54373" w:rsidP="005940B8">
            <w:pPr>
              <w:pStyle w:val="tabletext0"/>
              <w:jc w:val="center"/>
              <w:rPr>
                <w:sz w:val="22"/>
              </w:rPr>
            </w:pPr>
          </w:p>
        </w:tc>
      </w:tr>
      <w:tr w:rsidR="00C54373" w:rsidRPr="000146DB" w14:paraId="00E3908D" w14:textId="77777777" w:rsidTr="00231EAF">
        <w:tc>
          <w:tcPr>
            <w:tcW w:w="1256" w:type="pct"/>
            <w:vAlign w:val="center"/>
          </w:tcPr>
          <w:p w14:paraId="1147BB0C" w14:textId="77777777" w:rsidR="00C54373" w:rsidRPr="000146DB" w:rsidRDefault="00C54373" w:rsidP="005940B8">
            <w:pPr>
              <w:pStyle w:val="tabletext0"/>
              <w:rPr>
                <w:sz w:val="22"/>
              </w:rPr>
            </w:pPr>
            <w:r w:rsidRPr="000146DB">
              <w:rPr>
                <w:sz w:val="22"/>
              </w:rPr>
              <w:t>Lifelong smokers</w:t>
            </w:r>
          </w:p>
        </w:tc>
        <w:tc>
          <w:tcPr>
            <w:tcW w:w="748" w:type="pct"/>
            <w:gridSpan w:val="2"/>
            <w:vAlign w:val="center"/>
          </w:tcPr>
          <w:p w14:paraId="07DF6A7E" w14:textId="77777777" w:rsidR="00C54373" w:rsidRPr="000146DB" w:rsidRDefault="00C54373" w:rsidP="005940B8">
            <w:pPr>
              <w:pStyle w:val="tabletext0"/>
              <w:jc w:val="center"/>
              <w:rPr>
                <w:sz w:val="22"/>
              </w:rPr>
            </w:pPr>
            <w:r w:rsidRPr="000146DB">
              <w:rPr>
                <w:sz w:val="22"/>
              </w:rPr>
              <w:t>52.26</w:t>
            </w:r>
          </w:p>
        </w:tc>
        <w:tc>
          <w:tcPr>
            <w:tcW w:w="749" w:type="pct"/>
            <w:vAlign w:val="center"/>
          </w:tcPr>
          <w:p w14:paraId="210520EB" w14:textId="77777777" w:rsidR="00C54373" w:rsidRPr="000146DB" w:rsidRDefault="00C54373" w:rsidP="005940B8">
            <w:pPr>
              <w:pStyle w:val="tabletext0"/>
              <w:jc w:val="center"/>
              <w:rPr>
                <w:sz w:val="22"/>
              </w:rPr>
            </w:pPr>
            <w:r w:rsidRPr="000146DB">
              <w:rPr>
                <w:sz w:val="22"/>
              </w:rPr>
              <w:t>37.77</w:t>
            </w:r>
          </w:p>
        </w:tc>
        <w:tc>
          <w:tcPr>
            <w:tcW w:w="748" w:type="pct"/>
            <w:vAlign w:val="center"/>
          </w:tcPr>
          <w:p w14:paraId="5CCC933D" w14:textId="77777777" w:rsidR="00C54373" w:rsidRPr="000146DB" w:rsidRDefault="00C54373" w:rsidP="005940B8">
            <w:pPr>
              <w:pStyle w:val="tabletext0"/>
              <w:jc w:val="center"/>
              <w:rPr>
                <w:sz w:val="22"/>
              </w:rPr>
            </w:pPr>
            <w:r w:rsidRPr="000146DB">
              <w:rPr>
                <w:sz w:val="22"/>
              </w:rPr>
              <w:t>28.60</w:t>
            </w:r>
          </w:p>
        </w:tc>
        <w:tc>
          <w:tcPr>
            <w:tcW w:w="749" w:type="pct"/>
            <w:vAlign w:val="center"/>
          </w:tcPr>
          <w:p w14:paraId="2F396A05" w14:textId="77777777" w:rsidR="00C54373" w:rsidRPr="000146DB" w:rsidRDefault="00C54373" w:rsidP="005940B8">
            <w:pPr>
              <w:pStyle w:val="tabletext0"/>
              <w:jc w:val="center"/>
              <w:rPr>
                <w:sz w:val="22"/>
              </w:rPr>
            </w:pPr>
            <w:r w:rsidRPr="000146DB">
              <w:rPr>
                <w:sz w:val="22"/>
              </w:rPr>
              <w:t>20.23</w:t>
            </w:r>
          </w:p>
        </w:tc>
        <w:tc>
          <w:tcPr>
            <w:tcW w:w="750" w:type="pct"/>
            <w:vAlign w:val="center"/>
          </w:tcPr>
          <w:p w14:paraId="48A51A02" w14:textId="77777777" w:rsidR="00C54373" w:rsidRPr="000146DB" w:rsidRDefault="00C54373" w:rsidP="005940B8">
            <w:pPr>
              <w:pStyle w:val="tabletext0"/>
              <w:jc w:val="center"/>
              <w:rPr>
                <w:sz w:val="22"/>
              </w:rPr>
            </w:pPr>
            <w:r w:rsidRPr="000146DB">
              <w:rPr>
                <w:sz w:val="22"/>
              </w:rPr>
              <w:t>13.11</w:t>
            </w:r>
          </w:p>
        </w:tc>
      </w:tr>
      <w:tr w:rsidR="00C54373" w:rsidRPr="000146DB" w14:paraId="0CF117BA" w14:textId="77777777" w:rsidTr="00231EAF">
        <w:tc>
          <w:tcPr>
            <w:tcW w:w="1256" w:type="pct"/>
            <w:tcBorders>
              <w:bottom w:val="single" w:sz="4" w:space="0" w:color="auto"/>
            </w:tcBorders>
            <w:vAlign w:val="center"/>
          </w:tcPr>
          <w:p w14:paraId="352D3230" w14:textId="77777777" w:rsidR="00C54373" w:rsidRPr="000146DB" w:rsidRDefault="00D13704" w:rsidP="005940B8">
            <w:pPr>
              <w:pStyle w:val="tabletext0"/>
              <w:rPr>
                <w:sz w:val="22"/>
              </w:rPr>
            </w:pPr>
            <w:r w:rsidRPr="000146DB">
              <w:rPr>
                <w:sz w:val="22"/>
              </w:rPr>
              <w:t>Never smokers</w:t>
            </w:r>
          </w:p>
        </w:tc>
        <w:tc>
          <w:tcPr>
            <w:tcW w:w="748" w:type="pct"/>
            <w:gridSpan w:val="2"/>
            <w:tcBorders>
              <w:bottom w:val="single" w:sz="4" w:space="0" w:color="auto"/>
            </w:tcBorders>
            <w:vAlign w:val="center"/>
          </w:tcPr>
          <w:p w14:paraId="21EB216D" w14:textId="77777777" w:rsidR="00C54373" w:rsidRPr="000146DB" w:rsidRDefault="00C54373" w:rsidP="005940B8">
            <w:pPr>
              <w:pStyle w:val="tabletext0"/>
              <w:jc w:val="center"/>
              <w:rPr>
                <w:sz w:val="22"/>
              </w:rPr>
            </w:pPr>
            <w:r w:rsidRPr="000146DB">
              <w:rPr>
                <w:sz w:val="22"/>
              </w:rPr>
              <w:t>5</w:t>
            </w:r>
            <w:r w:rsidR="00D13704" w:rsidRPr="000146DB">
              <w:rPr>
                <w:sz w:val="22"/>
              </w:rPr>
              <w:t>9</w:t>
            </w:r>
            <w:r w:rsidRPr="000146DB">
              <w:rPr>
                <w:sz w:val="22"/>
              </w:rPr>
              <w:t>.</w:t>
            </w:r>
            <w:r w:rsidR="00D13704" w:rsidRPr="000146DB">
              <w:rPr>
                <w:sz w:val="22"/>
              </w:rPr>
              <w:t>02</w:t>
            </w:r>
          </w:p>
        </w:tc>
        <w:tc>
          <w:tcPr>
            <w:tcW w:w="749" w:type="pct"/>
            <w:tcBorders>
              <w:bottom w:val="single" w:sz="4" w:space="0" w:color="auto"/>
            </w:tcBorders>
            <w:vAlign w:val="center"/>
          </w:tcPr>
          <w:p w14:paraId="546E043D" w14:textId="77777777" w:rsidR="00C54373" w:rsidRPr="000146DB" w:rsidRDefault="00D13704" w:rsidP="005940B8">
            <w:pPr>
              <w:pStyle w:val="tabletext0"/>
              <w:jc w:val="center"/>
              <w:rPr>
                <w:sz w:val="22"/>
              </w:rPr>
            </w:pPr>
            <w:r w:rsidRPr="000146DB">
              <w:rPr>
                <w:sz w:val="22"/>
              </w:rPr>
              <w:t>44.50</w:t>
            </w:r>
          </w:p>
        </w:tc>
        <w:tc>
          <w:tcPr>
            <w:tcW w:w="748" w:type="pct"/>
            <w:tcBorders>
              <w:bottom w:val="single" w:sz="4" w:space="0" w:color="auto"/>
            </w:tcBorders>
            <w:vAlign w:val="center"/>
          </w:tcPr>
          <w:p w14:paraId="1BA56BBF" w14:textId="77777777" w:rsidR="00C54373" w:rsidRPr="000146DB" w:rsidRDefault="00D13704" w:rsidP="005940B8">
            <w:pPr>
              <w:pStyle w:val="tabletext0"/>
              <w:jc w:val="center"/>
              <w:rPr>
                <w:sz w:val="22"/>
              </w:rPr>
            </w:pPr>
            <w:r w:rsidRPr="000146DB">
              <w:rPr>
                <w:sz w:val="22"/>
              </w:rPr>
              <w:t>34.99</w:t>
            </w:r>
          </w:p>
        </w:tc>
        <w:tc>
          <w:tcPr>
            <w:tcW w:w="749" w:type="pct"/>
            <w:tcBorders>
              <w:bottom w:val="single" w:sz="4" w:space="0" w:color="auto"/>
            </w:tcBorders>
            <w:vAlign w:val="center"/>
          </w:tcPr>
          <w:p w14:paraId="3423366F" w14:textId="77777777" w:rsidR="00C54373" w:rsidRPr="000146DB" w:rsidRDefault="00D13704" w:rsidP="005940B8">
            <w:pPr>
              <w:pStyle w:val="tabletext0"/>
              <w:jc w:val="center"/>
              <w:rPr>
                <w:sz w:val="22"/>
              </w:rPr>
            </w:pPr>
            <w:r w:rsidRPr="000146DB">
              <w:rPr>
                <w:sz w:val="22"/>
              </w:rPr>
              <w:t>25.84</w:t>
            </w:r>
          </w:p>
        </w:tc>
        <w:tc>
          <w:tcPr>
            <w:tcW w:w="750" w:type="pct"/>
            <w:tcBorders>
              <w:bottom w:val="single" w:sz="4" w:space="0" w:color="auto"/>
            </w:tcBorders>
            <w:vAlign w:val="center"/>
          </w:tcPr>
          <w:p w14:paraId="45EC1511" w14:textId="77777777" w:rsidR="00C54373" w:rsidRPr="000146DB" w:rsidRDefault="00D13704" w:rsidP="005940B8">
            <w:pPr>
              <w:pStyle w:val="tabletext0"/>
              <w:jc w:val="center"/>
              <w:rPr>
                <w:sz w:val="22"/>
              </w:rPr>
            </w:pPr>
            <w:r w:rsidRPr="000146DB">
              <w:rPr>
                <w:sz w:val="22"/>
              </w:rPr>
              <w:t>17.25</w:t>
            </w:r>
          </w:p>
        </w:tc>
      </w:tr>
    </w:tbl>
    <w:p w14:paraId="509340A2" w14:textId="77777777" w:rsidR="00237183" w:rsidRDefault="00B30490" w:rsidP="000B332F">
      <w:pPr>
        <w:rPr>
          <w:lang w:val="en-GB"/>
        </w:rPr>
      </w:pPr>
      <w:r>
        <w:rPr>
          <w:lang w:val="en-GB"/>
        </w:rPr>
        <w:t xml:space="preserve">The above </w:t>
      </w:r>
      <w:r w:rsidR="00237183">
        <w:rPr>
          <w:lang w:val="en-GB"/>
        </w:rPr>
        <w:t>estimates</w:t>
      </w:r>
      <w:r>
        <w:rPr>
          <w:lang w:val="en-GB"/>
        </w:rPr>
        <w:t xml:space="preserve"> </w:t>
      </w:r>
      <w:r w:rsidR="00237183">
        <w:rPr>
          <w:lang w:val="en-GB"/>
        </w:rPr>
        <w:t>may</w:t>
      </w:r>
      <w:r>
        <w:rPr>
          <w:lang w:val="en-GB"/>
        </w:rPr>
        <w:t xml:space="preserve"> be an underestimate of the potential increase in life years given they were derived based on a UK study</w:t>
      </w:r>
      <w:r w:rsidR="00951CB3">
        <w:rPr>
          <w:lang w:val="en-GB"/>
        </w:rPr>
        <w:t xml:space="preserve"> </w:t>
      </w:r>
      <w:r w:rsidR="00A05B75">
        <w:rPr>
          <w:lang w:val="en-GB"/>
        </w:rPr>
        <w:fldChar w:fldCharType="begin"/>
      </w:r>
      <w:r w:rsidR="00B1645A">
        <w:rPr>
          <w:lang w:val="en-GB"/>
        </w:rPr>
        <w:instrText xml:space="preserve"> ADDIN EN.CITE &lt;EndNote&gt;&lt;Cite&gt;&lt;Author&gt;Doll&lt;/Author&gt;&lt;Year&gt;2004&lt;/Year&gt;&lt;RecNum&gt;25&lt;/RecNum&gt;&lt;DisplayText&gt;(Doll et al., 2004)&lt;/DisplayText&gt;&lt;record&gt;&lt;rec-number&gt;25&lt;/rec-number&gt;&lt;foreign-keys&gt;&lt;key app="EN" db-id="edfppa0tc0tfd1etp5xvexpnzfefzewwwas9" timestamp="1441592648"&gt;25&lt;/key&gt;&lt;/foreign-keys&gt;&lt;ref-type name="Journal Article"&gt;17&lt;/ref-type&gt;&lt;contributors&gt;&lt;authors&gt;&lt;author&gt;Doll, Richard&lt;/author&gt;&lt;author&gt;Peto, Richard&lt;/author&gt;&lt;author&gt;Boreham, Jillian&lt;/author&gt;&lt;author&gt;Sutherland, Isabelle&lt;/author&gt;&lt;/authors&gt;&lt;/contributors&gt;&lt;titles&gt;&lt;title&gt;Mortality in relation to smoking: 50 years&amp;apos; observations on male British doctors&lt;/title&gt;&lt;secondary-title&gt;BMJ&lt;/secondary-title&gt;&lt;/titles&gt;&lt;periodical&gt;&lt;full-title&gt;BMJ&lt;/full-title&gt;&lt;/periodical&gt;&lt;pages&gt;1519-1528&lt;/pages&gt;&lt;volume&gt;328&lt;/volume&gt;&lt;number&gt;7455&lt;/number&gt;&lt;dates&gt;&lt;year&gt;2004&lt;/year&gt;&lt;/dates&gt;&lt;urls&gt;&lt;/urls&gt;&lt;/record&gt;&lt;/Cite&gt;&lt;/EndNote&gt;</w:instrText>
      </w:r>
      <w:r w:rsidR="00A05B75">
        <w:rPr>
          <w:lang w:val="en-GB"/>
        </w:rPr>
        <w:fldChar w:fldCharType="separate"/>
      </w:r>
      <w:r w:rsidR="00B1645A">
        <w:rPr>
          <w:noProof/>
          <w:lang w:val="en-GB"/>
        </w:rPr>
        <w:t>(</w:t>
      </w:r>
      <w:hyperlink w:anchor="_ENREF_27" w:tooltip="Doll, 2004 #25" w:history="1">
        <w:r w:rsidR="008A14C8">
          <w:rPr>
            <w:noProof/>
            <w:lang w:val="en-GB"/>
          </w:rPr>
          <w:t>Doll et al., 2004</w:t>
        </w:r>
      </w:hyperlink>
      <w:r w:rsidR="00B1645A">
        <w:rPr>
          <w:noProof/>
          <w:lang w:val="en-GB"/>
        </w:rPr>
        <w:t>)</w:t>
      </w:r>
      <w:r w:rsidR="00A05B75">
        <w:rPr>
          <w:lang w:val="en-GB"/>
        </w:rPr>
        <w:fldChar w:fldCharType="end"/>
      </w:r>
      <w:r>
        <w:rPr>
          <w:lang w:val="en-GB"/>
        </w:rPr>
        <w:t xml:space="preserve"> which reports a lower relative risk of death </w:t>
      </w:r>
      <w:r w:rsidR="00237183">
        <w:rPr>
          <w:lang w:val="en-GB"/>
        </w:rPr>
        <w:t xml:space="preserve">for current and former smokers </w:t>
      </w:r>
      <w:r>
        <w:rPr>
          <w:lang w:val="en-GB"/>
        </w:rPr>
        <w:t xml:space="preserve">compared </w:t>
      </w:r>
      <w:r w:rsidR="00C26F95">
        <w:rPr>
          <w:lang w:val="en-GB"/>
        </w:rPr>
        <w:t xml:space="preserve">with </w:t>
      </w:r>
      <w:r>
        <w:rPr>
          <w:lang w:val="en-GB"/>
        </w:rPr>
        <w:t>recently published Australia</w:t>
      </w:r>
      <w:r w:rsidR="00237183">
        <w:rPr>
          <w:lang w:val="en-GB"/>
        </w:rPr>
        <w:t>n</w:t>
      </w:r>
      <w:r>
        <w:rPr>
          <w:lang w:val="en-GB"/>
        </w:rPr>
        <w:t xml:space="preserve"> </w:t>
      </w:r>
      <w:r w:rsidR="00237183">
        <w:rPr>
          <w:lang w:val="en-GB"/>
        </w:rPr>
        <w:t>estimates</w:t>
      </w:r>
      <w:r w:rsidR="00951CB3">
        <w:rPr>
          <w:lang w:val="en-GB"/>
        </w:rPr>
        <w:t xml:space="preserve"> </w:t>
      </w:r>
      <w:r w:rsidR="00A05B75">
        <w:rPr>
          <w:lang w:val="en-GB"/>
        </w:rPr>
        <w:fldChar w:fldCharType="begin"/>
      </w:r>
      <w:r w:rsidR="00B1645A">
        <w:rPr>
          <w:lang w:val="en-GB"/>
        </w:rPr>
        <w:instrText xml:space="preserve"> ADDIN EN.CITE &lt;EndNote&gt;&lt;Cite&gt;&lt;Author&gt;Banks&lt;/Author&gt;&lt;Year&gt;2015&lt;/Year&gt;&lt;RecNum&gt;24&lt;/RecNum&gt;&lt;DisplayText&gt;(Banks et al., 2015)&lt;/DisplayText&gt;&lt;record&gt;&lt;rec-number&gt;24&lt;/rec-number&gt;&lt;foreign-keys&gt;&lt;key app="EN" db-id="edfppa0tc0tfd1etp5xvexpnzfefzewwwas9" timestamp="1441592648"&gt;24&lt;/key&gt;&lt;/foreign-keys&gt;&lt;ref-type name="Journal Article"&gt;17&lt;/ref-type&gt;&lt;contributors&gt;&lt;authors&gt;&lt;author&gt;Banks, Emily&lt;/author&gt;&lt;author&gt;Joshy, Grace&lt;/author&gt;&lt;author&gt;Weber, Marianne F&lt;/author&gt;&lt;author&gt;Liu, Bette&lt;/author&gt;&lt;author&gt;Grenfell, Robert&lt;/author&gt;&lt;author&gt;Egger, Sam&lt;/author&gt;&lt;author&gt;Paige, Ellie&lt;/author&gt;&lt;author&gt;Lopez, Alan&lt;/author&gt;&lt;author&gt;Sitas, Freddy&lt;/author&gt;&lt;author&gt;Beral, Valerie&lt;/author&gt;&lt;/authors&gt;&lt;/contributors&gt;&lt;titles&gt;&lt;title&gt;Tobacco smoking an all-cause mortality in a large Australian cohort study: findings from a mature epidemic with current low smoking prevalence.&lt;/title&gt;&lt;secondary-title&gt;BMC Medicine&lt;/secondary-title&gt;&lt;/titles&gt;&lt;periodical&gt;&lt;full-title&gt;BMC Medicine&lt;/full-title&gt;&lt;/periodical&gt;&lt;pages&gt;38&lt;/pages&gt;&lt;volume&gt;13&lt;/volume&gt;&lt;dates&gt;&lt;year&gt;2015&lt;/year&gt;&lt;/dates&gt;&lt;urls&gt;&lt;/urls&gt;&lt;/record&gt;&lt;/Cite&gt;&lt;/EndNote&gt;</w:instrText>
      </w:r>
      <w:r w:rsidR="00A05B75">
        <w:rPr>
          <w:lang w:val="en-GB"/>
        </w:rPr>
        <w:fldChar w:fldCharType="separate"/>
      </w:r>
      <w:r w:rsidR="00B1645A">
        <w:rPr>
          <w:noProof/>
          <w:lang w:val="en-GB"/>
        </w:rPr>
        <w:t>(</w:t>
      </w:r>
      <w:hyperlink w:anchor="_ENREF_8" w:tooltip="Banks, 2015 #24" w:history="1">
        <w:r w:rsidR="008A14C8">
          <w:rPr>
            <w:noProof/>
            <w:lang w:val="en-GB"/>
          </w:rPr>
          <w:t>Banks et al., 2015</w:t>
        </w:r>
      </w:hyperlink>
      <w:r w:rsidR="00B1645A">
        <w:rPr>
          <w:noProof/>
          <w:lang w:val="en-GB"/>
        </w:rPr>
        <w:t>)</w:t>
      </w:r>
      <w:r w:rsidR="00A05B75">
        <w:rPr>
          <w:lang w:val="en-GB"/>
        </w:rPr>
        <w:fldChar w:fldCharType="end"/>
      </w:r>
      <w:r w:rsidR="00237183">
        <w:rPr>
          <w:lang w:val="en-GB"/>
        </w:rPr>
        <w:t xml:space="preserve"> </w:t>
      </w:r>
      <w:r w:rsidR="00D971C2">
        <w:rPr>
          <w:lang w:val="en-GB"/>
        </w:rPr>
        <w:t>albeit</w:t>
      </w:r>
      <w:r w:rsidR="00237183">
        <w:rPr>
          <w:lang w:val="en-GB"/>
        </w:rPr>
        <w:t xml:space="preserve"> the Australian estimates are based on shorter period of follow up and restricted to those aged 45 and above.</w:t>
      </w:r>
    </w:p>
    <w:p w14:paraId="3C235BE5" w14:textId="6A196D8E" w:rsidR="00C54373" w:rsidRDefault="00D13704" w:rsidP="000B332F">
      <w:pPr>
        <w:rPr>
          <w:lang w:val="en-GB"/>
        </w:rPr>
      </w:pPr>
      <w:r w:rsidRPr="00D13704">
        <w:rPr>
          <w:lang w:val="en-GB"/>
        </w:rPr>
        <w:t xml:space="preserve">Based on estimates of the proportion of smokers who quit at various age categories or are lifelong smokers, it is possible to estimate the average (or expected) life years saved </w:t>
      </w:r>
      <w:r w:rsidRPr="008040A0">
        <w:rPr>
          <w:lang w:val="en-GB"/>
        </w:rPr>
        <w:t xml:space="preserve">by a child turning 16 </w:t>
      </w:r>
      <w:r w:rsidR="005B68F1">
        <w:rPr>
          <w:lang w:val="en-GB"/>
        </w:rPr>
        <w:t xml:space="preserve">years </w:t>
      </w:r>
      <w:r w:rsidRPr="008040A0">
        <w:rPr>
          <w:lang w:val="en-GB"/>
        </w:rPr>
        <w:t>who does not initiate smoking</w:t>
      </w:r>
      <w:r w:rsidRPr="00D13704">
        <w:rPr>
          <w:lang w:val="en-GB"/>
        </w:rPr>
        <w:t xml:space="preserve"> </w:t>
      </w:r>
      <w:r>
        <w:rPr>
          <w:lang w:val="en-GB"/>
        </w:rPr>
        <w:t xml:space="preserve">or </w:t>
      </w:r>
      <w:r w:rsidRPr="00D13704">
        <w:rPr>
          <w:lang w:val="en-GB"/>
        </w:rPr>
        <w:t xml:space="preserve">by a </w:t>
      </w:r>
      <w:r w:rsidR="00237183">
        <w:rPr>
          <w:lang w:val="en-GB"/>
        </w:rPr>
        <w:t xml:space="preserve">smoker (at various ages) who </w:t>
      </w:r>
      <w:r w:rsidRPr="00D13704">
        <w:rPr>
          <w:lang w:val="en-GB"/>
        </w:rPr>
        <w:t>quit</w:t>
      </w:r>
      <w:r w:rsidR="00237183">
        <w:rPr>
          <w:lang w:val="en-GB"/>
        </w:rPr>
        <w:t>s smoking</w:t>
      </w:r>
      <w:r w:rsidR="00BD1113">
        <w:rPr>
          <w:lang w:val="en-GB"/>
        </w:rPr>
        <w:t xml:space="preserve"> as a result of an intervention</w:t>
      </w:r>
      <w:r w:rsidRPr="00D13704">
        <w:rPr>
          <w:lang w:val="en-GB"/>
        </w:rPr>
        <w:t>. Specifically, this is estimated as the weighted average of the life years saved by smoker status (weighted by the age-specific proportions that otherwise would have quit by quit age or are lifelong smokers</w:t>
      </w:r>
      <w:r>
        <w:rPr>
          <w:lang w:val="en-GB"/>
        </w:rPr>
        <w:t xml:space="preserve">). </w:t>
      </w:r>
      <w:r w:rsidR="001C6C0C" w:rsidRPr="001D186D">
        <w:rPr>
          <w:lang w:val="en-GB"/>
        </w:rPr>
        <w:t xml:space="preserve">A monetary value </w:t>
      </w:r>
      <w:r w:rsidR="00D971C2" w:rsidRPr="001D186D">
        <w:rPr>
          <w:lang w:val="en-GB"/>
        </w:rPr>
        <w:t xml:space="preserve">for </w:t>
      </w:r>
      <w:r w:rsidR="001C6C0C" w:rsidRPr="001D186D">
        <w:rPr>
          <w:lang w:val="en-GB"/>
        </w:rPr>
        <w:t>one additional life year of $</w:t>
      </w:r>
      <w:r w:rsidR="002C36F2" w:rsidRPr="001D186D">
        <w:rPr>
          <w:lang w:val="en-GB"/>
        </w:rPr>
        <w:t>182</w:t>
      </w:r>
      <w:r w:rsidR="001C6C0C" w:rsidRPr="001D186D">
        <w:rPr>
          <w:lang w:val="en-GB"/>
        </w:rPr>
        <w:t>,</w:t>
      </w:r>
      <w:r w:rsidR="002C36F2" w:rsidRPr="001D186D">
        <w:rPr>
          <w:lang w:val="en-GB"/>
        </w:rPr>
        <w:t xml:space="preserve">000 </w:t>
      </w:r>
      <w:r w:rsidR="001C6C0C" w:rsidRPr="001D186D">
        <w:rPr>
          <w:lang w:val="en-GB"/>
        </w:rPr>
        <w:t>was applied to monetise th</w:t>
      </w:r>
      <w:r w:rsidR="00BD1113" w:rsidRPr="001D186D">
        <w:rPr>
          <w:lang w:val="en-GB"/>
        </w:rPr>
        <w:t>is</w:t>
      </w:r>
      <w:r w:rsidR="001C6C0C" w:rsidRPr="001D186D">
        <w:rPr>
          <w:lang w:val="en-GB"/>
        </w:rPr>
        <w:t xml:space="preserve"> health benefit. This value is </w:t>
      </w:r>
      <w:r w:rsidR="00E15E35" w:rsidRPr="001D186D">
        <w:rPr>
          <w:lang w:val="en-GB"/>
        </w:rPr>
        <w:t xml:space="preserve">recommended by the OBPR in their guidance note on the value of statistical life, </w:t>
      </w:r>
      <w:r w:rsidR="001C6C0C" w:rsidRPr="001D186D">
        <w:rPr>
          <w:lang w:val="en-GB"/>
        </w:rPr>
        <w:t xml:space="preserve">and inflated. </w:t>
      </w:r>
      <w:r w:rsidR="00F159F0" w:rsidRPr="001D186D">
        <w:rPr>
          <w:lang w:val="en-GB"/>
        </w:rPr>
        <w:t>This resulted in 2.27 life years per smoker avoided with a monetary value of $</w:t>
      </w:r>
      <w:r w:rsidR="002C36F2" w:rsidRPr="001D186D">
        <w:rPr>
          <w:lang w:val="en-GB"/>
        </w:rPr>
        <w:t>412</w:t>
      </w:r>
      <w:r w:rsidR="00F159F0" w:rsidRPr="001D186D">
        <w:rPr>
          <w:lang w:val="en-GB"/>
        </w:rPr>
        <w:t>,</w:t>
      </w:r>
      <w:r w:rsidR="002C36F2" w:rsidRPr="001D186D">
        <w:rPr>
          <w:lang w:val="en-GB"/>
        </w:rPr>
        <w:t xml:space="preserve">629 </w:t>
      </w:r>
      <w:r w:rsidR="00F159F0" w:rsidRPr="001D186D">
        <w:rPr>
          <w:lang w:val="en-GB"/>
        </w:rPr>
        <w:t>and between 1.</w:t>
      </w:r>
      <w:r w:rsidR="008D7873" w:rsidRPr="001D186D">
        <w:rPr>
          <w:lang w:val="en-GB"/>
        </w:rPr>
        <w:t>06</w:t>
      </w:r>
      <w:r w:rsidR="00F159F0" w:rsidRPr="001D186D">
        <w:rPr>
          <w:lang w:val="en-GB"/>
        </w:rPr>
        <w:t>-3.00 life years per quitter (depending on current age of</w:t>
      </w:r>
      <w:r w:rsidR="00F159F0">
        <w:rPr>
          <w:lang w:val="en-GB"/>
        </w:rPr>
        <w:t xml:space="preserve"> the smoker) with a monetary value between $</w:t>
      </w:r>
      <w:r w:rsidR="002C36F2">
        <w:rPr>
          <w:lang w:val="en-GB"/>
        </w:rPr>
        <w:t>195,548</w:t>
      </w:r>
      <w:r w:rsidR="00F159F0">
        <w:rPr>
          <w:lang w:val="en-GB"/>
        </w:rPr>
        <w:t xml:space="preserve"> and $</w:t>
      </w:r>
      <w:r w:rsidR="002C36F2">
        <w:rPr>
          <w:lang w:val="en-GB"/>
        </w:rPr>
        <w:t>546,386</w:t>
      </w:r>
      <w:r w:rsidR="00F159F0">
        <w:rPr>
          <w:lang w:val="en-GB"/>
        </w:rPr>
        <w:t xml:space="preserve">. </w:t>
      </w:r>
      <w:r>
        <w:rPr>
          <w:lang w:val="en-GB"/>
        </w:rPr>
        <w:t xml:space="preserve">Finally, </w:t>
      </w:r>
      <w:r w:rsidR="001C6C0C">
        <w:rPr>
          <w:lang w:val="en-GB"/>
        </w:rPr>
        <w:t xml:space="preserve">as these increases in life years occur in the future (i.e. at the point at which they would have otherwise died), these </w:t>
      </w:r>
      <w:r>
        <w:rPr>
          <w:lang w:val="en-GB"/>
        </w:rPr>
        <w:t xml:space="preserve">estimates </w:t>
      </w:r>
      <w:r w:rsidR="00D971C2">
        <w:rPr>
          <w:lang w:val="en-GB"/>
        </w:rPr>
        <w:t>were</w:t>
      </w:r>
      <w:r>
        <w:rPr>
          <w:lang w:val="en-GB"/>
        </w:rPr>
        <w:t xml:space="preserve"> discounted</w:t>
      </w:r>
      <w:r w:rsidR="00D971C2">
        <w:rPr>
          <w:lang w:val="en-GB"/>
        </w:rPr>
        <w:t xml:space="preserve"> using a 7%</w:t>
      </w:r>
      <w:r w:rsidR="001C6C0C">
        <w:rPr>
          <w:lang w:val="en-GB"/>
        </w:rPr>
        <w:t xml:space="preserve"> discount rate</w:t>
      </w:r>
      <w:r w:rsidR="00E204AC">
        <w:rPr>
          <w:lang w:val="en-GB"/>
        </w:rPr>
        <w:t>,</w:t>
      </w:r>
      <w:r w:rsidR="001C6C0C">
        <w:rPr>
          <w:lang w:val="en-GB"/>
        </w:rPr>
        <w:t xml:space="preserve"> consistent with the OBPR guidance note for conducting cost-benefit analyses.</w:t>
      </w:r>
      <w:r w:rsidR="00924C29">
        <w:rPr>
          <w:lang w:val="en-GB"/>
        </w:rPr>
        <w:t xml:space="preserve"> </w:t>
      </w:r>
    </w:p>
    <w:p w14:paraId="33894040" w14:textId="57B37574" w:rsidR="008E2171" w:rsidRDefault="003C09A7" w:rsidP="000B332F">
      <w:pPr>
        <w:rPr>
          <w:lang w:val="en-GB"/>
        </w:rPr>
      </w:pPr>
      <w:r>
        <w:rPr>
          <w:lang w:val="en-GB"/>
        </w:rPr>
        <w:t xml:space="preserve">Between 2010 and 2013, </w:t>
      </w:r>
      <w:r w:rsidR="00185157">
        <w:rPr>
          <w:lang w:val="en-GB"/>
        </w:rPr>
        <w:t xml:space="preserve">the </w:t>
      </w:r>
      <w:r w:rsidR="00BF031D">
        <w:rPr>
          <w:lang w:val="en-GB"/>
        </w:rPr>
        <w:t>prevalence</w:t>
      </w:r>
      <w:r w:rsidR="00185157">
        <w:rPr>
          <w:lang w:val="en-GB"/>
        </w:rPr>
        <w:t xml:space="preserve"> of daily smokers aged</w:t>
      </w:r>
      <w:r w:rsidR="00475502">
        <w:rPr>
          <w:lang w:val="en-GB"/>
        </w:rPr>
        <w:t xml:space="preserve"> 14 and older decreased by 2.3%</w:t>
      </w:r>
      <w:r>
        <w:rPr>
          <w:lang w:val="en-GB"/>
        </w:rPr>
        <w:t xml:space="preserve"> (estimated to be equivalent to 437,855 fewer current smokers</w:t>
      </w:r>
      <w:r>
        <w:rPr>
          <w:rStyle w:val="FootnoteReference"/>
          <w:lang w:val="en-GB"/>
        </w:rPr>
        <w:footnoteReference w:id="9"/>
      </w:r>
      <w:r>
        <w:rPr>
          <w:lang w:val="en-GB"/>
        </w:rPr>
        <w:t>). This period included the introduction of the TPP Measure</w:t>
      </w:r>
      <w:r w:rsidR="00475502">
        <w:rPr>
          <w:lang w:val="en-GB"/>
        </w:rPr>
        <w:t xml:space="preserve">. As noted previously, a recent review of the evidence of tobacco plain packaging concluded that although this change cannot be directly attributable to </w:t>
      </w:r>
      <w:r w:rsidR="00475502">
        <w:rPr>
          <w:lang w:val="en-GB"/>
        </w:rPr>
        <w:lastRenderedPageBreak/>
        <w:t xml:space="preserve">plain packaging alone, </w:t>
      </w:r>
      <w:r w:rsidR="00054512">
        <w:rPr>
          <w:lang w:val="en-GB"/>
        </w:rPr>
        <w:t xml:space="preserve">it was one indicator </w:t>
      </w:r>
      <w:r w:rsidR="0043362D">
        <w:rPr>
          <w:lang w:val="en-GB"/>
        </w:rPr>
        <w:t xml:space="preserve"> identified as </w:t>
      </w:r>
      <w:r w:rsidR="00475502">
        <w:rPr>
          <w:lang w:val="en-GB"/>
        </w:rPr>
        <w:t>contribut</w:t>
      </w:r>
      <w:r w:rsidR="00344420">
        <w:rPr>
          <w:lang w:val="en-GB"/>
        </w:rPr>
        <w:t>ing</w:t>
      </w:r>
      <w:r w:rsidR="00475502">
        <w:rPr>
          <w:lang w:val="en-GB"/>
        </w:rPr>
        <w:t xml:space="preserve"> to decreases </w:t>
      </w:r>
      <w:r w:rsidR="00A46B89">
        <w:rPr>
          <w:lang w:val="en-GB"/>
        </w:rPr>
        <w:t>i</w:t>
      </w:r>
      <w:r w:rsidR="00475502">
        <w:rPr>
          <w:lang w:val="en-GB"/>
        </w:rPr>
        <w:t>n smoking at the population level</w:t>
      </w:r>
      <w:r w:rsidR="00344420">
        <w:rPr>
          <w:lang w:val="en-GB"/>
        </w:rPr>
        <w:t xml:space="preserve"> </w:t>
      </w:r>
      <w:r w:rsidR="00A05B75">
        <w:rPr>
          <w:lang w:val="en-GB"/>
        </w:rPr>
        <w:fldChar w:fldCharType="begin"/>
      </w:r>
      <w:r w:rsidR="00B1645A">
        <w:rPr>
          <w:lang w:val="en-GB"/>
        </w:rPr>
        <w:instrText xml:space="preserve"> ADDIN EN.CITE &lt;EndNote&gt;&lt;Cite&gt;&lt;Author&gt;Smith&lt;/Author&gt;&lt;Year&gt;2015&lt;/Year&gt;&lt;RecNum&gt;18&lt;/RecNum&gt;&lt;DisplayText&gt;(Smith et al., 2015)&lt;/DisplayText&gt;&lt;record&gt;&lt;rec-number&gt;18&lt;/rec-number&gt;&lt;foreign-keys&gt;&lt;key app="EN" db-id="edfppa0tc0tfd1etp5xvexpnzfefzewwwas9" timestamp="1441592648"&gt;18&lt;/key&gt;&lt;/foreign-keys&gt;&lt;ref-type name="Journal Article"&gt;17&lt;/ref-type&gt;&lt;contributors&gt;&lt;authors&gt;&lt;author&gt;Smith, Collin N.&lt;/author&gt;&lt;author&gt;Kraemer, John D.&lt;/author&gt;&lt;author&gt;Johnson, Andrea C.&lt;/author&gt;&lt;author&gt;Mays, Darren&lt;/author&gt;&lt;/authors&gt;&lt;/contributors&gt;&lt;titles&gt;&lt;title&gt;Plain packaging of cigarettes: do we have sufficient evidence?&lt;/title&gt;&lt;secondary-title&gt;Risk management and healthcare policy&lt;/secondary-title&gt;&lt;/titles&gt;&lt;periodical&gt;&lt;full-title&gt;Risk management and healthcare policy&lt;/full-title&gt;&lt;/periodical&gt;&lt;pages&gt;21&lt;/pages&gt;&lt;volume&gt;8&lt;/volume&gt;&lt;dates&gt;&lt;year&gt;2015&lt;/year&gt;&lt;/dates&gt;&lt;pub-location&gt;England&lt;/pub-location&gt;&lt;urls&gt;&lt;/urls&gt;&lt;/record&gt;&lt;/Cite&gt;&lt;/EndNote&gt;</w:instrText>
      </w:r>
      <w:r w:rsidR="00A05B75">
        <w:rPr>
          <w:lang w:val="en-GB"/>
        </w:rPr>
        <w:fldChar w:fldCharType="separate"/>
      </w:r>
      <w:r w:rsidR="00B1645A">
        <w:rPr>
          <w:noProof/>
          <w:lang w:val="en-GB"/>
        </w:rPr>
        <w:t>(</w:t>
      </w:r>
      <w:hyperlink w:anchor="_ENREF_59" w:tooltip="Smith, 2015 #18" w:history="1">
        <w:r w:rsidR="008A14C8">
          <w:rPr>
            <w:noProof/>
            <w:lang w:val="en-GB"/>
          </w:rPr>
          <w:t>Smith et al., 2015</w:t>
        </w:r>
      </w:hyperlink>
      <w:r w:rsidR="00B1645A">
        <w:rPr>
          <w:noProof/>
          <w:lang w:val="en-GB"/>
        </w:rPr>
        <w:t>)</w:t>
      </w:r>
      <w:r w:rsidR="00A05B75">
        <w:rPr>
          <w:lang w:val="en-GB"/>
        </w:rPr>
        <w:fldChar w:fldCharType="end"/>
      </w:r>
      <w:r w:rsidR="008E2171">
        <w:rPr>
          <w:lang w:val="en-GB"/>
        </w:rPr>
        <w:t>.</w:t>
      </w:r>
    </w:p>
    <w:p w14:paraId="3372ABD8" w14:textId="1828914C" w:rsidR="00AC2831" w:rsidRPr="001D186D" w:rsidRDefault="00994AD7" w:rsidP="000B332F">
      <w:pPr>
        <w:rPr>
          <w:lang w:val="en-GB"/>
        </w:rPr>
      </w:pPr>
      <w:r>
        <w:rPr>
          <w:lang w:val="en-GB"/>
        </w:rPr>
        <w:t>As an illustrative example</w:t>
      </w:r>
      <w:r w:rsidR="00F769A9">
        <w:rPr>
          <w:lang w:val="en-GB"/>
        </w:rPr>
        <w:t>,</w:t>
      </w:r>
      <w:r w:rsidR="008E2171">
        <w:rPr>
          <w:lang w:val="en-GB"/>
        </w:rPr>
        <w:t xml:space="preserve"> a </w:t>
      </w:r>
      <w:r w:rsidR="002C36F2">
        <w:rPr>
          <w:lang w:val="en-GB"/>
        </w:rPr>
        <w:t xml:space="preserve">half </w:t>
      </w:r>
      <w:r w:rsidR="00B50E58">
        <w:rPr>
          <w:lang w:val="en-GB"/>
        </w:rPr>
        <w:t xml:space="preserve">percent reduction in </w:t>
      </w:r>
      <w:r w:rsidR="00BF031D">
        <w:rPr>
          <w:lang w:val="en-GB"/>
        </w:rPr>
        <w:t xml:space="preserve">the number of </w:t>
      </w:r>
      <w:r w:rsidR="00B50E58">
        <w:rPr>
          <w:lang w:val="en-GB"/>
        </w:rPr>
        <w:t>current smokers</w:t>
      </w:r>
      <w:r w:rsidR="008D7873">
        <w:rPr>
          <w:lang w:val="en-GB"/>
        </w:rPr>
        <w:t xml:space="preserve"> </w:t>
      </w:r>
      <w:r w:rsidR="005A5A72">
        <w:rPr>
          <w:lang w:val="en-GB"/>
        </w:rPr>
        <w:t>aged 12 years and older</w:t>
      </w:r>
      <w:r w:rsidR="00B50E58">
        <w:rPr>
          <w:lang w:val="en-GB"/>
        </w:rPr>
        <w:t xml:space="preserve"> </w:t>
      </w:r>
      <w:r w:rsidR="008D7873">
        <w:rPr>
          <w:lang w:val="en-GB"/>
        </w:rPr>
        <w:t xml:space="preserve">(estimated as 3,011,467) </w:t>
      </w:r>
      <w:r w:rsidR="00B50E58">
        <w:rPr>
          <w:lang w:val="en-GB"/>
        </w:rPr>
        <w:t xml:space="preserve">is equal to </w:t>
      </w:r>
      <w:r w:rsidR="00CE35BB">
        <w:rPr>
          <w:lang w:val="en-GB"/>
        </w:rPr>
        <w:t xml:space="preserve">a reduction of </w:t>
      </w:r>
      <w:r w:rsidR="00672FF5">
        <w:rPr>
          <w:lang w:val="en-GB"/>
        </w:rPr>
        <w:t>15</w:t>
      </w:r>
      <w:r w:rsidR="005A5A72">
        <w:rPr>
          <w:lang w:val="en-GB"/>
        </w:rPr>
        <w:t>,</w:t>
      </w:r>
      <w:r w:rsidR="00672FF5">
        <w:rPr>
          <w:lang w:val="en-GB"/>
        </w:rPr>
        <w:t xml:space="preserve">057 </w:t>
      </w:r>
      <w:r w:rsidR="00CE35BB">
        <w:rPr>
          <w:lang w:val="en-GB"/>
        </w:rPr>
        <w:t>current smokers</w:t>
      </w:r>
      <w:r w:rsidR="00BF031D">
        <w:rPr>
          <w:rStyle w:val="FootnoteReference"/>
          <w:lang w:val="en-GB"/>
        </w:rPr>
        <w:footnoteReference w:id="10"/>
      </w:r>
      <w:r w:rsidR="00B50E58">
        <w:rPr>
          <w:lang w:val="en-GB"/>
        </w:rPr>
        <w:t xml:space="preserve">. </w:t>
      </w:r>
      <w:r w:rsidR="00CE35BB">
        <w:rPr>
          <w:lang w:val="en-GB"/>
        </w:rPr>
        <w:t xml:space="preserve">This is equivalent to a </w:t>
      </w:r>
      <w:r w:rsidR="00CE35BB" w:rsidRPr="001D186D">
        <w:rPr>
          <w:lang w:val="en-GB"/>
        </w:rPr>
        <w:t>reduction in prevalence of current smokers aged 12 years and older of 0.</w:t>
      </w:r>
      <w:r w:rsidR="00672FF5" w:rsidRPr="001D186D">
        <w:rPr>
          <w:lang w:val="en-GB"/>
        </w:rPr>
        <w:t xml:space="preserve">07 </w:t>
      </w:r>
      <w:r w:rsidR="00CE35BB" w:rsidRPr="001D186D">
        <w:rPr>
          <w:lang w:val="en-GB"/>
        </w:rPr>
        <w:t xml:space="preserve">percentage points. </w:t>
      </w:r>
      <w:r w:rsidR="00B50E58" w:rsidRPr="001D186D">
        <w:rPr>
          <w:lang w:val="en-GB"/>
        </w:rPr>
        <w:t xml:space="preserve">This would translate to </w:t>
      </w:r>
      <w:r w:rsidR="00672FF5" w:rsidRPr="001D186D">
        <w:rPr>
          <w:lang w:val="en-GB"/>
        </w:rPr>
        <w:t>30</w:t>
      </w:r>
      <w:r w:rsidR="00B50E58" w:rsidRPr="001D186D">
        <w:rPr>
          <w:lang w:val="en-GB"/>
        </w:rPr>
        <w:t>,</w:t>
      </w:r>
      <w:r w:rsidR="00672FF5" w:rsidRPr="001D186D">
        <w:rPr>
          <w:lang w:val="en-GB"/>
        </w:rPr>
        <w:t xml:space="preserve">318 </w:t>
      </w:r>
      <w:r w:rsidR="00B50E58" w:rsidRPr="001D186D">
        <w:rPr>
          <w:lang w:val="en-GB"/>
        </w:rPr>
        <w:t>additional life years</w:t>
      </w:r>
      <w:r w:rsidR="008D7873" w:rsidRPr="001D186D">
        <w:rPr>
          <w:rStyle w:val="FootnoteReference"/>
          <w:lang w:val="en-GB"/>
        </w:rPr>
        <w:footnoteReference w:id="11"/>
      </w:r>
      <w:r w:rsidR="00B50E58" w:rsidRPr="001D186D">
        <w:rPr>
          <w:lang w:val="en-GB"/>
        </w:rPr>
        <w:t xml:space="preserve"> with a</w:t>
      </w:r>
      <w:r w:rsidR="00975E71">
        <w:rPr>
          <w:lang w:val="en-GB"/>
        </w:rPr>
        <w:t>n estimated</w:t>
      </w:r>
      <w:r w:rsidR="00B50E58" w:rsidRPr="001D186D">
        <w:rPr>
          <w:lang w:val="en-GB"/>
        </w:rPr>
        <w:t xml:space="preserve"> discounted monetary value of </w:t>
      </w:r>
      <w:r w:rsidR="00B30092" w:rsidRPr="001D186D">
        <w:rPr>
          <w:lang w:val="en-GB"/>
        </w:rPr>
        <w:t>$</w:t>
      </w:r>
      <w:r w:rsidR="00672FF5" w:rsidRPr="001D186D">
        <w:rPr>
          <w:lang w:val="en-GB"/>
        </w:rPr>
        <w:t>363</w:t>
      </w:r>
      <w:r w:rsidR="00B30092" w:rsidRPr="001D186D">
        <w:rPr>
          <w:lang w:val="en-GB"/>
        </w:rPr>
        <w:t>.</w:t>
      </w:r>
      <w:r w:rsidR="00672FF5" w:rsidRPr="001D186D">
        <w:rPr>
          <w:lang w:val="en-GB"/>
        </w:rPr>
        <w:t xml:space="preserve">2 </w:t>
      </w:r>
      <w:r w:rsidR="00B30092" w:rsidRPr="001D186D">
        <w:rPr>
          <w:lang w:val="en-GB"/>
        </w:rPr>
        <w:t>million</w:t>
      </w:r>
      <w:r w:rsidR="00C40CE9">
        <w:rPr>
          <w:lang w:val="en-GB"/>
        </w:rPr>
        <w:t>.</w:t>
      </w:r>
      <w:r w:rsidR="008D7873" w:rsidRPr="001D186D">
        <w:rPr>
          <w:rStyle w:val="FootnoteReference"/>
          <w:lang w:val="en-GB"/>
        </w:rPr>
        <w:footnoteReference w:id="12"/>
      </w:r>
      <w:r w:rsidR="00CE35BB" w:rsidRPr="001D186D">
        <w:rPr>
          <w:lang w:val="en-GB"/>
        </w:rPr>
        <w:t xml:space="preserve"> </w:t>
      </w:r>
      <w:r w:rsidR="00C40CE9">
        <w:rPr>
          <w:lang w:val="en-GB"/>
        </w:rPr>
        <w:t xml:space="preserve">If the drop was evenly distributed over the </w:t>
      </w:r>
      <w:r w:rsidR="003E5441">
        <w:rPr>
          <w:lang w:val="en-GB"/>
        </w:rPr>
        <w:t>ten</w:t>
      </w:r>
      <w:r w:rsidR="00C40CE9">
        <w:rPr>
          <w:lang w:val="en-GB"/>
        </w:rPr>
        <w:t xml:space="preserve"> year period recommended for policy evaluation by the OPBPR, its discounted monetary value is estimated at </w:t>
      </w:r>
      <w:r w:rsidR="003E5441">
        <w:rPr>
          <w:lang w:val="en-GB"/>
        </w:rPr>
        <w:t>$</w:t>
      </w:r>
      <w:r w:rsidR="00C40CE9">
        <w:rPr>
          <w:lang w:val="en-GB"/>
        </w:rPr>
        <w:t>273 million. Indeed, a drop as small as 0.</w:t>
      </w:r>
      <w:r w:rsidR="0071082E">
        <w:rPr>
          <w:lang w:val="en-GB"/>
        </w:rPr>
        <w:t>1</w:t>
      </w:r>
      <w:r w:rsidR="006E3505">
        <w:rPr>
          <w:lang w:val="en-GB"/>
        </w:rPr>
        <w:t>02</w:t>
      </w:r>
      <w:r w:rsidR="00C40CE9">
        <w:rPr>
          <w:lang w:val="en-GB"/>
        </w:rPr>
        <w:t xml:space="preserve">% (equivalent to approximately </w:t>
      </w:r>
      <w:r w:rsidR="0071082E">
        <w:rPr>
          <w:lang w:val="en-GB"/>
        </w:rPr>
        <w:t>3,0</w:t>
      </w:r>
      <w:r w:rsidR="006E3505">
        <w:rPr>
          <w:lang w:val="en-GB"/>
        </w:rPr>
        <w:t>6</w:t>
      </w:r>
      <w:r w:rsidR="00C40CE9">
        <w:rPr>
          <w:lang w:val="en-GB"/>
        </w:rPr>
        <w:t xml:space="preserve">0 people or </w:t>
      </w:r>
      <w:r w:rsidR="0071082E">
        <w:rPr>
          <w:lang w:val="en-GB"/>
        </w:rPr>
        <w:t xml:space="preserve">a </w:t>
      </w:r>
      <w:r w:rsidR="00C40CE9">
        <w:rPr>
          <w:lang w:val="en-GB"/>
        </w:rPr>
        <w:t>0.013 percentage point</w:t>
      </w:r>
      <w:r w:rsidR="0071082E">
        <w:rPr>
          <w:lang w:val="en-GB"/>
        </w:rPr>
        <w:t xml:space="preserve"> reduction in prevalence</w:t>
      </w:r>
      <w:r w:rsidR="00C40CE9">
        <w:rPr>
          <w:lang w:val="en-GB"/>
        </w:rPr>
        <w:t xml:space="preserve">) is estimated as exceeding the estimated regulatory burden of </w:t>
      </w:r>
      <w:r w:rsidR="00FB130A">
        <w:rPr>
          <w:lang w:val="en-GB"/>
        </w:rPr>
        <w:t>$</w:t>
      </w:r>
      <w:r w:rsidR="00C40CE9">
        <w:rPr>
          <w:lang w:val="en-GB"/>
        </w:rPr>
        <w:t>7</w:t>
      </w:r>
      <w:r w:rsidR="006923D1">
        <w:rPr>
          <w:lang w:val="en-GB"/>
        </w:rPr>
        <w:t>3</w:t>
      </w:r>
      <w:r w:rsidR="00C40CE9">
        <w:rPr>
          <w:lang w:val="en-GB"/>
        </w:rPr>
        <w:t>.</w:t>
      </w:r>
      <w:r w:rsidR="006923D1">
        <w:rPr>
          <w:lang w:val="en-GB"/>
        </w:rPr>
        <w:t>87</w:t>
      </w:r>
      <w:r w:rsidR="00C40CE9">
        <w:rPr>
          <w:lang w:val="en-GB"/>
        </w:rPr>
        <w:t xml:space="preserve"> million.</w:t>
      </w:r>
      <w:r w:rsidR="00FB130A">
        <w:rPr>
          <w:rStyle w:val="FootnoteReference"/>
          <w:lang w:val="en-GB"/>
        </w:rPr>
        <w:footnoteReference w:id="13"/>
      </w:r>
      <w:r w:rsidR="00C40CE9">
        <w:rPr>
          <w:lang w:val="en-GB"/>
        </w:rPr>
        <w:t xml:space="preserve"> </w:t>
      </w:r>
    </w:p>
    <w:p w14:paraId="51375A14" w14:textId="4DFB16FE" w:rsidR="008C5E33" w:rsidRDefault="005A5A72" w:rsidP="000B332F">
      <w:pPr>
        <w:rPr>
          <w:lang w:val="en-GB"/>
        </w:rPr>
      </w:pPr>
      <w:r w:rsidRPr="001D186D">
        <w:rPr>
          <w:lang w:val="en-GB"/>
        </w:rPr>
        <w:t xml:space="preserve">In addition to </w:t>
      </w:r>
      <w:r w:rsidR="00185157" w:rsidRPr="001D186D">
        <w:rPr>
          <w:lang w:val="en-GB"/>
        </w:rPr>
        <w:t>the potential health benefits f</w:t>
      </w:r>
      <w:r w:rsidRPr="001D186D">
        <w:rPr>
          <w:lang w:val="en-GB"/>
        </w:rPr>
        <w:t>o</w:t>
      </w:r>
      <w:r w:rsidR="00185157" w:rsidRPr="001D186D">
        <w:rPr>
          <w:lang w:val="en-GB"/>
        </w:rPr>
        <w:t>r</w:t>
      </w:r>
      <w:r w:rsidRPr="001D186D">
        <w:rPr>
          <w:lang w:val="en-GB"/>
        </w:rPr>
        <w:t xml:space="preserve"> current smokers, </w:t>
      </w:r>
      <w:r w:rsidR="00344420" w:rsidRPr="001D186D">
        <w:rPr>
          <w:lang w:val="en-GB"/>
        </w:rPr>
        <w:t xml:space="preserve">the </w:t>
      </w:r>
      <w:r w:rsidRPr="001D186D">
        <w:rPr>
          <w:lang w:val="en-GB"/>
        </w:rPr>
        <w:t xml:space="preserve">TPP </w:t>
      </w:r>
      <w:r w:rsidR="00344420" w:rsidRPr="001D186D">
        <w:rPr>
          <w:lang w:val="en-GB"/>
        </w:rPr>
        <w:t xml:space="preserve">measure </w:t>
      </w:r>
      <w:r w:rsidR="00AC2831" w:rsidRPr="001D186D">
        <w:rPr>
          <w:lang w:val="en-GB"/>
        </w:rPr>
        <w:t>may</w:t>
      </w:r>
      <w:r w:rsidRPr="001D186D">
        <w:rPr>
          <w:lang w:val="en-GB"/>
        </w:rPr>
        <w:t xml:space="preserve"> have an ongoing impact on the uptake of smoking f</w:t>
      </w:r>
      <w:r w:rsidR="00B30092" w:rsidRPr="001D186D">
        <w:rPr>
          <w:lang w:val="en-GB"/>
        </w:rPr>
        <w:t xml:space="preserve">or each subsequent cohort of potential smokers (i.e. those currently aged </w:t>
      </w:r>
      <w:r w:rsidR="007E5739" w:rsidRPr="001D186D">
        <w:rPr>
          <w:lang w:val="en-GB"/>
        </w:rPr>
        <w:t xml:space="preserve">less than </w:t>
      </w:r>
      <w:r w:rsidR="00B30092" w:rsidRPr="001D186D">
        <w:rPr>
          <w:lang w:val="en-GB"/>
        </w:rPr>
        <w:t>1</w:t>
      </w:r>
      <w:r w:rsidR="007E5739" w:rsidRPr="001D186D">
        <w:rPr>
          <w:lang w:val="en-GB"/>
        </w:rPr>
        <w:t>2</w:t>
      </w:r>
      <w:r w:rsidR="00B240BC" w:rsidRPr="001D186D">
        <w:rPr>
          <w:lang w:val="en-GB"/>
        </w:rPr>
        <w:t xml:space="preserve"> years</w:t>
      </w:r>
      <w:r w:rsidR="00B30092" w:rsidRPr="001D186D">
        <w:rPr>
          <w:lang w:val="en-GB"/>
        </w:rPr>
        <w:t>)</w:t>
      </w:r>
      <w:r w:rsidRPr="001D186D">
        <w:rPr>
          <w:lang w:val="en-GB"/>
        </w:rPr>
        <w:t>.</w:t>
      </w:r>
      <w:r w:rsidR="00B30092" w:rsidRPr="001D186D">
        <w:rPr>
          <w:lang w:val="en-GB"/>
        </w:rPr>
        <w:t xml:space="preserve"> </w:t>
      </w:r>
      <w:r w:rsidR="00F13179" w:rsidRPr="001D186D">
        <w:rPr>
          <w:lang w:val="en-GB"/>
        </w:rPr>
        <w:t>For example, a</w:t>
      </w:r>
      <w:r w:rsidR="00B30092" w:rsidRPr="001D186D">
        <w:rPr>
          <w:lang w:val="en-GB"/>
        </w:rPr>
        <w:t xml:space="preserve"> </w:t>
      </w:r>
      <w:r w:rsidR="00672FF5" w:rsidRPr="001D186D">
        <w:rPr>
          <w:lang w:val="en-GB"/>
        </w:rPr>
        <w:t xml:space="preserve">half </w:t>
      </w:r>
      <w:r w:rsidR="00B30092" w:rsidRPr="001D186D">
        <w:rPr>
          <w:lang w:val="en-GB"/>
        </w:rPr>
        <w:t>per</w:t>
      </w:r>
      <w:r w:rsidR="00B30092">
        <w:rPr>
          <w:lang w:val="en-GB"/>
        </w:rPr>
        <w:t xml:space="preserve"> cent reduction in </w:t>
      </w:r>
      <w:r w:rsidR="00347E34">
        <w:rPr>
          <w:lang w:val="en-GB"/>
        </w:rPr>
        <w:t xml:space="preserve">those who are estimated to </w:t>
      </w:r>
      <w:r>
        <w:rPr>
          <w:lang w:val="en-GB"/>
        </w:rPr>
        <w:t xml:space="preserve">take up smoking in the </w:t>
      </w:r>
      <w:r w:rsidR="007E5739">
        <w:rPr>
          <w:lang w:val="en-GB"/>
        </w:rPr>
        <w:t>next year</w:t>
      </w:r>
      <w:r>
        <w:rPr>
          <w:lang w:val="en-GB"/>
        </w:rPr>
        <w:t xml:space="preserve"> </w:t>
      </w:r>
      <w:r w:rsidR="00AC2831">
        <w:rPr>
          <w:lang w:val="en-GB"/>
        </w:rPr>
        <w:t xml:space="preserve">(i.e. currently aged 11) </w:t>
      </w:r>
      <w:r w:rsidR="00347E34">
        <w:rPr>
          <w:lang w:val="en-GB"/>
        </w:rPr>
        <w:t>is equal t</w:t>
      </w:r>
      <w:r>
        <w:rPr>
          <w:lang w:val="en-GB"/>
        </w:rPr>
        <w:t xml:space="preserve">o </w:t>
      </w:r>
      <w:r w:rsidR="00F13179">
        <w:rPr>
          <w:lang w:val="en-GB"/>
        </w:rPr>
        <w:t xml:space="preserve">approximately </w:t>
      </w:r>
      <w:r w:rsidR="00672FF5">
        <w:rPr>
          <w:lang w:val="en-GB"/>
        </w:rPr>
        <w:t>70</w:t>
      </w:r>
      <w:r w:rsidR="00AC2831">
        <w:rPr>
          <w:rStyle w:val="FootnoteReference"/>
          <w:lang w:val="en-GB"/>
        </w:rPr>
        <w:footnoteReference w:id="14"/>
      </w:r>
      <w:r>
        <w:rPr>
          <w:lang w:val="en-GB"/>
        </w:rPr>
        <w:t xml:space="preserve"> persons each and every </w:t>
      </w:r>
      <w:r w:rsidR="00347E34">
        <w:rPr>
          <w:lang w:val="en-GB"/>
        </w:rPr>
        <w:t>subsequent year</w:t>
      </w:r>
      <w:r w:rsidR="00FB75CA">
        <w:rPr>
          <w:rStyle w:val="FootnoteReference"/>
          <w:lang w:val="en-GB"/>
        </w:rPr>
        <w:footnoteReference w:id="15"/>
      </w:r>
      <w:r w:rsidR="00347E34">
        <w:rPr>
          <w:lang w:val="en-GB"/>
        </w:rPr>
        <w:t xml:space="preserve">. This would translate to </w:t>
      </w:r>
      <w:r>
        <w:rPr>
          <w:lang w:val="en-GB"/>
        </w:rPr>
        <w:t xml:space="preserve">an additional </w:t>
      </w:r>
      <w:r w:rsidR="00672FF5">
        <w:rPr>
          <w:lang w:val="en-GB"/>
        </w:rPr>
        <w:t>160</w:t>
      </w:r>
      <w:r w:rsidR="00FB75CA">
        <w:rPr>
          <w:rStyle w:val="FootnoteReference"/>
          <w:lang w:val="en-GB"/>
        </w:rPr>
        <w:footnoteReference w:id="16"/>
      </w:r>
      <w:r w:rsidR="00347E34">
        <w:rPr>
          <w:lang w:val="en-GB"/>
        </w:rPr>
        <w:t xml:space="preserve"> life years </w:t>
      </w:r>
      <w:r>
        <w:rPr>
          <w:lang w:val="en-GB"/>
        </w:rPr>
        <w:t>each and every year after the introduction of the TPP</w:t>
      </w:r>
      <w:r w:rsidR="00344420">
        <w:rPr>
          <w:lang w:val="en-GB"/>
        </w:rPr>
        <w:t xml:space="preserve"> measure</w:t>
      </w:r>
      <w:r>
        <w:rPr>
          <w:lang w:val="en-GB"/>
        </w:rPr>
        <w:t xml:space="preserve">. </w:t>
      </w:r>
      <w:r w:rsidR="00FB75CA">
        <w:rPr>
          <w:lang w:val="en-GB"/>
        </w:rPr>
        <w:t>This has a</w:t>
      </w:r>
      <w:r w:rsidR="004E033D">
        <w:rPr>
          <w:lang w:val="en-GB"/>
        </w:rPr>
        <w:t>n</w:t>
      </w:r>
      <w:r w:rsidR="00FB75CA">
        <w:rPr>
          <w:lang w:val="en-GB"/>
        </w:rPr>
        <w:t xml:space="preserve"> </w:t>
      </w:r>
      <w:r w:rsidR="000842F1">
        <w:rPr>
          <w:lang w:val="en-GB"/>
        </w:rPr>
        <w:t xml:space="preserve">estimated </w:t>
      </w:r>
      <w:r w:rsidR="004E033D">
        <w:rPr>
          <w:lang w:val="en-GB"/>
        </w:rPr>
        <w:t>un</w:t>
      </w:r>
      <w:r w:rsidR="00FB75CA">
        <w:rPr>
          <w:lang w:val="en-GB"/>
        </w:rPr>
        <w:t xml:space="preserve">discounted monetary value of </w:t>
      </w:r>
      <w:r w:rsidR="004E033D">
        <w:rPr>
          <w:lang w:val="en-GB"/>
        </w:rPr>
        <w:t>$</w:t>
      </w:r>
      <w:r w:rsidR="00672FF5">
        <w:rPr>
          <w:lang w:val="en-GB"/>
        </w:rPr>
        <w:t>29</w:t>
      </w:r>
      <w:r w:rsidR="004E033D">
        <w:rPr>
          <w:lang w:val="en-GB"/>
        </w:rPr>
        <w:t>.</w:t>
      </w:r>
      <w:r w:rsidR="00672FF5">
        <w:rPr>
          <w:lang w:val="en-GB"/>
        </w:rPr>
        <w:t xml:space="preserve">1 </w:t>
      </w:r>
      <w:r w:rsidR="004E033D">
        <w:rPr>
          <w:lang w:val="en-GB"/>
        </w:rPr>
        <w:t>million.</w:t>
      </w:r>
    </w:p>
    <w:p w14:paraId="53879E96" w14:textId="5A6B8C8F" w:rsidR="00D13704" w:rsidRDefault="00BA434A" w:rsidP="000B332F">
      <w:pPr>
        <w:rPr>
          <w:lang w:val="en-GB"/>
        </w:rPr>
      </w:pPr>
      <w:r>
        <w:rPr>
          <w:lang w:val="en-GB"/>
        </w:rPr>
        <w:t xml:space="preserve">These </w:t>
      </w:r>
      <w:r w:rsidR="00A43F9A">
        <w:rPr>
          <w:lang w:val="en-GB"/>
        </w:rPr>
        <w:t xml:space="preserve">monetary </w:t>
      </w:r>
      <w:r>
        <w:rPr>
          <w:lang w:val="en-GB"/>
        </w:rPr>
        <w:t xml:space="preserve">estimates </w:t>
      </w:r>
      <w:r w:rsidR="00A43F9A">
        <w:rPr>
          <w:lang w:val="en-GB"/>
        </w:rPr>
        <w:t xml:space="preserve">of health benefits </w:t>
      </w:r>
      <w:r>
        <w:rPr>
          <w:lang w:val="en-GB"/>
        </w:rPr>
        <w:t xml:space="preserve">are considerably less than those estimated in the impact assessment of standardised </w:t>
      </w:r>
      <w:r w:rsidR="00826A4E">
        <w:rPr>
          <w:lang w:val="en-GB"/>
        </w:rPr>
        <w:t>tobacco plain packaging</w:t>
      </w:r>
      <w:r>
        <w:rPr>
          <w:lang w:val="en-GB"/>
        </w:rPr>
        <w:t xml:space="preserve"> conducted in the United Kingdom. This difference </w:t>
      </w:r>
      <w:r w:rsidR="002B3D96">
        <w:rPr>
          <w:lang w:val="en-GB"/>
        </w:rPr>
        <w:t>is</w:t>
      </w:r>
      <w:r>
        <w:rPr>
          <w:lang w:val="en-GB"/>
        </w:rPr>
        <w:t xml:space="preserve"> due to </w:t>
      </w:r>
      <w:r w:rsidR="009667AE">
        <w:rPr>
          <w:lang w:val="en-GB"/>
        </w:rPr>
        <w:t xml:space="preserve">three </w:t>
      </w:r>
      <w:r>
        <w:rPr>
          <w:lang w:val="en-GB"/>
        </w:rPr>
        <w:t xml:space="preserve">fundamental differences in the illustrative analysis provided here and the one conducted in the UK. First, this analysis was based on a </w:t>
      </w:r>
      <w:r w:rsidR="00672FF5">
        <w:rPr>
          <w:lang w:val="en-GB"/>
        </w:rPr>
        <w:t>half</w:t>
      </w:r>
      <w:r>
        <w:rPr>
          <w:lang w:val="en-GB"/>
        </w:rPr>
        <w:t xml:space="preserve"> per cent reduction in current smokers whereas the UK study was based on 3.8 percent reduction. Second, </w:t>
      </w:r>
      <w:r w:rsidR="00A91DE3">
        <w:rPr>
          <w:lang w:val="en-GB"/>
        </w:rPr>
        <w:t xml:space="preserve">a discount rate of 7% was used in this study compared </w:t>
      </w:r>
      <w:r w:rsidR="0041498A">
        <w:rPr>
          <w:lang w:val="en-GB"/>
        </w:rPr>
        <w:t xml:space="preserve">with </w:t>
      </w:r>
      <w:r w:rsidR="00A91DE3">
        <w:rPr>
          <w:lang w:val="en-GB"/>
        </w:rPr>
        <w:t xml:space="preserve">a discount rate of 1.5% used in the UK study. Given the preventive nature of the </w:t>
      </w:r>
      <w:r w:rsidR="00826A4E">
        <w:rPr>
          <w:lang w:val="en-GB"/>
        </w:rPr>
        <w:t>tobacco plain packaging</w:t>
      </w:r>
      <w:r w:rsidR="00A91DE3">
        <w:rPr>
          <w:lang w:val="en-GB"/>
        </w:rPr>
        <w:t xml:space="preserve"> measure as well as the timing of when such health benefits would accrue, any estimate of health benefits will be heavily sensitive to the choice of discount rate applied.</w:t>
      </w:r>
      <w:r w:rsidR="00DA2B20">
        <w:rPr>
          <w:lang w:val="en-GB"/>
        </w:rPr>
        <w:t xml:space="preserve"> </w:t>
      </w:r>
      <w:r w:rsidR="009667AE">
        <w:rPr>
          <w:lang w:val="en-GB"/>
        </w:rPr>
        <w:t>Third</w:t>
      </w:r>
      <w:r w:rsidR="00DA2B20">
        <w:rPr>
          <w:lang w:val="en-GB"/>
        </w:rPr>
        <w:t>, the population of smokers in the UK is substantially higher than in Australia. Consequently, the total health benefits at a population level will be reflective of underlying differences in the magnitude of populations for which the policy applies to.</w:t>
      </w:r>
    </w:p>
    <w:p w14:paraId="14DBBADC" w14:textId="77777777" w:rsidR="002B3D96" w:rsidRDefault="002B3D96" w:rsidP="00060678">
      <w:pPr>
        <w:keepNext/>
        <w:keepLines/>
      </w:pPr>
      <w:r>
        <w:lastRenderedPageBreak/>
        <w:t>It should also be noted that any change in behaviour of smokers which reduces smoking also results in a reduction in exposure to tobacco smoke among non-smokers (including foetal exposure) – with further health benefits attached. The</w:t>
      </w:r>
      <w:r w:rsidR="00B746E3">
        <w:t xml:space="preserve"> above </w:t>
      </w:r>
      <w:r>
        <w:t>estimates do not include any health benefits from this reduced exposure</w:t>
      </w:r>
      <w:r w:rsidR="00475502">
        <w:t xml:space="preserve">. Importantly, </w:t>
      </w:r>
      <w:r w:rsidR="00344420">
        <w:t xml:space="preserve">the </w:t>
      </w:r>
      <w:r w:rsidR="00475502">
        <w:t xml:space="preserve">TPP </w:t>
      </w:r>
      <w:r w:rsidR="00344420">
        <w:t xml:space="preserve">measure </w:t>
      </w:r>
      <w:r w:rsidR="00475502">
        <w:t xml:space="preserve">may not only have </w:t>
      </w:r>
      <w:r w:rsidR="00A949BD">
        <w:t xml:space="preserve">contributed </w:t>
      </w:r>
      <w:r w:rsidR="00475502">
        <w:t>to reduced exposure to tobacco smoke among non-smokers from a reduced</w:t>
      </w:r>
      <w:r>
        <w:t xml:space="preserve"> </w:t>
      </w:r>
      <w:r w:rsidR="00475502">
        <w:t xml:space="preserve">prevalence of smokers, but evidence indicates that the TPP </w:t>
      </w:r>
      <w:r w:rsidR="00344420">
        <w:t xml:space="preserve">measure </w:t>
      </w:r>
      <w:r w:rsidR="00475502">
        <w:t>may also have changed smoking behaviours</w:t>
      </w:r>
      <w:r w:rsidR="00B746E3">
        <w:t xml:space="preserve"> at outdoor venues (cafes, restaurants, bars with outdoor seating)</w:t>
      </w:r>
      <w:r w:rsidR="00475502">
        <w:t xml:space="preserve">. </w:t>
      </w:r>
      <w:r w:rsidR="00F52BE4">
        <w:t>A</w:t>
      </w:r>
      <w:r w:rsidR="00475502">
        <w:t xml:space="preserve">ctive smoking dropped by 23% </w:t>
      </w:r>
      <w:r w:rsidR="00F52BE4">
        <w:t xml:space="preserve">at outdoor venues </w:t>
      </w:r>
      <w:r w:rsidR="00475502">
        <w:t xml:space="preserve">after implementation of the TPP </w:t>
      </w:r>
      <w:r w:rsidR="00344420">
        <w:t xml:space="preserve">measure </w:t>
      </w:r>
      <w:r w:rsidR="00475502">
        <w:t>with the proportion of packs concealed</w:t>
      </w:r>
      <w:r w:rsidR="00F52BE4">
        <w:t xml:space="preserve"> also</w:t>
      </w:r>
      <w:r w:rsidR="00475502">
        <w:t xml:space="preserve"> increasing</w:t>
      </w:r>
      <w:r w:rsidR="005454F1">
        <w:t xml:space="preserve"> </w:t>
      </w:r>
      <w:r w:rsidR="00A05B75">
        <w:fldChar w:fldCharType="begin">
          <w:fldData xml:space="preserve">PEVuZE5vdGU+PENpdGU+PEF1dGhvcj5aYWNoZXI8L0F1dGhvcj48WWVhcj4yMDE0PC9ZZWFyPjxS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</w:fldData>
        </w:fldChar>
      </w:r>
      <w:r w:rsidR="00B1645A">
        <w:instrText xml:space="preserve"> ADDIN EN.CITE </w:instrText>
      </w:r>
      <w:r w:rsidR="00B1645A">
        <w:fldChar w:fldCharType="begin">
          <w:fldData xml:space="preserve">PEVuZE5vdGU+PENpdGU+PEF1dGhvcj5aYWNoZXI8L0F1dGhvcj48WWVhcj4yMDE0PC9ZZWFyPjxS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</w:fldData>
        </w:fldChar>
      </w:r>
      <w:r w:rsidR="00B1645A">
        <w:instrText xml:space="preserve"> ADDIN EN.CITE.DATA </w:instrText>
      </w:r>
      <w:r w:rsidR="00B1645A">
        <w:fldChar w:fldCharType="end"/>
      </w:r>
      <w:r w:rsidR="00A05B75">
        <w:fldChar w:fldCharType="separate"/>
      </w:r>
      <w:r w:rsidR="00B1645A">
        <w:rPr>
          <w:noProof/>
        </w:rPr>
        <w:t>(</w:t>
      </w:r>
      <w:hyperlink w:anchor="_ENREF_74" w:tooltip="Zacher, 2014 #15" w:history="1">
        <w:r w:rsidR="008A14C8">
          <w:rPr>
            <w:noProof/>
          </w:rPr>
          <w:t>Zacher et al., 2014</w:t>
        </w:r>
      </w:hyperlink>
      <w:r w:rsidR="00B1645A">
        <w:rPr>
          <w:noProof/>
        </w:rPr>
        <w:t>)</w:t>
      </w:r>
      <w:r w:rsidR="00A05B75">
        <w:fldChar w:fldCharType="end"/>
      </w:r>
      <w:r w:rsidR="00475502">
        <w:t>. As such, irrespective of changes in prevalence of smoking attributable to the TPP</w:t>
      </w:r>
      <w:r w:rsidR="00344420">
        <w:t xml:space="preserve"> measure</w:t>
      </w:r>
      <w:r w:rsidR="00475502">
        <w:t xml:space="preserve">, the TPP </w:t>
      </w:r>
      <w:r w:rsidR="00344420">
        <w:t xml:space="preserve">measure </w:t>
      </w:r>
      <w:r w:rsidR="00475502">
        <w:t xml:space="preserve">may also have reduced exposure to tobacco smoke from changing </w:t>
      </w:r>
      <w:proofErr w:type="gramStart"/>
      <w:r w:rsidR="00475502">
        <w:t>smokers</w:t>
      </w:r>
      <w:proofErr w:type="gramEnd"/>
      <w:r w:rsidR="00475502">
        <w:t xml:space="preserve"> behaviour around non-smokers. The health </w:t>
      </w:r>
      <w:r w:rsidR="00A43F9A">
        <w:t xml:space="preserve">benefits from reduced tobacco exposure among non-smokers are not included in the above example and </w:t>
      </w:r>
      <w:r w:rsidR="00475502">
        <w:t xml:space="preserve">therefore </w:t>
      </w:r>
      <w:r w:rsidR="00A43F9A">
        <w:t xml:space="preserve">the above monetary value </w:t>
      </w:r>
      <w:r w:rsidR="00475502">
        <w:t xml:space="preserve">of the </w:t>
      </w:r>
      <w:r w:rsidR="005953ED">
        <w:t xml:space="preserve">potential </w:t>
      </w:r>
      <w:r w:rsidR="00475502">
        <w:t>health benefits</w:t>
      </w:r>
      <w:r w:rsidR="00A43F9A">
        <w:t xml:space="preserve"> of the TPP </w:t>
      </w:r>
      <w:r w:rsidR="00344420">
        <w:t xml:space="preserve">measure </w:t>
      </w:r>
      <w:r w:rsidR="0041498A">
        <w:t xml:space="preserve">is </w:t>
      </w:r>
      <w:r w:rsidR="00A43F9A">
        <w:t>likely to be underestimated</w:t>
      </w:r>
      <w:r w:rsidR="005953ED">
        <w:t>.</w:t>
      </w:r>
    </w:p>
    <w:p w14:paraId="608ECB53" w14:textId="77777777" w:rsidR="00B50287" w:rsidRDefault="00B50287" w:rsidP="00B50287">
      <w:pPr>
        <w:keepNext/>
        <w:pBdr>
          <w:top w:val="single" w:sz="2" w:space="1" w:color="auto"/>
          <w:left w:val="single" w:sz="2" w:space="4" w:color="auto"/>
          <w:bottom w:val="single" w:sz="2" w:space="1" w:color="auto"/>
          <w:right w:val="single" w:sz="2" w:space="4" w:color="auto"/>
        </w:pBdr>
        <w:shd w:val="clear" w:color="auto" w:fill="DBE5F1" w:themeFill="accent1" w:themeFillTint="33"/>
        <w:rPr>
          <w:b/>
          <w:sz w:val="22"/>
        </w:rPr>
      </w:pPr>
      <w:r w:rsidRPr="000146DB">
        <w:rPr>
          <w:b/>
          <w:sz w:val="22"/>
        </w:rPr>
        <w:t xml:space="preserve">Box </w:t>
      </w:r>
      <w:r w:rsidRPr="000146DB">
        <w:rPr>
          <w:b/>
          <w:sz w:val="22"/>
        </w:rPr>
        <w:fldChar w:fldCharType="begin"/>
      </w:r>
      <w:r w:rsidRPr="000146DB">
        <w:rPr>
          <w:b/>
          <w:sz w:val="22"/>
        </w:rPr>
        <w:instrText xml:space="preserve"> SEQ Box \* ARABIC </w:instrText>
      </w:r>
      <w:r w:rsidRPr="000146DB">
        <w:rPr>
          <w:b/>
          <w:sz w:val="22"/>
        </w:rPr>
        <w:fldChar w:fldCharType="separate"/>
      </w:r>
      <w:r w:rsidR="005403ED">
        <w:rPr>
          <w:b/>
          <w:noProof/>
          <w:sz w:val="22"/>
        </w:rPr>
        <w:t>1</w:t>
      </w:r>
      <w:r w:rsidRPr="000146DB">
        <w:rPr>
          <w:b/>
          <w:sz w:val="22"/>
        </w:rPr>
        <w:fldChar w:fldCharType="end"/>
      </w:r>
      <w:r w:rsidRPr="000146DB">
        <w:rPr>
          <w:b/>
          <w:sz w:val="22"/>
        </w:rPr>
        <w:t>: Summary Impact on Health</w:t>
      </w:r>
    </w:p>
    <w:p w14:paraId="611B10B5" w14:textId="77777777" w:rsidR="00B50287" w:rsidRPr="001D186D"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1D186D">
        <w:t xml:space="preserve">Smoking strongly increases the risk of disease and mortality. Studies have consistently shown that not smoking or quitting is associated with increased life expectancy. </w:t>
      </w:r>
    </w:p>
    <w:p w14:paraId="665CDC9F" w14:textId="77777777" w:rsidR="00B50287" w:rsidRPr="001D186D"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1D186D">
        <w:t xml:space="preserve">Peer-reviewed publications regarding the impact of tobacco plain packaging suggest that there has been a statistically significant impact associated with intermediate outcome measures including reducing the appeal of tobacco products, increasing the effectiveness of health warnings on tobacco product packaging, and reducing the ability of the packaging to mislead consumers.  Where tobacco plain packaging, as part of broader tobacco control policies, results in reduced uptake of tobacco consumption, increased quit rates or reduced consumption of tobacco and/or reduced relapse rates for those who quit, substantial health benefits at both an individual and population level will be realised. </w:t>
      </w:r>
    </w:p>
    <w:p w14:paraId="1388BD0B" w14:textId="77777777" w:rsidR="00B50287" w:rsidRPr="001D186D"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1D186D">
        <w:t>For example:</w:t>
      </w:r>
    </w:p>
    <w:p w14:paraId="7FC91D71" w14:textId="77777777" w:rsidR="00B50287"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1D186D">
        <w:t>A reduction in current smokers (aged 12 years and above) by one half percent is equal to 15,057 persons. This</w:t>
      </w:r>
      <w:r w:rsidRPr="005953ED">
        <w:t xml:space="preserve"> would translate to </w:t>
      </w:r>
      <w:r>
        <w:t>30,318</w:t>
      </w:r>
      <w:r w:rsidRPr="005953ED">
        <w:t xml:space="preserve"> additional life years with a</w:t>
      </w:r>
      <w:r>
        <w:t>n estimated</w:t>
      </w:r>
      <w:r w:rsidRPr="005953ED">
        <w:t xml:space="preserve"> discounted monetary value of $</w:t>
      </w:r>
      <w:r>
        <w:t>273</w:t>
      </w:r>
      <w:r w:rsidRPr="005953ED">
        <w:t>million</w:t>
      </w:r>
      <w:r>
        <w:t>, if the drop is evenly distributed over the 10 year horizon as specified by the OBPR</w:t>
      </w:r>
      <w:r w:rsidRPr="005953ED">
        <w:t xml:space="preserve">. </w:t>
      </w:r>
    </w:p>
    <w:p w14:paraId="617B7F12" w14:textId="77777777" w:rsidR="00B50287"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5953ED">
        <w:t xml:space="preserve">In addition to the potential health benefits from current smokers, </w:t>
      </w:r>
      <w:r>
        <w:t xml:space="preserve">the </w:t>
      </w:r>
      <w:r w:rsidRPr="005953ED">
        <w:t xml:space="preserve">TPP </w:t>
      </w:r>
      <w:r>
        <w:t xml:space="preserve">measure </w:t>
      </w:r>
      <w:r w:rsidRPr="005953ED">
        <w:t xml:space="preserve">will have an ongoing impact on the uptake of smoking for each subsequent cohort of potential smokers (i.e. those currently aged 11). A </w:t>
      </w:r>
      <w:r>
        <w:t>half</w:t>
      </w:r>
      <w:r w:rsidRPr="005953ED">
        <w:t xml:space="preserve"> per cent reduction in those who are estimated to take up smoking in the future is equal to </w:t>
      </w:r>
      <w:r>
        <w:t>70</w:t>
      </w:r>
      <w:r w:rsidRPr="005953ED">
        <w:t xml:space="preserve"> persons each and every subsequent year. This would translate to an additional </w:t>
      </w:r>
      <w:r>
        <w:t>160</w:t>
      </w:r>
      <w:r w:rsidRPr="005953ED">
        <w:t xml:space="preserve"> life years each and every year after the introduction of the TPP</w:t>
      </w:r>
      <w:r>
        <w:t xml:space="preserve"> measure</w:t>
      </w:r>
      <w:r w:rsidRPr="005953ED">
        <w:t>.</w:t>
      </w:r>
    </w:p>
    <w:p w14:paraId="1178DC26" w14:textId="3B5C1A28" w:rsidR="00B50287"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t>Finally, the TPP measure may also have reduced exposure to tobacco smoke from changing smokers</w:t>
      </w:r>
      <w:r w:rsidR="006C3CA9">
        <w:t>’</w:t>
      </w:r>
      <w:r>
        <w:t xml:space="preserve"> behaviour around non-smokers </w:t>
      </w:r>
      <w:r>
        <w:fldChar w:fldCharType="begin">
          <w:fldData xml:space="preserve">PEVuZE5vdGU+PENpdGU+PEF1dGhvcj5aYWNoZXI8L0F1dGhvcj48WWVhcj4yMDE0PC9ZZWFyPjxS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</w:fldData>
        </w:fldChar>
      </w:r>
      <w:r>
        <w:instrText xml:space="preserve"> ADDIN EN.CITE </w:instrText>
      </w:r>
      <w:r>
        <w:fldChar w:fldCharType="begin">
          <w:fldData xml:space="preserve">PEVuZE5vdGU+PENpdGU+PEF1dGhvcj5aYWNoZXI8L0F1dGhvcj48WWVhcj4yMDE0PC9ZZWFyPjxS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</w:fldData>
        </w:fldChar>
      </w:r>
      <w:r>
        <w:instrText xml:space="preserve"> ADDIN EN.CITE.DATA </w:instrText>
      </w:r>
      <w:r>
        <w:fldChar w:fldCharType="end"/>
      </w:r>
      <w:r>
        <w:fldChar w:fldCharType="separate"/>
      </w:r>
      <w:r>
        <w:rPr>
          <w:noProof/>
        </w:rPr>
        <w:t>(</w:t>
      </w:r>
      <w:hyperlink w:anchor="_ENREF_74" w:tooltip="Zacher, 2014 #15" w:history="1">
        <w:r>
          <w:rPr>
            <w:noProof/>
          </w:rPr>
          <w:t>Zacher et al., 2014</w:t>
        </w:r>
      </w:hyperlink>
      <w:r>
        <w:rPr>
          <w:noProof/>
        </w:rPr>
        <w:t>)</w:t>
      </w:r>
      <w:r>
        <w:fldChar w:fldCharType="end"/>
      </w:r>
      <w:r>
        <w:t>. The health benefits from reduced tobacco exposure among non-smokers are not included in the above example and therefore the above monetary value of the potential health benefits of the TPP measure is likely to be underestimated.</w:t>
      </w:r>
    </w:p>
    <w:p w14:paraId="0D94B9DC" w14:textId="77777777" w:rsidR="00917B55" w:rsidRPr="000146DB" w:rsidRDefault="00917B55" w:rsidP="00060678">
      <w:pPr>
        <w:pStyle w:val="Heading3"/>
        <w:keepLines/>
        <w:rPr>
          <w:lang w:val="en-GB"/>
        </w:rPr>
      </w:pPr>
      <w:bookmarkStart w:id="103" w:name="_Toc427737354"/>
      <w:bookmarkStart w:id="104" w:name="_Toc443560342"/>
      <w:bookmarkStart w:id="105" w:name="_Toc443560370"/>
      <w:bookmarkStart w:id="106" w:name="_Toc443560420"/>
      <w:r w:rsidRPr="000146DB">
        <w:rPr>
          <w:lang w:val="en-GB"/>
        </w:rPr>
        <w:lastRenderedPageBreak/>
        <w:t>Consumer Surplus</w:t>
      </w:r>
      <w:bookmarkEnd w:id="103"/>
      <w:bookmarkEnd w:id="104"/>
      <w:bookmarkEnd w:id="105"/>
      <w:bookmarkEnd w:id="106"/>
    </w:p>
    <w:p w14:paraId="1DAAECB0" w14:textId="77777777" w:rsidR="00917B55" w:rsidRDefault="00917B55" w:rsidP="00060678">
      <w:pPr>
        <w:keepNext/>
        <w:keepLines/>
        <w:rPr>
          <w:lang w:val="en-GB"/>
        </w:rPr>
      </w:pPr>
      <w:r>
        <w:rPr>
          <w:lang w:val="en-GB"/>
        </w:rPr>
        <w:t xml:space="preserve">Consumer surplus is an economic principle that is commonly included in cost-benefit analyses. </w:t>
      </w:r>
      <w:r w:rsidRPr="008040A0">
        <w:rPr>
          <w:lang w:val="en-GB"/>
        </w:rPr>
        <w:t xml:space="preserve">Consumer surplus </w:t>
      </w:r>
      <w:r>
        <w:rPr>
          <w:lang w:val="en-GB"/>
        </w:rPr>
        <w:t>can be defined as</w:t>
      </w:r>
      <w:r w:rsidRPr="008040A0">
        <w:rPr>
          <w:lang w:val="en-GB"/>
        </w:rPr>
        <w:t xml:space="preserve"> the difference between consumers’ willingness to pay for a product and the actual price they pay. Consequently, regulatory actions that reduce the demand for a product (i.e. reduce consumer willingness to pay for a product over all quantities) or that </w:t>
      </w:r>
      <w:r>
        <w:rPr>
          <w:lang w:val="en-GB"/>
        </w:rPr>
        <w:t xml:space="preserve">increase </w:t>
      </w:r>
      <w:r w:rsidRPr="008040A0">
        <w:rPr>
          <w:lang w:val="en-GB"/>
        </w:rPr>
        <w:t xml:space="preserve">its market price will lead to reductions in consumer surplus. More applicable in the case of </w:t>
      </w:r>
      <w:r>
        <w:rPr>
          <w:lang w:val="en-GB"/>
        </w:rPr>
        <w:t xml:space="preserve">tobacco </w:t>
      </w:r>
      <w:r w:rsidRPr="008040A0">
        <w:rPr>
          <w:lang w:val="en-GB"/>
        </w:rPr>
        <w:t xml:space="preserve">plain packaging where a desired feature of a product is removed, the willingness to pay for that product is reduced and consequently </w:t>
      </w:r>
      <w:r>
        <w:rPr>
          <w:lang w:val="en-GB"/>
        </w:rPr>
        <w:t>generates a</w:t>
      </w:r>
      <w:r w:rsidRPr="008040A0">
        <w:rPr>
          <w:lang w:val="en-GB"/>
        </w:rPr>
        <w:t xml:space="preserve"> loss </w:t>
      </w:r>
      <w:r>
        <w:rPr>
          <w:lang w:val="en-GB"/>
        </w:rPr>
        <w:t>in</w:t>
      </w:r>
      <w:r w:rsidRPr="008040A0">
        <w:rPr>
          <w:lang w:val="en-GB"/>
        </w:rPr>
        <w:t xml:space="preserve"> consumer surplus. </w:t>
      </w:r>
    </w:p>
    <w:p w14:paraId="4146E584" w14:textId="362ABBFE" w:rsidR="00917B55" w:rsidRDefault="00917B55" w:rsidP="000B332F">
      <w:pPr>
        <w:rPr>
          <w:lang w:val="en-GB"/>
        </w:rPr>
      </w:pPr>
      <w:r w:rsidRPr="008040A0">
        <w:rPr>
          <w:lang w:val="en-GB"/>
        </w:rPr>
        <w:t xml:space="preserve">The orthodox approach in </w:t>
      </w:r>
      <w:r w:rsidR="00223C2C">
        <w:rPr>
          <w:lang w:val="en-GB"/>
        </w:rPr>
        <w:t>Cost-Benefit Analysis</w:t>
      </w:r>
      <w:r w:rsidRPr="008040A0">
        <w:rPr>
          <w:lang w:val="en-GB"/>
        </w:rPr>
        <w:t xml:space="preserve"> is to account for this loss in consumer surplus</w:t>
      </w:r>
      <w:r>
        <w:rPr>
          <w:lang w:val="en-GB"/>
        </w:rPr>
        <w:t>.</w:t>
      </w:r>
      <w:r w:rsidRPr="008040A0">
        <w:rPr>
          <w:lang w:val="en-GB"/>
        </w:rPr>
        <w:t xml:space="preserve"> </w:t>
      </w:r>
      <w:r>
        <w:rPr>
          <w:lang w:val="en-GB"/>
        </w:rPr>
        <w:t>H</w:t>
      </w:r>
      <w:r w:rsidRPr="008040A0">
        <w:rPr>
          <w:lang w:val="en-GB"/>
        </w:rPr>
        <w:t>owever</w:t>
      </w:r>
      <w:r>
        <w:rPr>
          <w:lang w:val="en-GB"/>
        </w:rPr>
        <w:t>,</w:t>
      </w:r>
      <w:r w:rsidRPr="008040A0">
        <w:rPr>
          <w:lang w:val="en-GB"/>
        </w:rPr>
        <w:t xml:space="preserve"> </w:t>
      </w:r>
      <w:r>
        <w:rPr>
          <w:lang w:val="en-GB"/>
        </w:rPr>
        <w:t xml:space="preserve">accounting for consumer surplus in </w:t>
      </w:r>
      <w:r w:rsidR="00223C2C">
        <w:rPr>
          <w:lang w:val="en-GB"/>
        </w:rPr>
        <w:t>Cost-Benefit Analysis</w:t>
      </w:r>
      <w:r>
        <w:rPr>
          <w:lang w:val="en-GB"/>
        </w:rPr>
        <w:t xml:space="preserve"> </w:t>
      </w:r>
      <w:r w:rsidRPr="008040A0">
        <w:rPr>
          <w:lang w:val="en-GB"/>
        </w:rPr>
        <w:t xml:space="preserve">is based on </w:t>
      </w:r>
      <w:r>
        <w:rPr>
          <w:lang w:val="en-GB"/>
        </w:rPr>
        <w:t xml:space="preserve">a </w:t>
      </w:r>
      <w:r w:rsidRPr="008040A0">
        <w:rPr>
          <w:lang w:val="en-GB"/>
        </w:rPr>
        <w:t xml:space="preserve">rational </w:t>
      </w:r>
      <w:r>
        <w:rPr>
          <w:lang w:val="en-GB"/>
        </w:rPr>
        <w:t xml:space="preserve">model of </w:t>
      </w:r>
      <w:r w:rsidRPr="008040A0">
        <w:rPr>
          <w:lang w:val="en-GB"/>
        </w:rPr>
        <w:t>consumer behaviour</w:t>
      </w:r>
      <w:r>
        <w:rPr>
          <w:lang w:val="en-GB"/>
        </w:rPr>
        <w:t xml:space="preserve"> which does not reflect the fact that addiction is a major factor in tobacco use</w:t>
      </w:r>
      <w:r w:rsidRPr="008040A0">
        <w:rPr>
          <w:lang w:val="en-GB"/>
        </w:rPr>
        <w:t xml:space="preserve">. </w:t>
      </w:r>
      <w:r>
        <w:rPr>
          <w:lang w:val="en-GB"/>
        </w:rPr>
        <w:t>The orthodox approach assumes that</w:t>
      </w:r>
      <w:r w:rsidRPr="008040A0">
        <w:rPr>
          <w:lang w:val="en-GB"/>
        </w:rPr>
        <w:t xml:space="preserve"> </w:t>
      </w:r>
      <w:r w:rsidRPr="00BD6488">
        <w:rPr>
          <w:lang w:val="en-GB"/>
        </w:rPr>
        <w:t>time consistent</w:t>
      </w:r>
      <w:r w:rsidRPr="008040A0">
        <w:rPr>
          <w:lang w:val="en-GB"/>
        </w:rPr>
        <w:t xml:space="preserve"> decisions </w:t>
      </w:r>
      <w:r>
        <w:rPr>
          <w:lang w:val="en-GB"/>
        </w:rPr>
        <w:t xml:space="preserve">(i.e. appropriately consider future consequences) </w:t>
      </w:r>
      <w:r w:rsidRPr="008040A0">
        <w:rPr>
          <w:lang w:val="en-GB"/>
        </w:rPr>
        <w:t xml:space="preserve">are made by individuals who are </w:t>
      </w:r>
      <w:r w:rsidRPr="00BD6488">
        <w:rPr>
          <w:lang w:val="en-GB"/>
        </w:rPr>
        <w:t>fully informed</w:t>
      </w:r>
      <w:r w:rsidRPr="008040A0">
        <w:rPr>
          <w:lang w:val="en-GB"/>
        </w:rPr>
        <w:t xml:space="preserve"> about the health consequences of smoking, including </w:t>
      </w:r>
      <w:r w:rsidRPr="00BD6488">
        <w:rPr>
          <w:lang w:val="en-GB"/>
        </w:rPr>
        <w:t>addiction</w:t>
      </w:r>
      <w:r w:rsidRPr="008040A0">
        <w:rPr>
          <w:lang w:val="en-GB"/>
        </w:rPr>
        <w:t xml:space="preserve">, and who appropriately </w:t>
      </w:r>
      <w:r>
        <w:rPr>
          <w:lang w:val="en-GB"/>
        </w:rPr>
        <w:t>act on</w:t>
      </w:r>
      <w:r w:rsidRPr="008040A0">
        <w:rPr>
          <w:lang w:val="en-GB"/>
        </w:rPr>
        <w:t xml:space="preserve"> this information</w:t>
      </w:r>
      <w:r w:rsidR="00951CB3">
        <w:rPr>
          <w:lang w:val="en-GB"/>
        </w:rPr>
        <w:t xml:space="preserve"> </w:t>
      </w:r>
      <w:r w:rsidR="00A05B75" w:rsidRPr="002600F9">
        <w:rPr>
          <w:lang w:val="en-GB"/>
        </w:rPr>
        <w:fldChar w:fldCharType="begin"/>
      </w:r>
      <w:r w:rsidR="00B1645A">
        <w:rPr>
          <w:lang w:val="en-GB"/>
        </w:rPr>
        <w:instrText xml:space="preserve"> ADDIN EN.CITE &lt;EndNote&gt;&lt;Cite&gt;&lt;Author&gt;Chaloupka&lt;/Author&gt;&lt;Year&gt;2015&lt;/Year&gt;&lt;RecNum&gt;30&lt;/RecNum&gt;&lt;DisplayText&gt;(Chaloupka et al., 2015)&lt;/DisplayText&gt;&lt;record&gt;&lt;rec-number&gt;30&lt;/rec-number&gt;&lt;foreign-keys&gt;&lt;key app="EN" db-id="edfppa0tc0tfd1etp5xvexpnzfefzewwwas9" timestamp="1441592648"&gt;30&lt;/key&gt;&lt;/foreign-keys&gt;&lt;ref-type name="Journal Article"&gt;17&lt;/ref-type&gt;&lt;contributors&gt;&lt;authors&gt;&lt;author&gt;Chaloupka, Frank J&lt;/author&gt;&lt;author&gt;Warner, Kenneth E&lt;/author&gt;&lt;author&gt;Acemoğlu, Daron&lt;/author&gt;&lt;author&gt;Gruber, Jonathan&lt;/author&gt;&lt;author&gt;Laux, Fritz&lt;/author&gt;&lt;author&gt;Max, Wendy&lt;/author&gt;&lt;author&gt;Newhouse, Joseph&lt;/author&gt;&lt;author&gt;Schelling, Thomas&lt;/author&gt;&lt;author&gt;Sindelar, Jody&lt;/author&gt;&lt;/authors&gt;&lt;/contributors&gt;&lt;titles&gt;&lt;title&gt;An evaluation of the FDA&amp;apos;s analysis of the costs and benefits of the graphic warning label regulation&lt;/title&gt;&lt;secondary-title&gt;Tobacco control&lt;/secondary-title&gt;&lt;/titles&gt;&lt;periodical&gt;&lt;full-title&gt;Tobacco control&lt;/full-title&gt;&lt;/periodical&gt;&lt;pages&gt;112-119&lt;/pages&gt;&lt;volume&gt;24&lt;/volume&gt;&lt;number&gt;2&lt;/number&gt;&lt;dates&gt;&lt;year&gt;2015&lt;/year&gt;&lt;pub-dates&gt;&lt;date&gt;March 1, 2015&lt;/date&gt;&lt;/pub-dates&gt;&lt;/dates&gt;&lt;urls&gt;&lt;/urls&gt;&lt;/record&gt;&lt;/Cite&gt;&lt;/EndNote&gt;</w:instrText>
      </w:r>
      <w:r w:rsidR="00A05B75" w:rsidRPr="002600F9">
        <w:rPr>
          <w:lang w:val="en-GB"/>
        </w:rPr>
        <w:fldChar w:fldCharType="separate"/>
      </w:r>
      <w:r w:rsidR="00B1645A">
        <w:rPr>
          <w:noProof/>
          <w:lang w:val="en-GB"/>
        </w:rPr>
        <w:t>(</w:t>
      </w:r>
      <w:hyperlink w:anchor="_ENREF_18" w:tooltip="Chaloupka, 2015 #30" w:history="1">
        <w:r w:rsidR="008A14C8">
          <w:rPr>
            <w:noProof/>
            <w:lang w:val="en-GB"/>
          </w:rPr>
          <w:t>Chaloupka et al., 2015</w:t>
        </w:r>
      </w:hyperlink>
      <w:r w:rsidR="00B1645A">
        <w:rPr>
          <w:noProof/>
          <w:lang w:val="en-GB"/>
        </w:rPr>
        <w:t>)</w:t>
      </w:r>
      <w:r w:rsidR="00A05B75" w:rsidRPr="002600F9">
        <w:fldChar w:fldCharType="end"/>
      </w:r>
      <w:r>
        <w:rPr>
          <w:lang w:val="en-GB"/>
        </w:rPr>
        <w:t xml:space="preserve">. </w:t>
      </w:r>
      <w:r w:rsidRPr="002600F9">
        <w:rPr>
          <w:lang w:val="en-GB"/>
        </w:rPr>
        <w:t>However, in the case of tobacco products, this theory of rational behaviour and trade-offs is not appropriate</w:t>
      </w:r>
      <w:r>
        <w:rPr>
          <w:lang w:val="en-GB"/>
        </w:rPr>
        <w:t>.</w:t>
      </w:r>
      <w:r w:rsidRPr="002600F9">
        <w:rPr>
          <w:lang w:val="en-GB"/>
        </w:rPr>
        <w:t xml:space="preserve"> </w:t>
      </w:r>
    </w:p>
    <w:p w14:paraId="57DFE107" w14:textId="2F4230F5" w:rsidR="00917B55" w:rsidRPr="008040A0" w:rsidRDefault="00917B55" w:rsidP="000B332F">
      <w:pPr>
        <w:rPr>
          <w:lang w:val="en-GB"/>
        </w:rPr>
      </w:pPr>
      <w:r w:rsidRPr="008040A0">
        <w:rPr>
          <w:lang w:val="en-GB"/>
        </w:rPr>
        <w:t xml:space="preserve">Many smokers </w:t>
      </w:r>
      <w:r w:rsidR="00034CDF">
        <w:rPr>
          <w:lang w:val="en-GB"/>
        </w:rPr>
        <w:t xml:space="preserve">do not </w:t>
      </w:r>
      <w:r w:rsidRPr="008040A0">
        <w:rPr>
          <w:lang w:val="en-GB"/>
        </w:rPr>
        <w:t>mak</w:t>
      </w:r>
      <w:r w:rsidR="00034CDF">
        <w:rPr>
          <w:lang w:val="en-GB"/>
        </w:rPr>
        <w:t>e</w:t>
      </w:r>
      <w:r w:rsidRPr="008040A0">
        <w:rPr>
          <w:lang w:val="en-GB"/>
        </w:rPr>
        <w:t xml:space="preserve"> time consistent decisions</w:t>
      </w:r>
      <w:r>
        <w:rPr>
          <w:lang w:val="en-GB"/>
        </w:rPr>
        <w:t xml:space="preserve">, due to </w:t>
      </w:r>
      <w:r w:rsidRPr="008040A0">
        <w:rPr>
          <w:lang w:val="en-GB"/>
        </w:rPr>
        <w:t xml:space="preserve">either present </w:t>
      </w:r>
      <w:r>
        <w:rPr>
          <w:lang w:val="en-GB"/>
        </w:rPr>
        <w:t>bias or projection bias</w:t>
      </w:r>
      <w:r w:rsidR="00951CB3">
        <w:rPr>
          <w:lang w:val="en-GB"/>
        </w:rPr>
        <w:t xml:space="preserve"> </w:t>
      </w:r>
      <w:r w:rsidR="00A05B75" w:rsidRPr="008040A0">
        <w:rPr>
          <w:lang w:val="en-GB"/>
        </w:rPr>
        <w:fldChar w:fldCharType="begin"/>
      </w:r>
      <w:r w:rsidR="00B1645A">
        <w:rPr>
          <w:lang w:val="en-GB"/>
        </w:rPr>
        <w:instrText xml:space="preserve"> ADDIN EN.CITE &lt;EndNote&gt;&lt;Cite&gt;&lt;Author&gt;Chaloupka&lt;/Author&gt;&lt;Year&gt;2015&lt;/Year&gt;&lt;RecNum&gt;30&lt;/RecNum&gt;&lt;DisplayText&gt;(Chaloupka et al., 2015)&lt;/DisplayText&gt;&lt;record&gt;&lt;rec-number&gt;30&lt;/rec-number&gt;&lt;foreign-keys&gt;&lt;key app="EN" db-id="edfppa0tc0tfd1etp5xvexpnzfefzewwwas9" timestamp="1441592648"&gt;30&lt;/key&gt;&lt;/foreign-keys&gt;&lt;ref-type name="Journal Article"&gt;17&lt;/ref-type&gt;&lt;contributors&gt;&lt;authors&gt;&lt;author&gt;Chaloupka, Frank J&lt;/author&gt;&lt;author&gt;Warner, Kenneth E&lt;/author&gt;&lt;author&gt;Acemoğlu, Daron&lt;/author&gt;&lt;author&gt;Gruber, Jonathan&lt;/author&gt;&lt;author&gt;Laux, Fritz&lt;/author&gt;&lt;author&gt;Max, Wendy&lt;/author&gt;&lt;author&gt;Newhouse, Joseph&lt;/author&gt;&lt;author&gt;Schelling, Thomas&lt;/author&gt;&lt;author&gt;Sindelar, Jody&lt;/author&gt;&lt;/authors&gt;&lt;/contributors&gt;&lt;titles&gt;&lt;title&gt;An evaluation of the FDA&amp;apos;s analysis of the costs and benefits of the graphic warning label regulation&lt;/title&gt;&lt;secondary-title&gt;Tobacco control&lt;/secondary-title&gt;&lt;/titles&gt;&lt;periodical&gt;&lt;full-title&gt;Tobacco control&lt;/full-title&gt;&lt;/periodical&gt;&lt;pages&gt;112-119&lt;/pages&gt;&lt;volume&gt;24&lt;/volume&gt;&lt;number&gt;2&lt;/number&gt;&lt;dates&gt;&lt;year&gt;2015&lt;/year&gt;&lt;pub-dates&gt;&lt;date&gt;March 1, 2015&lt;/date&gt;&lt;/pub-dates&gt;&lt;/dates&gt;&lt;urls&gt;&lt;/urls&gt;&lt;/record&gt;&lt;/Cite&gt;&lt;/EndNote&gt;</w:instrText>
      </w:r>
      <w:r w:rsidR="00A05B75" w:rsidRPr="008040A0">
        <w:rPr>
          <w:lang w:val="en-GB"/>
        </w:rPr>
        <w:fldChar w:fldCharType="separate"/>
      </w:r>
      <w:r w:rsidR="00B1645A">
        <w:rPr>
          <w:noProof/>
          <w:lang w:val="en-GB"/>
        </w:rPr>
        <w:t>(</w:t>
      </w:r>
      <w:hyperlink w:anchor="_ENREF_18" w:tooltip="Chaloupka, 2015 #30" w:history="1">
        <w:r w:rsidR="008A14C8">
          <w:rPr>
            <w:noProof/>
            <w:lang w:val="en-GB"/>
          </w:rPr>
          <w:t>Chaloupka et al., 2015</w:t>
        </w:r>
      </w:hyperlink>
      <w:r w:rsidR="00B1645A">
        <w:rPr>
          <w:noProof/>
          <w:lang w:val="en-GB"/>
        </w:rPr>
        <w:t>)</w:t>
      </w:r>
      <w:r w:rsidR="00A05B75" w:rsidRPr="008040A0">
        <w:fldChar w:fldCharType="end"/>
      </w:r>
      <w:r>
        <w:rPr>
          <w:lang w:val="en-GB"/>
        </w:rPr>
        <w:t xml:space="preserve">. </w:t>
      </w:r>
      <w:r w:rsidRPr="008040A0">
        <w:rPr>
          <w:lang w:val="en-GB"/>
        </w:rPr>
        <w:t xml:space="preserve">Present bias is the tendency to systematically overvalue immediate costs and benefits relative to those in the future, leading to impulsivity and </w:t>
      </w:r>
      <w:r>
        <w:rPr>
          <w:lang w:val="en-GB"/>
        </w:rPr>
        <w:t xml:space="preserve">limitations on </w:t>
      </w:r>
      <w:r w:rsidRPr="008040A0">
        <w:rPr>
          <w:lang w:val="en-GB"/>
        </w:rPr>
        <w:t>self-control</w:t>
      </w:r>
      <w:r w:rsidR="00951CB3">
        <w:rPr>
          <w:lang w:val="en-GB"/>
        </w:rPr>
        <w:t xml:space="preserve"> </w:t>
      </w:r>
      <w:r w:rsidR="00A05B75" w:rsidRPr="008040A0">
        <w:rPr>
          <w:lang w:val="en-GB"/>
        </w:rPr>
        <w:fldChar w:fldCharType="begin"/>
      </w:r>
      <w:r w:rsidR="00B1645A">
        <w:rPr>
          <w:lang w:val="en-GB"/>
        </w:rPr>
        <w:instrText xml:space="preserve"> ADDIN EN.CITE &lt;EndNote&gt;&lt;Cite&gt;&lt;Author&gt;Laibson&lt;/Author&gt;&lt;Year&gt;1997&lt;/Year&gt;&lt;RecNum&gt;31&lt;/RecNum&gt;&lt;DisplayText&gt;(Laibson, 1997)&lt;/DisplayText&gt;&lt;record&gt;&lt;rec-number&gt;31&lt;/rec-number&gt;&lt;foreign-keys&gt;&lt;key app="EN" db-id="edfppa0tc0tfd1etp5xvexpnzfefzewwwas9" timestamp="1441592648"&gt;31&lt;/key&gt;&lt;/foreign-keys&gt;&lt;ref-type name="Journal Article"&gt;17&lt;/ref-type&gt;&lt;contributors&gt;&lt;authors&gt;&lt;author&gt;Laibson, David&lt;/author&gt;&lt;/authors&gt;&lt;/contributors&gt;&lt;titles&gt;&lt;title&gt;Golden Eggs and Hyperbolic Discounting&lt;/title&gt;&lt;secondary-title&gt;The Quarterly Journal of Economics&lt;/secondary-title&gt;&lt;/titles&gt;&lt;periodical&gt;&lt;full-title&gt;The Quarterly Journal of Economics&lt;/full-title&gt;&lt;/periodical&gt;&lt;pages&gt;443-478&lt;/pages&gt;&lt;volume&gt;112&lt;/volume&gt;&lt;number&gt;2&lt;/number&gt;&lt;dates&gt;&lt;year&gt;1997&lt;/year&gt;&lt;pub-dates&gt;&lt;date&gt;May 1, 1997&lt;/date&gt;&lt;/pub-dates&gt;&lt;/dates&gt;&lt;urls&gt;&lt;/urls&gt;&lt;/record&gt;&lt;/Cite&gt;&lt;/EndNote&gt;</w:instrText>
      </w:r>
      <w:r w:rsidR="00A05B75" w:rsidRPr="008040A0">
        <w:rPr>
          <w:lang w:val="en-GB"/>
        </w:rPr>
        <w:fldChar w:fldCharType="separate"/>
      </w:r>
      <w:r w:rsidR="00B1645A">
        <w:rPr>
          <w:noProof/>
          <w:lang w:val="en-GB"/>
        </w:rPr>
        <w:t>(</w:t>
      </w:r>
      <w:hyperlink w:anchor="_ENREF_46" w:tooltip="Laibson, 1997 #31" w:history="1">
        <w:r w:rsidR="008A14C8">
          <w:rPr>
            <w:noProof/>
            <w:lang w:val="en-GB"/>
          </w:rPr>
          <w:t>Laibson, 1997</w:t>
        </w:r>
      </w:hyperlink>
      <w:r w:rsidR="00B1645A">
        <w:rPr>
          <w:noProof/>
          <w:lang w:val="en-GB"/>
        </w:rPr>
        <w:t>)</w:t>
      </w:r>
      <w:r w:rsidR="00A05B75" w:rsidRPr="008040A0">
        <w:fldChar w:fldCharType="end"/>
      </w:r>
      <w:r>
        <w:rPr>
          <w:lang w:val="en-GB"/>
        </w:rPr>
        <w:t xml:space="preserve">. </w:t>
      </w:r>
      <w:r w:rsidRPr="008040A0">
        <w:rPr>
          <w:lang w:val="en-GB"/>
        </w:rPr>
        <w:t>Projection bias is the tendency to under</w:t>
      </w:r>
      <w:r>
        <w:rPr>
          <w:lang w:val="en-GB"/>
        </w:rPr>
        <w:t>-estimate</w:t>
      </w:r>
      <w:r w:rsidRPr="008040A0">
        <w:rPr>
          <w:lang w:val="en-GB"/>
        </w:rPr>
        <w:t xml:space="preserve"> how much a person’s preferences will change in the future</w:t>
      </w:r>
      <w:r>
        <w:rPr>
          <w:lang w:val="en-GB"/>
        </w:rPr>
        <w:t>. T</w:t>
      </w:r>
      <w:r w:rsidRPr="008040A0">
        <w:rPr>
          <w:lang w:val="en-GB"/>
        </w:rPr>
        <w:t>hat is, smokers may under</w:t>
      </w:r>
      <w:r>
        <w:rPr>
          <w:lang w:val="en-GB"/>
        </w:rPr>
        <w:t>estimate</w:t>
      </w:r>
      <w:r w:rsidRPr="008040A0">
        <w:rPr>
          <w:lang w:val="en-GB"/>
        </w:rPr>
        <w:t xml:space="preserve"> the degree to which they will value being smoke-free</w:t>
      </w:r>
      <w:r w:rsidR="00951CB3">
        <w:rPr>
          <w:lang w:val="en-GB"/>
        </w:rPr>
        <w:t xml:space="preserve"> </w:t>
      </w:r>
      <w:r w:rsidR="00CB3BC0">
        <w:rPr>
          <w:lang w:val="en-GB"/>
        </w:rPr>
        <w:t xml:space="preserve">in the future </w:t>
      </w:r>
      <w:r w:rsidR="00A05B75" w:rsidRPr="008040A0">
        <w:rPr>
          <w:lang w:val="en-GB"/>
        </w:rPr>
        <w:fldChar w:fldCharType="begin"/>
      </w:r>
      <w:r w:rsidR="00B1645A">
        <w:rPr>
          <w:lang w:val="en-GB"/>
        </w:rPr>
        <w:instrText xml:space="preserve"> ADDIN EN.CITE &lt;EndNote&gt;&lt;Cite&gt;&lt;Author&gt;Loewenstein&lt;/Author&gt;&lt;Year&gt;2003&lt;/Year&gt;&lt;RecNum&gt;32&lt;/RecNum&gt;&lt;DisplayText&gt;(Loewenstein, O&amp;apos;Donoghue, &amp;amp; Rabin, 2003)&lt;/DisplayText&gt;&lt;record&gt;&lt;rec-number&gt;32&lt;/rec-number&gt;&lt;foreign-keys&gt;&lt;key app="EN" db-id="edfppa0tc0tfd1etp5xvexpnzfefzewwwas9" timestamp="1441592648"&gt;32&lt;/key&gt;&lt;/foreign-keys&gt;&lt;ref-type name="Journal Article"&gt;17&lt;/ref-type&gt;&lt;contributors&gt;&lt;authors&gt;&lt;author&gt;Loewenstein, George&lt;/author&gt;&lt;author&gt;O&amp;apos;Donoghue, Ted&lt;/author&gt;&lt;author&gt;Rabin, Matthew&lt;/author&gt;&lt;/authors&gt;&lt;/contributors&gt;&lt;titles&gt;&lt;title&gt;Projection Bias in Predicting Future Utility&lt;/title&gt;&lt;secondary-title&gt;The Quarterly Journal of Economics&lt;/secondary-title&gt;&lt;/titles&gt;&lt;periodical&gt;&lt;full-title&gt;The Quarterly Journal of Economics&lt;/full-title&gt;&lt;/periodical&gt;&lt;pages&gt;1209-1248&lt;/pages&gt;&lt;volume&gt;118&lt;/volume&gt;&lt;number&gt;4&lt;/number&gt;&lt;dates&gt;&lt;year&gt;2003&lt;/year&gt;&lt;pub-dates&gt;&lt;date&gt;November 1, 2003&lt;/date&gt;&lt;/pub-dates&gt;&lt;/dates&gt;&lt;urls&gt;&lt;/urls&gt;&lt;/record&gt;&lt;/Cite&gt;&lt;/EndNote&gt;</w:instrText>
      </w:r>
      <w:r w:rsidR="00A05B75" w:rsidRPr="008040A0">
        <w:rPr>
          <w:lang w:val="en-GB"/>
        </w:rPr>
        <w:fldChar w:fldCharType="separate"/>
      </w:r>
      <w:r w:rsidR="00B1645A">
        <w:rPr>
          <w:noProof/>
          <w:lang w:val="en-GB"/>
        </w:rPr>
        <w:t>(</w:t>
      </w:r>
      <w:hyperlink w:anchor="_ENREF_47" w:tooltip="Loewenstein, 2003 #32" w:history="1">
        <w:r w:rsidR="008A14C8">
          <w:rPr>
            <w:noProof/>
            <w:lang w:val="en-GB"/>
          </w:rPr>
          <w:t>Loewenstein, O'Donoghue, &amp; Rabin, 2003</w:t>
        </w:r>
      </w:hyperlink>
      <w:r w:rsidR="00B1645A">
        <w:rPr>
          <w:noProof/>
          <w:lang w:val="en-GB"/>
        </w:rPr>
        <w:t>)</w:t>
      </w:r>
      <w:r w:rsidR="00A05B75" w:rsidRPr="008040A0">
        <w:fldChar w:fldCharType="end"/>
      </w:r>
      <w:r>
        <w:rPr>
          <w:lang w:val="en-GB"/>
        </w:rPr>
        <w:t>.</w:t>
      </w:r>
      <w:r w:rsidRPr="008040A0">
        <w:rPr>
          <w:lang w:val="en-GB"/>
        </w:rPr>
        <w:t xml:space="preserve"> Moreover, many smokers are not fully informed with respect to the associated health risks of smoking</w:t>
      </w:r>
      <w:r w:rsidR="00735608">
        <w:rPr>
          <w:lang w:val="en-GB"/>
        </w:rPr>
        <w:t xml:space="preserve"> (</w:t>
      </w:r>
      <w:r w:rsidR="00A05B75">
        <w:rPr>
          <w:lang w:val="en-GB"/>
        </w:rPr>
        <w:fldChar w:fldCharType="begin"/>
      </w:r>
      <w:r w:rsidR="00B1645A">
        <w:rPr>
          <w:lang w:val="en-GB"/>
        </w:rPr>
        <w:instrText xml:space="preserve"> ADDIN EN.CITE &lt;EndNote&gt;&lt;Cite&gt;&lt;Author&gt;World Health Organisation Framework Convention on Tobacco Control&lt;/Author&gt;&lt;Year&gt;2008&lt;/Year&gt;&lt;RecNum&gt;33&lt;/RecNum&gt;&lt;DisplayText&gt;(Grey, Hoek, &amp;amp; Edwards, 2014; World Health Organisation Framework Convention on Tobacco Control, 2008)&lt;/DisplayText&gt;&lt;record&gt;&lt;rec-number&gt;33&lt;/rec-number&gt;&lt;foreign-keys&gt;&lt;key app="EN" db-id="edfppa0tc0tfd1etp5xvexpnzfefzewwwas9" timestamp="1441592648"&gt;33&lt;/key&gt;&lt;/foreign-keys&gt;&lt;ref-type name="Government Document"&gt;46&lt;/ref-type&gt;&lt;contributors&gt;&lt;authors&gt;&lt;author&gt;World Health Organisation Framework Convention on Tobacco Control,&lt;/author&gt;&lt;/authors&gt;&lt;/contributors&gt;&lt;titles&gt;&lt;title&gt;Guidelines for implementation of Article 11&lt;/title&gt;&lt;/titles&gt;&lt;dates&gt;&lt;year&gt;2008&lt;/year&gt;&lt;/dates&gt;&lt;pub-location&gt;http://www.who.int/fctc/guidelines/adopted/article_11/en/&lt;/pub-location&gt;&lt;publisher&gt;World Health Organisation&lt;/publisher&gt;&lt;urls&gt;&lt;/urls&gt;&lt;/record&gt;&lt;/Cite&gt;&lt;Cite&gt;&lt;Author&gt;Grey&lt;/Author&gt;&lt;Year&gt;2014&lt;/Year&gt;&lt;RecNum&gt;34&lt;/RecNum&gt;&lt;record&gt;&lt;rec-number&gt;34&lt;/rec-number&gt;&lt;foreign-keys&gt;&lt;key app="EN" db-id="edfppa0tc0tfd1etp5xvexpnzfefzewwwas9" timestamp="1441592648"&gt;34&lt;/key&gt;&lt;/foreign-keys&gt;&lt;ref-type name="Journal Article"&gt;17&lt;/ref-type&gt;&lt;contributors&gt;&lt;authors&gt;&lt;author&gt;Grey, R. J.&lt;/author&gt;&lt;author&gt;Hoek, J.&lt;/author&gt;&lt;author&gt;Edwards, R.&lt;/author&gt;&lt;/authors&gt;&lt;/contributors&gt;&lt;titles&gt;&lt;title&gt;A qualitative analysis of &amp;apos;informed choice&amp;apos; among young adult smokers&lt;/title&gt;&lt;secondary-title&gt;Tobacco control&lt;/secondary-title&gt;&lt;/titles&gt;&lt;periodical&gt;&lt;full-title&gt;Tobacco control&lt;/full-title&gt;&lt;/periodical&gt;&lt;pages&gt;1-6&lt;/pages&gt;&lt;volume&gt;0&lt;/volume&gt;&lt;dates&gt;&lt;year&gt;2014&lt;/year&gt;&lt;/dates&gt;&lt;isbn&gt;0964-4563&lt;/isbn&gt;&lt;urls&gt;&lt;/urls&gt;&lt;/record&gt;&lt;/Cite&gt;&lt;/EndNote&gt;</w:instrText>
      </w:r>
      <w:r w:rsidR="00A05B75">
        <w:rPr>
          <w:lang w:val="en-GB"/>
        </w:rPr>
        <w:fldChar w:fldCharType="separate"/>
      </w:r>
      <w:hyperlink w:anchor="_ENREF_31" w:tooltip="Grey, 2014 #34" w:history="1">
        <w:r w:rsidR="008A14C8">
          <w:rPr>
            <w:noProof/>
            <w:lang w:val="en-GB"/>
          </w:rPr>
          <w:t>Grey, Hoek, &amp; Edwards, 2014</w:t>
        </w:r>
      </w:hyperlink>
      <w:r w:rsidR="00B1645A">
        <w:rPr>
          <w:noProof/>
          <w:lang w:val="en-GB"/>
        </w:rPr>
        <w:t xml:space="preserve">; </w:t>
      </w:r>
      <w:hyperlink w:anchor="_ENREF_71" w:tooltip="World Health Organisation Framework Convention on Tobacco Control, 2008 #33" w:history="1">
        <w:r w:rsidR="008A14C8">
          <w:rPr>
            <w:noProof/>
            <w:lang w:val="en-GB"/>
          </w:rPr>
          <w:t>World Health Organisation Framework Convention on Tobacco Control, 2008</w:t>
        </w:r>
      </w:hyperlink>
      <w:r w:rsidR="00B1645A">
        <w:rPr>
          <w:noProof/>
          <w:lang w:val="en-GB"/>
        </w:rPr>
        <w:t>)</w:t>
      </w:r>
      <w:r w:rsidR="00A05B75">
        <w:rPr>
          <w:lang w:val="en-GB"/>
        </w:rPr>
        <w:fldChar w:fldCharType="end"/>
      </w:r>
      <w:r w:rsidR="00735608">
        <w:rPr>
          <w:lang w:val="en-GB"/>
        </w:rPr>
        <w:t>;</w:t>
      </w:r>
      <w:r w:rsidR="00951CB3">
        <w:rPr>
          <w:lang w:val="en-GB"/>
        </w:rPr>
        <w:t xml:space="preserve"> </w:t>
      </w:r>
      <w:r w:rsidRPr="008040A0">
        <w:rPr>
          <w:lang w:val="en-GB"/>
        </w:rPr>
        <w:t xml:space="preserve">or with respect to addiction. </w:t>
      </w:r>
      <w:r w:rsidR="00237183">
        <w:rPr>
          <w:lang w:val="en-GB"/>
        </w:rPr>
        <w:t xml:space="preserve">A review of standardised </w:t>
      </w:r>
      <w:r w:rsidR="00826A4E">
        <w:rPr>
          <w:lang w:val="en-GB"/>
        </w:rPr>
        <w:t>tobacco plain packaging</w:t>
      </w:r>
      <w:r w:rsidR="00237183">
        <w:rPr>
          <w:lang w:val="en-GB"/>
        </w:rPr>
        <w:t xml:space="preserve"> conducted for the UK government n</w:t>
      </w:r>
      <w:r w:rsidRPr="008040A0">
        <w:rPr>
          <w:lang w:val="en-GB"/>
        </w:rPr>
        <w:t>ote</w:t>
      </w:r>
      <w:r w:rsidR="00237183">
        <w:rPr>
          <w:lang w:val="en-GB"/>
        </w:rPr>
        <w:t>s</w:t>
      </w:r>
      <w:r w:rsidRPr="008040A0">
        <w:rPr>
          <w:lang w:val="en-GB"/>
        </w:rPr>
        <w:t>, “addiction to nicotine involves multiple processes, with evidence suggesting adolescents can experience a loss of autonomy very soon after the first cigarette”</w:t>
      </w:r>
      <w:r w:rsidR="00237183" w:rsidRPr="00237183">
        <w:rPr>
          <w:lang w:val="en-GB"/>
        </w:rPr>
        <w:t xml:space="preserve"> </w:t>
      </w:r>
      <w:r w:rsidR="00344420">
        <w:rPr>
          <w:lang w:val="en-GB"/>
        </w:rPr>
        <w:t xml:space="preserve">(p. 3) </w:t>
      </w:r>
      <w:r w:rsidR="00A05B75" w:rsidRPr="008040A0">
        <w:rPr>
          <w:lang w:val="en-GB"/>
        </w:rPr>
        <w:fldChar w:fldCharType="begin"/>
      </w:r>
      <w:r w:rsidR="00C95CF3">
        <w:rPr>
          <w:lang w:val="en-GB"/>
        </w:rPr>
        <w:instrText xml:space="preserve"> ADDIN EN.CITE &lt;EndNote&gt;&lt;Cite&gt;&lt;Author&gt;Chantler&lt;/Author&gt;&lt;Year&gt;April 2014&lt;/Year&gt;&lt;RecNum&gt;35&lt;/RecNum&gt;&lt;DisplayText&gt;(Chantler, April 2014)&lt;/DisplayText&gt;&lt;record&gt;&lt;rec-number&gt;35&lt;/rec-number&gt;&lt;foreign-keys&gt;&lt;key app="EN" db-id="edfppa0tc0tfd1etp5xvexpnzfefzewwwas9" timestamp="1441592648"&gt;35&lt;/key&gt;&lt;/foreign-keys&gt;&lt;ref-type name="Government Document"&gt;46&lt;/ref-type&gt;&lt;contributors&gt;&lt;authors&gt;&lt;author&gt;Chantler, Sir Cyril&lt;/author&gt;&lt;/authors&gt;&lt;/contributors&gt;&lt;titles&gt;&lt;title&gt;Standardised packaging of tobacco. Report of the independent review undertaken by Sir Cyril Chantler.&lt;/title&gt;&lt;/titles&gt;&lt;dates&gt;&lt;year&gt;April 2014&lt;/year&gt;&lt;/dates&gt;&lt;urls&gt;&lt;/urls&gt;&lt;/record&gt;&lt;/Cite&gt;&lt;/EndNote&gt;</w:instrText>
      </w:r>
      <w:r w:rsidR="00A05B75" w:rsidRPr="008040A0">
        <w:rPr>
          <w:lang w:val="en-GB"/>
        </w:rPr>
        <w:fldChar w:fldCharType="separate"/>
      </w:r>
      <w:r w:rsidR="00B1645A">
        <w:rPr>
          <w:noProof/>
          <w:lang w:val="en-GB"/>
        </w:rPr>
        <w:t>(</w:t>
      </w:r>
      <w:hyperlink w:anchor="_ENREF_19" w:tooltip="Chantler, April 2014 #35" w:history="1">
        <w:r w:rsidR="008A14C8">
          <w:rPr>
            <w:noProof/>
            <w:lang w:val="en-GB"/>
          </w:rPr>
          <w:t>Chantler, April 2014</w:t>
        </w:r>
      </w:hyperlink>
      <w:r w:rsidR="00B1645A">
        <w:rPr>
          <w:noProof/>
          <w:lang w:val="en-GB"/>
        </w:rPr>
        <w:t>)</w:t>
      </w:r>
      <w:r w:rsidR="00A05B75" w:rsidRPr="008040A0">
        <w:fldChar w:fldCharType="end"/>
      </w:r>
      <w:r w:rsidRPr="008040A0">
        <w:rPr>
          <w:lang w:val="en-GB"/>
        </w:rPr>
        <w:t>. Most notably,</w:t>
      </w:r>
      <w:r>
        <w:rPr>
          <w:lang w:val="en-GB"/>
        </w:rPr>
        <w:t xml:space="preserve"> a US study of </w:t>
      </w:r>
      <w:r w:rsidRPr="008040A0">
        <w:rPr>
          <w:lang w:val="en-GB"/>
        </w:rPr>
        <w:t>high school seniors</w:t>
      </w:r>
      <w:r>
        <w:rPr>
          <w:lang w:val="en-GB"/>
        </w:rPr>
        <w:t xml:space="preserve"> found that only</w:t>
      </w:r>
      <w:r w:rsidRPr="008040A0">
        <w:rPr>
          <w:lang w:val="en-GB"/>
        </w:rPr>
        <w:t xml:space="preserve"> 3% of those smoking daily thought that they would definitely be smoking in five years, whereas almost two-thirds were still smoking </w:t>
      </w:r>
      <w:r>
        <w:rPr>
          <w:lang w:val="en-GB"/>
        </w:rPr>
        <w:t>seven-to-nine</w:t>
      </w:r>
      <w:r w:rsidRPr="008040A0">
        <w:rPr>
          <w:lang w:val="en-GB"/>
        </w:rPr>
        <w:t xml:space="preserve"> years later</w:t>
      </w:r>
      <w:r w:rsidR="00951CB3">
        <w:rPr>
          <w:lang w:val="en-GB"/>
        </w:rPr>
        <w:t xml:space="preserve"> </w:t>
      </w:r>
      <w:r w:rsidR="00A05B75" w:rsidRPr="008040A0">
        <w:rPr>
          <w:lang w:val="en-GB"/>
        </w:rPr>
        <w:fldChar w:fldCharType="begin"/>
      </w:r>
      <w:r w:rsidR="00B1645A">
        <w:rPr>
          <w:lang w:val="en-GB"/>
        </w:rPr>
        <w:instrText xml:space="preserve"> ADDIN EN.CITE &lt;EndNote&gt;&lt;Cite&gt;&lt;Author&gt;Johnston&lt;/Author&gt;&lt;Year&gt;2013&lt;/Year&gt;&lt;RecNum&gt;36&lt;/RecNum&gt;&lt;DisplayText&gt;(Johnston, O&amp;apos;Malley, Bachman, Schulenberg, &amp;amp; Miech, 2013)&lt;/DisplayText&gt;&lt;record&gt;&lt;rec-number&gt;36&lt;/rec-number&gt;&lt;foreign-keys&gt;&lt;key app="EN" db-id="edfppa0tc0tfd1etp5xvexpnzfefzewwwas9" timestamp="1441592648"&gt;36&lt;/key&gt;&lt;/foreign-keys&gt;&lt;ref-type name="Book"&gt;6&lt;/ref-type&gt;&lt;contributors&gt;&lt;authors&gt;&lt;author&gt;Johnston, Lloyd D&lt;/author&gt;&lt;author&gt;O&amp;apos;Malley, Patrick M&lt;/author&gt;&lt;author&gt;Bachman, Jerald G&lt;/author&gt;&lt;author&gt;Schulenberg, John E&lt;/author&gt;&lt;author&gt;Miech, Richard A&lt;/author&gt;&lt;/authors&gt;&lt;/contributors&gt;&lt;titles&gt;&lt;title&gt;Monitoring the future national survey results on drug use 1975-2013&lt;/title&gt;&lt;/titles&gt;&lt;dates&gt;&lt;year&gt;2013&lt;/year&gt;&lt;/dates&gt;&lt;pub-location&gt;Ann Arbor, MI&lt;/pub-location&gt;&lt;publisher&gt;Institute for Social Research, The University of Michigan&lt;/publisher&gt;&lt;urls&gt;&lt;/urls&gt;&lt;/record&gt;&lt;/Cite&gt;&lt;/EndNote&gt;</w:instrText>
      </w:r>
      <w:r w:rsidR="00A05B75" w:rsidRPr="008040A0">
        <w:rPr>
          <w:lang w:val="en-GB"/>
        </w:rPr>
        <w:fldChar w:fldCharType="separate"/>
      </w:r>
      <w:r w:rsidR="00B1645A">
        <w:rPr>
          <w:noProof/>
          <w:lang w:val="en-GB"/>
        </w:rPr>
        <w:t>(</w:t>
      </w:r>
      <w:hyperlink w:anchor="_ENREF_36" w:tooltip="Johnston, 2013 #36" w:history="1">
        <w:r w:rsidR="008A14C8">
          <w:rPr>
            <w:noProof/>
            <w:lang w:val="en-GB"/>
          </w:rPr>
          <w:t>Johnston, O'Malley, Bachman, Schulenberg, &amp; Miech, 2013</w:t>
        </w:r>
      </w:hyperlink>
      <w:r w:rsidR="00B1645A">
        <w:rPr>
          <w:noProof/>
          <w:lang w:val="en-GB"/>
        </w:rPr>
        <w:t>)</w:t>
      </w:r>
      <w:r w:rsidR="00A05B75" w:rsidRPr="008040A0">
        <w:fldChar w:fldCharType="end"/>
      </w:r>
      <w:r>
        <w:rPr>
          <w:lang w:val="en-GB"/>
        </w:rPr>
        <w:t>.</w:t>
      </w:r>
    </w:p>
    <w:p w14:paraId="42C8AED9" w14:textId="3CDB04B9" w:rsidR="00917B55" w:rsidRPr="008040A0" w:rsidRDefault="00917B55" w:rsidP="000B332F">
      <w:pPr>
        <w:rPr>
          <w:lang w:val="en-GB"/>
        </w:rPr>
      </w:pPr>
      <w:r w:rsidRPr="008040A0">
        <w:rPr>
          <w:lang w:val="en-GB"/>
        </w:rPr>
        <w:t>In Australia, the difficulty of making rational decisions which involve</w:t>
      </w:r>
      <w:r w:rsidR="00CB3BC0">
        <w:rPr>
          <w:lang w:val="en-GB"/>
        </w:rPr>
        <w:t>s</w:t>
      </w:r>
      <w:r w:rsidRPr="008040A0">
        <w:rPr>
          <w:lang w:val="en-GB"/>
        </w:rPr>
        <w:t xml:space="preserve"> a trade-off between short-term gain and long-term consequences </w:t>
      </w:r>
      <w:r w:rsidR="00185157">
        <w:rPr>
          <w:lang w:val="en-GB"/>
        </w:rPr>
        <w:t>is</w:t>
      </w:r>
      <w:r w:rsidRPr="008040A0">
        <w:rPr>
          <w:lang w:val="en-GB"/>
        </w:rPr>
        <w:t xml:space="preserve"> recognised. For example, the sale of tobacco and alcohol or the provision of credit, are prohibited to those aged below 18 years. That is, below 18 is considered </w:t>
      </w:r>
      <w:r>
        <w:rPr>
          <w:lang w:val="en-GB"/>
        </w:rPr>
        <w:t>an age of ‘insufficient reason’</w:t>
      </w:r>
      <w:r w:rsidR="00951CB3">
        <w:rPr>
          <w:lang w:val="en-GB"/>
        </w:rPr>
        <w:t xml:space="preserve"> </w:t>
      </w:r>
      <w:r w:rsidR="00A05B75" w:rsidRPr="008040A0">
        <w:rPr>
          <w:lang w:val="en-GB"/>
        </w:rPr>
        <w:fldChar w:fldCharType="begin"/>
      </w:r>
      <w:r w:rsidR="00B1645A">
        <w:rPr>
          <w:lang w:val="en-GB"/>
        </w:rPr>
        <w:instrText xml:space="preserve"> ADDIN EN.CITE &lt;EndNote&gt;&lt;Cite&gt;&lt;Author&gt;Chaloupka&lt;/Author&gt;&lt;Year&gt;2015&lt;/Year&gt;&lt;RecNum&gt;30&lt;/RecNum&gt;&lt;DisplayText&gt;(Chaloupka et al., 2015)&lt;/DisplayText&gt;&lt;record&gt;&lt;rec-number&gt;30&lt;/rec-number&gt;&lt;foreign-keys&gt;&lt;key app="EN" db-id="edfppa0tc0tfd1etp5xvexpnzfefzewwwas9" timestamp="1441592648"&gt;30&lt;/key&gt;&lt;/foreign-keys&gt;&lt;ref-type name="Journal Article"&gt;17&lt;/ref-type&gt;&lt;contributors&gt;&lt;authors&gt;&lt;author&gt;Chaloupka, Frank J&lt;/author&gt;&lt;author&gt;Warner, Kenneth E&lt;/author&gt;&lt;author&gt;Acemoğlu, Daron&lt;/author&gt;&lt;author&gt;Gruber, Jonathan&lt;/author&gt;&lt;author&gt;Laux, Fritz&lt;/author&gt;&lt;author&gt;Max, Wendy&lt;/author&gt;&lt;author&gt;Newhouse, Joseph&lt;/author&gt;&lt;author&gt;Schelling, Thomas&lt;/author&gt;&lt;author&gt;Sindelar, Jody&lt;/author&gt;&lt;/authors&gt;&lt;/contributors&gt;&lt;titles&gt;&lt;title&gt;An evaluation of the FDA&amp;apos;s analysis of the costs and benefits of the graphic warning label regulation&lt;/title&gt;&lt;secondary-title&gt;Tobacco control&lt;/secondary-title&gt;&lt;/titles&gt;&lt;periodical&gt;&lt;full-title&gt;Tobacco control&lt;/full-title&gt;&lt;/periodical&gt;&lt;pages&gt;112-119&lt;/pages&gt;&lt;volume&gt;24&lt;/volume&gt;&lt;number&gt;2&lt;/number&gt;&lt;dates&gt;&lt;year&gt;2015&lt;/year&gt;&lt;pub-dates&gt;&lt;date&gt;March 1, 2015&lt;/date&gt;&lt;/pub-dates&gt;&lt;/dates&gt;&lt;urls&gt;&lt;/urls&gt;&lt;/record&gt;&lt;/Cite&gt;&lt;/EndNote&gt;</w:instrText>
      </w:r>
      <w:r w:rsidR="00A05B75" w:rsidRPr="008040A0">
        <w:rPr>
          <w:lang w:val="en-GB"/>
        </w:rPr>
        <w:fldChar w:fldCharType="separate"/>
      </w:r>
      <w:r w:rsidR="00B1645A">
        <w:rPr>
          <w:noProof/>
          <w:lang w:val="en-GB"/>
        </w:rPr>
        <w:t>(</w:t>
      </w:r>
      <w:hyperlink w:anchor="_ENREF_18" w:tooltip="Chaloupka, 2015 #30" w:history="1">
        <w:r w:rsidR="008A14C8">
          <w:rPr>
            <w:noProof/>
            <w:lang w:val="en-GB"/>
          </w:rPr>
          <w:t>Chaloupka et al., 2015</w:t>
        </w:r>
      </w:hyperlink>
      <w:r w:rsidR="00B1645A">
        <w:rPr>
          <w:noProof/>
          <w:lang w:val="en-GB"/>
        </w:rPr>
        <w:t>)</w:t>
      </w:r>
      <w:r w:rsidR="00A05B75" w:rsidRPr="008040A0">
        <w:fldChar w:fldCharType="end"/>
      </w:r>
      <w:r>
        <w:rPr>
          <w:lang w:val="en-GB"/>
        </w:rPr>
        <w:t xml:space="preserve">. </w:t>
      </w:r>
      <w:r w:rsidRPr="008040A0">
        <w:rPr>
          <w:lang w:val="en-GB"/>
        </w:rPr>
        <w:t>However, the average age of smoking initia</w:t>
      </w:r>
      <w:r>
        <w:rPr>
          <w:lang w:val="en-GB"/>
        </w:rPr>
        <w:t>tion is 15.9 years in Australia</w:t>
      </w:r>
      <w:r w:rsidR="00951CB3">
        <w:rPr>
          <w:lang w:val="en-GB"/>
        </w:rPr>
        <w:t xml:space="preserve"> </w:t>
      </w:r>
      <w:r w:rsidR="00A05B75" w:rsidRPr="008040A0">
        <w:rPr>
          <w:lang w:val="en-GB"/>
        </w:rPr>
        <w:fldChar w:fldCharType="begin"/>
      </w:r>
      <w:r w:rsidR="00B1645A">
        <w:rPr>
          <w:lang w:val="en-GB"/>
        </w:rPr>
        <w:instrText xml:space="preserve"> ADDIN EN.CITE &lt;EndNote&gt;&lt;Cite&gt;&lt;Author&gt;Australian Institute of Health and Welfare&lt;/Author&gt;&lt;Year&gt;2014&lt;/Year&gt;&lt;RecNum&gt;5&lt;/RecNum&gt;&lt;DisplayText&gt;(Australian Institute of Health and Welfare, 2014)&lt;/DisplayText&gt;&lt;record&gt;&lt;rec-number&gt;5&lt;/rec-number&gt;&lt;foreign-keys&gt;&lt;key app="EN" db-id="edfppa0tc0tfd1etp5xvexpnzfefzewwwas9" timestamp="1441592648"&gt;5&lt;/key&gt;&lt;/foreign-keys&gt;&lt;ref-type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no.28 Cat. no. PHE 183&lt;/secondary-title&gt;&lt;/titles&gt;&lt;volume&gt;Drug statistics series no.28 Cat. no. PHE 183&lt;/volume&gt;&lt;dates&gt;&lt;year&gt;2014&lt;/year&gt;&lt;/dates&gt;&lt;pub-location&gt;Canberra&lt;/pub-location&gt;&lt;publisher&gt;AIHW&lt;/publisher&gt;&lt;urls&gt;&lt;/urls&gt;&lt;/record&gt;&lt;/Cite&gt;&lt;/EndNote&gt;</w:instrText>
      </w:r>
      <w:r w:rsidR="00A05B75" w:rsidRPr="008040A0">
        <w:rPr>
          <w:lang w:val="en-GB"/>
        </w:rPr>
        <w:fldChar w:fldCharType="separate"/>
      </w:r>
      <w:r w:rsidR="00B1645A">
        <w:rPr>
          <w:noProof/>
          <w:lang w:val="en-GB"/>
        </w:rPr>
        <w:t>(</w:t>
      </w:r>
      <w:hyperlink w:anchor="_ENREF_7" w:tooltip="Australian Institute of Health and Welfare, 2014 #5" w:history="1">
        <w:r w:rsidR="008A14C8">
          <w:rPr>
            <w:noProof/>
            <w:lang w:val="en-GB"/>
          </w:rPr>
          <w:t>Australian Institute of Health and Welfare, 2014</w:t>
        </w:r>
      </w:hyperlink>
      <w:r w:rsidR="00B1645A">
        <w:rPr>
          <w:noProof/>
          <w:lang w:val="en-GB"/>
        </w:rPr>
        <w:t>)</w:t>
      </w:r>
      <w:r w:rsidR="00A05B75" w:rsidRPr="008040A0">
        <w:fldChar w:fldCharType="end"/>
      </w:r>
      <w:r>
        <w:rPr>
          <w:lang w:val="en-GB"/>
        </w:rPr>
        <w:t>.</w:t>
      </w:r>
      <w:r w:rsidRPr="008040A0">
        <w:rPr>
          <w:lang w:val="en-GB"/>
        </w:rPr>
        <w:t xml:space="preserve"> As such, within Australia it is unlikely that decisions regarding smoking constitute</w:t>
      </w:r>
      <w:r w:rsidR="00A43F9A">
        <w:rPr>
          <w:lang w:val="en-GB"/>
        </w:rPr>
        <w:t xml:space="preserve"> rational decisions</w:t>
      </w:r>
      <w:r w:rsidRPr="008040A0">
        <w:rPr>
          <w:lang w:val="en-GB"/>
        </w:rPr>
        <w:t xml:space="preserve"> </w:t>
      </w:r>
      <w:r w:rsidR="00315A1F">
        <w:rPr>
          <w:lang w:val="en-GB"/>
        </w:rPr>
        <w:t xml:space="preserve">by persons </w:t>
      </w:r>
      <w:r w:rsidRPr="008040A0">
        <w:rPr>
          <w:lang w:val="en-GB"/>
        </w:rPr>
        <w:t xml:space="preserve">who are </w:t>
      </w:r>
      <w:r w:rsidRPr="00A43F9A">
        <w:rPr>
          <w:lang w:val="en-GB"/>
        </w:rPr>
        <w:t>fully informed</w:t>
      </w:r>
      <w:r w:rsidRPr="008040A0">
        <w:rPr>
          <w:lang w:val="en-GB"/>
        </w:rPr>
        <w:t xml:space="preserve"> about the health consequences of smoking</w:t>
      </w:r>
      <w:r w:rsidR="00A43F9A">
        <w:rPr>
          <w:lang w:val="en-GB"/>
        </w:rPr>
        <w:t xml:space="preserve"> tobacco</w:t>
      </w:r>
      <w:r w:rsidRPr="008040A0">
        <w:rPr>
          <w:lang w:val="en-GB"/>
        </w:rPr>
        <w:t xml:space="preserve">, including </w:t>
      </w:r>
      <w:r w:rsidR="00A43F9A">
        <w:rPr>
          <w:lang w:val="en-GB"/>
        </w:rPr>
        <w:t>its addictiveness</w:t>
      </w:r>
      <w:r w:rsidRPr="008040A0">
        <w:rPr>
          <w:i/>
          <w:lang w:val="en-GB"/>
        </w:rPr>
        <w:t>.</w:t>
      </w:r>
    </w:p>
    <w:p w14:paraId="27E8847D" w14:textId="759E1E90" w:rsidR="00917B55" w:rsidRPr="008040A0" w:rsidRDefault="00917B55" w:rsidP="000B332F">
      <w:pPr>
        <w:rPr>
          <w:lang w:val="en-GB"/>
        </w:rPr>
      </w:pPr>
      <w:r w:rsidRPr="008040A0">
        <w:rPr>
          <w:lang w:val="en-GB"/>
        </w:rPr>
        <w:t>Time inconsistent preferences, information asymmetry and loss of autonomy abate the notion of consume</w:t>
      </w:r>
      <w:r>
        <w:rPr>
          <w:lang w:val="en-GB"/>
        </w:rPr>
        <w:t>r</w:t>
      </w:r>
      <w:r w:rsidRPr="008040A0">
        <w:rPr>
          <w:lang w:val="en-GB"/>
        </w:rPr>
        <w:t xml:space="preserve"> surplus for tobacco products</w:t>
      </w:r>
      <w:r>
        <w:rPr>
          <w:lang w:val="en-GB"/>
        </w:rPr>
        <w:t>.</w:t>
      </w:r>
      <w:r w:rsidRPr="008040A0">
        <w:rPr>
          <w:lang w:val="en-GB"/>
        </w:rPr>
        <w:t xml:space="preserve"> </w:t>
      </w:r>
      <w:r>
        <w:rPr>
          <w:lang w:val="en-GB"/>
        </w:rPr>
        <w:t xml:space="preserve">Within Australia </w:t>
      </w:r>
      <w:r w:rsidRPr="008040A0">
        <w:rPr>
          <w:lang w:val="en-GB"/>
        </w:rPr>
        <w:t xml:space="preserve">89.6% of smokers agreed or strongly agreed with the statement “If you had to do it again, you would not have started </w:t>
      </w:r>
      <w:r w:rsidR="0041498A" w:rsidRPr="008040A0">
        <w:rPr>
          <w:lang w:val="en-GB"/>
        </w:rPr>
        <w:t>smoking</w:t>
      </w:r>
      <w:r w:rsidR="0041498A">
        <w:rPr>
          <w:lang w:val="en-GB"/>
        </w:rPr>
        <w:t>”</w:t>
      </w:r>
      <w:r w:rsidR="00315A1F">
        <w:rPr>
          <w:lang w:val="en-GB"/>
        </w:rPr>
        <w:t xml:space="preserve"> </w:t>
      </w:r>
      <w:r w:rsidR="00A05B75" w:rsidRPr="008040A0">
        <w:rPr>
          <w:lang w:val="en-GB"/>
        </w:rPr>
        <w:fldChar w:fldCharType="begin"/>
      </w:r>
      <w:r w:rsidR="00C95CF3">
        <w:rPr>
          <w:lang w:val="en-GB"/>
        </w:rPr>
        <w:instrText xml:space="preserve"> ADDIN EN.CITE &lt;EndNote&gt;&lt;Cite&gt;&lt;Author&gt;Fong&lt;/Author&gt;&lt;Year&gt;2004&lt;/Year&gt;&lt;RecNum&gt;37&lt;/RecNum&gt;&lt;DisplayText&gt;(Fong et al., 2004)&lt;/DisplayText&gt;&lt;record&gt;&lt;rec-number&gt;37&lt;/rec-number&gt;&lt;foreign-keys&gt;&lt;key app="EN" db-id="edfppa0tc0tfd1etp5xvexpnzfefzewwwas9" timestamp="1441592648"&gt;37&lt;/key&gt;&lt;/foreign-keys&gt;&lt;ref-type name="Journal Article"&gt;17&lt;/ref-type&gt;&lt;contributors&gt;&lt;authors&gt;&lt;author&gt;Fong, Geoffrey T.&lt;/author&gt;&lt;author&gt;Hammond, David&lt;/author&gt;&lt;author&gt;Laux, Fritz L.&lt;/author&gt;&lt;author&gt;Zanna, Mark P.&lt;/author&gt;&lt;author&gt;Cummings, K. Michael&lt;/author&gt;&lt;author&gt;Borland, Ron&lt;/author&gt;&lt;author&gt;Ross, Hana&lt;/author&gt;&lt;/authors&gt;&lt;/contributors&gt;&lt;titles&gt;&lt;title&gt;The near-universal experience of regret among smokers in four countries: Findings from the International Tobacco Control Policy Evaluation Survey&lt;/title&gt;&lt;secondary-title&gt;Nicotine &amp;amp; Tobacco Research&lt;/secondary-title&gt;&lt;/titles&gt;&lt;periodical&gt;&lt;full-title&gt;Nicotine &amp;amp; Tobacco Research&lt;/full-title&gt;&lt;/periodical&gt;&lt;pages&gt;S341-S351&lt;/pages&gt;&lt;volume&gt;6&lt;/volume&gt;&lt;number&gt;Supplementary 3&lt;/number&gt;&lt;dates&gt;&lt;year&gt;2004&lt;/year&gt;&lt;pub-dates&gt;&lt;date&gt;December 1, 2004&lt;/date&gt;&lt;/pub-dates&gt;&lt;/dates&gt;&lt;urls&gt;&lt;/urls&gt;&lt;/record&gt;&lt;/Cite&gt;&lt;/EndNote&gt;</w:instrText>
      </w:r>
      <w:r w:rsidR="00A05B75" w:rsidRPr="008040A0">
        <w:rPr>
          <w:lang w:val="en-GB"/>
        </w:rPr>
        <w:fldChar w:fldCharType="separate"/>
      </w:r>
      <w:r w:rsidR="00B1645A">
        <w:rPr>
          <w:noProof/>
          <w:lang w:val="en-GB"/>
        </w:rPr>
        <w:t>(</w:t>
      </w:r>
      <w:hyperlink w:anchor="_ENREF_30" w:tooltip="Fong, 2004 #37" w:history="1">
        <w:r w:rsidR="008A14C8">
          <w:rPr>
            <w:noProof/>
            <w:lang w:val="en-GB"/>
          </w:rPr>
          <w:t>Fong et al., 2004</w:t>
        </w:r>
      </w:hyperlink>
      <w:r w:rsidR="00B1645A">
        <w:rPr>
          <w:noProof/>
          <w:lang w:val="en-GB"/>
        </w:rPr>
        <w:t>)</w:t>
      </w:r>
      <w:r w:rsidR="00A05B75" w:rsidRPr="008040A0">
        <w:fldChar w:fldCharType="end"/>
      </w:r>
      <w:r>
        <w:rPr>
          <w:lang w:val="en-GB"/>
        </w:rPr>
        <w:t>.</w:t>
      </w:r>
      <w:r w:rsidRPr="008040A0">
        <w:rPr>
          <w:lang w:val="en-GB"/>
        </w:rPr>
        <w:t xml:space="preserve"> Moreover, nearly </w:t>
      </w:r>
      <w:r>
        <w:rPr>
          <w:lang w:val="en-GB"/>
        </w:rPr>
        <w:t>seven</w:t>
      </w:r>
      <w:r w:rsidRPr="008040A0">
        <w:rPr>
          <w:lang w:val="en-GB"/>
        </w:rPr>
        <w:t xml:space="preserve"> </w:t>
      </w:r>
      <w:r>
        <w:rPr>
          <w:lang w:val="en-GB"/>
        </w:rPr>
        <w:t xml:space="preserve">out </w:t>
      </w:r>
      <w:r w:rsidRPr="008040A0">
        <w:rPr>
          <w:lang w:val="en-GB"/>
        </w:rPr>
        <w:t xml:space="preserve">of every </w:t>
      </w:r>
      <w:r w:rsidR="00344420">
        <w:rPr>
          <w:lang w:val="en-GB"/>
        </w:rPr>
        <w:t>ten</w:t>
      </w:r>
      <w:r w:rsidR="00344420" w:rsidRPr="008040A0">
        <w:rPr>
          <w:lang w:val="en-GB"/>
        </w:rPr>
        <w:t xml:space="preserve"> </w:t>
      </w:r>
      <w:r w:rsidRPr="008040A0">
        <w:rPr>
          <w:lang w:val="en-GB"/>
        </w:rPr>
        <w:t xml:space="preserve">smokers reported that they wanted to quit smoking completely and more than half of all smokers stopped smoking </w:t>
      </w:r>
      <w:r w:rsidRPr="008040A0">
        <w:rPr>
          <w:lang w:val="en-GB"/>
        </w:rPr>
        <w:lastRenderedPageBreak/>
        <w:t xml:space="preserve">for at least one day because they were trying to quit smoking. </w:t>
      </w:r>
      <w:r w:rsidR="00A05B75" w:rsidRPr="008040A0">
        <w:rPr>
          <w:lang w:val="en-GB"/>
        </w:rPr>
        <w:fldChar w:fldCharType="begin"/>
      </w:r>
      <w:r w:rsidR="00B1645A">
        <w:rPr>
          <w:lang w:val="en-GB"/>
        </w:rPr>
        <w:instrText xml:space="preserve"> ADDIN EN.CITE &lt;EndNote&gt;&lt;Cite&gt;&lt;Author&gt;Centers for Disease Control and Prevention&lt;/Author&gt;&lt;Year&gt;2011&lt;/Year&gt;&lt;RecNum&gt;38&lt;/RecNum&gt;&lt;DisplayText&gt;(Centers for Disease Control and Prevention, 2011)&lt;/DisplayText&gt;&lt;record&gt;&lt;rec-number&gt;38&lt;/rec-number&gt;&lt;foreign-keys&gt;&lt;key app="EN" db-id="edfppa0tc0tfd1etp5xvexpnzfefzewwwas9" timestamp="1441592648"&gt;38&lt;/key&gt;&lt;/foreign-keys&gt;&lt;ref-type name="Journal Article"&gt;17&lt;/ref-type&gt;&lt;contributors&gt;&lt;authors&gt;&lt;author&gt;Centers for Disease Control and Prevention,&lt;/author&gt;&lt;/authors&gt;&lt;/contributors&gt;&lt;titles&gt;&lt;title&gt;Quitting smoking among adults-United States, 2001-2010&lt;/title&gt;&lt;secondary-title&gt;MMWR Morbidity and Mortality Weekly Report&lt;/secondary-title&gt;&lt;/titles&gt;&lt;periodical&gt;&lt;full-title&gt;MMWR Morbidity and Mortality Weekly Report&lt;/full-title&gt;&lt;/periodical&gt;&lt;pages&gt;1513-19&lt;/pages&gt;&lt;volume&gt;60&lt;/volume&gt;&lt;dates&gt;&lt;year&gt;2011&lt;/year&gt;&lt;/dates&gt;&lt;urls&gt;&lt;/urls&gt;&lt;/record&gt;&lt;/Cite&gt;&lt;/EndNote&gt;</w:instrText>
      </w:r>
      <w:r w:rsidR="00A05B75" w:rsidRPr="008040A0">
        <w:rPr>
          <w:lang w:val="en-GB"/>
        </w:rPr>
        <w:fldChar w:fldCharType="separate"/>
      </w:r>
      <w:r w:rsidR="00B1645A">
        <w:rPr>
          <w:noProof/>
          <w:lang w:val="en-GB"/>
        </w:rPr>
        <w:t>(</w:t>
      </w:r>
      <w:hyperlink w:anchor="_ENREF_17" w:tooltip="Centers for Disease Control and Prevention, 2011 #38" w:history="1">
        <w:r w:rsidR="008A14C8">
          <w:rPr>
            <w:noProof/>
            <w:lang w:val="en-GB"/>
          </w:rPr>
          <w:t>Centers for Disease Control and Prevention, 2011</w:t>
        </w:r>
      </w:hyperlink>
      <w:r w:rsidR="00B1645A">
        <w:rPr>
          <w:noProof/>
          <w:lang w:val="en-GB"/>
        </w:rPr>
        <w:t>)</w:t>
      </w:r>
      <w:r w:rsidR="00A05B75" w:rsidRPr="008040A0">
        <w:fldChar w:fldCharType="end"/>
      </w:r>
      <w:r w:rsidRPr="008040A0">
        <w:rPr>
          <w:lang w:val="en-GB"/>
        </w:rPr>
        <w:t>.</w:t>
      </w:r>
      <w:r>
        <w:rPr>
          <w:lang w:val="en-GB"/>
        </w:rPr>
        <w:t xml:space="preserve"> As such, t</w:t>
      </w:r>
      <w:r w:rsidRPr="008040A0">
        <w:rPr>
          <w:lang w:val="en-GB"/>
        </w:rPr>
        <w:t xml:space="preserve">here may be a gain </w:t>
      </w:r>
      <w:r>
        <w:rPr>
          <w:lang w:val="en-GB"/>
        </w:rPr>
        <w:t xml:space="preserve">in consumer surplus for those whose </w:t>
      </w:r>
      <w:r w:rsidRPr="008040A0">
        <w:rPr>
          <w:lang w:val="en-GB"/>
        </w:rPr>
        <w:t xml:space="preserve">unrealised preferences for quitting are now realised, even above the value of </w:t>
      </w:r>
      <w:r>
        <w:rPr>
          <w:lang w:val="en-GB"/>
        </w:rPr>
        <w:t>any</w:t>
      </w:r>
      <w:r w:rsidRPr="008040A0">
        <w:rPr>
          <w:lang w:val="en-GB"/>
        </w:rPr>
        <w:t xml:space="preserve"> health gain. </w:t>
      </w:r>
      <w:r>
        <w:rPr>
          <w:lang w:val="en-GB"/>
        </w:rPr>
        <w:t>As such t</w:t>
      </w:r>
      <w:r w:rsidRPr="008040A0">
        <w:rPr>
          <w:lang w:val="en-GB"/>
        </w:rPr>
        <w:t xml:space="preserve">here are reasonable grounds </w:t>
      </w:r>
      <w:r w:rsidR="00A05B75" w:rsidRPr="008040A0">
        <w:rPr>
          <w:lang w:val="en-GB"/>
        </w:rPr>
        <w:fldChar w:fldCharType="begin"/>
      </w:r>
      <w:r w:rsidR="00B1645A">
        <w:rPr>
          <w:lang w:val="en-GB"/>
        </w:rPr>
        <w:instrText xml:space="preserve"> ADDIN EN.CITE &lt;EndNote&gt;&lt;Cite&gt;&lt;Author&gt;Gruber&lt;/Author&gt;&lt;Year&gt;2008&lt;/Year&gt;&lt;RecNum&gt;39&lt;/RecNum&gt;&lt;DisplayText&gt;(Gruber &amp;amp; Koszegi, 2008; Weimer, Vining, &amp;amp; Thomas, 2009)&lt;/DisplayText&gt;&lt;record&gt;&lt;rec-number&gt;39&lt;/rec-number&gt;&lt;foreign-keys&gt;&lt;key app="EN" db-id="edfppa0tc0tfd1etp5xvexpnzfefzewwwas9" timestamp="1441592648"&gt;39&lt;/key&gt;&lt;/foreign-keys&gt;&lt;ref-type name="Book"&gt;6&lt;/ref-type&gt;&lt;contributors&gt;&lt;authors&gt;&lt;author&gt;Gruber, Jonathan&lt;/author&gt;&lt;author&gt;Koszegi, B&lt;/author&gt;&lt;/authors&gt;&lt;/contributors&gt;&lt;titles&gt;&lt;title&gt;A modern economic view of tobacco taxation&lt;/title&gt;&lt;/titles&gt;&lt;dates&gt;&lt;year&gt;2008&lt;/year&gt;&lt;/dates&gt;&lt;pub-location&gt;Paris&lt;/pub-location&gt;&lt;publisher&gt;International Union against Tuberculosis and Lung disease&lt;/publisher&gt;&lt;urls&gt;&lt;/urls&gt;&lt;/record&gt;&lt;/Cite&gt;&lt;Cite&gt;&lt;Author&gt;Weimer&lt;/Author&gt;&lt;Year&gt;2009&lt;/Year&gt;&lt;RecNum&gt;40&lt;/RecNum&gt;&lt;record&gt;&lt;rec-number&gt;40&lt;/rec-number&gt;&lt;foreign-keys&gt;&lt;key app="EN" db-id="edfppa0tc0tfd1etp5xvexpnzfefzewwwas9" timestamp="1441592648"&gt;40&lt;/key&gt;&lt;/foreign-keys&gt;&lt;ref-type name="Journal Article"&gt;17&lt;/ref-type&gt;&lt;contributors&gt;&lt;authors&gt;&lt;author&gt;Weimer, David L.&lt;/author&gt;&lt;author&gt;Vining, Aidan R.&lt;/author&gt;&lt;author&gt;Thomas, Randall K.&lt;/author&gt;&lt;/authors&gt;&lt;/contributors&gt;&lt;auth-address&gt;U WI&amp;#xD;Simon Fraser U&amp;#xD;Harris Interactive, Rochester, NY&lt;/auth-address&gt;&lt;titles&gt;&lt;title&gt;Cost-Benefit Analysis Involving Addictive Goods: Contingent Valuation to Estimate Willingness-to-Pay for Smoking Cessation&lt;/title&gt;&lt;secondary-title&gt;Health Economics&lt;/secondary-title&gt;&lt;/titles&gt;&lt;periodical&gt;&lt;full-title&gt;Health Economics&lt;/full-title&gt;&lt;/periodical&gt;&lt;pages&gt;181-202&lt;/pages&gt;&lt;volume&gt;18&lt;/volume&gt;&lt;number&gt;2&lt;/number&gt;&lt;keywords&gt;&lt;keyword&gt;Consumer Economics: Empirical Analysis D12&lt;/keyword&gt;&lt;keyword&gt;Allocative Efficiency&lt;/keyword&gt;&lt;keyword&gt;Cost-Benefit Analysis D61&lt;/keyword&gt;&lt;keyword&gt;Health Production I12&lt;/keyword&gt;&lt;/keywords&gt;&lt;dates&gt;&lt;year&gt;2009&lt;/year&gt;&lt;/dates&gt;&lt;isbn&gt;10579230&lt;/isbn&gt;&lt;accession-num&gt;1015982 Alternate Accession Number: EP64496888&lt;/accession-num&gt;&lt;urls&gt;&lt;/urls&gt;&lt;remote-database-name&gt;eoh&lt;/remote-database-name&gt;&lt;remote-database-provider&gt;EBSCOhost&lt;/remote-database-provider&gt;&lt;/record&gt;&lt;/Cite&gt;&lt;/EndNote&gt;</w:instrText>
      </w:r>
      <w:r w:rsidR="00A05B75" w:rsidRPr="008040A0">
        <w:rPr>
          <w:lang w:val="en-GB"/>
        </w:rPr>
        <w:fldChar w:fldCharType="separate"/>
      </w:r>
      <w:r w:rsidR="00B1645A">
        <w:rPr>
          <w:noProof/>
          <w:lang w:val="en-GB"/>
        </w:rPr>
        <w:t>(</w:t>
      </w:r>
      <w:hyperlink w:anchor="_ENREF_32" w:tooltip="Gruber, 2008 #39" w:history="1">
        <w:r w:rsidR="008A14C8">
          <w:rPr>
            <w:noProof/>
            <w:lang w:val="en-GB"/>
          </w:rPr>
          <w:t>Gruber &amp; Koszegi, 2008</w:t>
        </w:r>
      </w:hyperlink>
      <w:r w:rsidR="00B1645A">
        <w:rPr>
          <w:noProof/>
          <w:lang w:val="en-GB"/>
        </w:rPr>
        <w:t xml:space="preserve">; </w:t>
      </w:r>
      <w:hyperlink w:anchor="_ENREF_68" w:tooltip="Weimer, 2009 #40" w:history="1">
        <w:r w:rsidR="008A14C8">
          <w:rPr>
            <w:noProof/>
            <w:lang w:val="en-GB"/>
          </w:rPr>
          <w:t>Weimer, Vining, &amp; Thomas, 2009</w:t>
        </w:r>
      </w:hyperlink>
      <w:r w:rsidR="00B1645A">
        <w:rPr>
          <w:noProof/>
          <w:lang w:val="en-GB"/>
        </w:rPr>
        <w:t>)</w:t>
      </w:r>
      <w:r w:rsidR="00A05B75" w:rsidRPr="008040A0">
        <w:fldChar w:fldCharType="end"/>
      </w:r>
      <w:r w:rsidRPr="008040A0">
        <w:rPr>
          <w:lang w:val="en-GB"/>
        </w:rPr>
        <w:t xml:space="preserve"> to assign to these individuals a benefit equivalent to their reduction in expenditure on tobacco, which is expected to be spe</w:t>
      </w:r>
      <w:r>
        <w:rPr>
          <w:lang w:val="en-GB"/>
        </w:rPr>
        <w:t>nt on other goods and services.</w:t>
      </w:r>
    </w:p>
    <w:p w14:paraId="1E2F7818" w14:textId="54BBAAF0" w:rsidR="00917B55" w:rsidRDefault="00917B55" w:rsidP="000B332F">
      <w:pPr>
        <w:rPr>
          <w:lang w:val="en-GB"/>
        </w:rPr>
      </w:pPr>
      <w:r>
        <w:rPr>
          <w:lang w:val="en-GB"/>
        </w:rPr>
        <w:t>Finally</w:t>
      </w:r>
      <w:r w:rsidRPr="008040A0">
        <w:rPr>
          <w:lang w:val="en-GB"/>
        </w:rPr>
        <w:t xml:space="preserve">, the reduced value to consumers of branding or brand appeal must also be considered. Brand appeal is thought to be something that people are willing to pay for when they purchase cigarettes and probably proportionally more with respect to premium brands. Restricting packaging does not eliminate the market for premium brands.  However, the conspicuous consumption of a premium product will be inhibited. </w:t>
      </w:r>
      <w:r>
        <w:rPr>
          <w:lang w:val="en-GB"/>
        </w:rPr>
        <w:t>On the other hand</w:t>
      </w:r>
      <w:r w:rsidRPr="008040A0">
        <w:rPr>
          <w:lang w:val="en-GB"/>
        </w:rPr>
        <w:t xml:space="preserve">, it may also represent a gain to those who felt their consumption was made less enjoyable, or were made to feel inferior, by the conspicuous consumption of premium products by others. Thus, branding can be seen as a zero sum game. Moreover, as discussed </w:t>
      </w:r>
      <w:r w:rsidR="00C57EB1">
        <w:rPr>
          <w:lang w:val="en-GB"/>
        </w:rPr>
        <w:t>below</w:t>
      </w:r>
      <w:r w:rsidRPr="008040A0">
        <w:rPr>
          <w:lang w:val="en-GB"/>
        </w:rPr>
        <w:t>, the Australian economy is dynamic</w:t>
      </w:r>
      <w:r>
        <w:rPr>
          <w:lang w:val="en-GB"/>
        </w:rPr>
        <w:t>,</w:t>
      </w:r>
      <w:r w:rsidRPr="008040A0">
        <w:rPr>
          <w:lang w:val="en-GB"/>
        </w:rPr>
        <w:t xml:space="preserve"> with consumers able to substitute alternative premium branded </w:t>
      </w:r>
      <w:r>
        <w:rPr>
          <w:lang w:val="en-GB"/>
        </w:rPr>
        <w:t xml:space="preserve">non-tobacco </w:t>
      </w:r>
      <w:r w:rsidRPr="008040A0">
        <w:rPr>
          <w:lang w:val="en-GB"/>
        </w:rPr>
        <w:t xml:space="preserve">products to compensate for any lost utility associated with plain packaged tobacco products. </w:t>
      </w:r>
    </w:p>
    <w:p w14:paraId="1E1EEB8A" w14:textId="6E43EC9F" w:rsidR="00917B55" w:rsidRDefault="00917B55" w:rsidP="000B332F">
      <w:pPr>
        <w:rPr>
          <w:lang w:val="en-GB"/>
        </w:rPr>
      </w:pPr>
      <w:r w:rsidRPr="008040A0">
        <w:rPr>
          <w:lang w:val="en-GB"/>
        </w:rPr>
        <w:t xml:space="preserve">Consequently, </w:t>
      </w:r>
      <w:r w:rsidR="00826A4E">
        <w:rPr>
          <w:lang w:val="en-GB"/>
        </w:rPr>
        <w:t>tobacco plain packaging</w:t>
      </w:r>
      <w:r w:rsidRPr="008040A0">
        <w:rPr>
          <w:lang w:val="en-GB"/>
        </w:rPr>
        <w:t xml:space="preserve"> is not likely to result in a significant net gain or loss in consumer surplus associated with reduced brand appeal.</w:t>
      </w:r>
      <w:r>
        <w:rPr>
          <w:lang w:val="en-GB"/>
        </w:rPr>
        <w:t xml:space="preserve"> This is consistent with the Impact Analysis of standardised tobacco packaging conducted in the United Kingdom.</w:t>
      </w:r>
    </w:p>
    <w:p w14:paraId="5D4D6491" w14:textId="77777777" w:rsidR="00B50287" w:rsidRPr="000146DB" w:rsidRDefault="00B50287" w:rsidP="00B50287">
      <w:pPr>
        <w:keepNext/>
        <w:pBdr>
          <w:top w:val="single" w:sz="2" w:space="1" w:color="auto"/>
          <w:left w:val="single" w:sz="2" w:space="4" w:color="auto"/>
          <w:bottom w:val="single" w:sz="2" w:space="1" w:color="auto"/>
          <w:right w:val="single" w:sz="2" w:space="4" w:color="auto"/>
        </w:pBdr>
        <w:shd w:val="clear" w:color="auto" w:fill="DBE5F1" w:themeFill="accent1" w:themeFillTint="33"/>
        <w:rPr>
          <w:b/>
          <w:sz w:val="22"/>
        </w:rPr>
      </w:pPr>
      <w:r w:rsidRPr="000146DB">
        <w:rPr>
          <w:b/>
          <w:sz w:val="22"/>
        </w:rPr>
        <w:t xml:space="preserve">Box </w:t>
      </w:r>
      <w:r w:rsidRPr="000146DB">
        <w:rPr>
          <w:b/>
          <w:sz w:val="22"/>
        </w:rPr>
        <w:fldChar w:fldCharType="begin"/>
      </w:r>
      <w:r w:rsidRPr="000146DB">
        <w:rPr>
          <w:b/>
          <w:sz w:val="22"/>
        </w:rPr>
        <w:instrText xml:space="preserve"> SEQ Box \* ARABIC </w:instrText>
      </w:r>
      <w:r w:rsidRPr="000146DB">
        <w:rPr>
          <w:b/>
          <w:sz w:val="22"/>
        </w:rPr>
        <w:fldChar w:fldCharType="separate"/>
      </w:r>
      <w:r w:rsidR="005403ED">
        <w:rPr>
          <w:b/>
          <w:noProof/>
          <w:sz w:val="22"/>
        </w:rPr>
        <w:t>2</w:t>
      </w:r>
      <w:r w:rsidRPr="000146DB">
        <w:rPr>
          <w:b/>
          <w:sz w:val="22"/>
        </w:rPr>
        <w:fldChar w:fldCharType="end"/>
      </w:r>
      <w:r w:rsidRPr="000146DB">
        <w:rPr>
          <w:b/>
          <w:sz w:val="22"/>
        </w:rPr>
        <w:t xml:space="preserve">: Summary Impact on Consumer Surplus </w:t>
      </w:r>
    </w:p>
    <w:p w14:paraId="7D17F89F" w14:textId="77777777" w:rsidR="00B50287" w:rsidRPr="000146DB"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0146DB">
        <w:t>On evaluation, tobacco plain packaging is not likely to result in a substantive net change in consumer surplus (either gain or loss).</w:t>
      </w:r>
    </w:p>
    <w:p w14:paraId="1BA9E5D3" w14:textId="77777777" w:rsidR="00B50287" w:rsidRPr="000146DB"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0146DB">
        <w:t xml:space="preserve">Loss of consumer surplus is not an appropriate consideration with respect to tobacco control interventions. That is, the instances in which it is likely to be applicable are limited and offset by gains from the majority of smokers whose true preference is to reduce or stop their consumption of tobacco. </w:t>
      </w:r>
    </w:p>
    <w:p w14:paraId="5FE27F15" w14:textId="77777777" w:rsidR="00B50287" w:rsidRPr="000146DB"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0146DB">
        <w:t xml:space="preserve">There are potential gains in consumer surplus where tobacco plain packaging assists those whose true preference is to quit or reduce their tobacco consumption. This gain in consumer surplus would be equivalent to their increase consumption of other goods and services. </w:t>
      </w:r>
    </w:p>
    <w:p w14:paraId="2F0D56CC" w14:textId="0F3221A6" w:rsidR="00B50287"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rPr>
          <w:lang w:val="en-GB"/>
        </w:rPr>
      </w:pPr>
      <w:r w:rsidRPr="000146DB">
        <w:t>Consumer surplus from reduced branding is likely to be a zero sum gain game with tobacco plain packaging not likely to result in a significant net gain or loss in consumer surplus across smokers or the economy more broadly</w:t>
      </w:r>
    </w:p>
    <w:p w14:paraId="78C22191" w14:textId="77777777" w:rsidR="00041E7A" w:rsidRPr="00830649" w:rsidRDefault="00041E7A" w:rsidP="00673E6B">
      <w:pPr>
        <w:pStyle w:val="Heading3"/>
        <w:rPr>
          <w:lang w:val="en-GB"/>
        </w:rPr>
      </w:pPr>
      <w:bookmarkStart w:id="107" w:name="_Toc427737355"/>
      <w:bookmarkStart w:id="108" w:name="_Toc443560343"/>
      <w:bookmarkStart w:id="109" w:name="_Toc443560371"/>
      <w:bookmarkStart w:id="110" w:name="_Toc443560421"/>
      <w:r w:rsidRPr="00830649">
        <w:rPr>
          <w:lang w:val="en-GB"/>
        </w:rPr>
        <w:t>Productivity Gains</w:t>
      </w:r>
      <w:bookmarkEnd w:id="107"/>
      <w:bookmarkEnd w:id="108"/>
      <w:bookmarkEnd w:id="109"/>
      <w:bookmarkEnd w:id="110"/>
    </w:p>
    <w:p w14:paraId="4A8EBC26" w14:textId="77777777" w:rsidR="00041E7A" w:rsidRPr="008040A0" w:rsidRDefault="00041E7A" w:rsidP="00041E7A">
      <w:pPr>
        <w:keepNext/>
        <w:rPr>
          <w:lang w:val="en-GB"/>
        </w:rPr>
      </w:pPr>
      <w:r w:rsidRPr="008040A0">
        <w:rPr>
          <w:lang w:val="en-GB"/>
        </w:rPr>
        <w:t xml:space="preserve">There is sufficient evidence, both in Australia </w:t>
      </w:r>
      <w:r w:rsidR="00A05B75" w:rsidRPr="008040A0">
        <w:rPr>
          <w:lang w:val="en-GB"/>
        </w:rPr>
        <w:fldChar w:fldCharType="begin"/>
      </w:r>
      <w:r w:rsidR="00B1645A">
        <w:rPr>
          <w:lang w:val="en-GB"/>
        </w:rPr>
        <w:instrText xml:space="preserve"> ADDIN EN.CITE &lt;EndNote&gt;&lt;Cite&gt;&lt;Author&gt;Bush&lt;/Author&gt;&lt;Year&gt;1995&lt;/Year&gt;&lt;RecNum&gt;41&lt;/RecNum&gt;&lt;DisplayText&gt;(Bush &amp;amp; Wooden, 1995)&lt;/DisplayText&gt;&lt;record&gt;&lt;rec-number&gt;41&lt;/rec-number&gt;&lt;foreign-keys&gt;&lt;key app="EN" db-id="edfppa0tc0tfd1etp5xvexpnzfefzewwwas9" timestamp="1441592648"&gt;41&lt;/key&gt;&lt;/foreign-keys&gt;&lt;ref-type name="Journal Article"&gt;17&lt;/ref-type&gt;&lt;contributors&gt;&lt;authors&gt;&lt;author&gt;Bush, Robert&lt;/author&gt;&lt;author&gt;Wooden, Mark&lt;/author&gt;&lt;/authors&gt;&lt;/contributors&gt;&lt;titles&gt;&lt;title&gt;Smoking and absence from work: Australian evidence&lt;/title&gt;&lt;secondary-title&gt;Social Science &amp;amp; Medicine&lt;/secondary-title&gt;&lt;/titles&gt;&lt;periodical&gt;&lt;full-title&gt;Social Science &amp;amp; Medicine&lt;/full-title&gt;&lt;/periodical&gt;&lt;pages&gt;437-446&lt;/pages&gt;&lt;volume&gt;41&lt;/volume&gt;&lt;number&gt;3&lt;/number&gt;&lt;keywords&gt;&lt;keyword&gt;absenteeism&lt;/keyword&gt;&lt;keyword&gt;smoking&lt;/keyword&gt;&lt;keyword&gt;Australia&lt;/keyword&gt;&lt;/keywords&gt;&lt;dates&gt;&lt;year&gt;1995&lt;/year&gt;&lt;/dates&gt;&lt;isbn&gt;0277-9536&lt;/isbn&gt;&lt;urls&gt;&lt;/urls&gt;&lt;/record&gt;&lt;/Cite&gt;&lt;/EndNote&gt;</w:instrText>
      </w:r>
      <w:r w:rsidR="00A05B75" w:rsidRPr="008040A0">
        <w:rPr>
          <w:lang w:val="en-GB"/>
        </w:rPr>
        <w:fldChar w:fldCharType="separate"/>
      </w:r>
      <w:r w:rsidR="00B1645A">
        <w:rPr>
          <w:noProof/>
          <w:lang w:val="en-GB"/>
        </w:rPr>
        <w:t>(</w:t>
      </w:r>
      <w:hyperlink w:anchor="_ENREF_14" w:tooltip="Bush, 1995 #41" w:history="1">
        <w:r w:rsidR="008A14C8">
          <w:rPr>
            <w:noProof/>
            <w:lang w:val="en-GB"/>
          </w:rPr>
          <w:t>Bush &amp; Wooden, 1995</w:t>
        </w:r>
      </w:hyperlink>
      <w:r w:rsidR="00B1645A">
        <w:rPr>
          <w:noProof/>
          <w:lang w:val="en-GB"/>
        </w:rPr>
        <w:t>)</w:t>
      </w:r>
      <w:r w:rsidR="00A05B75" w:rsidRPr="008040A0">
        <w:fldChar w:fldCharType="end"/>
      </w:r>
      <w:r w:rsidRPr="008040A0">
        <w:rPr>
          <w:lang w:val="en-GB"/>
        </w:rPr>
        <w:t xml:space="preserve"> and internationally </w:t>
      </w:r>
      <w:r w:rsidR="00A05B75" w:rsidRPr="008040A0">
        <w:rPr>
          <w:lang w:val="en-GB"/>
        </w:rPr>
        <w:fldChar w:fldCharType="begin">
          <w:fldData xml:space="preserve">PEVuZE5vdGU+PENpdGU+PEF1dGhvcj5CdW5uPC9BdXRob3I+PFllYXI+MjAwNjwvWWVhcj48UmVj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</w:fldData>
        </w:fldChar>
      </w:r>
      <w:r w:rsidR="00B1645A">
        <w:rPr>
          <w:lang w:val="en-GB"/>
        </w:rPr>
        <w:instrText xml:space="preserve"> ADDIN EN.CITE </w:instrText>
      </w:r>
      <w:r w:rsidR="00B1645A">
        <w:rPr>
          <w:lang w:val="en-GB"/>
        </w:rPr>
        <w:fldChar w:fldCharType="begin">
          <w:fldData xml:space="preserve">PEVuZE5vdGU+PENpdGU+PEF1dGhvcj5CdW5uPC9BdXRob3I+PFllYXI+MjAwNjwvWWVhcj48UmVj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</w:fldData>
        </w:fldChar>
      </w:r>
      <w:r w:rsidR="00B1645A">
        <w:rPr>
          <w:lang w:val="en-GB"/>
        </w:rPr>
        <w:instrText xml:space="preserve"> ADDIN EN.CITE.DATA </w:instrText>
      </w:r>
      <w:r w:rsidR="00B1645A">
        <w:rPr>
          <w:lang w:val="en-GB"/>
        </w:rPr>
      </w:r>
      <w:r w:rsidR="00B1645A">
        <w:rPr>
          <w:lang w:val="en-GB"/>
        </w:rPr>
        <w:fldChar w:fldCharType="end"/>
      </w:r>
      <w:r w:rsidR="00A05B75" w:rsidRPr="008040A0">
        <w:rPr>
          <w:lang w:val="en-GB"/>
        </w:rPr>
      </w:r>
      <w:r w:rsidR="00A05B75" w:rsidRPr="008040A0">
        <w:rPr>
          <w:lang w:val="en-GB"/>
        </w:rPr>
        <w:fldChar w:fldCharType="separate"/>
      </w:r>
      <w:r w:rsidR="00B1645A">
        <w:rPr>
          <w:noProof/>
          <w:lang w:val="en-GB"/>
        </w:rPr>
        <w:t>(</w:t>
      </w:r>
      <w:hyperlink w:anchor="_ENREF_13" w:tooltip="Bunn, 2006 #42" w:history="1">
        <w:r w:rsidR="008A14C8">
          <w:rPr>
            <w:noProof/>
            <w:lang w:val="en-GB"/>
          </w:rPr>
          <w:t>Bunn, Stave, Downs, Alvir, &amp; Dirani, 2006</w:t>
        </w:r>
      </w:hyperlink>
      <w:r w:rsidR="00B1645A">
        <w:rPr>
          <w:noProof/>
          <w:lang w:val="en-GB"/>
        </w:rPr>
        <w:t xml:space="preserve">; </w:t>
      </w:r>
      <w:hyperlink w:anchor="_ENREF_45" w:tooltip="Laaksonen, 2009 #43" w:history="1">
        <w:r w:rsidR="008A14C8">
          <w:rPr>
            <w:noProof/>
            <w:lang w:val="en-GB"/>
          </w:rPr>
          <w:t>Laaksonen, Piha, Martikainen, Rahkonen, &amp; Lahelma, 2009</w:t>
        </w:r>
      </w:hyperlink>
      <w:r w:rsidR="00B1645A">
        <w:rPr>
          <w:noProof/>
          <w:lang w:val="en-GB"/>
        </w:rPr>
        <w:t>)</w:t>
      </w:r>
      <w:r w:rsidR="00A05B75" w:rsidRPr="008040A0">
        <w:fldChar w:fldCharType="end"/>
      </w:r>
      <w:r w:rsidRPr="008040A0">
        <w:rPr>
          <w:lang w:val="en-GB"/>
        </w:rPr>
        <w:t xml:space="preserve">, to conclude that smokers take more sick leave than non-smokers. </w:t>
      </w:r>
    </w:p>
    <w:p w14:paraId="60D4DD09" w14:textId="77777777" w:rsidR="00041E7A" w:rsidRPr="008040A0" w:rsidRDefault="00041E7A" w:rsidP="00041E7A">
      <w:pPr>
        <w:rPr>
          <w:lang w:val="en-GB"/>
        </w:rPr>
      </w:pPr>
      <w:r w:rsidRPr="008040A0">
        <w:rPr>
          <w:lang w:val="en-GB"/>
        </w:rPr>
        <w:t xml:space="preserve">In estimating the costs of tobacco to the Australian society, Collins and </w:t>
      </w:r>
      <w:proofErr w:type="spellStart"/>
      <w:r w:rsidRPr="008040A0">
        <w:rPr>
          <w:lang w:val="en-GB"/>
        </w:rPr>
        <w:t>Lapsley</w:t>
      </w:r>
      <w:proofErr w:type="spellEnd"/>
      <w:r w:rsidRPr="008040A0">
        <w:rPr>
          <w:lang w:val="en-GB"/>
        </w:rPr>
        <w:t xml:space="preserve"> (2008) estimated the excess absenteeism attributable to smoking </w:t>
      </w:r>
      <w:r w:rsidR="00A05B75" w:rsidRPr="008040A0">
        <w:rPr>
          <w:lang w:val="en-GB"/>
        </w:rPr>
        <w:fldChar w:fldCharType="begin"/>
      </w:r>
      <w:r w:rsidR="00C95CF3">
        <w:rPr>
          <w:lang w:val="en-GB"/>
        </w:rPr>
        <w:instrText xml:space="preserve"> ADDIN EN.CITE &lt;EndNote&gt;&lt;Cite&gt;&lt;Author&gt;Collins&lt;/Author&gt;&lt;Year&gt;2008&lt;/Year&gt;&lt;RecNum&gt;44&lt;/RecNum&gt;&lt;DisplayText&gt;(Collins &amp;amp; Lapsley, 2008)&lt;/DisplayText&gt;&lt;record&gt;&lt;rec-number&gt;44&lt;/rec-number&gt;&lt;foreign-keys&gt;&lt;key app="EN" db-id="edfppa0tc0tfd1etp5xvexpnzfefzewwwas9" timestamp="1441592648"&gt;44&lt;/key&gt;&lt;/foreign-keys&gt;&lt;ref-type name="Government Document"&gt;46&lt;/ref-type&gt;&lt;contributors&gt;&lt;authors&gt;&lt;author&gt;Collins, David J&lt;/author&gt;&lt;author&gt;Lapsley, Helen M&lt;/author&gt;&lt;/authors&gt;&lt;/contributors&gt;&lt;titles&gt;&lt;title&gt;The costs of tobacco, alcohol and illicit drug abuse to Australian Society in 2004/05&lt;/title&gt;&lt;/titles&gt;&lt;dates&gt;&lt;year&gt;2008&lt;/year&gt;&lt;/dates&gt;&lt;pub-location&gt;Canberra&lt;/pub-location&gt;&lt;publisher&gt;Department of Health and Ageing&lt;/publisher&gt;&lt;urls&gt;&lt;/urls&gt;&lt;/record&gt;&lt;/Cite&gt;&lt;/EndNote&gt;</w:instrText>
      </w:r>
      <w:r w:rsidR="00A05B75" w:rsidRPr="008040A0">
        <w:rPr>
          <w:lang w:val="en-GB"/>
        </w:rPr>
        <w:fldChar w:fldCharType="separate"/>
      </w:r>
      <w:r w:rsidR="00B1645A">
        <w:rPr>
          <w:noProof/>
          <w:lang w:val="en-GB"/>
        </w:rPr>
        <w:t>(</w:t>
      </w:r>
      <w:hyperlink w:anchor="_ENREF_21" w:tooltip="Collins, 2008 #44" w:history="1">
        <w:r w:rsidR="008A14C8">
          <w:rPr>
            <w:noProof/>
            <w:lang w:val="en-GB"/>
          </w:rPr>
          <w:t>Collins &amp; Lapsley, 2008</w:t>
        </w:r>
      </w:hyperlink>
      <w:r w:rsidR="00B1645A">
        <w:rPr>
          <w:noProof/>
          <w:lang w:val="en-GB"/>
        </w:rPr>
        <w:t>)</w:t>
      </w:r>
      <w:r w:rsidR="00A05B75" w:rsidRPr="008040A0">
        <w:fldChar w:fldCharType="end"/>
      </w:r>
      <w:r>
        <w:t>.</w:t>
      </w:r>
      <w:r w:rsidRPr="008040A0">
        <w:rPr>
          <w:lang w:val="en-GB"/>
        </w:rPr>
        <w:t xml:space="preserve"> They relied on data on employee absences from work during a two week period with Australian estimates of smokers absenteeism relative to non-smokers and never smokers </w:t>
      </w:r>
      <w:r w:rsidR="00A05B75" w:rsidRPr="008040A0">
        <w:rPr>
          <w:lang w:val="en-GB"/>
        </w:rPr>
        <w:fldChar w:fldCharType="begin"/>
      </w:r>
      <w:r w:rsidR="00B1645A">
        <w:rPr>
          <w:lang w:val="en-GB"/>
        </w:rPr>
        <w:instrText xml:space="preserve"> ADDIN EN.CITE &lt;EndNote&gt;&lt;Cite&gt;&lt;Author&gt;Bush&lt;/Author&gt;&lt;Year&gt;1995&lt;/Year&gt;&lt;RecNum&gt;41&lt;/RecNum&gt;&lt;DisplayText&gt;(Bush &amp;amp; Wooden, 1995)&lt;/DisplayText&gt;&lt;record&gt;&lt;rec-number&gt;41&lt;/rec-number&gt;&lt;foreign-keys&gt;&lt;key app="EN" db-id="edfppa0tc0tfd1etp5xvexpnzfefzewwwas9" timestamp="1441592648"&gt;41&lt;/key&gt;&lt;/foreign-keys&gt;&lt;ref-type name="Journal Article"&gt;17&lt;/ref-type&gt;&lt;contributors&gt;&lt;authors&gt;&lt;author&gt;Bush, Robert&lt;/author&gt;&lt;author&gt;Wooden, Mark&lt;/author&gt;&lt;/authors&gt;&lt;/contributors&gt;&lt;titles&gt;&lt;title&gt;Smoking and absence from work: Australian evidence&lt;/title&gt;&lt;secondary-title&gt;Social Science &amp;amp; Medicine&lt;/secondary-title&gt;&lt;/titles&gt;&lt;periodical&gt;&lt;full-title&gt;Social Science &amp;amp; Medicine&lt;/full-title&gt;&lt;/periodical&gt;&lt;pages&gt;437-446&lt;/pages&gt;&lt;volume&gt;41&lt;/volume&gt;&lt;number&gt;3&lt;/number&gt;&lt;keywords&gt;&lt;keyword&gt;absenteeism&lt;/keyword&gt;&lt;keyword&gt;smoking&lt;/keyword&gt;&lt;keyword&gt;Australia&lt;/keyword&gt;&lt;/keywords&gt;&lt;dates&gt;&lt;year&gt;1995&lt;/year&gt;&lt;/dates&gt;&lt;isbn&gt;0277-9536&lt;/isbn&gt;&lt;urls&gt;&lt;/urls&gt;&lt;/record&gt;&lt;/Cite&gt;&lt;/EndNote&gt;</w:instrText>
      </w:r>
      <w:r w:rsidR="00A05B75" w:rsidRPr="008040A0">
        <w:rPr>
          <w:lang w:val="en-GB"/>
        </w:rPr>
        <w:fldChar w:fldCharType="separate"/>
      </w:r>
      <w:r w:rsidR="00B1645A">
        <w:rPr>
          <w:noProof/>
          <w:lang w:val="en-GB"/>
        </w:rPr>
        <w:t>(</w:t>
      </w:r>
      <w:hyperlink w:anchor="_ENREF_14" w:tooltip="Bush, 1995 #41" w:history="1">
        <w:r w:rsidR="008A14C8">
          <w:rPr>
            <w:noProof/>
            <w:lang w:val="en-GB"/>
          </w:rPr>
          <w:t>Bush &amp; Wooden, 1995</w:t>
        </w:r>
      </w:hyperlink>
      <w:r w:rsidR="00B1645A">
        <w:rPr>
          <w:noProof/>
          <w:lang w:val="en-GB"/>
        </w:rPr>
        <w:t>)</w:t>
      </w:r>
      <w:r w:rsidR="00A05B75" w:rsidRPr="008040A0">
        <w:fldChar w:fldCharType="end"/>
      </w:r>
      <w:r w:rsidRPr="008040A0">
        <w:rPr>
          <w:lang w:val="en-GB"/>
        </w:rPr>
        <w:t xml:space="preserve"> and used estimated prevalence of smokers, non-smokers and never smokers from the NDSHS. Following the same approach as Collins and </w:t>
      </w:r>
      <w:proofErr w:type="spellStart"/>
      <w:r w:rsidRPr="008040A0">
        <w:rPr>
          <w:lang w:val="en-GB"/>
        </w:rPr>
        <w:t>Lapsley</w:t>
      </w:r>
      <w:proofErr w:type="spellEnd"/>
      <w:r w:rsidRPr="008040A0">
        <w:rPr>
          <w:lang w:val="en-GB"/>
        </w:rPr>
        <w:t xml:space="preserve"> (2008) but with the latest NDSHS </w:t>
      </w:r>
      <w:r w:rsidR="00A05B75" w:rsidRPr="008040A0">
        <w:rPr>
          <w:lang w:val="en-GB"/>
        </w:rPr>
        <w:fldChar w:fldCharType="begin"/>
      </w:r>
      <w:r w:rsidR="00B1645A">
        <w:rPr>
          <w:lang w:val="en-GB"/>
        </w:rPr>
        <w:instrText xml:space="preserve"> ADDIN EN.CITE &lt;EndNote&gt;&lt;Cite&gt;&lt;Author&gt;Australian Institute of Health and Welfare&lt;/Author&gt;&lt;Year&gt;2014&lt;/Year&gt;&lt;RecNum&gt;5&lt;/RecNum&gt;&lt;DisplayText&gt;(Australian Institute of Health and Welfare, 2014)&lt;/DisplayText&gt;&lt;record&gt;&lt;rec-number&gt;5&lt;/rec-number&gt;&lt;foreign-keys&gt;&lt;key app="EN" db-id="edfppa0tc0tfd1etp5xvexpnzfefzewwwas9" timestamp="1441592648"&gt;5&lt;/key&gt;&lt;/foreign-keys&gt;&lt;ref-type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no.28 Cat. no. PHE 183&lt;/secondary-title&gt;&lt;/titles&gt;&lt;volume&gt;Drug statistics series no.28 Cat. no. PHE 183&lt;/volume&gt;&lt;dates&gt;&lt;year&gt;2014&lt;/year&gt;&lt;/dates&gt;&lt;pub-location&gt;Canberra&lt;/pub-location&gt;&lt;publisher&gt;AIHW&lt;/publisher&gt;&lt;urls&gt;&lt;/urls&gt;&lt;/record&gt;&lt;/Cite&gt;&lt;/EndNote&gt;</w:instrText>
      </w:r>
      <w:r w:rsidR="00A05B75" w:rsidRPr="008040A0">
        <w:rPr>
          <w:lang w:val="en-GB"/>
        </w:rPr>
        <w:fldChar w:fldCharType="separate"/>
      </w:r>
      <w:r w:rsidR="00B1645A">
        <w:rPr>
          <w:noProof/>
          <w:lang w:val="en-GB"/>
        </w:rPr>
        <w:t>(</w:t>
      </w:r>
      <w:hyperlink w:anchor="_ENREF_7" w:tooltip="Australian Institute of Health and Welfare, 2014 #5" w:history="1">
        <w:r w:rsidR="008A14C8">
          <w:rPr>
            <w:noProof/>
            <w:lang w:val="en-GB"/>
          </w:rPr>
          <w:t>Australian Institute of Health and Welfare, 2014</w:t>
        </w:r>
      </w:hyperlink>
      <w:r w:rsidR="00B1645A">
        <w:rPr>
          <w:noProof/>
          <w:lang w:val="en-GB"/>
        </w:rPr>
        <w:t>)</w:t>
      </w:r>
      <w:r w:rsidR="00A05B75" w:rsidRPr="008040A0">
        <w:fldChar w:fldCharType="end"/>
      </w:r>
      <w:r w:rsidRPr="008040A0">
        <w:rPr>
          <w:lang w:val="en-GB"/>
        </w:rPr>
        <w:t xml:space="preserve"> prevalence estimates, ABS </w:t>
      </w:r>
      <w:r w:rsidRPr="008040A0">
        <w:rPr>
          <w:lang w:val="en-GB"/>
        </w:rPr>
        <w:lastRenderedPageBreak/>
        <w:t xml:space="preserve">data on absenteeism </w:t>
      </w:r>
      <w:r w:rsidR="00A05B75" w:rsidRPr="008040A0">
        <w:rPr>
          <w:lang w:val="en-GB"/>
        </w:rPr>
        <w:fldChar w:fldCharType="begin"/>
      </w:r>
      <w:r w:rsidR="00B1645A">
        <w:rPr>
          <w:lang w:val="en-GB"/>
        </w:rPr>
        <w:instrText xml:space="preserve"> ADDIN EN.CITE &lt;EndNote&gt;&lt;Cite&gt;&lt;Author&gt;Australian Bureau of Statistics&lt;/Author&gt;&lt;Year&gt;2003&lt;/Year&gt;&lt;RecNum&gt;45&lt;/RecNum&gt;&lt;DisplayText&gt;(Australian Bureau of Statistics, 2003)&lt;/DisplayText&gt;&lt;record&gt;&lt;rec-number&gt;45&lt;/rec-number&gt;&lt;foreign-keys&gt;&lt;key app="EN" db-id="edfppa0tc0tfd1etp5xvexpnzfefzewwwas9" timestamp="1441592648"&gt;45&lt;/key&gt;&lt;/foreign-keys&gt;&lt;ref-type name="Book"&gt;6&lt;/ref-type&gt;&lt;contributors&gt;&lt;authors&gt;&lt;author&gt;Australian Bureau of Statistics,&lt;/author&gt;&lt;/authors&gt;&lt;/contributors&gt;&lt;titles&gt;&lt;title&gt;Working Arrangements, Australia&lt;/title&gt;&lt;secondary-title&gt;cat. no 6350.0&lt;/secondary-title&gt;&lt;/titles&gt;&lt;dates&gt;&lt;year&gt;2003&lt;/year&gt;&lt;/dates&gt;&lt;pub-location&gt;Canberra&lt;/pub-location&gt;&lt;publisher&gt;ABS&lt;/publisher&gt;&lt;urls&gt;&lt;/urls&gt;&lt;/record&gt;&lt;/Cite&gt;&lt;/EndNote&gt;</w:instrText>
      </w:r>
      <w:r w:rsidR="00A05B75" w:rsidRPr="008040A0">
        <w:rPr>
          <w:lang w:val="en-GB"/>
        </w:rPr>
        <w:fldChar w:fldCharType="separate"/>
      </w:r>
      <w:r w:rsidR="00B1645A">
        <w:rPr>
          <w:noProof/>
          <w:lang w:val="en-GB"/>
        </w:rPr>
        <w:t>(</w:t>
      </w:r>
      <w:hyperlink w:anchor="_ENREF_2" w:tooltip="Australian Bureau of Statistics, 2003 #45" w:history="1">
        <w:r w:rsidR="008A14C8">
          <w:rPr>
            <w:noProof/>
            <w:lang w:val="en-GB"/>
          </w:rPr>
          <w:t>Australian Bureau of Statistics, 2003</w:t>
        </w:r>
      </w:hyperlink>
      <w:r w:rsidR="00B1645A">
        <w:rPr>
          <w:noProof/>
          <w:lang w:val="en-GB"/>
        </w:rPr>
        <w:t>)</w:t>
      </w:r>
      <w:r w:rsidR="00A05B75" w:rsidRPr="008040A0">
        <w:fldChar w:fldCharType="end"/>
      </w:r>
      <w:r w:rsidRPr="008040A0">
        <w:rPr>
          <w:lang w:val="en-GB"/>
        </w:rPr>
        <w:t>, the excess absenteeism (for ill-health or disability) per smoker (relative to a never smoker) is 1.61 days per year and 1.21 days per year for an ex-smoker (relative to a never smoker). The marginal benefit for a smoker to quit (who otherwise wouldn’t have quit), that is an ex-smoker relative to a smoker, is 0.40 days per annum. Based on mean income for employees and business owners</w:t>
      </w:r>
      <w:r w:rsidR="005454F1">
        <w:rPr>
          <w:lang w:val="en-GB"/>
        </w:rPr>
        <w:t xml:space="preserve"> </w:t>
      </w:r>
      <w:r w:rsidR="00A05B75">
        <w:rPr>
          <w:lang w:val="en-GB"/>
        </w:rPr>
        <w:fldChar w:fldCharType="begin"/>
      </w:r>
      <w:r w:rsidR="00B1645A">
        <w:rPr>
          <w:lang w:val="en-GB"/>
        </w:rPr>
        <w:instrText xml:space="preserve"> ADDIN EN.CITE &lt;EndNote&gt;&lt;Cite&gt;&lt;Author&gt;Australian Bureau of Statistics&lt;/Author&gt;&lt;Year&gt;2003&lt;/Year&gt;&lt;RecNum&gt;45&lt;/RecNum&gt;&lt;DisplayText&gt;(Australian Bureau of Statistics, 2003)&lt;/DisplayText&gt;&lt;record&gt;&lt;rec-number&gt;45&lt;/rec-number&gt;&lt;foreign-keys&gt;&lt;key app="EN" db-id="edfppa0tc0tfd1etp5xvexpnzfefzewwwas9" timestamp="1441592648"&gt;45&lt;/key&gt;&lt;/foreign-keys&gt;&lt;ref-type name="Book"&gt;6&lt;/ref-type&gt;&lt;contributors&gt;&lt;authors&gt;&lt;author&gt;Australian Bureau of Statistics,&lt;/author&gt;&lt;/authors&gt;&lt;/contributors&gt;&lt;titles&gt;&lt;title&gt;Working Arrangements, Australia&lt;/title&gt;&lt;secondary-title&gt;cat. no 6350.0&lt;/secondary-title&gt;&lt;/titles&gt;&lt;dates&gt;&lt;year&gt;2003&lt;/year&gt;&lt;/dates&gt;&lt;pub-location&gt;Canberra&lt;/pub-location&gt;&lt;publisher&gt;ABS&lt;/publisher&gt;&lt;urls&gt;&lt;/urls&gt;&lt;/record&gt;&lt;/Cite&gt;&lt;/EndNote&gt;</w:instrText>
      </w:r>
      <w:r w:rsidR="00A05B75">
        <w:rPr>
          <w:lang w:val="en-GB"/>
        </w:rPr>
        <w:fldChar w:fldCharType="separate"/>
      </w:r>
      <w:r w:rsidR="00B1645A">
        <w:rPr>
          <w:noProof/>
          <w:lang w:val="en-GB"/>
        </w:rPr>
        <w:t>(</w:t>
      </w:r>
      <w:hyperlink w:anchor="_ENREF_2" w:tooltip="Australian Bureau of Statistics, 2003 #45" w:history="1">
        <w:r w:rsidR="008A14C8">
          <w:rPr>
            <w:noProof/>
            <w:lang w:val="en-GB"/>
          </w:rPr>
          <w:t>Australian Bureau of Statistics, 2003</w:t>
        </w:r>
      </w:hyperlink>
      <w:r w:rsidR="00B1645A">
        <w:rPr>
          <w:noProof/>
          <w:lang w:val="en-GB"/>
        </w:rPr>
        <w:t>)</w:t>
      </w:r>
      <w:r w:rsidR="00A05B75">
        <w:rPr>
          <w:lang w:val="en-GB"/>
        </w:rPr>
        <w:fldChar w:fldCharType="end"/>
      </w:r>
      <w:r w:rsidRPr="008040A0">
        <w:rPr>
          <w:lang w:val="en-GB"/>
        </w:rPr>
        <w:t xml:space="preserve"> inflated to June 2014, this equates to a potential increase in productivity per working smoker avoided of $337.48 per year and an $84.37 increase in productivity per working quitter per year.</w:t>
      </w:r>
    </w:p>
    <w:p w14:paraId="61309D4D" w14:textId="4D315BEC" w:rsidR="00041E7A" w:rsidRDefault="00C57EB1" w:rsidP="00041E7A">
      <w:pPr>
        <w:rPr>
          <w:lang w:val="en-GB"/>
        </w:rPr>
      </w:pPr>
      <w:r>
        <w:rPr>
          <w:lang w:val="en-GB"/>
        </w:rPr>
        <w:t>In addition</w:t>
      </w:r>
      <w:r w:rsidR="00041E7A" w:rsidRPr="008040A0">
        <w:rPr>
          <w:lang w:val="en-GB"/>
        </w:rPr>
        <w:t xml:space="preserve">, Bunn (2006) measured unproductive time at work as well as sick leave </w:t>
      </w:r>
      <w:r w:rsidR="00041E7A">
        <w:rPr>
          <w:lang w:val="en-GB"/>
        </w:rPr>
        <w:t xml:space="preserve">for smokers compared with non-smokers </w:t>
      </w:r>
      <w:r w:rsidR="00A05B75" w:rsidRPr="008040A0">
        <w:rPr>
          <w:lang w:val="en-GB"/>
        </w:rPr>
        <w:fldChar w:fldCharType="begin"/>
      </w:r>
      <w:r w:rsidR="00B1645A">
        <w:rPr>
          <w:lang w:val="en-GB"/>
        </w:rPr>
        <w:instrText xml:space="preserve"> ADDIN EN.CITE &lt;EndNote&gt;&lt;Cite&gt;&lt;Author&gt;Bunn&lt;/Author&gt;&lt;Year&gt;2006&lt;/Year&gt;&lt;RecNum&gt;42&lt;/RecNum&gt;&lt;DisplayText&gt;(Bunn et al., 2006)&lt;/DisplayText&gt;&lt;record&gt;&lt;rec-number&gt;42&lt;/rec-number&gt;&lt;foreign-keys&gt;&lt;key app="EN" db-id="edfppa0tc0tfd1etp5xvexpnzfefzewwwas9" timestamp="1441592648"&gt;42&lt;/key&gt;&lt;/foreign-keys&gt;&lt;ref-type name="Journal Article"&gt;17&lt;/ref-type&gt;&lt;contributors&gt;&lt;authors&gt;&lt;author&gt;Bunn, I. I. I. William B.&lt;/author&gt;&lt;author&gt;Stave, Gregg M.&lt;/author&gt;&lt;author&gt;Downs, Kristen E.&lt;/author&gt;&lt;author&gt;Alvir, Jose Ma J.&lt;/author&gt;&lt;author&gt;Dirani, Riad&lt;/author&gt;&lt;/authors&gt;&lt;/contributors&gt;&lt;titles&gt;&lt;title&gt;Effect of Smoking Status on Productivity Loss&lt;/title&gt;&lt;secondary-title&gt;Journal of Occupational and Environmental Medicine&lt;/secondary-title&gt;&lt;/titles&gt;&lt;periodical&gt;&lt;full-title&gt;Journal of Occupational and Environmental Medicine&lt;/full-title&gt;&lt;/periodical&gt;&lt;pages&gt;1099-1108&lt;/pages&gt;&lt;volume&gt;48&lt;/volume&gt;&lt;number&gt;10&lt;/number&gt;&lt;keywords&gt;&lt;keyword&gt;EMPLOYERS&lt;/keyword&gt;&lt;keyword&gt;ABSENTEEISM&lt;/keyword&gt;&lt;keyword&gt;CESSATION&lt;/keyword&gt;&lt;keyword&gt;IMPACT&lt;/keyword&gt;&lt;keyword&gt;WORKERS-COMPENSATION&lt;/keyword&gt;&lt;keyword&gt;PUBLIC, ENVIRONMENTAL &amp;amp; OCCUPATIONAL HEALTH&lt;/keyword&gt;&lt;keyword&gt;UNITED-STATES&lt;/keyword&gt;&lt;keyword&gt;HEALTH-CARE COSTS&lt;/keyword&gt;&lt;keyword&gt;DISABILITY&lt;/keyword&gt;&lt;keyword&gt;RISKS&lt;/keyword&gt;&lt;keyword&gt;ABSENCE&lt;/keyword&gt;&lt;keyword&gt;Efficiency, Organizational - statistics &amp;amp; numerical data&lt;/keyword&gt;&lt;keyword&gt;Smoking - adverse effects&lt;/keyword&gt;&lt;keyword&gt;Smoking - economics&lt;/keyword&gt;&lt;keyword&gt;Surveys&lt;/keyword&gt;&lt;keyword&gt;Health aspects&lt;/keyword&gt;&lt;keyword&gt;Smokers&lt;/keyword&gt;&lt;keyword&gt;Economic aspects&lt;/keyword&gt;&lt;keyword&gt;Employees&lt;/keyword&gt;&lt;keyword&gt;Smoking&lt;/keyword&gt;&lt;keyword&gt;Productivity&lt;/keyword&gt;&lt;/keywords&gt;&lt;dates&gt;&lt;year&gt;2006&lt;/year&gt;&lt;/dates&gt;&lt;pub-location&gt;PHILADELPHIA&lt;/pub-location&gt;&lt;publisher&gt;The American College of Occupational and Environmental Medicine&lt;/publisher&gt;&lt;isbn&gt;1076-2752&lt;/isbn&gt;&lt;urls&gt;&lt;/urls&gt;&lt;/record&gt;&lt;/Cite&gt;&lt;/EndNote&gt;</w:instrText>
      </w:r>
      <w:r w:rsidR="00A05B75" w:rsidRPr="008040A0">
        <w:rPr>
          <w:lang w:val="en-GB"/>
        </w:rPr>
        <w:fldChar w:fldCharType="separate"/>
      </w:r>
      <w:r w:rsidR="00B1645A">
        <w:rPr>
          <w:noProof/>
          <w:lang w:val="en-GB"/>
        </w:rPr>
        <w:t>(</w:t>
      </w:r>
      <w:hyperlink w:anchor="_ENREF_13" w:tooltip="Bunn, 2006 #42" w:history="1">
        <w:r w:rsidR="008A14C8">
          <w:rPr>
            <w:noProof/>
            <w:lang w:val="en-GB"/>
          </w:rPr>
          <w:t>Bunn et al., 2006</w:t>
        </w:r>
      </w:hyperlink>
      <w:r w:rsidR="00B1645A">
        <w:rPr>
          <w:noProof/>
          <w:lang w:val="en-GB"/>
        </w:rPr>
        <w:t>)</w:t>
      </w:r>
      <w:r w:rsidR="00A05B75" w:rsidRPr="008040A0">
        <w:fldChar w:fldCharType="end"/>
      </w:r>
      <w:r w:rsidR="00041E7A" w:rsidRPr="008040A0">
        <w:rPr>
          <w:lang w:val="en-GB"/>
        </w:rPr>
        <w:t>. More than 45</w:t>
      </w:r>
      <w:r w:rsidR="00041E7A">
        <w:rPr>
          <w:lang w:val="en-GB"/>
        </w:rPr>
        <w:t>,</w:t>
      </w:r>
      <w:r w:rsidR="00041E7A" w:rsidRPr="008040A0">
        <w:rPr>
          <w:lang w:val="en-GB"/>
        </w:rPr>
        <w:t>000 workers from 147 companies in the US</w:t>
      </w:r>
      <w:r w:rsidR="00041E7A">
        <w:rPr>
          <w:lang w:val="en-GB"/>
        </w:rPr>
        <w:t>A</w:t>
      </w:r>
      <w:r w:rsidR="00041E7A" w:rsidRPr="008040A0">
        <w:rPr>
          <w:lang w:val="en-GB"/>
        </w:rPr>
        <w:t xml:space="preserve"> reported the number of work days lost and hours they were unproductive. The average annual cost for lost productivity was about 70% higher for current smokers than non-smokers ($4430/year versus $2623/year). Approximately 60% of the productivity losses for smokers were due to unproductive time at work. </w:t>
      </w:r>
    </w:p>
    <w:p w14:paraId="09411E22" w14:textId="77777777" w:rsidR="00B50287" w:rsidRPr="00830649"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rPr>
          <w:b/>
          <w:sz w:val="22"/>
          <w:szCs w:val="22"/>
        </w:rPr>
      </w:pPr>
      <w:r>
        <w:rPr>
          <w:b/>
          <w:sz w:val="22"/>
          <w:szCs w:val="22"/>
        </w:rPr>
        <w:t>Box 3</w:t>
      </w:r>
      <w:r w:rsidRPr="00830649">
        <w:rPr>
          <w:b/>
          <w:sz w:val="22"/>
          <w:szCs w:val="22"/>
        </w:rPr>
        <w:t xml:space="preserve">: Summary Impact on Productivity </w:t>
      </w:r>
    </w:p>
    <w:p w14:paraId="210F768E" w14:textId="222DA444" w:rsidR="005454F1"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rPr>
          <w:lang w:val="en-GB"/>
        </w:rPr>
      </w:pPr>
      <w:r w:rsidRPr="00830649">
        <w:t xml:space="preserve">Preventing smoking or increasing the number of smokers who quit would result in increased productivity gains. The value per working smoker avoided is estimated at $337.48 per year. The value of the increased productivity per working quitter per year is estimated at $84.37. This is likely to underestimate total productivity gains from reduced tobacco consumption. </w:t>
      </w:r>
      <w:r>
        <w:t>To the extent that the TPP measure may contribute to reduced tobacco smoking or exposure to tobacco smoke, there would be increased productivity gains.</w:t>
      </w:r>
    </w:p>
    <w:p w14:paraId="55E02B25" w14:textId="77777777" w:rsidR="00041E7A" w:rsidRPr="00830649" w:rsidRDefault="00041E7A" w:rsidP="00673E6B">
      <w:pPr>
        <w:pStyle w:val="Heading3"/>
        <w:rPr>
          <w:lang w:val="en-GB"/>
        </w:rPr>
      </w:pPr>
      <w:bookmarkStart w:id="111" w:name="_Toc427737356"/>
      <w:bookmarkStart w:id="112" w:name="_Toc443560344"/>
      <w:bookmarkStart w:id="113" w:name="_Toc443560372"/>
      <w:bookmarkStart w:id="114" w:name="_Toc443560422"/>
      <w:r w:rsidRPr="00830649">
        <w:rPr>
          <w:lang w:val="en-GB"/>
        </w:rPr>
        <w:t>Cleaner Streets</w:t>
      </w:r>
      <w:bookmarkEnd w:id="111"/>
      <w:bookmarkEnd w:id="112"/>
      <w:bookmarkEnd w:id="113"/>
      <w:bookmarkEnd w:id="114"/>
    </w:p>
    <w:p w14:paraId="13E4106C" w14:textId="72C04F1B" w:rsidR="00041E7A" w:rsidRPr="008040A0" w:rsidRDefault="00041E7A" w:rsidP="00041E7A">
      <w:r w:rsidRPr="008040A0">
        <w:t xml:space="preserve">It has been previously reported that an estimated 60% of Australian smokers do not dispose of their </w:t>
      </w:r>
      <w:r w:rsidR="005C19B2">
        <w:t xml:space="preserve">cigarette </w:t>
      </w:r>
      <w:r w:rsidRPr="008040A0">
        <w:t xml:space="preserve">butts appropriately when smoking outside with 7.2 billion cigarette butts </w:t>
      </w:r>
      <w:r>
        <w:t>discarded annually in Australia</w:t>
      </w:r>
      <w:r w:rsidRPr="008040A0">
        <w:t xml:space="preserve"> </w:t>
      </w:r>
      <w:r w:rsidR="00A05B75" w:rsidRPr="008040A0">
        <w:fldChar w:fldCharType="begin"/>
      </w:r>
      <w:r w:rsidR="00B1645A">
        <w:instrText xml:space="preserve"> ADDIN EN.CITE &lt;EndNote&gt;&lt;Cite&gt;&lt;Author&gt;Winstanley&lt;/Author&gt;&lt;Year&gt;2012&lt;/Year&gt;&lt;RecNum&gt;46&lt;/RecNum&gt;&lt;DisplayText&gt;(Winstanley &amp;amp; Freeman, 2012)&lt;/DisplayText&gt;&lt;record&gt;&lt;rec-number&gt;46&lt;/rec-number&gt;&lt;foreign-keys&gt;&lt;key app="EN" db-id="edfppa0tc0tfd1etp5xvexpnzfefzewwwas9" timestamp="1441592648"&gt;46&lt;/key&gt;&lt;/foreign-keys&gt;&lt;ref-type name="Book Section"&gt;5&lt;/ref-type&gt;&lt;contributors&gt;&lt;authors&gt;&lt;author&gt;Winstanley, M. H.&lt;/author&gt;&lt;author&gt;Freeman, Becky&lt;/author&gt;&lt;/authors&gt;&lt;secondary-authors&gt;&lt;author&gt;Scollo, Michelle&lt;/author&gt;&lt;author&gt;Winstanley, M. H.&lt;/author&gt;&lt;/secondary-authors&gt;&lt;/contributors&gt;&lt;titles&gt;&lt;title&gt;The tobacco industry in Australian society&lt;/title&gt;&lt;secondary-title&gt;Tobacco in Australia: Facts and issues 4th ed.&lt;/secondary-title&gt;&lt;/titles&gt;&lt;dates&gt;&lt;year&gt;2012&lt;/year&gt;&lt;/dates&gt;&lt;pub-location&gt;Melbourne&lt;/pub-location&gt;&lt;publisher&gt;Cancer Council Victoria&lt;/publisher&gt;&lt;urls&gt;&lt;related-urls&gt;&lt;url&gt;http://www.tobaccoinaustralia.org.au/&lt;/url&gt;&lt;/related-urls&gt;&lt;/urls&gt;&lt;/record&gt;&lt;/Cite&gt;&lt;/EndNote&gt;</w:instrText>
      </w:r>
      <w:r w:rsidR="00A05B75" w:rsidRPr="008040A0">
        <w:fldChar w:fldCharType="separate"/>
      </w:r>
      <w:r w:rsidR="00B1645A">
        <w:rPr>
          <w:noProof/>
        </w:rPr>
        <w:t>(</w:t>
      </w:r>
      <w:hyperlink w:anchor="_ENREF_70" w:tooltip="Winstanley, 2012 #46" w:history="1">
        <w:r w:rsidR="008A14C8">
          <w:rPr>
            <w:noProof/>
          </w:rPr>
          <w:t>Winstanley &amp; Freeman, 2012</w:t>
        </w:r>
      </w:hyperlink>
      <w:r w:rsidR="00B1645A">
        <w:rPr>
          <w:noProof/>
        </w:rPr>
        <w:t>)</w:t>
      </w:r>
      <w:r w:rsidR="00A05B75" w:rsidRPr="008040A0">
        <w:fldChar w:fldCharType="end"/>
      </w:r>
      <w:r>
        <w:t>.</w:t>
      </w:r>
      <w:r w:rsidRPr="008040A0">
        <w:t xml:space="preserve"> Almost 50% of all litter in urban areas is tobacco related including </w:t>
      </w:r>
      <w:r w:rsidR="005C19B2">
        <w:t xml:space="preserve">cigarette </w:t>
      </w:r>
      <w:r w:rsidRPr="008040A0">
        <w:t>butts, cellophane wrapping, foil inserts and packaging</w:t>
      </w:r>
      <w:r>
        <w:t xml:space="preserve"> </w:t>
      </w:r>
      <w:r w:rsidR="00A05B75" w:rsidRPr="008040A0">
        <w:fldChar w:fldCharType="begin"/>
      </w:r>
      <w:r w:rsidR="00B1645A">
        <w:instrText xml:space="preserve"> ADDIN EN.CITE &lt;EndNote&gt;&lt;Cite&gt;&lt;Author&gt;Keep Australia Beautiful Queensland&lt;/Author&gt;&lt;Year&gt;2015&lt;/Year&gt;&lt;RecNum&gt;47&lt;/RecNum&gt;&lt;DisplayText&gt;(Keep Australia Beautiful Queensland, 2015)&lt;/DisplayText&gt;&lt;record&gt;&lt;rec-number&gt;47&lt;/rec-number&gt;&lt;foreign-keys&gt;&lt;key app="EN" db-id="edfppa0tc0tfd1etp5xvexpnzfefzewwwas9" timestamp="1441592648"&gt;47&lt;/key&gt;&lt;/foreign-keys&gt;&lt;ref-type name="Government Document"&gt;46&lt;/ref-type&gt;&lt;contributors&gt;&lt;authors&gt;&lt;author&gt;Keep Australia Beautiful Queensland,&lt;/author&gt;&lt;/authors&gt;&lt;/contributors&gt;&lt;titles&gt;&lt;title&gt;Cigarette Butt Littering&lt;/title&gt;&lt;secondary-title&gt;Fact Sheet&lt;/secondary-title&gt;&lt;/titles&gt;&lt;volume&gt;2015&lt;/volume&gt;&lt;number&gt;14 April&lt;/number&gt;&lt;dates&gt;&lt;year&gt;2015&lt;/year&gt;&lt;/dates&gt;&lt;pub-location&gt;http://www.keepqueenslandbeautiful.org.au/resources/fact%20sheets/Cigarette%20Butt%20Litter.pdf&lt;/pub-location&gt;&lt;urls&gt;&lt;/urls&gt;&lt;/record&gt;&lt;/Cite&gt;&lt;/EndNote&gt;</w:instrText>
      </w:r>
      <w:r w:rsidR="00A05B75" w:rsidRPr="008040A0">
        <w:fldChar w:fldCharType="separate"/>
      </w:r>
      <w:r w:rsidR="00B1645A">
        <w:rPr>
          <w:noProof/>
        </w:rPr>
        <w:t>(</w:t>
      </w:r>
      <w:hyperlink w:anchor="_ENREF_39" w:tooltip="Keep Australia Beautiful Queensland, 2015 #47" w:history="1">
        <w:r w:rsidR="008A14C8">
          <w:rPr>
            <w:noProof/>
          </w:rPr>
          <w:t>Keep Australia Beautiful Queensland, 2015</w:t>
        </w:r>
      </w:hyperlink>
      <w:r w:rsidR="00B1645A">
        <w:rPr>
          <w:noProof/>
        </w:rPr>
        <w:t>)</w:t>
      </w:r>
      <w:r w:rsidR="00A05B75" w:rsidRPr="008040A0">
        <w:fldChar w:fldCharType="end"/>
      </w:r>
      <w:r>
        <w:t>.</w:t>
      </w:r>
      <w:r w:rsidRPr="008040A0">
        <w:t xml:space="preserve"> The cost of clean-up in Australia has been estimated in excess of $1 billion annually with governments paying approximately 80% and the remaining 20% borne by businesses and other organisations </w:t>
      </w:r>
      <w:r w:rsidR="00A05B75" w:rsidRPr="008040A0">
        <w:fldChar w:fldCharType="begin"/>
      </w:r>
      <w:r w:rsidR="00B1645A">
        <w:instrText xml:space="preserve"> ADDIN EN.CITE &lt;EndNote&gt;&lt;Cite&gt;&lt;Author&gt;Keep Australia Beautiful Queensland&lt;/Author&gt;&lt;RecNum&gt;48&lt;/RecNum&gt;&lt;DisplayText&gt;(Keep Australia Beautiful Queensland)&lt;/DisplayText&gt;&lt;record&gt;&lt;rec-number&gt;48&lt;/rec-number&gt;&lt;foreign-keys&gt;&lt;key app="EN" db-id="edfppa0tc0tfd1etp5xvexpnzfefzewwwas9" timestamp="1441592648"&gt;48&lt;/key&gt;&lt;/foreign-keys&gt;&lt;ref-type name="Government Document"&gt;46&lt;/ref-type&gt;&lt;contributors&gt;&lt;authors&gt;&lt;author&gt;Keep Australia Beautiful Queensland,&lt;/author&gt;&lt;/authors&gt;&lt;/contributors&gt;&lt;titles&gt;&lt;title&gt;What is litter?&lt;/title&gt;&lt;/titles&gt;&lt;volume&gt;2015&lt;/volume&gt;&lt;number&gt;14 April&lt;/number&gt;&lt;dates&gt;&lt;/dates&gt;&lt;pub-location&gt;http://www.keepqueenslandbeautiful.org.au/Default.aspx?PageID=6461734&amp;amp;A=SearchResult&amp;amp;SearchID=8260523&amp;amp;ObjectID=6461734&amp;amp;ObjectType=1&lt;/pub-location&gt;&lt;publisher&gt;Keep Australia Beautiful Queensland,&lt;/publisher&gt;&lt;urls&gt;&lt;/urls&gt;&lt;/record&gt;&lt;/Cite&gt;&lt;/EndNote&gt;</w:instrText>
      </w:r>
      <w:r w:rsidR="00A05B75" w:rsidRPr="008040A0">
        <w:fldChar w:fldCharType="separate"/>
      </w:r>
      <w:r w:rsidR="00B1645A">
        <w:rPr>
          <w:noProof/>
        </w:rPr>
        <w:t>(</w:t>
      </w:r>
      <w:hyperlink w:anchor="_ENREF_38" w:tooltip="Keep Australia Beautiful Queensland,  #48" w:history="1">
        <w:r w:rsidR="008A14C8">
          <w:rPr>
            <w:noProof/>
          </w:rPr>
          <w:t>Keep Australia Beautiful Queensland</w:t>
        </w:r>
      </w:hyperlink>
      <w:r w:rsidR="00B1645A">
        <w:rPr>
          <w:noProof/>
        </w:rPr>
        <w:t>)</w:t>
      </w:r>
      <w:r w:rsidR="00A05B75" w:rsidRPr="008040A0">
        <w:fldChar w:fldCharType="end"/>
      </w:r>
      <w:r w:rsidRPr="008040A0">
        <w:t xml:space="preserve">. In addition, discarded cigarette butts have also been linked with serious environmental consequences </w:t>
      </w:r>
      <w:r w:rsidR="00A05B75" w:rsidRPr="008040A0">
        <w:fldChar w:fldCharType="begin"/>
      </w:r>
      <w:r w:rsidR="00C95CF3">
        <w:instrText xml:space="preserve"> ADDIN EN.CITE &lt;EndNote&gt;&lt;Cite&gt;&lt;Author&gt;Moerman&lt;/Author&gt;&lt;Year&gt;2011&lt;/Year&gt;&lt;RecNum&gt;49&lt;/RecNum&gt;&lt;DisplayText&gt;(Moerman &amp;amp; Potts, 2011; Slaughter et al., 2011)&lt;/DisplayText&gt;&lt;record&gt;&lt;rec-number&gt;49&lt;/rec-number&gt;&lt;foreign-keys&gt;&lt;key app="EN" db-id="edfppa0tc0tfd1etp5xvexpnzfefzewwwas9" timestamp="1441592648"&gt;49&lt;/key&gt;&lt;/foreign-keys&gt;&lt;ref-type name="Journal Article"&gt;17&lt;/ref-type&gt;&lt;contributors&gt;&lt;authors&gt;&lt;author&gt;Moerman, J W&lt;/author&gt;&lt;author&gt;Potts, G E&lt;/author&gt;&lt;/authors&gt;&lt;/contributors&gt;&lt;titles&gt;&lt;title&gt;Analysis of metals leached from smoked cigarette litter&lt;/title&gt;&lt;secondary-title&gt;Tobacco control&lt;/secondary-title&gt;&lt;/titles&gt;&lt;periodical&gt;&lt;full-title&gt;Tobacco control&lt;/full-title&gt;&lt;/periodical&gt;&lt;pages&gt;i30-i35&lt;/pages&gt;&lt;volume&gt;20&lt;/volume&gt;&lt;number&gt;Suppl 1&lt;/number&gt;&lt;dates&gt;&lt;year&gt;2011&lt;/year&gt;&lt;pub-dates&gt;&lt;date&gt;May 1, 2011&lt;/date&gt;&lt;/pub-dates&gt;&lt;/dates&gt;&lt;urls&gt;&lt;/urls&gt;&lt;/record&gt;&lt;/Cite&gt;&lt;Cite&gt;&lt;Author&gt;Slaughter&lt;/Author&gt;&lt;Year&gt;2011&lt;/Year&gt;&lt;RecNum&gt;50&lt;/RecNum&gt;&lt;record&gt;&lt;rec-number&gt;50&lt;/rec-number&gt;&lt;foreign-keys&gt;&lt;key app="EN" db-id="edfppa0tc0tfd1etp5xvexpnzfefzewwwas9" timestamp="1441592648"&gt;50&lt;/key&gt;&lt;/foreign-keys&gt;&lt;ref-type name="Journal Article"&gt;17&lt;/ref-type&gt;&lt;contributors&gt;&lt;authors&gt;&lt;author&gt;Slaughter, Elli&lt;/author&gt;&lt;author&gt;Gersberg, Richard M&lt;/author&gt;&lt;author&gt;Watanabe, Kayo&lt;/author&gt;&lt;author&gt;Rudolph, John&lt;/author&gt;&lt;author&gt;Stransky, Chris&lt;/author&gt;&lt;author&gt;Novotny, Thomas E&lt;/author&gt;&lt;/authors&gt;&lt;/contributors&gt;&lt;titles&gt;&lt;title&gt;Toxicity of cigarette butts, and their chemical components, to marine and freshwater fish&lt;/title&gt;&lt;secondary-title&gt;Tobacco control&lt;/secondary-title&gt;&lt;/titles&gt;&lt;periodical&gt;&lt;full-title&gt;Tobacco control&lt;/full-title&gt;&lt;/periodical&gt;&lt;pages&gt;i25-i29&lt;/pages&gt;&lt;volume&gt;20&lt;/volume&gt;&lt;number&gt;Supplement 1&lt;/number&gt;&lt;dates&gt;&lt;year&gt;2011&lt;/year&gt;&lt;pub-dates&gt;&lt;date&gt;May 1, 2011&lt;/date&gt;&lt;/pub-dates&gt;&lt;/dates&gt;&lt;urls&gt;&lt;/urls&gt;&lt;/record&gt;&lt;/Cite&gt;&lt;/EndNote&gt;</w:instrText>
      </w:r>
      <w:r w:rsidR="00A05B75" w:rsidRPr="008040A0">
        <w:fldChar w:fldCharType="separate"/>
      </w:r>
      <w:r w:rsidR="00B1645A">
        <w:rPr>
          <w:noProof/>
        </w:rPr>
        <w:t>(</w:t>
      </w:r>
      <w:hyperlink w:anchor="_ENREF_48" w:tooltip="Moerman, 2011 #49" w:history="1">
        <w:r w:rsidR="008A14C8">
          <w:rPr>
            <w:noProof/>
          </w:rPr>
          <w:t>Moerman &amp; Potts, 2011</w:t>
        </w:r>
      </w:hyperlink>
      <w:r w:rsidR="00B1645A">
        <w:rPr>
          <w:noProof/>
        </w:rPr>
        <w:t xml:space="preserve">; </w:t>
      </w:r>
      <w:hyperlink w:anchor="_ENREF_58" w:tooltip="Slaughter, 2011 #50" w:history="1">
        <w:r w:rsidR="008A14C8">
          <w:rPr>
            <w:noProof/>
          </w:rPr>
          <w:t>Slaughter et al., 2011</w:t>
        </w:r>
      </w:hyperlink>
      <w:r w:rsidR="00B1645A">
        <w:rPr>
          <w:noProof/>
        </w:rPr>
        <w:t>)</w:t>
      </w:r>
      <w:r w:rsidR="00A05B75" w:rsidRPr="008040A0">
        <w:fldChar w:fldCharType="end"/>
      </w:r>
      <w:r w:rsidRPr="008040A0">
        <w:t xml:space="preserve"> and health risks </w:t>
      </w:r>
      <w:r w:rsidR="00A05B75" w:rsidRPr="008040A0">
        <w:fldChar w:fldCharType="begin"/>
      </w:r>
      <w:r w:rsidR="00B1645A">
        <w:instrText xml:space="preserve"> ADDIN EN.CITE &lt;EndNote&gt;&lt;Cite&gt;&lt;Author&gt;Novotny&lt;/Author&gt;&lt;Year&gt;2011&lt;/Year&gt;&lt;RecNum&gt;51&lt;/RecNum&gt;&lt;DisplayText&gt;(Novotny et al., 2011)&lt;/DisplayText&gt;&lt;record&gt;&lt;rec-number&gt;51&lt;/rec-number&gt;&lt;foreign-keys&gt;&lt;key app="EN" db-id="edfppa0tc0tfd1etp5xvexpnzfefzewwwas9" timestamp="1441592648"&gt;51&lt;/key&gt;&lt;/foreign-keys&gt;&lt;ref-type name="Journal Article"&gt;17&lt;/ref-type&gt;&lt;contributors&gt;&lt;authors&gt;&lt;author&gt;Novotny, Thomas E&lt;/author&gt;&lt;author&gt;Hardin, Sarah N&lt;/author&gt;&lt;author&gt;Hovda, Lynn R&lt;/author&gt;&lt;author&gt;Novotny, Dale J&lt;/author&gt;&lt;author&gt;McLean, Mary Kay&lt;/author&gt;&lt;author&gt;Khan, Safdar&lt;/author&gt;&lt;/authors&gt;&lt;/contributors&gt;&lt;titles&gt;&lt;title&gt;Tobacco and cigarette butt consumption in humans and animals&lt;/title&gt;&lt;secondary-title&gt;Tobacco control&lt;/secondary-title&gt;&lt;/titles&gt;&lt;periodical&gt;&lt;full-title&gt;Tobacco control&lt;/full-title&gt;&lt;/periodical&gt;&lt;pages&gt;i17-i20&lt;/pages&gt;&lt;volume&gt;20&lt;/volume&gt;&lt;number&gt;Supplementary 1&lt;/number&gt;&lt;dates&gt;&lt;year&gt;2011&lt;/year&gt;&lt;pub-dates&gt;&lt;date&gt;May 1, 2011&lt;/date&gt;&lt;/pub-dates&gt;&lt;/dates&gt;&lt;urls&gt;&lt;/urls&gt;&lt;/record&gt;&lt;/Cite&gt;&lt;/EndNote&gt;</w:instrText>
      </w:r>
      <w:r w:rsidR="00A05B75" w:rsidRPr="008040A0">
        <w:fldChar w:fldCharType="separate"/>
      </w:r>
      <w:r w:rsidR="00B1645A">
        <w:rPr>
          <w:noProof/>
        </w:rPr>
        <w:t>(</w:t>
      </w:r>
      <w:hyperlink w:anchor="_ENREF_50" w:tooltip="Novotny, 2011 #51" w:history="1">
        <w:r w:rsidR="008A14C8">
          <w:rPr>
            <w:noProof/>
          </w:rPr>
          <w:t>Novotny et al., 2011</w:t>
        </w:r>
      </w:hyperlink>
      <w:r w:rsidR="00B1645A">
        <w:rPr>
          <w:noProof/>
        </w:rPr>
        <w:t>)</w:t>
      </w:r>
      <w:r w:rsidR="00A05B75" w:rsidRPr="008040A0">
        <w:fldChar w:fldCharType="end"/>
      </w:r>
      <w:r>
        <w:t>.</w:t>
      </w:r>
    </w:p>
    <w:p w14:paraId="2F56BAE1" w14:textId="77777777" w:rsidR="00041E7A" w:rsidRPr="008040A0" w:rsidRDefault="00041E7A" w:rsidP="00041E7A">
      <w:r w:rsidRPr="008040A0">
        <w:t xml:space="preserve">Tobacco products are undoubtedly associated with litter. In turn this litter has economic consequences including reduction in amenity value of public spaces and </w:t>
      </w:r>
      <w:r w:rsidR="00315A1F">
        <w:t xml:space="preserve">the </w:t>
      </w:r>
      <w:r w:rsidRPr="008040A0">
        <w:t xml:space="preserve">cost of cleaning up, and poses environmental and health risks.  However, whilst evidence on the quantity of cigarette litter is available from multiple sources and the environmental and health risks have been established in peer-reviewed scientific journals, the source of the cost estimates for litter clean up could not be verified. Moreover, the average cost (and other associated harm) per item of litter is not likely to represent the marginal cost associated with an incremental reduction in litter. </w:t>
      </w:r>
    </w:p>
    <w:p w14:paraId="2D4C13B2" w14:textId="37D2C455" w:rsidR="00041E7A" w:rsidRDefault="00041E7A" w:rsidP="00041E7A">
      <w:r w:rsidRPr="008040A0">
        <w:t>Measures that reduce tobacco consumption are likely to reduce associated tobacco litter but</w:t>
      </w:r>
      <w:r w:rsidR="0097090C" w:rsidRPr="008040A0">
        <w:t>, reductions</w:t>
      </w:r>
      <w:r w:rsidRPr="008040A0">
        <w:t xml:space="preserve"> in consumption of tobacco products are likely to be replaced with consumption of other goods and services. Consequently, any reduction in litter associated with lower tobacco consumption </w:t>
      </w:r>
      <w:r>
        <w:t xml:space="preserve">could </w:t>
      </w:r>
      <w:r w:rsidRPr="008040A0">
        <w:t>be offset by increased litter associated with the consumption of substituted goods.</w:t>
      </w:r>
    </w:p>
    <w:p w14:paraId="120BF835" w14:textId="77777777" w:rsidR="00B50287" w:rsidRPr="00830649" w:rsidRDefault="00B50287" w:rsidP="00B50287">
      <w:pPr>
        <w:keepNext/>
        <w:pBdr>
          <w:top w:val="single" w:sz="2" w:space="1" w:color="auto"/>
          <w:left w:val="single" w:sz="2" w:space="4" w:color="auto"/>
          <w:bottom w:val="single" w:sz="2" w:space="1" w:color="auto"/>
          <w:right w:val="single" w:sz="2" w:space="4" w:color="auto"/>
        </w:pBdr>
        <w:shd w:val="clear" w:color="auto" w:fill="DBE5F1" w:themeFill="accent1" w:themeFillTint="33"/>
        <w:rPr>
          <w:b/>
          <w:sz w:val="22"/>
          <w:szCs w:val="22"/>
        </w:rPr>
      </w:pPr>
      <w:r>
        <w:rPr>
          <w:b/>
          <w:sz w:val="22"/>
          <w:szCs w:val="22"/>
        </w:rPr>
        <w:lastRenderedPageBreak/>
        <w:t>Box 4</w:t>
      </w:r>
      <w:r w:rsidRPr="00E7390B">
        <w:rPr>
          <w:b/>
          <w:sz w:val="22"/>
          <w:szCs w:val="22"/>
        </w:rPr>
        <w:t>:</w:t>
      </w:r>
      <w:r w:rsidRPr="00830649">
        <w:rPr>
          <w:b/>
          <w:sz w:val="22"/>
          <w:szCs w:val="22"/>
        </w:rPr>
        <w:t xml:space="preserve"> Summary Impact on </w:t>
      </w:r>
      <w:r>
        <w:rPr>
          <w:b/>
          <w:sz w:val="22"/>
          <w:szCs w:val="22"/>
        </w:rPr>
        <w:t>C</w:t>
      </w:r>
      <w:r w:rsidRPr="00830649">
        <w:rPr>
          <w:b/>
          <w:sz w:val="22"/>
          <w:szCs w:val="22"/>
        </w:rPr>
        <w:t xml:space="preserve">leaner </w:t>
      </w:r>
      <w:r>
        <w:rPr>
          <w:b/>
          <w:sz w:val="22"/>
          <w:szCs w:val="22"/>
        </w:rPr>
        <w:t>S</w:t>
      </w:r>
      <w:r w:rsidRPr="00830649">
        <w:rPr>
          <w:b/>
          <w:sz w:val="22"/>
          <w:szCs w:val="22"/>
        </w:rPr>
        <w:t>treets</w:t>
      </w:r>
    </w:p>
    <w:p w14:paraId="5A9C51DA" w14:textId="703DC9FD" w:rsidR="00E7390B"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830649">
        <w:t>It is plausible that any intervention that reduces tobacco consumption may result in less tobacco related litter. However, the extent to which this is offset by increased litter from greater consumption of other goods remains unknown. As such, no attempt has been made to quantify the potential value from cleaner streets as a result of the introduction of tobacco plain packaging.</w:t>
      </w:r>
    </w:p>
    <w:p w14:paraId="73DFA0F3" w14:textId="77777777" w:rsidR="00DE495D" w:rsidRPr="000146DB" w:rsidRDefault="00566434" w:rsidP="00673E6B">
      <w:pPr>
        <w:pStyle w:val="Heading3"/>
        <w:rPr>
          <w:lang w:val="en-GB"/>
        </w:rPr>
      </w:pPr>
      <w:bookmarkStart w:id="115" w:name="_Toc427737357"/>
      <w:bookmarkStart w:id="116" w:name="_Toc443560345"/>
      <w:bookmarkStart w:id="117" w:name="_Toc443560373"/>
      <w:bookmarkStart w:id="118" w:name="_Toc443560423"/>
      <w:r w:rsidRPr="000146DB">
        <w:rPr>
          <w:lang w:val="en-GB"/>
        </w:rPr>
        <w:t xml:space="preserve">Potential </w:t>
      </w:r>
      <w:r w:rsidR="00344420">
        <w:rPr>
          <w:lang w:val="en-GB"/>
        </w:rPr>
        <w:t>I</w:t>
      </w:r>
      <w:r w:rsidR="00344420" w:rsidRPr="000146DB">
        <w:rPr>
          <w:lang w:val="en-GB"/>
        </w:rPr>
        <w:t xml:space="preserve">mpact </w:t>
      </w:r>
      <w:r w:rsidRPr="000146DB">
        <w:rPr>
          <w:lang w:val="en-GB"/>
        </w:rPr>
        <w:t xml:space="preserve">on </w:t>
      </w:r>
      <w:bookmarkEnd w:id="115"/>
      <w:r w:rsidR="00344420">
        <w:rPr>
          <w:lang w:val="en-GB"/>
        </w:rPr>
        <w:t>P</w:t>
      </w:r>
      <w:r w:rsidR="00344420" w:rsidRPr="000146DB">
        <w:rPr>
          <w:lang w:val="en-GB"/>
        </w:rPr>
        <w:t>rofit</w:t>
      </w:r>
      <w:bookmarkEnd w:id="116"/>
      <w:bookmarkEnd w:id="117"/>
      <w:bookmarkEnd w:id="118"/>
    </w:p>
    <w:p w14:paraId="652E90D9" w14:textId="1DF3A74B" w:rsidR="00157023" w:rsidRDefault="00157023" w:rsidP="000B332F">
      <w:pPr>
        <w:rPr>
          <w:lang w:val="en-GB"/>
        </w:rPr>
      </w:pPr>
      <w:r>
        <w:rPr>
          <w:lang w:val="en-GB"/>
        </w:rPr>
        <w:t xml:space="preserve">Within the RBM the </w:t>
      </w:r>
      <w:r w:rsidR="00A23638">
        <w:rPr>
          <w:lang w:val="en-GB"/>
        </w:rPr>
        <w:t>potential direct</w:t>
      </w:r>
      <w:r>
        <w:rPr>
          <w:lang w:val="en-GB"/>
        </w:rPr>
        <w:t xml:space="preserve"> costs to the tobacco industry of complying with the TPP </w:t>
      </w:r>
      <w:r w:rsidR="00344420">
        <w:rPr>
          <w:lang w:val="en-GB"/>
        </w:rPr>
        <w:t xml:space="preserve">measure </w:t>
      </w:r>
      <w:r>
        <w:rPr>
          <w:lang w:val="en-GB"/>
        </w:rPr>
        <w:t>were identified and</w:t>
      </w:r>
      <w:r w:rsidR="00A23638">
        <w:rPr>
          <w:lang w:val="en-GB"/>
        </w:rPr>
        <w:t xml:space="preserve"> estimated based largely on submissions from industry</w:t>
      </w:r>
      <w:r>
        <w:rPr>
          <w:lang w:val="en-GB"/>
        </w:rPr>
        <w:t>. These costs included replacement of machinery,</w:t>
      </w:r>
      <w:r w:rsidR="005C19B2">
        <w:rPr>
          <w:lang w:val="en-GB"/>
        </w:rPr>
        <w:t xml:space="preserve"> </w:t>
      </w:r>
      <w:r>
        <w:rPr>
          <w:lang w:val="en-GB"/>
        </w:rPr>
        <w:t xml:space="preserve">capital expenditure associated with factory retrofitting, packaging compliance costs, </w:t>
      </w:r>
      <w:r w:rsidR="0019214D">
        <w:rPr>
          <w:lang w:val="en-GB"/>
        </w:rPr>
        <w:t xml:space="preserve">as well as </w:t>
      </w:r>
      <w:r>
        <w:rPr>
          <w:lang w:val="en-GB"/>
        </w:rPr>
        <w:t xml:space="preserve">education activities. These </w:t>
      </w:r>
      <w:proofErr w:type="gramStart"/>
      <w:r>
        <w:rPr>
          <w:lang w:val="en-GB"/>
        </w:rPr>
        <w:t xml:space="preserve">costs </w:t>
      </w:r>
      <w:r w:rsidR="00A23638">
        <w:rPr>
          <w:lang w:val="en-GB"/>
        </w:rPr>
        <w:t xml:space="preserve"> were</w:t>
      </w:r>
      <w:proofErr w:type="gramEnd"/>
      <w:r w:rsidR="00A23638">
        <w:rPr>
          <w:lang w:val="en-GB"/>
        </w:rPr>
        <w:t xml:space="preserve"> estimated as </w:t>
      </w:r>
      <w:r w:rsidRPr="009F432C">
        <w:rPr>
          <w:lang w:val="en-GB"/>
        </w:rPr>
        <w:t>$</w:t>
      </w:r>
      <w:r w:rsidR="00672FF5">
        <w:rPr>
          <w:lang w:val="en-GB"/>
        </w:rPr>
        <w:t>71.10</w:t>
      </w:r>
      <w:r>
        <w:rPr>
          <w:lang w:val="en-GB"/>
        </w:rPr>
        <w:t xml:space="preserve"> million and were distributed across 35,025 businesses including, manufacturers, importers, distributors and retailers.</w:t>
      </w:r>
      <w:r w:rsidR="00A23638">
        <w:rPr>
          <w:rStyle w:val="FootnoteReference"/>
          <w:lang w:val="en-GB"/>
        </w:rPr>
        <w:footnoteReference w:id="17"/>
      </w:r>
    </w:p>
    <w:p w14:paraId="4677B75D" w14:textId="56F7C1B0" w:rsidR="00157023" w:rsidRDefault="00157023" w:rsidP="000B332F">
      <w:pPr>
        <w:rPr>
          <w:lang w:val="en-GB"/>
        </w:rPr>
      </w:pPr>
      <w:r w:rsidRPr="00C77DBF">
        <w:rPr>
          <w:lang w:val="en-GB"/>
        </w:rPr>
        <w:t>In addition to the direct compliance costs associated</w:t>
      </w:r>
      <w:r w:rsidRPr="008040A0">
        <w:rPr>
          <w:lang w:val="en-GB"/>
        </w:rPr>
        <w:t xml:space="preserve"> with the </w:t>
      </w:r>
      <w:r w:rsidR="00826A4E">
        <w:rPr>
          <w:lang w:val="en-GB"/>
        </w:rPr>
        <w:t>tobacco plain packaging</w:t>
      </w:r>
      <w:r w:rsidRPr="008040A0">
        <w:rPr>
          <w:lang w:val="en-GB"/>
        </w:rPr>
        <w:t xml:space="preserve"> measure </w:t>
      </w:r>
      <w:r>
        <w:rPr>
          <w:lang w:val="en-GB"/>
        </w:rPr>
        <w:t xml:space="preserve">considered within the </w:t>
      </w:r>
      <w:r w:rsidR="00344420">
        <w:rPr>
          <w:lang w:val="en-GB"/>
        </w:rPr>
        <w:t>RBM</w:t>
      </w:r>
      <w:r>
        <w:rPr>
          <w:lang w:val="en-GB"/>
        </w:rPr>
        <w:t xml:space="preserve">, </w:t>
      </w:r>
      <w:r w:rsidR="0019214D">
        <w:rPr>
          <w:lang w:val="en-GB"/>
        </w:rPr>
        <w:t>this section outlines the potential impact on tobacco industry profits. This includes consideration of the potential reduction in tobacco sales, reduction in profitability from changes in consumer preferences away from premium brand tobacco products, impact on value of tobacco brands, and potential for reduced packaging costs.</w:t>
      </w:r>
      <w:r w:rsidR="0019214D" w:rsidRPr="008040A0">
        <w:rPr>
          <w:lang w:val="en-GB"/>
        </w:rPr>
        <w:t xml:space="preserve"> </w:t>
      </w:r>
      <w:r w:rsidR="006E401A">
        <w:rPr>
          <w:lang w:val="en-GB"/>
        </w:rPr>
        <w:t xml:space="preserve">In </w:t>
      </w:r>
      <w:r w:rsidR="00D66210">
        <w:rPr>
          <w:lang w:val="en-GB"/>
        </w:rPr>
        <w:t xml:space="preserve">each case, consistent with OBPR guidance, </w:t>
      </w:r>
      <w:r w:rsidR="006E401A">
        <w:rPr>
          <w:lang w:val="en-GB"/>
        </w:rPr>
        <w:t>a societal perspective has been adopted.</w:t>
      </w:r>
    </w:p>
    <w:p w14:paraId="2BFDA93D" w14:textId="77777777" w:rsidR="00245125" w:rsidRPr="00542E0B" w:rsidRDefault="00245125" w:rsidP="00542E0B">
      <w:pPr>
        <w:pStyle w:val="Heading4"/>
        <w:rPr>
          <w:sz w:val="28"/>
          <w:u w:val="single"/>
        </w:rPr>
      </w:pPr>
      <w:bookmarkStart w:id="119" w:name="_Toc427737358"/>
      <w:r w:rsidRPr="00542E0B">
        <w:rPr>
          <w:sz w:val="28"/>
          <w:u w:val="single"/>
        </w:rPr>
        <w:t xml:space="preserve">Potential </w:t>
      </w:r>
      <w:r w:rsidR="00344420" w:rsidRPr="00542E0B">
        <w:rPr>
          <w:sz w:val="28"/>
          <w:u w:val="single"/>
        </w:rPr>
        <w:t xml:space="preserve">Reduction </w:t>
      </w:r>
      <w:r w:rsidRPr="00542E0B">
        <w:rPr>
          <w:sz w:val="28"/>
          <w:u w:val="single"/>
        </w:rPr>
        <w:t xml:space="preserve">in </w:t>
      </w:r>
      <w:r w:rsidR="00344420" w:rsidRPr="00542E0B">
        <w:rPr>
          <w:sz w:val="28"/>
          <w:u w:val="single"/>
        </w:rPr>
        <w:t xml:space="preserve">Future Tobacco </w:t>
      </w:r>
      <w:bookmarkEnd w:id="119"/>
      <w:r w:rsidR="00344420" w:rsidRPr="00542E0B">
        <w:rPr>
          <w:sz w:val="28"/>
          <w:u w:val="single"/>
        </w:rPr>
        <w:t>Sales</w:t>
      </w:r>
    </w:p>
    <w:p w14:paraId="3D525C8E" w14:textId="19894988" w:rsidR="00843428" w:rsidRDefault="00773BD4" w:rsidP="000B332F">
      <w:pPr>
        <w:rPr>
          <w:lang w:val="en-GB"/>
        </w:rPr>
      </w:pPr>
      <w:r>
        <w:rPr>
          <w:lang w:val="en-GB"/>
        </w:rPr>
        <w:t>An</w:t>
      </w:r>
      <w:r w:rsidR="003649A2">
        <w:rPr>
          <w:lang w:val="en-GB"/>
        </w:rPr>
        <w:t xml:space="preserve">y reduction in smoking </w:t>
      </w:r>
      <w:r w:rsidR="00272E09">
        <w:rPr>
          <w:lang w:val="en-GB"/>
        </w:rPr>
        <w:t xml:space="preserve">will impact </w:t>
      </w:r>
      <w:r w:rsidR="003649A2">
        <w:rPr>
          <w:lang w:val="en-GB"/>
        </w:rPr>
        <w:t xml:space="preserve">the sales and </w:t>
      </w:r>
      <w:r w:rsidR="00272E09">
        <w:rPr>
          <w:lang w:val="en-GB"/>
        </w:rPr>
        <w:t xml:space="preserve">possibly the </w:t>
      </w:r>
      <w:r w:rsidR="003649A2">
        <w:rPr>
          <w:lang w:val="en-GB"/>
        </w:rPr>
        <w:t>profits associated with tobacco products in Australia.</w:t>
      </w:r>
      <w:r>
        <w:rPr>
          <w:lang w:val="en-GB"/>
        </w:rPr>
        <w:t xml:space="preserve"> No </w:t>
      </w:r>
      <w:r w:rsidR="00424F88">
        <w:rPr>
          <w:lang w:val="en-GB"/>
        </w:rPr>
        <w:t xml:space="preserve">raw </w:t>
      </w:r>
      <w:r>
        <w:rPr>
          <w:lang w:val="en-GB"/>
        </w:rPr>
        <w:t xml:space="preserve">data </w:t>
      </w:r>
      <w:r w:rsidR="00424F88">
        <w:rPr>
          <w:lang w:val="en-GB"/>
        </w:rPr>
        <w:t xml:space="preserve">on tobacco sales in Australia </w:t>
      </w:r>
      <w:r>
        <w:rPr>
          <w:lang w:val="en-GB"/>
        </w:rPr>
        <w:t xml:space="preserve">was made available by industry for the purposes of the PIR for this analysis and therefore this impact could not be directly analysed in this analysis of costs and benefits. </w:t>
      </w:r>
    </w:p>
    <w:p w14:paraId="1BB593CC" w14:textId="77777777" w:rsidR="0019214D" w:rsidRDefault="0019214D" w:rsidP="000B332F">
      <w:pPr>
        <w:rPr>
          <w:lang w:val="en-GB"/>
        </w:rPr>
      </w:pPr>
      <w:r w:rsidRPr="008040A0">
        <w:rPr>
          <w:lang w:val="en-GB"/>
        </w:rPr>
        <w:t xml:space="preserve">However, the Australian economy is dynamic with reduced tobacco expenditure highly likely to be reallocated to other industries. </w:t>
      </w:r>
      <w:r w:rsidR="005065AD">
        <w:rPr>
          <w:lang w:val="en-GB"/>
        </w:rPr>
        <w:t>T</w:t>
      </w:r>
      <w:r w:rsidRPr="008040A0">
        <w:rPr>
          <w:lang w:val="en-GB"/>
        </w:rPr>
        <w:t xml:space="preserve">he macroeconomic and distributional </w:t>
      </w:r>
      <w:r w:rsidR="005065AD" w:rsidRPr="008040A0">
        <w:rPr>
          <w:lang w:val="en-GB"/>
        </w:rPr>
        <w:t xml:space="preserve">effects from a </w:t>
      </w:r>
      <w:r w:rsidR="005065AD">
        <w:rPr>
          <w:lang w:val="en-GB"/>
        </w:rPr>
        <w:t xml:space="preserve">hypothetical </w:t>
      </w:r>
      <w:r w:rsidR="005065AD" w:rsidRPr="008040A0">
        <w:rPr>
          <w:lang w:val="en-GB"/>
        </w:rPr>
        <w:t>25% reduction in the prevalence of smoking in New South Wales</w:t>
      </w:r>
      <w:r w:rsidR="005065AD">
        <w:rPr>
          <w:lang w:val="en-GB"/>
        </w:rPr>
        <w:t xml:space="preserve"> have previously been reported</w:t>
      </w:r>
      <w:r w:rsidR="000326B8">
        <w:rPr>
          <w:lang w:val="en-GB"/>
        </w:rPr>
        <w:t xml:space="preserve"> </w:t>
      </w:r>
      <w:r w:rsidR="00A05B75">
        <w:rPr>
          <w:lang w:val="en-GB"/>
        </w:rPr>
        <w:fldChar w:fldCharType="begin"/>
      </w:r>
      <w:r w:rsidR="00B1645A">
        <w:rPr>
          <w:lang w:val="en-GB"/>
        </w:rPr>
        <w:instrText xml:space="preserve"> ADDIN EN.CITE &lt;EndNote&gt;&lt;Cite&gt;&lt;Author&gt;Junor&lt;/Author&gt;&lt;Year&gt;June 2004&lt;/Year&gt;&lt;RecNum&gt;52&lt;/RecNum&gt;&lt;DisplayText&gt;(Junor, Collins, &amp;amp; Lapsley, June 2004)&lt;/DisplayText&gt;&lt;record&gt;&lt;rec-number&gt;52&lt;/rec-number&gt;&lt;foreign-keys&gt;&lt;key app="EN" db-id="edfppa0tc0tfd1etp5xvexpnzfefzewwwas9" timestamp="1441592648"&gt;52&lt;/key&gt;&lt;/foreign-keys&gt;&lt;ref-type name="Government Document"&gt;46&lt;/ref-type&gt;&lt;contributors&gt;&lt;authors&gt;&lt;author&gt;Junor, W&lt;/author&gt;&lt;author&gt;Collins, David J&lt;/author&gt;&lt;author&gt;Lapsley, Helen M&lt;/author&gt;&lt;/authors&gt;&lt;/contributors&gt;&lt;titles&gt;&lt;title&gt;The macroeconomic and distributional effects of reduced smoking prevalence in New South Wales.&lt;/title&gt;&lt;/titles&gt;&lt;dates&gt;&lt;year&gt;June 2004&lt;/year&gt;&lt;/dates&gt;&lt;pub-location&gt;Sydney&lt;/pub-location&gt;&lt;publisher&gt;The Cancer Council New South Wales&lt;/publisher&gt;&lt;urls&gt;&lt;/urls&gt;&lt;/record&gt;&lt;/Cite&gt;&lt;/EndNote&gt;</w:instrText>
      </w:r>
      <w:r w:rsidR="00A05B75">
        <w:rPr>
          <w:lang w:val="en-GB"/>
        </w:rPr>
        <w:fldChar w:fldCharType="separate"/>
      </w:r>
      <w:r w:rsidR="00B1645A">
        <w:rPr>
          <w:noProof/>
          <w:lang w:val="en-GB"/>
        </w:rPr>
        <w:t>(</w:t>
      </w:r>
      <w:hyperlink w:anchor="_ENREF_37" w:tooltip="Junor, June 2004 #52" w:history="1">
        <w:r w:rsidR="008A14C8">
          <w:rPr>
            <w:noProof/>
            <w:lang w:val="en-GB"/>
          </w:rPr>
          <w:t>Junor, Collins, &amp; Lapsley, June 2004</w:t>
        </w:r>
      </w:hyperlink>
      <w:r w:rsidR="00B1645A">
        <w:rPr>
          <w:noProof/>
          <w:lang w:val="en-GB"/>
        </w:rPr>
        <w:t>)</w:t>
      </w:r>
      <w:r w:rsidR="00A05B75">
        <w:rPr>
          <w:lang w:val="en-GB"/>
        </w:rPr>
        <w:fldChar w:fldCharType="end"/>
      </w:r>
      <w:r w:rsidRPr="008040A0">
        <w:rPr>
          <w:lang w:val="en-GB"/>
        </w:rPr>
        <w:t>. Th</w:t>
      </w:r>
      <w:r w:rsidR="005065AD">
        <w:rPr>
          <w:lang w:val="en-GB"/>
        </w:rPr>
        <w:t>is</w:t>
      </w:r>
      <w:r w:rsidRPr="008040A0">
        <w:rPr>
          <w:lang w:val="en-GB"/>
        </w:rPr>
        <w:t xml:space="preserve"> analysis was based on input-output tables to forecast changes in output and employment following a reduction in tobacco expenditure and redistributed throughout the broader economy. The authors concluded (“</w:t>
      </w:r>
      <w:r w:rsidRPr="00BD6488">
        <w:rPr>
          <w:lang w:val="en-GB"/>
        </w:rPr>
        <w:t>with great confidence</w:t>
      </w:r>
      <w:r w:rsidRPr="008040A0">
        <w:rPr>
          <w:lang w:val="en-GB"/>
        </w:rPr>
        <w:t>”) that the aggregate affects upon the economy of a decline in smoking prevalence would be largely neutral in their effects on output and employment.</w:t>
      </w:r>
      <w:r>
        <w:rPr>
          <w:lang w:val="en-GB"/>
        </w:rPr>
        <w:t xml:space="preserve"> </w:t>
      </w:r>
      <w:r w:rsidRPr="008040A0">
        <w:rPr>
          <w:lang w:val="en-GB"/>
        </w:rPr>
        <w:t>Th</w:t>
      </w:r>
      <w:r w:rsidR="005065AD">
        <w:rPr>
          <w:lang w:val="en-GB"/>
        </w:rPr>
        <w:t xml:space="preserve">is </w:t>
      </w:r>
      <w:r w:rsidRPr="008040A0">
        <w:rPr>
          <w:lang w:val="en-GB"/>
        </w:rPr>
        <w:t>conclusion is largely consistent with similar international studies which considered the net effect on employment after accounting for the redistribution of reduced expenditure on tobacco.</w:t>
      </w:r>
    </w:p>
    <w:p w14:paraId="16FB3506" w14:textId="77777777" w:rsidR="00245125" w:rsidRPr="00542E0B" w:rsidRDefault="00245125" w:rsidP="00542E0B">
      <w:pPr>
        <w:pStyle w:val="Heading4"/>
        <w:rPr>
          <w:sz w:val="28"/>
          <w:u w:val="single"/>
          <w:lang w:val="en-GB"/>
        </w:rPr>
      </w:pPr>
      <w:bookmarkStart w:id="120" w:name="_Toc427737359"/>
      <w:r w:rsidRPr="00542E0B">
        <w:rPr>
          <w:sz w:val="28"/>
          <w:u w:val="single"/>
          <w:lang w:val="en-GB"/>
        </w:rPr>
        <w:t xml:space="preserve">Potential </w:t>
      </w:r>
      <w:r w:rsidR="00344420" w:rsidRPr="00542E0B">
        <w:rPr>
          <w:sz w:val="28"/>
          <w:u w:val="single"/>
          <w:lang w:val="en-GB"/>
        </w:rPr>
        <w:t xml:space="preserve">Change </w:t>
      </w:r>
      <w:r w:rsidRPr="00542E0B">
        <w:rPr>
          <w:sz w:val="28"/>
          <w:u w:val="single"/>
          <w:lang w:val="en-GB"/>
        </w:rPr>
        <w:t xml:space="preserve">in </w:t>
      </w:r>
      <w:r w:rsidR="00344420" w:rsidRPr="00542E0B">
        <w:rPr>
          <w:sz w:val="28"/>
          <w:u w:val="single"/>
          <w:lang w:val="en-GB"/>
        </w:rPr>
        <w:t xml:space="preserve">Preferences </w:t>
      </w:r>
      <w:r w:rsidRPr="00542E0B">
        <w:rPr>
          <w:sz w:val="28"/>
          <w:u w:val="single"/>
          <w:lang w:val="en-GB"/>
        </w:rPr>
        <w:t xml:space="preserve">for </w:t>
      </w:r>
      <w:r w:rsidR="00344420" w:rsidRPr="00542E0B">
        <w:rPr>
          <w:sz w:val="28"/>
          <w:u w:val="single"/>
          <w:lang w:val="en-GB"/>
        </w:rPr>
        <w:t xml:space="preserve">Premium Brand </w:t>
      </w:r>
      <w:bookmarkEnd w:id="120"/>
      <w:r w:rsidR="00344420" w:rsidRPr="00542E0B">
        <w:rPr>
          <w:sz w:val="28"/>
          <w:u w:val="single"/>
          <w:lang w:val="en-GB"/>
        </w:rPr>
        <w:t>Products</w:t>
      </w:r>
    </w:p>
    <w:p w14:paraId="3E2DD4D0" w14:textId="5B63E7E9" w:rsidR="00A208B1" w:rsidRDefault="0019214D" w:rsidP="000B332F">
      <w:pPr>
        <w:rPr>
          <w:lang w:val="en-GB"/>
        </w:rPr>
      </w:pPr>
      <w:r w:rsidRPr="008040A0">
        <w:rPr>
          <w:lang w:val="en-GB"/>
        </w:rPr>
        <w:t xml:space="preserve">In addition to </w:t>
      </w:r>
      <w:r>
        <w:rPr>
          <w:lang w:val="en-GB"/>
        </w:rPr>
        <w:t xml:space="preserve">potential </w:t>
      </w:r>
      <w:r w:rsidRPr="008040A0">
        <w:rPr>
          <w:lang w:val="en-GB"/>
        </w:rPr>
        <w:t xml:space="preserve">reduced sales, </w:t>
      </w:r>
      <w:r w:rsidR="00591C83">
        <w:rPr>
          <w:lang w:val="en-GB"/>
        </w:rPr>
        <w:t>evidence suggest</w:t>
      </w:r>
      <w:r w:rsidR="005065AD">
        <w:rPr>
          <w:lang w:val="en-GB"/>
        </w:rPr>
        <w:t>s</w:t>
      </w:r>
      <w:r w:rsidR="00591C83">
        <w:rPr>
          <w:lang w:val="en-GB"/>
        </w:rPr>
        <w:t xml:space="preserve"> that </w:t>
      </w:r>
      <w:r w:rsidR="005065AD">
        <w:rPr>
          <w:lang w:val="en-GB"/>
        </w:rPr>
        <w:t xml:space="preserve">at </w:t>
      </w:r>
      <w:r w:rsidRPr="008040A0">
        <w:rPr>
          <w:lang w:val="en-GB"/>
        </w:rPr>
        <w:t xml:space="preserve">the </w:t>
      </w:r>
      <w:r w:rsidR="005065AD">
        <w:rPr>
          <w:lang w:val="en-GB"/>
        </w:rPr>
        <w:t xml:space="preserve">time the </w:t>
      </w:r>
      <w:r w:rsidR="00826A4E">
        <w:rPr>
          <w:lang w:val="en-GB"/>
        </w:rPr>
        <w:t>tobacco plain packaging</w:t>
      </w:r>
      <w:r w:rsidRPr="008040A0">
        <w:rPr>
          <w:lang w:val="en-GB"/>
        </w:rPr>
        <w:t xml:space="preserve"> measure </w:t>
      </w:r>
      <w:r w:rsidR="005065AD">
        <w:rPr>
          <w:lang w:val="en-GB"/>
        </w:rPr>
        <w:t xml:space="preserve">was introduced </w:t>
      </w:r>
      <w:r w:rsidR="00040BBF">
        <w:rPr>
          <w:lang w:val="en-GB"/>
        </w:rPr>
        <w:t xml:space="preserve">consumers </w:t>
      </w:r>
      <w:r w:rsidR="005065AD">
        <w:rPr>
          <w:lang w:val="en-GB"/>
        </w:rPr>
        <w:t xml:space="preserve">were </w:t>
      </w:r>
      <w:r w:rsidR="00040BBF">
        <w:rPr>
          <w:lang w:val="en-GB"/>
        </w:rPr>
        <w:t>substituting high priced tobacco products for cheaper priced tobacco products</w:t>
      </w:r>
      <w:r w:rsidR="000326B8">
        <w:rPr>
          <w:lang w:val="en-GB"/>
        </w:rPr>
        <w:t xml:space="preserve"> </w:t>
      </w:r>
      <w:r w:rsidR="00A05B75">
        <w:rPr>
          <w:lang w:val="en-GB"/>
        </w:rPr>
        <w:fldChar w:fldCharType="begin"/>
      </w:r>
      <w:r w:rsidR="00C95CF3">
        <w:rPr>
          <w:lang w:val="en-GB"/>
        </w:rPr>
        <w:instrText xml:space="preserve"> ADDIN EN.CITE &lt;EndNote&gt;&lt;Cite&gt;&lt;Author&gt;Scollo&lt;/Author&gt;&lt;Year&gt;2015&lt;/Year&gt;&lt;RecNum&gt;53&lt;/RecNum&gt;&lt;DisplayText&gt;(Scollo, Zacher, Coomber, Bayly, &amp;amp; Wakefield, 2015)&lt;/DisplayText&gt;&lt;record&gt;&lt;rec-number&gt;53&lt;/rec-number&gt;&lt;foreign-keys&gt;&lt;key app="EN" db-id="edfppa0tc0tfd1etp5xvexpnzfefzewwwas9" timestamp="1441592648"&gt;53&lt;/key&gt;&lt;/foreign-keys&gt;&lt;ref-type name="Journal Article"&gt;17&lt;/ref-type&gt;&lt;contributors&gt;&lt;authors&gt;&lt;author&gt;Scollo, Michelle&lt;/author&gt;&lt;author&gt;Zacher, Meghan&lt;/author&gt;&lt;author&gt;Coomber, Kerri&lt;/author&gt;&lt;author&gt;Bayly, Megan&lt;/author&gt;&lt;author&gt;Wakefield, Melanie&lt;/author&gt;&lt;/authors&gt;&lt;/contributors&gt;&lt;titles&gt;&lt;title&gt;Changes in use of types of tobacco products by pack sizes and price segments, prices paid and consumption following the introduction of plain packaging in Australia&lt;/title&gt;&lt;secondary-title&gt;Tobacco control&lt;/secondary-title&gt;&lt;/titles&gt;&lt;periodical&gt;&lt;full-title&gt;Tobacco control&lt;/full-title&gt;&lt;/periodical&gt;&lt;pages&gt;ii66-ii75&lt;/pages&gt;&lt;volume&gt;24&lt;/volume&gt;&lt;number&gt;Supplement 2&lt;/number&gt;&lt;dates&gt;&lt;year&gt;2015&lt;/year&gt;&lt;pub-dates&gt;&lt;date&gt;April 1, 2015&lt;/date&gt;&lt;/pub-dates&gt;&lt;/dates&gt;&lt;urls&gt;&lt;/urls&gt;&lt;/record&gt;&lt;/Cite&gt;&lt;/EndNote&gt;</w:instrText>
      </w:r>
      <w:r w:rsidR="00A05B75">
        <w:rPr>
          <w:lang w:val="en-GB"/>
        </w:rPr>
        <w:fldChar w:fldCharType="separate"/>
      </w:r>
      <w:r w:rsidR="00B1645A">
        <w:rPr>
          <w:noProof/>
          <w:lang w:val="en-GB"/>
        </w:rPr>
        <w:t>(</w:t>
      </w:r>
      <w:hyperlink w:anchor="_ENREF_53" w:tooltip="Scollo, 2015 #53" w:history="1">
        <w:r w:rsidR="008A14C8">
          <w:rPr>
            <w:noProof/>
            <w:lang w:val="en-GB"/>
          </w:rPr>
          <w:t>Scollo, Zacher, Coomber, Bayly, &amp; Wakefield, 2015</w:t>
        </w:r>
      </w:hyperlink>
      <w:r w:rsidR="00B1645A">
        <w:rPr>
          <w:noProof/>
          <w:lang w:val="en-GB"/>
        </w:rPr>
        <w:t>)</w:t>
      </w:r>
      <w:r w:rsidR="00A05B75">
        <w:rPr>
          <w:lang w:val="en-GB"/>
        </w:rPr>
        <w:fldChar w:fldCharType="end"/>
      </w:r>
      <w:r w:rsidRPr="008040A0">
        <w:rPr>
          <w:lang w:val="en-GB"/>
        </w:rPr>
        <w:t xml:space="preserve">. </w:t>
      </w:r>
      <w:r w:rsidR="005065AD">
        <w:rPr>
          <w:lang w:val="en-GB"/>
        </w:rPr>
        <w:t xml:space="preserve">Where this is due to the </w:t>
      </w:r>
      <w:r w:rsidR="00826A4E">
        <w:rPr>
          <w:lang w:val="en-GB"/>
        </w:rPr>
        <w:t>tobacco plain packaging</w:t>
      </w:r>
      <w:r w:rsidR="005065AD">
        <w:rPr>
          <w:lang w:val="en-GB"/>
        </w:rPr>
        <w:t xml:space="preserve"> measure, t</w:t>
      </w:r>
      <w:r w:rsidR="00244009">
        <w:rPr>
          <w:lang w:val="en-GB"/>
        </w:rPr>
        <w:t xml:space="preserve">his </w:t>
      </w:r>
      <w:r w:rsidR="00272E09">
        <w:rPr>
          <w:lang w:val="en-GB"/>
        </w:rPr>
        <w:t>c</w:t>
      </w:r>
      <w:r w:rsidR="00244009">
        <w:rPr>
          <w:lang w:val="en-GB"/>
        </w:rPr>
        <w:t xml:space="preserve">ould lower the profitability of tobacco sales in Australia. </w:t>
      </w:r>
      <w:r w:rsidR="00A208B1">
        <w:rPr>
          <w:lang w:val="en-GB"/>
        </w:rPr>
        <w:t>In a media release by British American Tobacco (31 October, 2014) regarding the closure of their Australian factory, BAT</w:t>
      </w:r>
      <w:r w:rsidR="00591C83">
        <w:rPr>
          <w:lang w:val="en-GB"/>
        </w:rPr>
        <w:t>A</w:t>
      </w:r>
      <w:r w:rsidR="00A208B1">
        <w:rPr>
          <w:lang w:val="en-GB"/>
        </w:rPr>
        <w:t xml:space="preserve"> </w:t>
      </w:r>
      <w:r w:rsidR="00591C83">
        <w:rPr>
          <w:lang w:val="en-GB"/>
        </w:rPr>
        <w:t xml:space="preserve">stated that the closure of the </w:t>
      </w:r>
      <w:r w:rsidR="00591C83">
        <w:rPr>
          <w:lang w:val="en-GB"/>
        </w:rPr>
        <w:lastRenderedPageBreak/>
        <w:t>facility was due in part to smokers looking for lower priced tobacco because of excise</w:t>
      </w:r>
      <w:r w:rsidR="009C3CD5">
        <w:rPr>
          <w:lang w:val="en-GB"/>
        </w:rPr>
        <w:t xml:space="preserve"> duties</w:t>
      </w:r>
      <w:r w:rsidR="00244009">
        <w:rPr>
          <w:lang w:val="en-GB"/>
        </w:rPr>
        <w:t xml:space="preserve"> (</w:t>
      </w:r>
      <w:r w:rsidR="00C57EB1">
        <w:rPr>
          <w:lang w:val="en-GB"/>
        </w:rPr>
        <w:t xml:space="preserve">although </w:t>
      </w:r>
      <w:r w:rsidR="00244009">
        <w:rPr>
          <w:lang w:val="en-GB"/>
        </w:rPr>
        <w:t>t</w:t>
      </w:r>
      <w:r w:rsidR="009C3CD5">
        <w:rPr>
          <w:lang w:val="en-GB"/>
        </w:rPr>
        <w:t xml:space="preserve">he release specifically states that </w:t>
      </w:r>
      <w:r w:rsidR="00826A4E">
        <w:rPr>
          <w:lang w:val="en-GB"/>
        </w:rPr>
        <w:t>tobacco plain packaging</w:t>
      </w:r>
      <w:r w:rsidR="009C3CD5">
        <w:rPr>
          <w:lang w:val="en-GB"/>
        </w:rPr>
        <w:t xml:space="preserve"> was not a factor</w:t>
      </w:r>
      <w:r w:rsidR="00244009">
        <w:rPr>
          <w:lang w:val="en-GB"/>
        </w:rPr>
        <w:t>)</w:t>
      </w:r>
      <w:r w:rsidR="009C3CD5">
        <w:rPr>
          <w:lang w:val="en-GB"/>
        </w:rPr>
        <w:t>.</w:t>
      </w:r>
      <w:r w:rsidR="00272E09">
        <w:rPr>
          <w:lang w:val="en-GB"/>
        </w:rPr>
        <w:t xml:space="preserve"> Therefore, it is difficult to attribute changes in consumer preferences </w:t>
      </w:r>
      <w:r w:rsidR="00315A1F">
        <w:rPr>
          <w:lang w:val="en-GB"/>
        </w:rPr>
        <w:t>for</w:t>
      </w:r>
      <w:r w:rsidR="00272E09">
        <w:rPr>
          <w:lang w:val="en-GB"/>
        </w:rPr>
        <w:t xml:space="preserve"> low</w:t>
      </w:r>
      <w:r w:rsidR="00315A1F">
        <w:rPr>
          <w:lang w:val="en-GB"/>
        </w:rPr>
        <w:t>er</w:t>
      </w:r>
      <w:r w:rsidR="00272E09">
        <w:rPr>
          <w:lang w:val="en-GB"/>
        </w:rPr>
        <w:t xml:space="preserve"> priced tobacco products to tobacco plain packaging relative to other measures including tax excise.</w:t>
      </w:r>
    </w:p>
    <w:p w14:paraId="7F49FAC9" w14:textId="77777777" w:rsidR="00A16286" w:rsidRDefault="009C3CD5" w:rsidP="000B332F">
      <w:pPr>
        <w:rPr>
          <w:lang w:val="en-GB"/>
        </w:rPr>
      </w:pPr>
      <w:r>
        <w:rPr>
          <w:lang w:val="en-GB"/>
        </w:rPr>
        <w:t xml:space="preserve">Additionally, </w:t>
      </w:r>
      <w:r w:rsidR="0019214D" w:rsidRPr="008040A0">
        <w:rPr>
          <w:lang w:val="en-GB"/>
        </w:rPr>
        <w:t xml:space="preserve">as noted earlier, the Australian economy is dynamic. Consequently, </w:t>
      </w:r>
      <w:r w:rsidR="00A16286">
        <w:rPr>
          <w:lang w:val="en-GB"/>
        </w:rPr>
        <w:t xml:space="preserve">any </w:t>
      </w:r>
      <w:r w:rsidR="0019214D" w:rsidRPr="008040A0">
        <w:rPr>
          <w:lang w:val="en-GB"/>
        </w:rPr>
        <w:t xml:space="preserve">reduced expenditure from </w:t>
      </w:r>
      <w:r w:rsidR="0019214D">
        <w:rPr>
          <w:lang w:val="en-GB"/>
        </w:rPr>
        <w:t xml:space="preserve">changes in consumer purchasing preferences </w:t>
      </w:r>
      <w:r w:rsidR="0019214D" w:rsidRPr="008040A0">
        <w:rPr>
          <w:lang w:val="en-GB"/>
        </w:rPr>
        <w:t xml:space="preserve">will be redistributed across the broader economy. Whilst </w:t>
      </w:r>
      <w:r w:rsidR="0019214D">
        <w:rPr>
          <w:lang w:val="en-GB"/>
        </w:rPr>
        <w:t>Davidson and de Silva (2014) hypothesise</w:t>
      </w:r>
      <w:r w:rsidR="0019214D" w:rsidRPr="008040A0">
        <w:rPr>
          <w:lang w:val="en-GB"/>
        </w:rPr>
        <w:t xml:space="preserve"> that consumers will increase their tobacco consumption to offset their lost utility</w:t>
      </w:r>
      <w:r w:rsidR="00A16286">
        <w:rPr>
          <w:lang w:val="en-GB"/>
        </w:rPr>
        <w:t xml:space="preserve"> (i.e. </w:t>
      </w:r>
      <w:r w:rsidR="00A16286" w:rsidRPr="00A16286">
        <w:rPr>
          <w:lang w:val="en-GB"/>
        </w:rPr>
        <w:t>satisfac</w:t>
      </w:r>
      <w:r w:rsidR="00A16286">
        <w:rPr>
          <w:lang w:val="en-GB"/>
        </w:rPr>
        <w:t>tion experienced by the consumer</w:t>
      </w:r>
      <w:r w:rsidR="00A16286" w:rsidRPr="00A16286">
        <w:rPr>
          <w:lang w:val="en-GB"/>
        </w:rPr>
        <w:t xml:space="preserve"> of a good</w:t>
      </w:r>
      <w:r w:rsidR="00A16286">
        <w:rPr>
          <w:lang w:val="en-GB"/>
        </w:rPr>
        <w:t>)</w:t>
      </w:r>
      <w:r w:rsidR="0019214D" w:rsidRPr="008040A0">
        <w:rPr>
          <w:lang w:val="en-GB"/>
        </w:rPr>
        <w:t xml:space="preserve"> from </w:t>
      </w:r>
      <w:r w:rsidR="00826A4E">
        <w:rPr>
          <w:lang w:val="en-GB"/>
        </w:rPr>
        <w:t>tobacco plain packaging</w:t>
      </w:r>
      <w:r w:rsidR="003C6068">
        <w:rPr>
          <w:lang w:val="en-GB"/>
        </w:rPr>
        <w:t xml:space="preserve"> </w:t>
      </w:r>
      <w:r w:rsidR="00A05B75">
        <w:rPr>
          <w:lang w:val="en-GB"/>
        </w:rPr>
        <w:fldChar w:fldCharType="begin"/>
      </w:r>
      <w:r w:rsidR="00B1645A">
        <w:rPr>
          <w:lang w:val="en-GB"/>
        </w:rPr>
        <w:instrText xml:space="preserve"> ADDIN EN.CITE &lt;EndNote&gt;&lt;Cite&gt;&lt;Author&gt;Davidson&lt;/Author&gt;&lt;Year&gt;2014&lt;/Year&gt;&lt;RecNum&gt;54&lt;/RecNum&gt;&lt;DisplayText&gt;(Davidson &amp;amp; de Silva, 2014)&lt;/DisplayText&gt;&lt;record&gt;&lt;rec-number&gt;54&lt;/rec-number&gt;&lt;foreign-keys&gt;&lt;key app="EN" db-id="edfppa0tc0tfd1etp5xvexpnzfefzewwwas9" timestamp="1441592648"&gt;54&lt;/key&gt;&lt;/foreign-keys&gt;&lt;ref-type name="Journal Article"&gt;17&lt;/ref-type&gt;&lt;contributors&gt;&lt;authors&gt;&lt;author&gt;Davidson, S&lt;/author&gt;&lt;author&gt;de Silva, A&lt;/author&gt;&lt;/authors&gt;&lt;/contributors&gt;&lt;titles&gt;&lt;title&gt;The plain truth about Plain packaging: An econometric analysis of the Australian  2011 Tobacco Plain Packaging Act&lt;/title&gt;&lt;secondary-title&gt;Agenda - A Journal of Policy Analysis and Reform&lt;/secondary-title&gt;&lt;/titles&gt;&lt;periodical&gt;&lt;full-title&gt;Agenda - A Journal of Policy Analysis and Reform&lt;/full-title&gt;&lt;/periodical&gt;&lt;pages&gt;1-5&lt;/pages&gt;&lt;volume&gt;21&lt;/volume&gt;&lt;number&gt;1&lt;/number&gt;&lt;dates&gt;&lt;year&gt;2014&lt;/year&gt;&lt;/dates&gt;&lt;urls&gt;&lt;/urls&gt;&lt;/record&gt;&lt;/Cite&gt;&lt;/EndNote&gt;</w:instrText>
      </w:r>
      <w:r w:rsidR="00A05B75">
        <w:rPr>
          <w:lang w:val="en-GB"/>
        </w:rPr>
        <w:fldChar w:fldCharType="separate"/>
      </w:r>
      <w:r w:rsidR="00B1645A">
        <w:rPr>
          <w:noProof/>
          <w:lang w:val="en-GB"/>
        </w:rPr>
        <w:t>(</w:t>
      </w:r>
      <w:hyperlink w:anchor="_ENREF_23" w:tooltip="Davidson, 2014 #54" w:history="1">
        <w:r w:rsidR="008A14C8">
          <w:rPr>
            <w:noProof/>
            <w:lang w:val="en-GB"/>
          </w:rPr>
          <w:t>Davidson &amp; de Silva, 2014</w:t>
        </w:r>
      </w:hyperlink>
      <w:r w:rsidR="00B1645A">
        <w:rPr>
          <w:noProof/>
          <w:lang w:val="en-GB"/>
        </w:rPr>
        <w:t>)</w:t>
      </w:r>
      <w:r w:rsidR="00A05B75">
        <w:rPr>
          <w:lang w:val="en-GB"/>
        </w:rPr>
        <w:fldChar w:fldCharType="end"/>
      </w:r>
      <w:r w:rsidR="0019214D" w:rsidRPr="008040A0">
        <w:rPr>
          <w:lang w:val="en-GB"/>
        </w:rPr>
        <w:t>, it is more likely that consumers will redistribute their expenditure into alternative products which provide equivalent utility associated with consumption of premium</w:t>
      </w:r>
      <w:r w:rsidR="00C840D7">
        <w:rPr>
          <w:lang w:val="en-GB"/>
        </w:rPr>
        <w:t xml:space="preserve"> brand</w:t>
      </w:r>
      <w:r w:rsidR="0019214D" w:rsidRPr="008040A0">
        <w:rPr>
          <w:lang w:val="en-GB"/>
        </w:rPr>
        <w:t xml:space="preserve"> products</w:t>
      </w:r>
      <w:r w:rsidR="007E292F">
        <w:rPr>
          <w:lang w:val="en-GB"/>
        </w:rPr>
        <w:t xml:space="preserve"> </w:t>
      </w:r>
      <w:r w:rsidR="007E292F">
        <w:rPr>
          <w:lang w:val="en-GB"/>
        </w:rPr>
        <w:fldChar w:fldCharType="begin">
          <w:fldData xml:space="preserve">PEVuZE5vdGU+PENpdGU+PEF1dGhvcj5Nb3Jld2VkZ2U8L0F1dGhvcj48WWVhcj4yMDEzPC9ZZWFy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=
</w:fldData>
        </w:fldChar>
      </w:r>
      <w:r w:rsidR="00B1645A">
        <w:rPr>
          <w:lang w:val="en-GB"/>
        </w:rPr>
        <w:instrText xml:space="preserve"> ADDIN EN.CITE </w:instrText>
      </w:r>
      <w:r w:rsidR="00B1645A">
        <w:rPr>
          <w:lang w:val="en-GB"/>
        </w:rPr>
        <w:fldChar w:fldCharType="begin">
          <w:fldData xml:space="preserve">PEVuZE5vdGU+PENpdGU+PEF1dGhvcj5Nb3Jld2VkZ2U8L0F1dGhvcj48WWVhcj4yMDEzPC9ZZWFy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=
</w:fldData>
        </w:fldChar>
      </w:r>
      <w:r w:rsidR="00B1645A">
        <w:rPr>
          <w:lang w:val="en-GB"/>
        </w:rPr>
        <w:instrText xml:space="preserve"> ADDIN EN.CITE.DATA </w:instrText>
      </w:r>
      <w:r w:rsidR="00B1645A">
        <w:rPr>
          <w:lang w:val="en-GB"/>
        </w:rPr>
      </w:r>
      <w:r w:rsidR="00B1645A">
        <w:rPr>
          <w:lang w:val="en-GB"/>
        </w:rPr>
        <w:fldChar w:fldCharType="end"/>
      </w:r>
      <w:r w:rsidR="007E292F">
        <w:rPr>
          <w:lang w:val="en-GB"/>
        </w:rPr>
      </w:r>
      <w:r w:rsidR="007E292F">
        <w:rPr>
          <w:lang w:val="en-GB"/>
        </w:rPr>
        <w:fldChar w:fldCharType="separate"/>
      </w:r>
      <w:r w:rsidR="00B1645A">
        <w:rPr>
          <w:noProof/>
          <w:lang w:val="en-GB"/>
        </w:rPr>
        <w:t>(</w:t>
      </w:r>
      <w:hyperlink w:anchor="_ENREF_33" w:tooltip="Hamilton, 2014 #56" w:history="1">
        <w:r w:rsidR="008A14C8">
          <w:rPr>
            <w:noProof/>
            <w:lang w:val="en-GB"/>
          </w:rPr>
          <w:t>Hamilton et al., 2014</w:t>
        </w:r>
      </w:hyperlink>
      <w:r w:rsidR="00B1645A">
        <w:rPr>
          <w:noProof/>
          <w:lang w:val="en-GB"/>
        </w:rPr>
        <w:t xml:space="preserve">; </w:t>
      </w:r>
      <w:hyperlink w:anchor="_ENREF_49" w:tooltip="Morewedge, 2013 #55" w:history="1">
        <w:r w:rsidR="008A14C8">
          <w:rPr>
            <w:noProof/>
            <w:lang w:val="en-GB"/>
          </w:rPr>
          <w:t>Morewedge, Vosgerau, &amp; Eun-Huh, 2013</w:t>
        </w:r>
      </w:hyperlink>
      <w:r w:rsidR="00B1645A">
        <w:rPr>
          <w:noProof/>
          <w:lang w:val="en-GB"/>
        </w:rPr>
        <w:t>)</w:t>
      </w:r>
      <w:r w:rsidR="007E292F">
        <w:rPr>
          <w:lang w:val="en-GB"/>
        </w:rPr>
        <w:fldChar w:fldCharType="end"/>
      </w:r>
      <w:r w:rsidR="0019214D" w:rsidRPr="008040A0">
        <w:rPr>
          <w:lang w:val="en-GB"/>
        </w:rPr>
        <w:t>.</w:t>
      </w:r>
    </w:p>
    <w:p w14:paraId="5426FF4F" w14:textId="2765A40A" w:rsidR="0019214D" w:rsidRDefault="00A16286" w:rsidP="000B332F">
      <w:pPr>
        <w:rPr>
          <w:lang w:val="en-GB"/>
        </w:rPr>
      </w:pPr>
      <w:r>
        <w:rPr>
          <w:lang w:val="en-GB"/>
        </w:rPr>
        <w:t xml:space="preserve">Finally, </w:t>
      </w:r>
      <w:r w:rsidR="0019214D">
        <w:rPr>
          <w:lang w:val="en-GB"/>
        </w:rPr>
        <w:t xml:space="preserve">any </w:t>
      </w:r>
      <w:r>
        <w:rPr>
          <w:lang w:val="en-GB"/>
        </w:rPr>
        <w:t xml:space="preserve">assessment of </w:t>
      </w:r>
      <w:r w:rsidR="0019214D">
        <w:rPr>
          <w:lang w:val="en-GB"/>
        </w:rPr>
        <w:t xml:space="preserve">potential </w:t>
      </w:r>
      <w:r>
        <w:rPr>
          <w:lang w:val="en-GB"/>
        </w:rPr>
        <w:t>substitution of high priced tobacco products with low priced tobacco products</w:t>
      </w:r>
      <w:r w:rsidR="0019214D">
        <w:rPr>
          <w:lang w:val="en-GB"/>
        </w:rPr>
        <w:t xml:space="preserve"> occurring in </w:t>
      </w:r>
      <w:r>
        <w:rPr>
          <w:lang w:val="en-GB"/>
        </w:rPr>
        <w:t>Australia</w:t>
      </w:r>
      <w:r w:rsidR="0019214D">
        <w:rPr>
          <w:lang w:val="en-GB"/>
        </w:rPr>
        <w:t xml:space="preserve"> is </w:t>
      </w:r>
      <w:r w:rsidR="001673AE">
        <w:rPr>
          <w:lang w:val="en-GB"/>
        </w:rPr>
        <w:t>confounded by contemporaneous increases in tobacco prices during the implementation of the tobacco plain packaging measure</w:t>
      </w:r>
      <w:r w:rsidR="00386F2F">
        <w:rPr>
          <w:lang w:val="en-GB"/>
        </w:rPr>
        <w:t xml:space="preserve"> and an increase in value brand products available for sale prior to the introduction of the </w:t>
      </w:r>
      <w:r w:rsidR="005C19B2">
        <w:rPr>
          <w:lang w:val="en-GB"/>
        </w:rPr>
        <w:t xml:space="preserve">tobacco plain packaging </w:t>
      </w:r>
      <w:r w:rsidR="00344420">
        <w:rPr>
          <w:lang w:val="en-GB"/>
        </w:rPr>
        <w:t>measure</w:t>
      </w:r>
      <w:r w:rsidR="0019214D">
        <w:rPr>
          <w:lang w:val="en-GB"/>
        </w:rPr>
        <w:t>.</w:t>
      </w:r>
      <w:r w:rsidR="001673AE">
        <w:rPr>
          <w:lang w:val="en-GB"/>
        </w:rPr>
        <w:t xml:space="preserve"> Specifically, inflation adjusted prices for cigarettes and roll-your-own tobacco increased prior to and post implementation of the </w:t>
      </w:r>
      <w:r w:rsidR="00826A4E">
        <w:rPr>
          <w:lang w:val="en-GB"/>
        </w:rPr>
        <w:t>tobacco plain packaging</w:t>
      </w:r>
      <w:r w:rsidR="001673AE">
        <w:rPr>
          <w:lang w:val="en-GB"/>
        </w:rPr>
        <w:t xml:space="preserve"> measure</w:t>
      </w:r>
      <w:r w:rsidR="000326B8">
        <w:rPr>
          <w:lang w:val="en-GB"/>
        </w:rPr>
        <w:t xml:space="preserve"> </w:t>
      </w:r>
      <w:r w:rsidR="00A05B75">
        <w:rPr>
          <w:lang w:val="en-GB"/>
        </w:rPr>
        <w:fldChar w:fldCharType="begin"/>
      </w:r>
      <w:r w:rsidR="00C95CF3">
        <w:rPr>
          <w:lang w:val="en-GB"/>
        </w:rPr>
        <w:instrText xml:space="preserve"> ADDIN EN.CITE &lt;EndNote&gt;&lt;Cite&gt;&lt;Author&gt;Scollo&lt;/Author&gt;&lt;Year&gt;2015&lt;/Year&gt;&lt;RecNum&gt;53&lt;/RecNum&gt;&lt;DisplayText&gt;(Scollo et al., 2015)&lt;/DisplayText&gt;&lt;record&gt;&lt;rec-number&gt;53&lt;/rec-number&gt;&lt;foreign-keys&gt;&lt;key app="EN" db-id="edfppa0tc0tfd1etp5xvexpnzfefzewwwas9" timestamp="1441592648"&gt;53&lt;/key&gt;&lt;/foreign-keys&gt;&lt;ref-type name="Journal Article"&gt;17&lt;/ref-type&gt;&lt;contributors&gt;&lt;authors&gt;&lt;author&gt;Scollo, Michelle&lt;/author&gt;&lt;author&gt;Zacher, Meghan&lt;/author&gt;&lt;author&gt;Coomber, Kerri&lt;/author&gt;&lt;author&gt;Bayly, Megan&lt;/author&gt;&lt;author&gt;Wakefield, Melanie&lt;/author&gt;&lt;/authors&gt;&lt;/contributors&gt;&lt;titles&gt;&lt;title&gt;Changes in use of types of tobacco products by pack sizes and price segments, prices paid and consumption following the introduction of plain packaging in Australia&lt;/title&gt;&lt;secondary-title&gt;Tobacco control&lt;/secondary-title&gt;&lt;/titles&gt;&lt;periodical&gt;&lt;full-title&gt;Tobacco control&lt;/full-title&gt;&lt;/periodical&gt;&lt;pages&gt;ii66-ii75&lt;/pages&gt;&lt;volume&gt;24&lt;/volume&gt;&lt;number&gt;Supplement 2&lt;/number&gt;&lt;dates&gt;&lt;year&gt;2015&lt;/year&gt;&lt;pub-dates&gt;&lt;date&gt;April 1, 2015&lt;/date&gt;&lt;/pub-dates&gt;&lt;/dates&gt;&lt;urls&gt;&lt;/urls&gt;&lt;/record&gt;&lt;/Cite&gt;&lt;/EndNote&gt;</w:instrText>
      </w:r>
      <w:r w:rsidR="00A05B75">
        <w:rPr>
          <w:lang w:val="en-GB"/>
        </w:rPr>
        <w:fldChar w:fldCharType="separate"/>
      </w:r>
      <w:r w:rsidR="00B1645A">
        <w:rPr>
          <w:noProof/>
          <w:lang w:val="en-GB"/>
        </w:rPr>
        <w:t>(</w:t>
      </w:r>
      <w:hyperlink w:anchor="_ENREF_53" w:tooltip="Scollo, 2015 #53" w:history="1">
        <w:r w:rsidR="008A14C8">
          <w:rPr>
            <w:noProof/>
            <w:lang w:val="en-GB"/>
          </w:rPr>
          <w:t>Scollo et al., 2015</w:t>
        </w:r>
      </w:hyperlink>
      <w:r w:rsidR="00B1645A">
        <w:rPr>
          <w:noProof/>
          <w:lang w:val="en-GB"/>
        </w:rPr>
        <w:t>)</w:t>
      </w:r>
      <w:r w:rsidR="00A05B75">
        <w:rPr>
          <w:lang w:val="en-GB"/>
        </w:rPr>
        <w:fldChar w:fldCharType="end"/>
      </w:r>
      <w:r w:rsidR="0019214D">
        <w:rPr>
          <w:lang w:val="en-GB"/>
        </w:rPr>
        <w:t>.</w:t>
      </w:r>
      <w:r w:rsidR="001673AE">
        <w:rPr>
          <w:lang w:val="en-GB"/>
        </w:rPr>
        <w:t xml:space="preserve"> Most notably, the relative price increase for high-priced products was greater than the relative price increase for low priced products.</w:t>
      </w:r>
    </w:p>
    <w:p w14:paraId="3ABEAAF2" w14:textId="77777777" w:rsidR="00245125" w:rsidRPr="00542E0B" w:rsidRDefault="00245125" w:rsidP="00542E0B">
      <w:pPr>
        <w:pStyle w:val="Heading4"/>
        <w:rPr>
          <w:sz w:val="28"/>
          <w:u w:val="single"/>
          <w:lang w:val="en-GB"/>
        </w:rPr>
      </w:pPr>
      <w:bookmarkStart w:id="121" w:name="_Toc427737360"/>
      <w:r w:rsidRPr="00542E0B">
        <w:rPr>
          <w:sz w:val="28"/>
          <w:u w:val="single"/>
          <w:lang w:val="en-GB"/>
        </w:rPr>
        <w:t xml:space="preserve">Potential </w:t>
      </w:r>
      <w:r w:rsidR="00344420" w:rsidRPr="00542E0B">
        <w:rPr>
          <w:sz w:val="28"/>
          <w:u w:val="single"/>
          <w:lang w:val="en-GB"/>
        </w:rPr>
        <w:t>I</w:t>
      </w:r>
      <w:r w:rsidRPr="00542E0B">
        <w:rPr>
          <w:sz w:val="28"/>
          <w:u w:val="single"/>
          <w:lang w:val="en-GB"/>
        </w:rPr>
        <w:t xml:space="preserve">mpact on </w:t>
      </w:r>
      <w:r w:rsidR="00344420" w:rsidRPr="00542E0B">
        <w:rPr>
          <w:sz w:val="28"/>
          <w:u w:val="single"/>
          <w:lang w:val="en-GB"/>
        </w:rPr>
        <w:t xml:space="preserve">Value </w:t>
      </w:r>
      <w:r w:rsidRPr="00542E0B">
        <w:rPr>
          <w:sz w:val="28"/>
          <w:u w:val="single"/>
          <w:lang w:val="en-GB"/>
        </w:rPr>
        <w:t xml:space="preserve">of </w:t>
      </w:r>
      <w:r w:rsidR="00344420" w:rsidRPr="00542E0B">
        <w:rPr>
          <w:sz w:val="28"/>
          <w:u w:val="single"/>
          <w:lang w:val="en-GB"/>
        </w:rPr>
        <w:t xml:space="preserve">Tobacco </w:t>
      </w:r>
      <w:bookmarkEnd w:id="121"/>
      <w:r w:rsidR="00344420" w:rsidRPr="00542E0B">
        <w:rPr>
          <w:sz w:val="28"/>
          <w:u w:val="single"/>
          <w:lang w:val="en-GB"/>
        </w:rPr>
        <w:t>Brands</w:t>
      </w:r>
    </w:p>
    <w:p w14:paraId="3FB0C9E0" w14:textId="77777777" w:rsidR="00244009" w:rsidRDefault="00244009" w:rsidP="000B332F">
      <w:pPr>
        <w:rPr>
          <w:lang w:val="en-GB"/>
        </w:rPr>
      </w:pPr>
      <w:r>
        <w:rPr>
          <w:lang w:val="en-GB"/>
        </w:rPr>
        <w:t>B</w:t>
      </w:r>
      <w:r w:rsidRPr="00244009">
        <w:rPr>
          <w:lang w:val="en-GB"/>
        </w:rPr>
        <w:t xml:space="preserve">rand value enables </w:t>
      </w:r>
      <w:r>
        <w:rPr>
          <w:lang w:val="en-GB"/>
        </w:rPr>
        <w:t xml:space="preserve">the tobacco industry </w:t>
      </w:r>
      <w:r w:rsidRPr="00244009">
        <w:rPr>
          <w:lang w:val="en-GB"/>
        </w:rPr>
        <w:t xml:space="preserve">to sell </w:t>
      </w:r>
      <w:r>
        <w:rPr>
          <w:lang w:val="en-GB"/>
        </w:rPr>
        <w:t>tobacco products</w:t>
      </w:r>
      <w:r w:rsidRPr="00244009">
        <w:rPr>
          <w:lang w:val="en-GB"/>
        </w:rPr>
        <w:t xml:space="preserve"> to consumers </w:t>
      </w:r>
      <w:r>
        <w:rPr>
          <w:lang w:val="en-GB"/>
        </w:rPr>
        <w:t xml:space="preserve">(relative to other non-tobacco products) or sell them at a higher price </w:t>
      </w:r>
      <w:r w:rsidRPr="00244009">
        <w:rPr>
          <w:lang w:val="en-GB"/>
        </w:rPr>
        <w:t>based on the brand characteristics of their products (i.e. above and beyond any difference in other characteristics).</w:t>
      </w:r>
      <w:r>
        <w:rPr>
          <w:lang w:val="en-GB"/>
        </w:rPr>
        <w:t xml:space="preserve"> </w:t>
      </w:r>
      <w:r w:rsidR="00272E09">
        <w:rPr>
          <w:lang w:val="en-GB"/>
        </w:rPr>
        <w:t xml:space="preserve">If reduced sales or reduced sales of </w:t>
      </w:r>
      <w:r w:rsidR="00272E09" w:rsidRPr="00244009">
        <w:rPr>
          <w:lang w:val="en-GB"/>
        </w:rPr>
        <w:t xml:space="preserve">high price </w:t>
      </w:r>
      <w:r w:rsidR="00272E09">
        <w:rPr>
          <w:lang w:val="en-GB"/>
        </w:rPr>
        <w:t xml:space="preserve">tobacco product </w:t>
      </w:r>
      <w:r w:rsidR="00272E09" w:rsidRPr="00244009">
        <w:rPr>
          <w:lang w:val="en-GB"/>
        </w:rPr>
        <w:t>brands</w:t>
      </w:r>
      <w:r w:rsidR="00272E09">
        <w:rPr>
          <w:lang w:val="en-GB"/>
        </w:rPr>
        <w:t xml:space="preserve"> occurred a</w:t>
      </w:r>
      <w:r>
        <w:rPr>
          <w:lang w:val="en-GB"/>
        </w:rPr>
        <w:t xml:space="preserve">s a result of the </w:t>
      </w:r>
      <w:r w:rsidR="00826A4E">
        <w:rPr>
          <w:lang w:val="en-GB"/>
        </w:rPr>
        <w:t>tobacco plain packaging</w:t>
      </w:r>
      <w:r>
        <w:rPr>
          <w:lang w:val="en-GB"/>
        </w:rPr>
        <w:t xml:space="preserve"> measure,</w:t>
      </w:r>
      <w:r w:rsidRPr="00244009">
        <w:rPr>
          <w:lang w:val="en-GB"/>
        </w:rPr>
        <w:t xml:space="preserve"> </w:t>
      </w:r>
      <w:r w:rsidR="00272E09">
        <w:rPr>
          <w:lang w:val="en-GB"/>
        </w:rPr>
        <w:t xml:space="preserve">it could reduce </w:t>
      </w:r>
      <w:r>
        <w:rPr>
          <w:lang w:val="en-GB"/>
        </w:rPr>
        <w:t>the value of th</w:t>
      </w:r>
      <w:r w:rsidR="00272E09">
        <w:rPr>
          <w:lang w:val="en-GB"/>
        </w:rPr>
        <w:t>os</w:t>
      </w:r>
      <w:r>
        <w:rPr>
          <w:lang w:val="en-GB"/>
        </w:rPr>
        <w:t>e</w:t>
      </w:r>
      <w:r w:rsidR="00272E09">
        <w:rPr>
          <w:lang w:val="en-GB"/>
        </w:rPr>
        <w:t xml:space="preserve"> </w:t>
      </w:r>
      <w:r>
        <w:rPr>
          <w:lang w:val="en-GB"/>
        </w:rPr>
        <w:t>brands.</w:t>
      </w:r>
    </w:p>
    <w:p w14:paraId="7C3D668C" w14:textId="4B4A15D0" w:rsidR="00C840D7" w:rsidRDefault="00244009" w:rsidP="000B332F">
      <w:pPr>
        <w:rPr>
          <w:lang w:val="en-GB"/>
        </w:rPr>
      </w:pPr>
      <w:r>
        <w:rPr>
          <w:lang w:val="en-GB"/>
        </w:rPr>
        <w:t xml:space="preserve">In the impact assessment of standardised tobacco packaging conducted in the United Kingdom, </w:t>
      </w:r>
      <w:r w:rsidR="00C840D7">
        <w:rPr>
          <w:lang w:val="en-GB"/>
        </w:rPr>
        <w:t xml:space="preserve">reduced brand value of tobacco manufacturers was estimated based on </w:t>
      </w:r>
      <w:r>
        <w:rPr>
          <w:lang w:val="en-GB"/>
        </w:rPr>
        <w:t xml:space="preserve">the potential reduced profit from </w:t>
      </w:r>
      <w:r w:rsidR="00C840D7">
        <w:rPr>
          <w:lang w:val="en-GB"/>
        </w:rPr>
        <w:t xml:space="preserve">smokers </w:t>
      </w:r>
      <w:r>
        <w:rPr>
          <w:lang w:val="en-GB"/>
        </w:rPr>
        <w:t>substituting premium brand tobacco products for economy brand tobacco products</w:t>
      </w:r>
      <w:r w:rsidR="00C840D7">
        <w:rPr>
          <w:lang w:val="en-GB"/>
        </w:rPr>
        <w:t xml:space="preserve"> and from reduced sales owing to smokers quitting. This was estimated for reduced profits </w:t>
      </w:r>
      <w:r w:rsidR="00315A1F">
        <w:rPr>
          <w:lang w:val="en-GB"/>
        </w:rPr>
        <w:t xml:space="preserve">achieved by both </w:t>
      </w:r>
      <w:r w:rsidR="00C840D7">
        <w:rPr>
          <w:lang w:val="en-GB"/>
        </w:rPr>
        <w:t>manufacturers and retailers.</w:t>
      </w:r>
      <w:r>
        <w:rPr>
          <w:lang w:val="en-GB"/>
        </w:rPr>
        <w:t xml:space="preserve"> </w:t>
      </w:r>
      <w:r w:rsidR="00C840D7">
        <w:rPr>
          <w:lang w:val="en-GB"/>
        </w:rPr>
        <w:t xml:space="preserve">However, whilst it is acknowledged that for members of the tobacco industry, changes in purchasing will impact their profits and in turn the value of their brands, it must </w:t>
      </w:r>
      <w:r w:rsidR="00C57EB1">
        <w:rPr>
          <w:lang w:val="en-GB"/>
        </w:rPr>
        <w:t xml:space="preserve">also </w:t>
      </w:r>
      <w:r w:rsidR="00C840D7">
        <w:rPr>
          <w:lang w:val="en-GB"/>
        </w:rPr>
        <w:t>be acknowledged that reduced expenditure on tobacco products will be redistributed throughout the rest of the economy</w:t>
      </w:r>
      <w:r w:rsidR="003C6068">
        <w:rPr>
          <w:lang w:val="en-GB"/>
        </w:rPr>
        <w:t xml:space="preserve"> </w:t>
      </w:r>
      <w:r w:rsidR="00A05B75">
        <w:rPr>
          <w:lang w:val="en-GB"/>
        </w:rPr>
        <w:fldChar w:fldCharType="begin"/>
      </w:r>
      <w:r w:rsidR="00B1645A">
        <w:rPr>
          <w:lang w:val="en-GB"/>
        </w:rPr>
        <w:instrText xml:space="preserve"> ADDIN EN.CITE &lt;EndNote&gt;&lt;Cite&gt;&lt;Author&gt;Junor&lt;/Author&gt;&lt;Year&gt;June 2004&lt;/Year&gt;&lt;RecNum&gt;52&lt;/RecNum&gt;&lt;DisplayText&gt;(Junor et al., June 2004)&lt;/DisplayText&gt;&lt;record&gt;&lt;rec-number&gt;52&lt;/rec-number&gt;&lt;foreign-keys&gt;&lt;key app="EN" db-id="edfppa0tc0tfd1etp5xvexpnzfefzewwwas9" timestamp="1441592648"&gt;52&lt;/key&gt;&lt;/foreign-keys&gt;&lt;ref-type name="Government Document"&gt;46&lt;/ref-type&gt;&lt;contributors&gt;&lt;authors&gt;&lt;author&gt;Junor, W&lt;/author&gt;&lt;author&gt;Collins, David J&lt;/author&gt;&lt;author&gt;Lapsley, Helen M&lt;/author&gt;&lt;/authors&gt;&lt;/contributors&gt;&lt;titles&gt;&lt;title&gt;The macroeconomic and distributional effects of reduced smoking prevalence in New South Wales.&lt;/title&gt;&lt;/titles&gt;&lt;dates&gt;&lt;year&gt;June 2004&lt;/year&gt;&lt;/dates&gt;&lt;pub-location&gt;Sydney&lt;/pub-location&gt;&lt;publisher&gt;The Cancer Council New South Wales&lt;/publisher&gt;&lt;urls&gt;&lt;/urls&gt;&lt;/record&gt;&lt;/Cite&gt;&lt;/EndNote&gt;</w:instrText>
      </w:r>
      <w:r w:rsidR="00A05B75">
        <w:rPr>
          <w:lang w:val="en-GB"/>
        </w:rPr>
        <w:fldChar w:fldCharType="separate"/>
      </w:r>
      <w:r w:rsidR="00B1645A">
        <w:rPr>
          <w:noProof/>
          <w:lang w:val="en-GB"/>
        </w:rPr>
        <w:t>(</w:t>
      </w:r>
      <w:hyperlink w:anchor="_ENREF_37" w:tooltip="Junor, June 2004 #52" w:history="1">
        <w:r w:rsidR="008A14C8">
          <w:rPr>
            <w:noProof/>
            <w:lang w:val="en-GB"/>
          </w:rPr>
          <w:t>Junor et al., June 2004</w:t>
        </w:r>
      </w:hyperlink>
      <w:r w:rsidR="00B1645A">
        <w:rPr>
          <w:noProof/>
          <w:lang w:val="en-GB"/>
        </w:rPr>
        <w:t>)</w:t>
      </w:r>
      <w:r w:rsidR="00A05B75">
        <w:rPr>
          <w:lang w:val="en-GB"/>
        </w:rPr>
        <w:fldChar w:fldCharType="end"/>
      </w:r>
      <w:r w:rsidR="00C840D7">
        <w:rPr>
          <w:lang w:val="en-GB"/>
        </w:rPr>
        <w:t xml:space="preserve">. With respect to </w:t>
      </w:r>
      <w:r w:rsidR="00773BD4">
        <w:rPr>
          <w:lang w:val="en-GB"/>
        </w:rPr>
        <w:t xml:space="preserve">any </w:t>
      </w:r>
      <w:r w:rsidR="006E698E">
        <w:rPr>
          <w:lang w:val="en-GB"/>
        </w:rPr>
        <w:t xml:space="preserve">substitution </w:t>
      </w:r>
      <w:r w:rsidR="00C840D7">
        <w:rPr>
          <w:lang w:val="en-GB"/>
        </w:rPr>
        <w:t>of high priced tobacco products for low priced tobacco products, it is likely that the residual expenditure would be used in purchasing of other premium brand products as mentioned above. Consequently, any reduced value of tobacco brands is likely to be offset by increases in the brand values of those products that are substituted in place of tobacco products.</w:t>
      </w:r>
    </w:p>
    <w:p w14:paraId="1DD4CB7B" w14:textId="77777777" w:rsidR="009327A3" w:rsidRPr="00542E0B" w:rsidRDefault="009327A3" w:rsidP="00542E0B">
      <w:pPr>
        <w:pStyle w:val="Heading4"/>
        <w:rPr>
          <w:sz w:val="28"/>
          <w:u w:val="single"/>
          <w:lang w:val="en-GB"/>
        </w:rPr>
      </w:pPr>
      <w:r w:rsidRPr="00542E0B">
        <w:rPr>
          <w:sz w:val="28"/>
          <w:u w:val="single"/>
          <w:lang w:val="en-GB"/>
        </w:rPr>
        <w:t>Potential Reduced Packaging Costs</w:t>
      </w:r>
    </w:p>
    <w:p w14:paraId="078EE8E1" w14:textId="77777777" w:rsidR="009327A3" w:rsidRDefault="009327A3" w:rsidP="009327A3">
      <w:r>
        <w:t>Prior to plain packaging being introduced in Australia, tobacco packaging design included   features such as colours, embossing, images, and different structural elements (for example, soft or hard packs and differently sized packs).  Tobacco packaging could also utilise other promotional innovations in pack design and style to make the packaging attractive. The measure required tobacco companies to produce a simplified standardised pack.</w:t>
      </w:r>
    </w:p>
    <w:p w14:paraId="1088C640" w14:textId="40838620" w:rsidR="009327A3" w:rsidRDefault="009327A3" w:rsidP="00C45985">
      <w:pPr>
        <w:spacing w:before="80" w:after="80"/>
      </w:pPr>
      <w:proofErr w:type="gramStart"/>
      <w:r>
        <w:lastRenderedPageBreak/>
        <w:t xml:space="preserve">Europe Economics (2008) reports that </w:t>
      </w:r>
      <w:r w:rsidR="00773BD4">
        <w:t xml:space="preserve">the </w:t>
      </w:r>
      <w:r>
        <w:t>manufacturing costs of a plain package as opposed to a branded package is</w:t>
      </w:r>
      <w:proofErr w:type="gramEnd"/>
      <w:r>
        <w:t xml:space="preserve"> likely to</w:t>
      </w:r>
      <w:r w:rsidR="00773BD4">
        <w:t xml:space="preserve"> be lowered</w:t>
      </w:r>
      <w:r>
        <w:t>. Although not quantified by Europe Economics, another study undertaken in Europe argued that the ongoing administrative burden of introducing plain or generic packaging is ‘probably negative’ because of the lower production costs associated with standardised packaging (</w:t>
      </w:r>
      <w:proofErr w:type="spellStart"/>
      <w:r>
        <w:t>Tiessen</w:t>
      </w:r>
      <w:proofErr w:type="spellEnd"/>
      <w:r>
        <w:t xml:space="preserve"> et al., 2010). Similarly, the impact assessment of standardised tobacco packaging undertaken by the UK Government estimated a possible saving of between 1 and 3 pence per cigarette pack from reduced lower input costs associated with packaging (2012). </w:t>
      </w:r>
    </w:p>
    <w:p w14:paraId="6A2A35CD" w14:textId="742150D5" w:rsidR="009327A3" w:rsidRDefault="009327A3" w:rsidP="00C45985">
      <w:pPr>
        <w:spacing w:before="80" w:after="80"/>
      </w:pPr>
      <w:r>
        <w:t>Therefore there are good reasons and evidence for supposing that tobacco plain packaging resulted in reduced packaging costs for industry. These are likely to be within the range estimated by the UK assessment – namely, 1 to 3 pence approximately AU 1.5 to 4.5</w:t>
      </w:r>
      <w:r w:rsidR="0043774F">
        <w:t xml:space="preserve"> </w:t>
      </w:r>
      <w:r>
        <w:t xml:space="preserve">cents. </w:t>
      </w:r>
    </w:p>
    <w:p w14:paraId="705EEE49" w14:textId="77777777" w:rsidR="009327A3" w:rsidRDefault="009327A3" w:rsidP="00C45985">
      <w:pPr>
        <w:spacing w:before="80" w:after="0"/>
      </w:pPr>
      <w:r>
        <w:t>As an illustrative example of the potential packaging savings for one year:</w:t>
      </w:r>
    </w:p>
    <w:p w14:paraId="04E8472E" w14:textId="77777777" w:rsidR="009327A3" w:rsidRPr="00A86538" w:rsidRDefault="009327A3" w:rsidP="009327A3">
      <w:pPr>
        <w:pStyle w:val="ListParagraph"/>
        <w:numPr>
          <w:ilvl w:val="0"/>
          <w:numId w:val="12"/>
        </w:numPr>
        <w:rPr>
          <w:sz w:val="24"/>
          <w:szCs w:val="24"/>
        </w:rPr>
      </w:pPr>
      <w:r>
        <w:rPr>
          <w:sz w:val="24"/>
          <w:szCs w:val="24"/>
        </w:rPr>
        <w:t>If</w:t>
      </w:r>
      <w:r w:rsidRPr="00A86538">
        <w:rPr>
          <w:sz w:val="24"/>
          <w:szCs w:val="24"/>
        </w:rPr>
        <w:t xml:space="preserve"> 18.597 billion cigarettes </w:t>
      </w:r>
      <w:r>
        <w:rPr>
          <w:sz w:val="24"/>
          <w:szCs w:val="24"/>
        </w:rPr>
        <w:t xml:space="preserve">are </w:t>
      </w:r>
      <w:r w:rsidRPr="00A86538">
        <w:rPr>
          <w:sz w:val="24"/>
          <w:szCs w:val="24"/>
        </w:rPr>
        <w:t>sold</w:t>
      </w:r>
      <w:r>
        <w:rPr>
          <w:sz w:val="24"/>
          <w:szCs w:val="24"/>
        </w:rPr>
        <w:t xml:space="preserve"> in any one year,</w:t>
      </w:r>
      <w:r w:rsidRPr="00A86538">
        <w:rPr>
          <w:rStyle w:val="FootnoteReference"/>
          <w:sz w:val="24"/>
          <w:szCs w:val="24"/>
        </w:rPr>
        <w:footnoteReference w:id="18"/>
      </w:r>
      <w:r w:rsidRPr="00A86538">
        <w:rPr>
          <w:sz w:val="24"/>
          <w:szCs w:val="24"/>
        </w:rPr>
        <w:t xml:space="preserve"> </w:t>
      </w:r>
      <w:r>
        <w:rPr>
          <w:sz w:val="24"/>
          <w:szCs w:val="24"/>
        </w:rPr>
        <w:t>this would be</w:t>
      </w:r>
      <w:r w:rsidRPr="00A86538">
        <w:rPr>
          <w:sz w:val="24"/>
          <w:szCs w:val="24"/>
        </w:rPr>
        <w:t xml:space="preserve"> equivalent to approximately 743.8 million packs (assuming 25 cigarettes a pack</w:t>
      </w:r>
      <w:r>
        <w:rPr>
          <w:rStyle w:val="FootnoteReference"/>
          <w:sz w:val="24"/>
          <w:szCs w:val="24"/>
        </w:rPr>
        <w:footnoteReference w:id="19"/>
      </w:r>
      <w:r w:rsidRPr="00A86538">
        <w:rPr>
          <w:sz w:val="24"/>
          <w:szCs w:val="24"/>
        </w:rPr>
        <w:t>)</w:t>
      </w:r>
    </w:p>
    <w:p w14:paraId="5DFF6F53" w14:textId="77777777" w:rsidR="009327A3" w:rsidRDefault="009327A3" w:rsidP="009327A3">
      <w:pPr>
        <w:pStyle w:val="ListParagraph"/>
        <w:numPr>
          <w:ilvl w:val="0"/>
          <w:numId w:val="12"/>
        </w:numPr>
        <w:rPr>
          <w:sz w:val="24"/>
          <w:szCs w:val="24"/>
        </w:rPr>
      </w:pPr>
      <w:r>
        <w:rPr>
          <w:sz w:val="24"/>
          <w:szCs w:val="24"/>
        </w:rPr>
        <w:t xml:space="preserve">The approximate savings for that year can be estimated at: </w:t>
      </w:r>
    </w:p>
    <w:p w14:paraId="2B5EA529" w14:textId="5752540E" w:rsidR="009327A3" w:rsidRDefault="009327A3" w:rsidP="009327A3">
      <w:pPr>
        <w:pStyle w:val="ListParagraph"/>
        <w:numPr>
          <w:ilvl w:val="1"/>
          <w:numId w:val="12"/>
        </w:numPr>
        <w:rPr>
          <w:sz w:val="24"/>
          <w:szCs w:val="24"/>
        </w:rPr>
      </w:pPr>
      <w:r>
        <w:rPr>
          <w:sz w:val="24"/>
          <w:szCs w:val="24"/>
        </w:rPr>
        <w:t>1.5 cents x 743.8 million packs = $</w:t>
      </w:r>
      <w:r w:rsidRPr="007F7CF3">
        <w:rPr>
          <w:sz w:val="24"/>
          <w:szCs w:val="24"/>
        </w:rPr>
        <w:t>11</w:t>
      </w:r>
      <w:r w:rsidR="00617D23">
        <w:rPr>
          <w:sz w:val="24"/>
          <w:szCs w:val="24"/>
        </w:rPr>
        <w:t>.6 million</w:t>
      </w:r>
      <w:r>
        <w:rPr>
          <w:sz w:val="24"/>
          <w:szCs w:val="24"/>
        </w:rPr>
        <w:t xml:space="preserve"> in savings </w:t>
      </w:r>
    </w:p>
    <w:p w14:paraId="68F2DFD9" w14:textId="30931F14" w:rsidR="009327A3" w:rsidRDefault="009327A3" w:rsidP="009327A3">
      <w:pPr>
        <w:pStyle w:val="ListParagraph"/>
        <w:numPr>
          <w:ilvl w:val="1"/>
          <w:numId w:val="12"/>
        </w:numPr>
        <w:rPr>
          <w:sz w:val="24"/>
          <w:szCs w:val="24"/>
        </w:rPr>
      </w:pPr>
      <w:r>
        <w:rPr>
          <w:sz w:val="24"/>
          <w:szCs w:val="24"/>
        </w:rPr>
        <w:t>4.5 cents x 743.8 million packs = $</w:t>
      </w:r>
      <w:r w:rsidRPr="007F7CF3">
        <w:rPr>
          <w:sz w:val="24"/>
          <w:szCs w:val="24"/>
        </w:rPr>
        <w:t>33</w:t>
      </w:r>
      <w:r w:rsidR="00617D23">
        <w:rPr>
          <w:sz w:val="24"/>
          <w:szCs w:val="24"/>
        </w:rPr>
        <w:t xml:space="preserve">.47 million </w:t>
      </w:r>
      <w:r>
        <w:rPr>
          <w:sz w:val="24"/>
          <w:szCs w:val="24"/>
        </w:rPr>
        <w:t>in savings</w:t>
      </w:r>
    </w:p>
    <w:p w14:paraId="48826C63" w14:textId="77777777" w:rsidR="009327A3" w:rsidRPr="00A86538" w:rsidRDefault="009327A3" w:rsidP="00C45985">
      <w:pPr>
        <w:spacing w:before="80" w:after="0"/>
        <w:rPr>
          <w:color w:val="000000"/>
          <w:lang w:val="en-GB"/>
        </w:rPr>
      </w:pPr>
      <w:r>
        <w:t>As</w:t>
      </w:r>
      <w:r w:rsidRPr="00A86538">
        <w:t xml:space="preserve"> an illustrative example of the </w:t>
      </w:r>
      <w:r>
        <w:t xml:space="preserve">packaging </w:t>
      </w:r>
      <w:r w:rsidRPr="00A86538">
        <w:t xml:space="preserve">saving </w:t>
      </w:r>
      <w:r>
        <w:t>over a 10 year period:</w:t>
      </w:r>
      <w:r w:rsidRPr="00A86538">
        <w:t xml:space="preserve"> </w:t>
      </w:r>
    </w:p>
    <w:p w14:paraId="4E84E2A9" w14:textId="171C1B0F" w:rsidR="009327A3" w:rsidRPr="00A86538" w:rsidRDefault="009327A3" w:rsidP="009327A3">
      <w:pPr>
        <w:pStyle w:val="ListParagraph"/>
        <w:numPr>
          <w:ilvl w:val="0"/>
          <w:numId w:val="13"/>
        </w:numPr>
        <w:rPr>
          <w:sz w:val="24"/>
          <w:szCs w:val="24"/>
        </w:rPr>
      </w:pPr>
      <w:r w:rsidRPr="00A86538">
        <w:rPr>
          <w:sz w:val="24"/>
          <w:szCs w:val="24"/>
        </w:rPr>
        <w:t>If there was a decline in cigarette sales of 3.5%</w:t>
      </w:r>
      <w:r w:rsidRPr="00A86538">
        <w:rPr>
          <w:rStyle w:val="FootnoteReference"/>
          <w:sz w:val="24"/>
          <w:szCs w:val="24"/>
        </w:rPr>
        <w:footnoteReference w:id="20"/>
      </w:r>
      <w:r w:rsidRPr="00A86538">
        <w:rPr>
          <w:sz w:val="24"/>
          <w:szCs w:val="24"/>
        </w:rPr>
        <w:t xml:space="preserve">  approximately 6.</w:t>
      </w:r>
      <w:r w:rsidR="0063673E">
        <w:rPr>
          <w:sz w:val="24"/>
          <w:szCs w:val="24"/>
        </w:rPr>
        <w:t>15</w:t>
      </w:r>
      <w:r w:rsidRPr="00A86538">
        <w:rPr>
          <w:sz w:val="24"/>
          <w:szCs w:val="24"/>
        </w:rPr>
        <w:t xml:space="preserve"> billion packs (</w:t>
      </w:r>
      <w:r w:rsidR="00167EB7" w:rsidRPr="00A86538">
        <w:rPr>
          <w:sz w:val="24"/>
          <w:szCs w:val="24"/>
        </w:rPr>
        <w:t>1</w:t>
      </w:r>
      <w:r w:rsidR="00167EB7">
        <w:rPr>
          <w:sz w:val="24"/>
          <w:szCs w:val="24"/>
        </w:rPr>
        <w:t>54</w:t>
      </w:r>
      <w:r w:rsidR="00167EB7" w:rsidRPr="00A86538">
        <w:rPr>
          <w:sz w:val="24"/>
          <w:szCs w:val="24"/>
        </w:rPr>
        <w:t xml:space="preserve"> </w:t>
      </w:r>
      <w:r w:rsidRPr="00A86538">
        <w:rPr>
          <w:sz w:val="24"/>
          <w:szCs w:val="24"/>
        </w:rPr>
        <w:t>billion cigarettes) would be sold over the 10 year period</w:t>
      </w:r>
      <w:r>
        <w:rPr>
          <w:sz w:val="24"/>
          <w:szCs w:val="24"/>
        </w:rPr>
        <w:t>.</w:t>
      </w:r>
      <w:r w:rsidRPr="00A86538">
        <w:rPr>
          <w:sz w:val="24"/>
          <w:szCs w:val="24"/>
        </w:rPr>
        <w:t xml:space="preserve"> The approximate </w:t>
      </w:r>
      <w:r w:rsidR="00B64867">
        <w:rPr>
          <w:sz w:val="24"/>
          <w:szCs w:val="24"/>
        </w:rPr>
        <w:t xml:space="preserve">(undiscounted) </w:t>
      </w:r>
      <w:r w:rsidRPr="00A86538">
        <w:rPr>
          <w:sz w:val="24"/>
          <w:szCs w:val="24"/>
        </w:rPr>
        <w:t xml:space="preserve">savings </w:t>
      </w:r>
      <w:r>
        <w:rPr>
          <w:sz w:val="24"/>
          <w:szCs w:val="24"/>
        </w:rPr>
        <w:t>are</w:t>
      </w:r>
      <w:r w:rsidRPr="00A86538">
        <w:rPr>
          <w:sz w:val="24"/>
          <w:szCs w:val="24"/>
        </w:rPr>
        <w:t xml:space="preserve"> estimated at:</w:t>
      </w:r>
    </w:p>
    <w:p w14:paraId="5AF85F49" w14:textId="2C46CB4B" w:rsidR="009327A3" w:rsidRPr="00A86538" w:rsidRDefault="009327A3" w:rsidP="009327A3">
      <w:pPr>
        <w:pStyle w:val="ListParagraph"/>
        <w:numPr>
          <w:ilvl w:val="1"/>
          <w:numId w:val="12"/>
        </w:numPr>
        <w:rPr>
          <w:sz w:val="24"/>
          <w:szCs w:val="24"/>
        </w:rPr>
      </w:pPr>
      <w:r w:rsidRPr="00A86538">
        <w:rPr>
          <w:sz w:val="24"/>
          <w:szCs w:val="24"/>
        </w:rPr>
        <w:t>1.5 cents x  6.</w:t>
      </w:r>
      <w:r w:rsidR="00B64867">
        <w:rPr>
          <w:sz w:val="24"/>
          <w:szCs w:val="24"/>
        </w:rPr>
        <w:t>15</w:t>
      </w:r>
      <w:r w:rsidR="00B64867" w:rsidRPr="00A86538">
        <w:rPr>
          <w:sz w:val="24"/>
          <w:szCs w:val="24"/>
        </w:rPr>
        <w:t xml:space="preserve"> </w:t>
      </w:r>
      <w:r w:rsidRPr="00A86538">
        <w:rPr>
          <w:sz w:val="24"/>
          <w:szCs w:val="24"/>
        </w:rPr>
        <w:t>billion packs = $</w:t>
      </w:r>
      <w:r w:rsidR="0063673E">
        <w:rPr>
          <w:sz w:val="24"/>
          <w:szCs w:val="24"/>
        </w:rPr>
        <w:t>9</w:t>
      </w:r>
      <w:r>
        <w:rPr>
          <w:sz w:val="24"/>
          <w:szCs w:val="24"/>
        </w:rPr>
        <w:t>2 million</w:t>
      </w:r>
      <w:r w:rsidRPr="00A86538">
        <w:rPr>
          <w:sz w:val="24"/>
          <w:szCs w:val="24"/>
        </w:rPr>
        <w:t xml:space="preserve"> in savings</w:t>
      </w:r>
    </w:p>
    <w:p w14:paraId="056C50F6" w14:textId="32F1C29B" w:rsidR="009327A3" w:rsidRPr="00A86538" w:rsidRDefault="009327A3" w:rsidP="009327A3">
      <w:pPr>
        <w:pStyle w:val="ListParagraph"/>
        <w:numPr>
          <w:ilvl w:val="1"/>
          <w:numId w:val="12"/>
        </w:numPr>
        <w:rPr>
          <w:sz w:val="24"/>
          <w:szCs w:val="24"/>
        </w:rPr>
      </w:pPr>
      <w:r w:rsidRPr="00A86538">
        <w:rPr>
          <w:sz w:val="24"/>
          <w:szCs w:val="24"/>
        </w:rPr>
        <w:t xml:space="preserve">4.5 cents x </w:t>
      </w:r>
      <w:r>
        <w:rPr>
          <w:sz w:val="24"/>
          <w:szCs w:val="24"/>
        </w:rPr>
        <w:t xml:space="preserve"> </w:t>
      </w:r>
      <w:r w:rsidRPr="00A86538">
        <w:rPr>
          <w:sz w:val="24"/>
          <w:szCs w:val="24"/>
        </w:rPr>
        <w:t>6.</w:t>
      </w:r>
      <w:r w:rsidR="00B64867">
        <w:rPr>
          <w:sz w:val="24"/>
          <w:szCs w:val="24"/>
        </w:rPr>
        <w:t>15</w:t>
      </w:r>
      <w:r w:rsidR="00B64867" w:rsidRPr="00A86538">
        <w:rPr>
          <w:sz w:val="24"/>
          <w:szCs w:val="24"/>
        </w:rPr>
        <w:t xml:space="preserve"> </w:t>
      </w:r>
      <w:r w:rsidRPr="00A86538">
        <w:rPr>
          <w:sz w:val="24"/>
          <w:szCs w:val="24"/>
        </w:rPr>
        <w:t>billion packs = $</w:t>
      </w:r>
      <w:r w:rsidR="0063673E">
        <w:rPr>
          <w:sz w:val="24"/>
          <w:szCs w:val="24"/>
        </w:rPr>
        <w:t>27</w:t>
      </w:r>
      <w:r w:rsidR="004A068D">
        <w:rPr>
          <w:sz w:val="24"/>
          <w:szCs w:val="24"/>
        </w:rPr>
        <w:t>7</w:t>
      </w:r>
      <w:r>
        <w:rPr>
          <w:sz w:val="24"/>
          <w:szCs w:val="24"/>
        </w:rPr>
        <w:t xml:space="preserve"> million</w:t>
      </w:r>
      <w:r w:rsidRPr="00A86538">
        <w:rPr>
          <w:sz w:val="24"/>
          <w:szCs w:val="24"/>
        </w:rPr>
        <w:t xml:space="preserve"> in savings</w:t>
      </w:r>
    </w:p>
    <w:p w14:paraId="276A8DE3" w14:textId="5B769389" w:rsidR="009327A3" w:rsidRPr="00A86538" w:rsidRDefault="009327A3" w:rsidP="00C45985">
      <w:pPr>
        <w:spacing w:before="80" w:after="80"/>
      </w:pPr>
      <w:r w:rsidRPr="001D186D">
        <w:rPr>
          <w:lang w:val="en-GB"/>
        </w:rPr>
        <w:t>This analysis indicates that a</w:t>
      </w:r>
      <w:r w:rsidR="002A359E">
        <w:rPr>
          <w:lang w:val="en-GB"/>
        </w:rPr>
        <w:t>ny</w:t>
      </w:r>
      <w:r w:rsidRPr="001D186D">
        <w:rPr>
          <w:lang w:val="en-GB"/>
        </w:rPr>
        <w:t xml:space="preserve"> per-pack saving </w:t>
      </w:r>
      <w:r w:rsidR="0052406A">
        <w:rPr>
          <w:lang w:val="en-GB"/>
        </w:rPr>
        <w:t xml:space="preserve">on manufacturing cost </w:t>
      </w:r>
      <w:r w:rsidRPr="001D186D">
        <w:rPr>
          <w:lang w:val="en-GB"/>
        </w:rPr>
        <w:t>greater than $0.</w:t>
      </w:r>
      <w:r w:rsidR="0063673E" w:rsidRPr="001D186D">
        <w:rPr>
          <w:lang w:val="en-GB"/>
        </w:rPr>
        <w:t>01</w:t>
      </w:r>
      <w:r w:rsidRPr="001D186D">
        <w:rPr>
          <w:lang w:val="en-GB"/>
        </w:rPr>
        <w:t xml:space="preserve"> (a</w:t>
      </w:r>
      <w:r>
        <w:rPr>
          <w:lang w:val="en-GB"/>
        </w:rPr>
        <w:t xml:space="preserve">ssuming an annual decline in cigarette volumes of </w:t>
      </w:r>
      <w:r w:rsidR="0063673E">
        <w:rPr>
          <w:lang w:val="en-GB"/>
        </w:rPr>
        <w:t>3.5</w:t>
      </w:r>
      <w:r>
        <w:rPr>
          <w:lang w:val="en-GB"/>
        </w:rPr>
        <w:t xml:space="preserve">% over the next ten years) would offset the regulatory burden calculated above.  </w:t>
      </w:r>
    </w:p>
    <w:p w14:paraId="587D27E4" w14:textId="77777777" w:rsidR="00B50287" w:rsidRPr="000146DB"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rPr>
          <w:b/>
          <w:sz w:val="22"/>
        </w:rPr>
      </w:pPr>
      <w:bookmarkStart w:id="122" w:name="_Toc418770528"/>
      <w:r w:rsidRPr="00E7390B">
        <w:rPr>
          <w:b/>
          <w:sz w:val="22"/>
        </w:rPr>
        <w:t xml:space="preserve">Box </w:t>
      </w:r>
      <w:r>
        <w:rPr>
          <w:b/>
          <w:sz w:val="22"/>
        </w:rPr>
        <w:t>5</w:t>
      </w:r>
      <w:r w:rsidRPr="00E7390B">
        <w:rPr>
          <w:b/>
          <w:sz w:val="22"/>
        </w:rPr>
        <w:t>:</w:t>
      </w:r>
      <w:r w:rsidRPr="000146DB">
        <w:rPr>
          <w:b/>
          <w:sz w:val="22"/>
        </w:rPr>
        <w:t xml:space="preserve"> Summary Impact on Industry Profits</w:t>
      </w:r>
    </w:p>
    <w:p w14:paraId="547034D6" w14:textId="77777777" w:rsidR="00B50287" w:rsidRPr="000146DB"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Pr>
          <w:lang w:val="en-GB"/>
        </w:rPr>
        <w:t>Any reduction in smoking will impact the sales and possibly the profits associated with tobacco products in Australia.</w:t>
      </w:r>
      <w:r w:rsidRPr="000146DB">
        <w:t xml:space="preserve"> However, this is likely to be redistributed among substituted non-tobacco products. Previous analysis of the redistribution of expenditure from reduced smoking prevalence indicates that this would result in no net effect on Australian output or employment.  Whilst there is some evidence of smokers substituting high price tobacco products for low price tobacco products </w:t>
      </w:r>
      <w:r>
        <w:t xml:space="preserve">in the period after </w:t>
      </w:r>
      <w:r w:rsidRPr="000146DB">
        <w:t xml:space="preserve">the introduction of the plain packaging measure, contemporaneous price increases </w:t>
      </w:r>
      <w:r>
        <w:t xml:space="preserve">and increases in the number of value brand products available, </w:t>
      </w:r>
      <w:r w:rsidRPr="000146DB">
        <w:t>confounds any possible estimation of the contribution th</w:t>
      </w:r>
      <w:r>
        <w:t>at</w:t>
      </w:r>
      <w:r w:rsidRPr="000146DB">
        <w:t xml:space="preserve"> </w:t>
      </w:r>
      <w:r>
        <w:t xml:space="preserve">the </w:t>
      </w:r>
      <w:r w:rsidRPr="000146DB">
        <w:t>plain packaging measure has had</w:t>
      </w:r>
      <w:r>
        <w:t>, if any</w:t>
      </w:r>
      <w:r w:rsidRPr="000146DB">
        <w:t xml:space="preserve">. In addition, industry media releases suggest that price is more deterministic of any changing in preferences for high price tobacco products than changes under the plain packaging measure. Moreover, any given loss in profit from the substitution to low price tobacco products is likely to be offset by increases in the profit of </w:t>
      </w:r>
      <w:r w:rsidRPr="000146DB">
        <w:lastRenderedPageBreak/>
        <w:t xml:space="preserve">premium branded non-tobacco products. Whilst any reduced profitability of tobacco products (either from reduced sales or reduced sales of higher profit products) will reduce tobacco brand values, the corresponding increase in profits of non-tobacco products will result in corresponding increases in non-tobacco product brand values. </w:t>
      </w:r>
    </w:p>
    <w:p w14:paraId="6FA7DBDE" w14:textId="77777777" w:rsidR="00B50287" w:rsidRPr="000146DB"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0146DB">
        <w:t xml:space="preserve">Finally, evidence indicates that the production cost per pack of cigarettes </w:t>
      </w:r>
      <w:r>
        <w:t xml:space="preserve">will likely fall following the introduction of plain packaging. While the exact savings associated with this benefit is not able to be precisely quantified, the illustrative example showed it is likely to be between </w:t>
      </w:r>
      <w:r w:rsidRPr="0063673E">
        <w:t>$92 million and $27</w:t>
      </w:r>
      <w:r>
        <w:t>7 million.</w:t>
      </w:r>
    </w:p>
    <w:p w14:paraId="27CF5AB6" w14:textId="77777777" w:rsidR="00DE495D" w:rsidRPr="00830649" w:rsidRDefault="0059396F" w:rsidP="00C45985">
      <w:pPr>
        <w:pStyle w:val="Heading3"/>
        <w:spacing w:before="80" w:after="80"/>
      </w:pPr>
      <w:bookmarkStart w:id="123" w:name="_Toc427737364"/>
      <w:bookmarkStart w:id="124" w:name="_Toc443560346"/>
      <w:bookmarkStart w:id="125" w:name="_Toc443560374"/>
      <w:bookmarkStart w:id="126" w:name="_Toc443560424"/>
      <w:bookmarkEnd w:id="122"/>
      <w:r w:rsidRPr="00830649">
        <w:t xml:space="preserve">Illicit </w:t>
      </w:r>
      <w:r w:rsidR="00EF04D6">
        <w:t>T</w:t>
      </w:r>
      <w:r w:rsidR="00EF04D6" w:rsidRPr="00830649">
        <w:t xml:space="preserve">rade </w:t>
      </w:r>
      <w:bookmarkEnd w:id="123"/>
      <w:r w:rsidR="00EF04D6">
        <w:t>C</w:t>
      </w:r>
      <w:r w:rsidR="00EF04D6" w:rsidRPr="00830649">
        <w:t>onsiderations</w:t>
      </w:r>
      <w:bookmarkEnd w:id="124"/>
      <w:bookmarkEnd w:id="125"/>
      <w:bookmarkEnd w:id="126"/>
    </w:p>
    <w:p w14:paraId="58D7CB83" w14:textId="02A06FAA" w:rsidR="00EF4C12" w:rsidRDefault="0059396F" w:rsidP="00C45985">
      <w:pPr>
        <w:spacing w:before="80" w:after="80"/>
        <w:rPr>
          <w:lang w:val="en-GB"/>
        </w:rPr>
      </w:pPr>
      <w:r w:rsidRPr="00E7390B">
        <w:rPr>
          <w:lang w:val="en-GB"/>
        </w:rPr>
        <w:t xml:space="preserve">During the PIR consultations, a number of tobacco industry stakeholders </w:t>
      </w:r>
      <w:r w:rsidR="00500BA1" w:rsidRPr="00E7390B">
        <w:rPr>
          <w:lang w:val="en-GB"/>
        </w:rPr>
        <w:t xml:space="preserve">raised concerns about the possibility of increased illicit </w:t>
      </w:r>
      <w:r w:rsidRPr="00E7390B">
        <w:rPr>
          <w:lang w:val="en-GB"/>
        </w:rPr>
        <w:t xml:space="preserve">trade in </w:t>
      </w:r>
      <w:r w:rsidR="00500BA1" w:rsidRPr="00E7390B">
        <w:rPr>
          <w:lang w:val="en-GB"/>
        </w:rPr>
        <w:t xml:space="preserve">tobacco from the introduction of </w:t>
      </w:r>
      <w:r w:rsidR="00826A4E" w:rsidRPr="00E7390B">
        <w:rPr>
          <w:lang w:val="en-GB"/>
        </w:rPr>
        <w:t>tobacco plain packaging</w:t>
      </w:r>
      <w:r w:rsidR="003645C5" w:rsidRPr="00E7390B">
        <w:rPr>
          <w:lang w:val="en-GB"/>
        </w:rPr>
        <w:t>.</w:t>
      </w:r>
      <w:r w:rsidR="005D03E9" w:rsidRPr="00E7390B">
        <w:rPr>
          <w:lang w:val="en-GB"/>
        </w:rPr>
        <w:t xml:space="preserve"> </w:t>
      </w:r>
      <w:r w:rsidR="00EF4C12" w:rsidRPr="00E7390B">
        <w:rPr>
          <w:lang w:val="en-GB"/>
        </w:rPr>
        <w:t xml:space="preserve">However, there </w:t>
      </w:r>
      <w:r w:rsidR="001643F1" w:rsidRPr="00E7390B">
        <w:rPr>
          <w:lang w:val="en-GB"/>
        </w:rPr>
        <w:t>is</w:t>
      </w:r>
      <w:r w:rsidR="00EF4C12" w:rsidRPr="00E7390B">
        <w:rPr>
          <w:lang w:val="en-GB"/>
        </w:rPr>
        <w:t xml:space="preserve"> considerable debate and </w:t>
      </w:r>
      <w:r w:rsidR="001643F1" w:rsidRPr="00E7390B">
        <w:rPr>
          <w:lang w:val="en-GB"/>
        </w:rPr>
        <w:t>discrepancy</w:t>
      </w:r>
      <w:r w:rsidR="00EF4C12" w:rsidRPr="00E7390B">
        <w:rPr>
          <w:lang w:val="en-GB"/>
        </w:rPr>
        <w:t xml:space="preserve"> between available data sources regarding illicit trade of tobacco in Australia.</w:t>
      </w:r>
    </w:p>
    <w:p w14:paraId="69A740CC" w14:textId="77777777" w:rsidR="00500BA1" w:rsidRDefault="005D03E9" w:rsidP="00C45985">
      <w:pPr>
        <w:spacing w:before="80" w:after="80"/>
        <w:rPr>
          <w:lang w:val="en-GB"/>
        </w:rPr>
      </w:pPr>
      <w:r>
        <w:rPr>
          <w:lang w:val="en-GB"/>
        </w:rPr>
        <w:t xml:space="preserve">The illicit trade of tobacco products is driven by a number of supply and demand factors. These include the level of detection and enforcement of criminal charges relating to illicit trade, the penalties imposed on any breach of these laws, the </w:t>
      </w:r>
      <w:r w:rsidR="00650150">
        <w:rPr>
          <w:lang w:val="en-GB"/>
        </w:rPr>
        <w:t xml:space="preserve">price of legal products, the ease and direct cost of producing and distributing illicit products, economic, </w:t>
      </w:r>
      <w:r w:rsidR="00EF04D6">
        <w:rPr>
          <w:lang w:val="en-GB"/>
        </w:rPr>
        <w:t xml:space="preserve">and </w:t>
      </w:r>
      <w:r w:rsidR="00650150">
        <w:rPr>
          <w:lang w:val="en-GB"/>
        </w:rPr>
        <w:t xml:space="preserve">social and cultural factors influencing the acceptability and/or demand for illicit products. </w:t>
      </w:r>
    </w:p>
    <w:p w14:paraId="506DB4A4" w14:textId="3B030BCD" w:rsidR="00FF5F26" w:rsidRPr="008040A0" w:rsidRDefault="00FF5F26" w:rsidP="00C45985">
      <w:pPr>
        <w:spacing w:before="80" w:after="80"/>
        <w:rPr>
          <w:lang w:val="en-US"/>
        </w:rPr>
      </w:pPr>
      <w:r w:rsidRPr="008040A0">
        <w:rPr>
          <w:lang w:val="en-US"/>
        </w:rPr>
        <w:t>In 2011, a</w:t>
      </w:r>
      <w:r w:rsidR="00052C4F">
        <w:rPr>
          <w:lang w:val="en-US"/>
        </w:rPr>
        <w:t xml:space="preserve"> tobacco industry </w:t>
      </w:r>
      <w:r w:rsidR="00DB6EB0">
        <w:rPr>
          <w:lang w:val="en-US"/>
        </w:rPr>
        <w:t xml:space="preserve">commissioned </w:t>
      </w:r>
      <w:r w:rsidRPr="008040A0">
        <w:rPr>
          <w:lang w:val="en-US"/>
        </w:rPr>
        <w:t xml:space="preserve">report on illicit trade of tobacco in Australia claimed that the size of the illicit tobacco market in Australia was 15.9%. </w:t>
      </w:r>
      <w:r w:rsidR="00A05B75" w:rsidRPr="008040A0">
        <w:rPr>
          <w:lang w:val="en-US"/>
        </w:rPr>
        <w:fldChar w:fldCharType="begin"/>
      </w:r>
      <w:r w:rsidR="00B1645A">
        <w:rPr>
          <w:lang w:val="en-US"/>
        </w:rPr>
        <w:instrText xml:space="preserve"> ADDIN EN.CITE &lt;EndNote&gt;&lt;Cite&gt;&lt;Author&gt;Deloitte Touche Tomatsu Ltd&lt;/Author&gt;&lt;Year&gt;2011a&lt;/Year&gt;&lt;RecNum&gt;68&lt;/RecNum&gt;&lt;DisplayText&gt;(Deloitte Touche Tomatsu Ltd, 2011a)&lt;/DisplayText&gt;&lt;record&gt;&lt;rec-number&gt;68&lt;/rec-number&gt;&lt;foreign-keys&gt;&lt;key app="EN" db-id="edfppa0tc0tfd1etp5xvexpnzfefzewwwas9" timestamp="1441592648"&gt;68&lt;/key&gt;&lt;/foreign-keys&gt;&lt;ref-type name="Report"&gt;27&lt;/ref-type&gt;&lt;contributors&gt;&lt;authors&gt;&lt;author&gt;Deloitte Touche Tomatsu Ltd,&lt;/author&gt;&lt;/authors&gt;&lt;/contributors&gt;&lt;titles&gt;&lt;title&gt;Illicit trade of tobacco in Australia. Prepared for British American Tobacco Australia, Philip Morris d and Imperial Tobacco Australia. Sydney: British American Tobacco Australia&lt;/title&gt;&lt;/titles&gt;&lt;dates&gt;&lt;year&gt;2011a&lt;/year&gt;&lt;/dates&gt;&lt;pub-location&gt;http://www.bata.com.au/group/sites/bat_7wykg8.nsf/vwPagesWebLive/DO7WZEX6/$FILE/medMD8EHAM5.pdf?openelement&lt;/pub-location&gt;&lt;urls&gt;&lt;/urls&gt;&lt;/record&gt;&lt;/Cite&gt;&lt;/EndNote&gt;</w:instrText>
      </w:r>
      <w:r w:rsidR="00A05B75" w:rsidRPr="008040A0">
        <w:rPr>
          <w:lang w:val="en-US"/>
        </w:rPr>
        <w:fldChar w:fldCharType="separate"/>
      </w:r>
      <w:r w:rsidR="00B1645A">
        <w:rPr>
          <w:noProof/>
          <w:lang w:val="en-US"/>
        </w:rPr>
        <w:t>(</w:t>
      </w:r>
      <w:hyperlink w:anchor="_ENREF_24" w:tooltip="Deloitte Touche Tomatsu Ltd, 2011a #68" w:history="1">
        <w:r w:rsidR="008A14C8">
          <w:rPr>
            <w:noProof/>
            <w:lang w:val="en-US"/>
          </w:rPr>
          <w:t>Deloitte Touche Tomatsu Ltd, 2011a</w:t>
        </w:r>
      </w:hyperlink>
      <w:r w:rsidR="00B1645A">
        <w:rPr>
          <w:noProof/>
          <w:lang w:val="en-US"/>
        </w:rPr>
        <w:t>)</w:t>
      </w:r>
      <w:r w:rsidR="00A05B75" w:rsidRPr="008040A0">
        <w:fldChar w:fldCharType="end"/>
      </w:r>
      <w:r w:rsidR="00EF04D6">
        <w:t>.</w:t>
      </w:r>
      <w:r w:rsidRPr="008040A0">
        <w:rPr>
          <w:lang w:val="en-US"/>
        </w:rPr>
        <w:t xml:space="preserve"> This estimate was based on a</w:t>
      </w:r>
      <w:r>
        <w:rPr>
          <w:lang w:val="en-US"/>
        </w:rPr>
        <w:t xml:space="preserve"> very small</w:t>
      </w:r>
      <w:r w:rsidRPr="008040A0">
        <w:rPr>
          <w:lang w:val="en-US"/>
        </w:rPr>
        <w:t xml:space="preserve"> survey of 949 smokers</w:t>
      </w:r>
      <w:r>
        <w:rPr>
          <w:lang w:val="en-US"/>
        </w:rPr>
        <w:t xml:space="preserve"> and esti</w:t>
      </w:r>
      <w:r w:rsidR="00587E41">
        <w:rPr>
          <w:lang w:val="en-US"/>
        </w:rPr>
        <w:t>ma</w:t>
      </w:r>
      <w:r>
        <w:rPr>
          <w:lang w:val="en-US"/>
        </w:rPr>
        <w:t xml:space="preserve">tes </w:t>
      </w:r>
      <w:r w:rsidR="00587E41">
        <w:rPr>
          <w:lang w:val="en-US"/>
        </w:rPr>
        <w:t>w</w:t>
      </w:r>
      <w:r w:rsidR="00AC7056">
        <w:rPr>
          <w:lang w:val="en-US"/>
        </w:rPr>
        <w:t>h</w:t>
      </w:r>
      <w:r w:rsidR="00587E41">
        <w:rPr>
          <w:lang w:val="en-US"/>
        </w:rPr>
        <w:t xml:space="preserve">ere not adjusted </w:t>
      </w:r>
      <w:r>
        <w:rPr>
          <w:lang w:val="en-US"/>
        </w:rPr>
        <w:t>to reflect that only 1.5% of smokers used unbranded tobacco half the time or more</w:t>
      </w:r>
      <w:r w:rsidRPr="008040A0">
        <w:rPr>
          <w:lang w:val="en-US"/>
        </w:rPr>
        <w:t xml:space="preserve">. </w:t>
      </w:r>
      <w:r>
        <w:rPr>
          <w:lang w:val="en-US"/>
        </w:rPr>
        <w:t xml:space="preserve">Moreover, </w:t>
      </w:r>
      <w:r w:rsidR="00587E41">
        <w:rPr>
          <w:lang w:val="en-US"/>
        </w:rPr>
        <w:t xml:space="preserve">the estimate was based on large capital cities and assumed reflective at a national level. This would </w:t>
      </w:r>
      <w:r w:rsidR="00AD1BCA">
        <w:rPr>
          <w:lang w:val="en-US"/>
        </w:rPr>
        <w:t>overestimate</w:t>
      </w:r>
      <w:r w:rsidR="00587E41">
        <w:rPr>
          <w:lang w:val="en-US"/>
        </w:rPr>
        <w:t xml:space="preserve"> the national estimate w</w:t>
      </w:r>
      <w:r w:rsidR="005C19B2">
        <w:rPr>
          <w:lang w:val="en-US"/>
        </w:rPr>
        <w:t>h</w:t>
      </w:r>
      <w:r w:rsidR="00587E41">
        <w:rPr>
          <w:lang w:val="en-US"/>
        </w:rPr>
        <w:t>ere rates of unbranded tobacco use are 18% higher in capital cities than the rest of the country and 44% higher in Melbourne and Sydney than the rest of the country.</w:t>
      </w:r>
      <w:r>
        <w:rPr>
          <w:lang w:val="en-US"/>
        </w:rPr>
        <w:t xml:space="preserve"> As such</w:t>
      </w:r>
      <w:r w:rsidRPr="008040A0">
        <w:rPr>
          <w:lang w:val="en-US"/>
        </w:rPr>
        <w:t xml:space="preserve">, </w:t>
      </w:r>
      <w:proofErr w:type="spellStart"/>
      <w:r w:rsidRPr="008040A0">
        <w:rPr>
          <w:lang w:val="en-US"/>
        </w:rPr>
        <w:t>Winstanley</w:t>
      </w:r>
      <w:proofErr w:type="spellEnd"/>
      <w:r w:rsidRPr="008040A0">
        <w:rPr>
          <w:lang w:val="en-US"/>
        </w:rPr>
        <w:t xml:space="preserve"> and Freeman (2012) argue that </w:t>
      </w:r>
      <w:r w:rsidRPr="008040A0">
        <w:rPr>
          <w:lang w:val="en-GB"/>
        </w:rPr>
        <w:t>the</w:t>
      </w:r>
      <w:r w:rsidRPr="008040A0">
        <w:rPr>
          <w:lang w:val="en-US"/>
        </w:rPr>
        <w:t xml:space="preserve"> estimate of 4.9%, from the N</w:t>
      </w:r>
      <w:r>
        <w:rPr>
          <w:lang w:val="en-US"/>
        </w:rPr>
        <w:t>DSHS</w:t>
      </w:r>
      <w:r w:rsidRPr="008040A0">
        <w:rPr>
          <w:lang w:val="en-US"/>
        </w:rPr>
        <w:t xml:space="preserve"> in 2010, with a sample size of more than 26,000</w:t>
      </w:r>
      <w:r w:rsidR="00A53FB8">
        <w:rPr>
          <w:lang w:val="en-US"/>
        </w:rPr>
        <w:t xml:space="preserve"> (and applying sample weights to be representative at a national level)</w:t>
      </w:r>
      <w:r w:rsidRPr="008040A0">
        <w:rPr>
          <w:lang w:val="en-US"/>
        </w:rPr>
        <w:t>, provides a</w:t>
      </w:r>
      <w:r>
        <w:rPr>
          <w:lang w:val="en-US"/>
        </w:rPr>
        <w:t xml:space="preserve"> much</w:t>
      </w:r>
      <w:r w:rsidRPr="008040A0">
        <w:rPr>
          <w:lang w:val="en-US"/>
        </w:rPr>
        <w:t xml:space="preserve"> more reliable estimate</w:t>
      </w:r>
      <w:r>
        <w:rPr>
          <w:lang w:val="en-US"/>
        </w:rPr>
        <w:t xml:space="preserve"> than the 15.9% provided in the </w:t>
      </w:r>
      <w:r w:rsidR="00EF04D6">
        <w:rPr>
          <w:lang w:val="en-US"/>
        </w:rPr>
        <w:t xml:space="preserve">Deloitte </w:t>
      </w:r>
      <w:r>
        <w:rPr>
          <w:lang w:val="en-US"/>
        </w:rPr>
        <w:t>report</w:t>
      </w:r>
      <w:r w:rsidRPr="008040A0">
        <w:rPr>
          <w:lang w:val="en-US"/>
        </w:rPr>
        <w:t xml:space="preserve"> </w:t>
      </w:r>
      <w:r w:rsidR="00A05B75" w:rsidRPr="00D44C8D">
        <w:rPr>
          <w:lang w:val="en-US"/>
        </w:rPr>
        <w:fldChar w:fldCharType="begin"/>
      </w:r>
      <w:r w:rsidR="00B1645A">
        <w:rPr>
          <w:lang w:val="en-US"/>
        </w:rPr>
        <w:instrText xml:space="preserve"> ADDIN EN.CITE &lt;EndNote&gt;&lt;Cite&gt;&lt;Author&gt;Winstanley&lt;/Author&gt;&lt;Year&gt;2012&lt;/Year&gt;&lt;RecNum&gt;46&lt;/RecNum&gt;&lt;DisplayText&gt;(Winstanley &amp;amp; Freeman, 2012)&lt;/DisplayText&gt;&lt;record&gt;&lt;rec-number&gt;46&lt;/rec-number&gt;&lt;foreign-keys&gt;&lt;key app="EN" db-id="edfppa0tc0tfd1etp5xvexpnzfefzewwwas9" timestamp="1441592648"&gt;46&lt;/key&gt;&lt;/foreign-keys&gt;&lt;ref-type name="Book Section"&gt;5&lt;/ref-type&gt;&lt;contributors&gt;&lt;authors&gt;&lt;author&gt;Winstanley, M. H.&lt;/author&gt;&lt;author&gt;Freeman, Becky&lt;/author&gt;&lt;/authors&gt;&lt;secondary-authors&gt;&lt;author&gt;Scollo, Michelle&lt;/author&gt;&lt;author&gt;Winstanley, M. H.&lt;/author&gt;&lt;/secondary-authors&gt;&lt;/contributors&gt;&lt;titles&gt;&lt;title&gt;The tobacco industry in Australian society&lt;/title&gt;&lt;secondary-title&gt;Tobacco in Australia: Facts and issues 4th ed.&lt;/secondary-title&gt;&lt;/titles&gt;&lt;dates&gt;&lt;year&gt;2012&lt;/year&gt;&lt;/dates&gt;&lt;pub-location&gt;Melbourne&lt;/pub-location&gt;&lt;publisher&gt;Cancer Council Victoria&lt;/publisher&gt;&lt;urls&gt;&lt;related-urls&gt;&lt;url&gt;http://www.tobaccoinaustralia.org.au/&lt;/url&gt;&lt;/related-urls&gt;&lt;/urls&gt;&lt;/record&gt;&lt;/Cite&gt;&lt;/EndNote&gt;</w:instrText>
      </w:r>
      <w:r w:rsidR="00A05B75" w:rsidRPr="00D44C8D">
        <w:rPr>
          <w:lang w:val="en-US"/>
        </w:rPr>
        <w:fldChar w:fldCharType="separate"/>
      </w:r>
      <w:r w:rsidR="00B1645A">
        <w:rPr>
          <w:noProof/>
          <w:lang w:val="en-US"/>
        </w:rPr>
        <w:t>(</w:t>
      </w:r>
      <w:hyperlink w:anchor="_ENREF_70" w:tooltip="Winstanley, 2012 #46" w:history="1">
        <w:r w:rsidR="008A14C8">
          <w:rPr>
            <w:noProof/>
            <w:lang w:val="en-US"/>
          </w:rPr>
          <w:t>Winstanley &amp; Freeman, 2012</w:t>
        </w:r>
      </w:hyperlink>
      <w:r w:rsidR="00B1645A">
        <w:rPr>
          <w:noProof/>
          <w:lang w:val="en-US"/>
        </w:rPr>
        <w:t>)</w:t>
      </w:r>
      <w:r w:rsidR="00A05B75" w:rsidRPr="00D44C8D">
        <w:rPr>
          <w:lang w:val="en-US"/>
        </w:rPr>
        <w:fldChar w:fldCharType="end"/>
      </w:r>
      <w:r w:rsidR="003C6068">
        <w:rPr>
          <w:lang w:val="en-US"/>
        </w:rPr>
        <w:t>.</w:t>
      </w:r>
      <w:r>
        <w:rPr>
          <w:lang w:val="en-US"/>
        </w:rPr>
        <w:t xml:space="preserve"> However, it must be highlighted that the 2010 NDSH</w:t>
      </w:r>
      <w:r w:rsidRPr="008040A0">
        <w:rPr>
          <w:lang w:val="en-US"/>
        </w:rPr>
        <w:t xml:space="preserve">S </w:t>
      </w:r>
      <w:r w:rsidRPr="00D44C8D">
        <w:rPr>
          <w:lang w:val="en-US"/>
        </w:rPr>
        <w:t>questions relating to unbranded loose tobacco were modified in 2010 and only asked respondents about awareness and use of unbranded loose tobacco, whereas in 2007 respondents were asked about awareness and use of unbranded loose tobacco and unbranded cigarettes</w:t>
      </w:r>
      <w:r w:rsidR="003C6068">
        <w:rPr>
          <w:lang w:val="en-US"/>
        </w:rPr>
        <w:t xml:space="preserve"> </w:t>
      </w:r>
      <w:r w:rsidR="00A05B75" w:rsidRPr="00D44C8D">
        <w:rPr>
          <w:lang w:val="en-US"/>
        </w:rPr>
        <w:fldChar w:fldCharType="begin"/>
      </w:r>
      <w:r w:rsidR="00B1645A">
        <w:rPr>
          <w:lang w:val="en-US"/>
        </w:rPr>
        <w:instrText xml:space="preserve"> ADDIN EN.CITE &lt;EndNote&gt;&lt;Cite&gt;&lt;Author&gt;Australian Institute of Health and Welfare&lt;/Author&gt;&lt;Year&gt;2014&lt;/Year&gt;&lt;RecNum&gt;5&lt;/RecNum&gt;&lt;DisplayText&gt;(Australian Institute of Health and Welfare, 2014)&lt;/DisplayText&gt;&lt;record&gt;&lt;rec-number&gt;5&lt;/rec-number&gt;&lt;foreign-keys&gt;&lt;key app="EN" db-id="edfppa0tc0tfd1etp5xvexpnzfefzewwwas9" timestamp="1441592648"&gt;5&lt;/key&gt;&lt;/foreign-keys&gt;&lt;ref-type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no.28 Cat. no. PHE 183&lt;/secondary-title&gt;&lt;/titles&gt;&lt;volume&gt;Drug statistics series no.28 Cat. no. PHE 183&lt;/volume&gt;&lt;dates&gt;&lt;year&gt;2014&lt;/year&gt;&lt;/dates&gt;&lt;pub-location&gt;Canberra&lt;/pub-location&gt;&lt;publisher&gt;AIHW&lt;/publisher&gt;&lt;urls&gt;&lt;/urls&gt;&lt;/record&gt;&lt;/Cite&gt;&lt;/EndNote&gt;</w:instrText>
      </w:r>
      <w:r w:rsidR="00A05B75" w:rsidRPr="00D44C8D">
        <w:rPr>
          <w:lang w:val="en-US"/>
        </w:rPr>
        <w:fldChar w:fldCharType="separate"/>
      </w:r>
      <w:r w:rsidR="00B1645A">
        <w:rPr>
          <w:noProof/>
          <w:lang w:val="en-US"/>
        </w:rPr>
        <w:t>(</w:t>
      </w:r>
      <w:hyperlink w:anchor="_ENREF_7" w:tooltip="Australian Institute of Health and Welfare, 2014 #5" w:history="1">
        <w:r w:rsidR="008A14C8">
          <w:rPr>
            <w:noProof/>
            <w:lang w:val="en-US"/>
          </w:rPr>
          <w:t>Australian Institute of Health and Welfare, 2014</w:t>
        </w:r>
      </w:hyperlink>
      <w:r w:rsidR="00B1645A">
        <w:rPr>
          <w:noProof/>
          <w:lang w:val="en-US"/>
        </w:rPr>
        <w:t>)</w:t>
      </w:r>
      <w:r w:rsidR="00A05B75" w:rsidRPr="00D44C8D">
        <w:rPr>
          <w:lang w:val="en-US"/>
        </w:rPr>
        <w:fldChar w:fldCharType="end"/>
      </w:r>
      <w:r w:rsidRPr="00D44C8D">
        <w:rPr>
          <w:lang w:val="en-US"/>
        </w:rPr>
        <w:t>.</w:t>
      </w:r>
    </w:p>
    <w:p w14:paraId="1BB7CBF3" w14:textId="77777777" w:rsidR="001643F1" w:rsidRDefault="00FF5F26" w:rsidP="00C45985">
      <w:pPr>
        <w:spacing w:before="80" w:after="0"/>
        <w:rPr>
          <w:lang w:val="en-GB"/>
        </w:rPr>
      </w:pPr>
      <w:r w:rsidRPr="008040A0">
        <w:rPr>
          <w:lang w:val="en-GB"/>
        </w:rPr>
        <w:t xml:space="preserve">A </w:t>
      </w:r>
      <w:r>
        <w:rPr>
          <w:lang w:val="en-GB"/>
        </w:rPr>
        <w:t xml:space="preserve">series of </w:t>
      </w:r>
      <w:r w:rsidRPr="008040A0">
        <w:rPr>
          <w:lang w:val="en-GB"/>
        </w:rPr>
        <w:t>report</w:t>
      </w:r>
      <w:r>
        <w:rPr>
          <w:lang w:val="en-GB"/>
        </w:rPr>
        <w:t>s</w:t>
      </w:r>
      <w:r w:rsidRPr="008040A0">
        <w:rPr>
          <w:lang w:val="en-GB"/>
        </w:rPr>
        <w:t xml:space="preserve"> by KPMG </w:t>
      </w:r>
      <w:r>
        <w:rPr>
          <w:lang w:val="en-GB"/>
        </w:rPr>
        <w:t xml:space="preserve">commissioned by </w:t>
      </w:r>
      <w:r w:rsidRPr="008040A0">
        <w:rPr>
          <w:lang w:val="en-GB"/>
        </w:rPr>
        <w:t xml:space="preserve">the three </w:t>
      </w:r>
      <w:r>
        <w:rPr>
          <w:lang w:val="en-GB"/>
        </w:rPr>
        <w:t xml:space="preserve">major </w:t>
      </w:r>
      <w:r w:rsidRPr="008040A0">
        <w:rPr>
          <w:lang w:val="en-GB"/>
        </w:rPr>
        <w:t xml:space="preserve">Australian tobacco companies </w:t>
      </w:r>
      <w:r>
        <w:rPr>
          <w:lang w:val="en-GB"/>
        </w:rPr>
        <w:t xml:space="preserve">estimated </w:t>
      </w:r>
      <w:r w:rsidRPr="008040A0">
        <w:rPr>
          <w:lang w:val="en-GB"/>
        </w:rPr>
        <w:t xml:space="preserve">that the consumption of illicit tobacco in Australia </w:t>
      </w:r>
      <w:r>
        <w:rPr>
          <w:lang w:val="en-GB"/>
        </w:rPr>
        <w:t xml:space="preserve">as a proportion of total consumption </w:t>
      </w:r>
      <w:r w:rsidRPr="008040A0">
        <w:rPr>
          <w:lang w:val="en-GB"/>
        </w:rPr>
        <w:t>had increased from 11.</w:t>
      </w:r>
      <w:r>
        <w:rPr>
          <w:lang w:val="en-GB"/>
        </w:rPr>
        <w:t>5%</w:t>
      </w:r>
      <w:r w:rsidR="00AC7056">
        <w:rPr>
          <w:lang w:val="en-GB"/>
        </w:rPr>
        <w:t xml:space="preserve"> </w:t>
      </w:r>
      <w:r w:rsidRPr="008040A0">
        <w:rPr>
          <w:lang w:val="en-GB"/>
        </w:rPr>
        <w:t>in 2012 to 13.</w:t>
      </w:r>
      <w:r>
        <w:rPr>
          <w:lang w:val="en-GB"/>
        </w:rPr>
        <w:t>5%</w:t>
      </w:r>
      <w:r w:rsidRPr="008040A0">
        <w:rPr>
          <w:lang w:val="en-GB"/>
        </w:rPr>
        <w:t xml:space="preserve"> in 2013</w:t>
      </w:r>
      <w:r>
        <w:rPr>
          <w:lang w:val="en-GB"/>
        </w:rPr>
        <w:t>, to 14.3% in June 2014</w:t>
      </w:r>
      <w:r w:rsidRPr="008040A0">
        <w:rPr>
          <w:lang w:val="en-GB"/>
        </w:rPr>
        <w:t xml:space="preserve"> </w:t>
      </w:r>
      <w:r>
        <w:rPr>
          <w:lang w:val="en-GB"/>
        </w:rPr>
        <w:t>and 14.5% in December 2014</w:t>
      </w:r>
      <w:r w:rsidR="003C6068">
        <w:rPr>
          <w:lang w:val="en-GB"/>
        </w:rPr>
        <w:t xml:space="preserve"> </w:t>
      </w:r>
      <w:r w:rsidR="00A05B75">
        <w:rPr>
          <w:lang w:val="en-GB"/>
        </w:rPr>
        <w:fldChar w:fldCharType="begin">
          <w:fldData xml:space="preserve">PEVuZE5vdGU+PENpdGU+PEF1dGhvcj5LUE1HPC9BdXRob3I+PFllYXI+MjAxMzwvWWVhcj48UmVj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</w:fldData>
        </w:fldChar>
      </w:r>
      <w:r w:rsidR="00B1645A">
        <w:rPr>
          <w:lang w:val="en-GB"/>
        </w:rPr>
        <w:instrText xml:space="preserve"> ADDIN EN.CITE </w:instrText>
      </w:r>
      <w:r w:rsidR="00B1645A">
        <w:rPr>
          <w:lang w:val="en-GB"/>
        </w:rPr>
        <w:fldChar w:fldCharType="begin">
          <w:fldData xml:space="preserve">PEVuZE5vdGU+PENpdGU+PEF1dGhvcj5LUE1HPC9BdXRob3I+PFllYXI+MjAxMzwvWWVhcj48UmVj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</w:fldData>
        </w:fldChar>
      </w:r>
      <w:r w:rsidR="00B1645A">
        <w:rPr>
          <w:lang w:val="en-GB"/>
        </w:rPr>
        <w:instrText xml:space="preserve"> ADDIN EN.CITE.DATA </w:instrText>
      </w:r>
      <w:r w:rsidR="00B1645A">
        <w:rPr>
          <w:lang w:val="en-GB"/>
        </w:rPr>
      </w:r>
      <w:r w:rsidR="00B1645A">
        <w:rPr>
          <w:lang w:val="en-GB"/>
        </w:rPr>
        <w:fldChar w:fldCharType="end"/>
      </w:r>
      <w:r w:rsidR="00A05B75">
        <w:rPr>
          <w:lang w:val="en-GB"/>
        </w:rPr>
      </w:r>
      <w:r w:rsidR="00A05B75">
        <w:rPr>
          <w:lang w:val="en-GB"/>
        </w:rPr>
        <w:fldChar w:fldCharType="separate"/>
      </w:r>
      <w:r w:rsidR="00B1645A">
        <w:rPr>
          <w:noProof/>
          <w:lang w:val="en-GB"/>
        </w:rPr>
        <w:t>(</w:t>
      </w:r>
      <w:hyperlink w:anchor="_ENREF_41" w:tooltip="KPMG, 2013 #69" w:history="1">
        <w:r w:rsidR="008A14C8">
          <w:rPr>
            <w:noProof/>
            <w:lang w:val="en-GB"/>
          </w:rPr>
          <w:t>KPMG, 2013</w:t>
        </w:r>
      </w:hyperlink>
      <w:r w:rsidR="00B1645A">
        <w:rPr>
          <w:noProof/>
          <w:lang w:val="en-GB"/>
        </w:rPr>
        <w:t xml:space="preserve">, </w:t>
      </w:r>
      <w:hyperlink w:anchor="_ENREF_42" w:tooltip="KPMG, 2014 #70" w:history="1">
        <w:r w:rsidR="008A14C8">
          <w:rPr>
            <w:noProof/>
            <w:lang w:val="en-GB"/>
          </w:rPr>
          <w:t>2014a</w:t>
        </w:r>
      </w:hyperlink>
      <w:r w:rsidR="00B1645A">
        <w:rPr>
          <w:noProof/>
          <w:lang w:val="en-GB"/>
        </w:rPr>
        <w:t xml:space="preserve">, </w:t>
      </w:r>
      <w:hyperlink w:anchor="_ENREF_43" w:tooltip="KPMG, 2014 #71" w:history="1">
        <w:r w:rsidR="008A14C8">
          <w:rPr>
            <w:noProof/>
            <w:lang w:val="en-GB"/>
          </w:rPr>
          <w:t>2014b</w:t>
        </w:r>
      </w:hyperlink>
      <w:r w:rsidR="00B1645A">
        <w:rPr>
          <w:noProof/>
          <w:lang w:val="en-GB"/>
        </w:rPr>
        <w:t xml:space="preserve">, </w:t>
      </w:r>
      <w:hyperlink w:anchor="_ENREF_44" w:tooltip="KPMG, 2015 #72" w:history="1">
        <w:r w:rsidR="008A14C8">
          <w:rPr>
            <w:noProof/>
            <w:lang w:val="en-GB"/>
          </w:rPr>
          <w:t>2015</w:t>
        </w:r>
      </w:hyperlink>
      <w:r w:rsidR="00B1645A">
        <w:rPr>
          <w:noProof/>
          <w:lang w:val="en-GB"/>
        </w:rPr>
        <w:t>)</w:t>
      </w:r>
      <w:r w:rsidR="00A05B75">
        <w:rPr>
          <w:lang w:val="en-GB"/>
        </w:rPr>
        <w:fldChar w:fldCharType="end"/>
      </w:r>
      <w:r w:rsidRPr="008040A0">
        <w:rPr>
          <w:lang w:val="en-GB"/>
        </w:rPr>
        <w:t xml:space="preserve">. </w:t>
      </w:r>
      <w:r w:rsidR="001643F1">
        <w:rPr>
          <w:lang w:val="en-GB"/>
        </w:rPr>
        <w:t xml:space="preserve">However, it is not possible to rely on the estimates provided within the KPMG report owing to the express wishes and disclaimer issued by the authors of the reports. Specifically, each report within the KPMG series includes the following (or similar) disclaimer: </w:t>
      </w:r>
      <w:r w:rsidR="001643F1" w:rsidRPr="0097090C">
        <w:rPr>
          <w:rStyle w:val="Emphasis"/>
        </w:rPr>
        <w:t xml:space="preserve">“… </w:t>
      </w:r>
      <w:r w:rsidR="001643F1" w:rsidRPr="0097090C">
        <w:rPr>
          <w:rStyle w:val="Emphasis"/>
          <w:rFonts w:eastAsiaTheme="minorHAnsi"/>
        </w:rPr>
        <w:t>KPMG LLP’s work for the Addressees was performed to meet specific terms of reference agreed between the Addressees and KPMG LLP and that there were particular features determined for the purposes of the engagement.</w:t>
      </w:r>
      <w:r w:rsidR="001643F1" w:rsidRPr="0097090C">
        <w:rPr>
          <w:rStyle w:val="Emphasis"/>
        </w:rPr>
        <w:t xml:space="preserve"> </w:t>
      </w:r>
      <w:r w:rsidR="001643F1" w:rsidRPr="0097090C">
        <w:rPr>
          <w:rStyle w:val="Emphasis"/>
          <w:rFonts w:eastAsiaTheme="minorHAnsi"/>
        </w:rPr>
        <w:t>The report should not therefore be regarded as suitable to be used or relied on by any other person or for any other purpose. The Report is issued to all parties on the basis that it is for information only.”</w:t>
      </w:r>
      <w:r w:rsidR="00AC7056">
        <w:rPr>
          <w:rFonts w:eastAsiaTheme="minorHAnsi"/>
          <w:i/>
          <w:lang w:val="en-GB"/>
        </w:rPr>
        <w:t xml:space="preserve"> </w:t>
      </w:r>
      <w:r w:rsidR="00EF04D6" w:rsidRPr="00BD6488">
        <w:rPr>
          <w:rFonts w:eastAsiaTheme="minorHAnsi"/>
          <w:lang w:val="en-GB"/>
        </w:rPr>
        <w:t>(</w:t>
      </w:r>
      <w:r w:rsidR="001643F1">
        <w:rPr>
          <w:rFonts w:eastAsiaTheme="minorHAnsi"/>
          <w:lang w:val="en-GB"/>
        </w:rPr>
        <w:t>p</w:t>
      </w:r>
      <w:r w:rsidR="00EF04D6">
        <w:rPr>
          <w:rFonts w:eastAsiaTheme="minorHAnsi"/>
          <w:lang w:val="en-GB"/>
        </w:rPr>
        <w:t>.</w:t>
      </w:r>
      <w:r w:rsidR="001643F1">
        <w:rPr>
          <w:rFonts w:eastAsiaTheme="minorHAnsi"/>
          <w:lang w:val="en-GB"/>
        </w:rPr>
        <w:t>1</w:t>
      </w:r>
      <w:r w:rsidR="00EF04D6">
        <w:rPr>
          <w:rFonts w:eastAsiaTheme="minorHAnsi"/>
          <w:lang w:val="en-GB"/>
        </w:rPr>
        <w:t xml:space="preserve">) </w:t>
      </w:r>
      <w:r w:rsidR="00A05B75">
        <w:rPr>
          <w:rFonts w:eastAsiaTheme="minorHAnsi"/>
          <w:lang w:val="en-GB"/>
        </w:rPr>
        <w:fldChar w:fldCharType="begin"/>
      </w:r>
      <w:r w:rsidR="00B1645A">
        <w:rPr>
          <w:rFonts w:eastAsiaTheme="minorHAnsi"/>
          <w:lang w:val="en-GB"/>
        </w:rPr>
        <w:instrText xml:space="preserve"> ADDIN EN.CITE &lt;EndNote&gt;&lt;Cite&gt;&lt;Author&gt;KPMG&lt;/Author&gt;&lt;Year&gt;2013&lt;/Year&gt;&lt;RecNum&gt;69&lt;/RecNum&gt;&lt;DisplayText&gt;(KPMG, 2013)&lt;/DisplayText&gt;&lt;record&gt;&lt;rec-number&gt;69&lt;/rec-number&gt;&lt;foreign-keys&gt;&lt;key app="EN" db-id="edfppa0tc0tfd1etp5xvexpnzfefzewwwas9" timestamp="1441592649"&gt;69&lt;/key&gt;&lt;/foreign-keys&gt;&lt;ref-type name="Report"&gt;27&lt;/ref-type&gt;&lt;contributors&gt;&lt;authors&gt;&lt;author&gt;KPMG&lt;/author&gt;&lt;/authors&gt;&lt;/contributors&gt;&lt;titles&gt;&lt;title&gt;Illicit tobacco in Australia. 2013 Half Year Report&lt;/title&gt;&lt;/titles&gt;&lt;dates&gt;&lt;year&gt;2013&lt;/year&gt;&lt;/dates&gt;&lt;pub-location&gt;http://www.bata.com.au/group/sites/BAT_7WYKG8.nsf/vwPagesWebLive/DO9879X3?opendocument&amp;amp;SKN=1&lt;/pub-location&gt;&lt;urls&gt;&lt;/urls&gt;&lt;/record&gt;&lt;/Cite&gt;&lt;/EndNote&gt;</w:instrText>
      </w:r>
      <w:r w:rsidR="00A05B75">
        <w:rPr>
          <w:rFonts w:eastAsiaTheme="minorHAnsi"/>
          <w:lang w:val="en-GB"/>
        </w:rPr>
        <w:fldChar w:fldCharType="separate"/>
      </w:r>
      <w:r w:rsidR="00B1645A">
        <w:rPr>
          <w:rFonts w:eastAsiaTheme="minorHAnsi"/>
          <w:noProof/>
          <w:lang w:val="en-GB"/>
        </w:rPr>
        <w:t>(</w:t>
      </w:r>
      <w:hyperlink w:anchor="_ENREF_41" w:tooltip="KPMG, 2013 #69" w:history="1">
        <w:r w:rsidR="008A14C8">
          <w:rPr>
            <w:rFonts w:eastAsiaTheme="minorHAnsi"/>
            <w:noProof/>
            <w:lang w:val="en-GB"/>
          </w:rPr>
          <w:t>KPMG, 2013</w:t>
        </w:r>
      </w:hyperlink>
      <w:r w:rsidR="00B1645A">
        <w:rPr>
          <w:rFonts w:eastAsiaTheme="minorHAnsi"/>
          <w:noProof/>
          <w:lang w:val="en-GB"/>
        </w:rPr>
        <w:t>)</w:t>
      </w:r>
      <w:r w:rsidR="00A05B75">
        <w:rPr>
          <w:rFonts w:eastAsiaTheme="minorHAnsi"/>
          <w:lang w:val="en-GB"/>
        </w:rPr>
        <w:fldChar w:fldCharType="end"/>
      </w:r>
    </w:p>
    <w:p w14:paraId="3284C6DE" w14:textId="77777777" w:rsidR="00B70A1D" w:rsidRDefault="00FF5F26" w:rsidP="000B332F">
      <w:pPr>
        <w:rPr>
          <w:rFonts w:eastAsiaTheme="minorHAnsi"/>
          <w:lang w:val="en-GB"/>
        </w:rPr>
      </w:pPr>
      <w:r w:rsidRPr="008040A0">
        <w:rPr>
          <w:lang w:val="en-GB"/>
        </w:rPr>
        <w:lastRenderedPageBreak/>
        <w:t xml:space="preserve">The KPMG </w:t>
      </w:r>
      <w:r w:rsidR="007E71C6">
        <w:rPr>
          <w:lang w:val="en-GB"/>
        </w:rPr>
        <w:t xml:space="preserve">series of reports have been criticised on the grounds that the consumer surveys and empty pack survey are not representative, </w:t>
      </w:r>
      <w:r w:rsidR="00EF04D6">
        <w:rPr>
          <w:lang w:val="en-GB"/>
        </w:rPr>
        <w:t xml:space="preserve">have </w:t>
      </w:r>
      <w:r w:rsidR="007E71C6">
        <w:rPr>
          <w:lang w:val="en-GB"/>
        </w:rPr>
        <w:t xml:space="preserve">potential </w:t>
      </w:r>
      <w:r w:rsidR="001643F1">
        <w:rPr>
          <w:lang w:val="en-GB"/>
        </w:rPr>
        <w:t xml:space="preserve">for </w:t>
      </w:r>
      <w:r w:rsidR="007E71C6">
        <w:rPr>
          <w:lang w:val="en-GB"/>
        </w:rPr>
        <w:t xml:space="preserve">underestimation of the legal purchase of foreign cigarettes </w:t>
      </w:r>
      <w:r w:rsidR="001643F1">
        <w:rPr>
          <w:lang w:val="en-GB"/>
        </w:rPr>
        <w:t xml:space="preserve">within </w:t>
      </w:r>
      <w:r w:rsidR="007E71C6">
        <w:rPr>
          <w:lang w:val="en-GB"/>
        </w:rPr>
        <w:t>the online survey, overestimated the amount of tobacco used in roll-your-own cigarettes and underestimated the quantity of rolling papers used for cannabis use</w:t>
      </w:r>
      <w:r w:rsidR="00A0043A">
        <w:rPr>
          <w:lang w:val="en-GB"/>
        </w:rPr>
        <w:t xml:space="preserve"> as well as potential inconsistencies in study methodologies, sampling frame and study protocols over the report series</w:t>
      </w:r>
      <w:r w:rsidR="007E71C6">
        <w:rPr>
          <w:lang w:val="en-GB"/>
        </w:rPr>
        <w:t xml:space="preserve">. </w:t>
      </w:r>
      <w:r w:rsidR="001643F1">
        <w:rPr>
          <w:lang w:val="en-GB"/>
        </w:rPr>
        <w:t>In addition, t</w:t>
      </w:r>
      <w:r w:rsidR="002536DC">
        <w:rPr>
          <w:bCs/>
          <w:lang w:val="en-GB"/>
        </w:rPr>
        <w:t xml:space="preserve">he estimates of illicit tobacco contained in the KPMG report are inconsistent with </w:t>
      </w:r>
      <w:r w:rsidR="003C6068">
        <w:rPr>
          <w:bCs/>
          <w:lang w:val="en-GB"/>
        </w:rPr>
        <w:t xml:space="preserve">estimates from </w:t>
      </w:r>
      <w:r w:rsidR="002536DC">
        <w:rPr>
          <w:bCs/>
          <w:lang w:val="en-GB"/>
        </w:rPr>
        <w:t xml:space="preserve">the </w:t>
      </w:r>
      <w:r w:rsidR="003C6068">
        <w:rPr>
          <w:bCs/>
          <w:lang w:val="en-GB"/>
        </w:rPr>
        <w:t xml:space="preserve">NDSHS </w:t>
      </w:r>
      <w:r w:rsidR="00A05B75">
        <w:rPr>
          <w:bCs/>
          <w:lang w:val="en-GB"/>
        </w:rPr>
        <w:fldChar w:fldCharType="begin"/>
      </w:r>
      <w:r w:rsidR="00B1645A">
        <w:rPr>
          <w:bCs/>
          <w:lang w:val="en-GB"/>
        </w:rPr>
        <w:instrText xml:space="preserve"> ADDIN EN.CITE &lt;EndNote&gt;&lt;Cite&gt;&lt;Author&gt;Australian Institute of Health and Welfare&lt;/Author&gt;&lt;Year&gt;2014&lt;/Year&gt;&lt;RecNum&gt;5&lt;/RecNum&gt;&lt;DisplayText&gt;(Australian Institute of Health and Welfare, 2014)&lt;/DisplayText&gt;&lt;record&gt;&lt;rec-number&gt;5&lt;/rec-number&gt;&lt;foreign-keys&gt;&lt;key app="EN" db-id="edfppa0tc0tfd1etp5xvexpnzfefzewwwas9" timestamp="1441592648"&gt;5&lt;/key&gt;&lt;/foreign-keys&gt;&lt;ref-type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no.28 Cat. no. PHE 183&lt;/secondary-title&gt;&lt;/titles&gt;&lt;volume&gt;Drug statistics series no.28 Cat. no. PHE 183&lt;/volume&gt;&lt;dates&gt;&lt;year&gt;2014&lt;/year&gt;&lt;/dates&gt;&lt;pub-location&gt;Canberra&lt;/pub-location&gt;&lt;publisher&gt;AIHW&lt;/publisher&gt;&lt;urls&gt;&lt;/urls&gt;&lt;/record&gt;&lt;/Cite&gt;&lt;/EndNote&gt;</w:instrText>
      </w:r>
      <w:r w:rsidR="00A05B75">
        <w:rPr>
          <w:bCs/>
          <w:lang w:val="en-GB"/>
        </w:rPr>
        <w:fldChar w:fldCharType="separate"/>
      </w:r>
      <w:r w:rsidR="00B1645A">
        <w:rPr>
          <w:bCs/>
          <w:noProof/>
          <w:lang w:val="en-GB"/>
        </w:rPr>
        <w:t>(</w:t>
      </w:r>
      <w:hyperlink w:anchor="_ENREF_7" w:tooltip="Australian Institute of Health and Welfare, 2014 #5" w:history="1">
        <w:r w:rsidR="008A14C8">
          <w:rPr>
            <w:bCs/>
            <w:noProof/>
            <w:lang w:val="en-GB"/>
          </w:rPr>
          <w:t>Australian Institute of Health and Welfare, 2014</w:t>
        </w:r>
      </w:hyperlink>
      <w:r w:rsidR="00B1645A">
        <w:rPr>
          <w:bCs/>
          <w:noProof/>
          <w:lang w:val="en-GB"/>
        </w:rPr>
        <w:t>)</w:t>
      </w:r>
      <w:r w:rsidR="00A05B75">
        <w:rPr>
          <w:bCs/>
          <w:lang w:val="en-GB"/>
        </w:rPr>
        <w:fldChar w:fldCharType="end"/>
      </w:r>
      <w:r w:rsidR="002536DC">
        <w:rPr>
          <w:bCs/>
          <w:lang w:val="en-GB"/>
        </w:rPr>
        <w:t>.</w:t>
      </w:r>
      <w:r w:rsidR="002536DC">
        <w:rPr>
          <w:lang w:val="en-GB"/>
        </w:rPr>
        <w:t xml:space="preserve"> The </w:t>
      </w:r>
      <w:r w:rsidR="002536DC" w:rsidRPr="008040A0">
        <w:rPr>
          <w:lang w:val="en-GB"/>
        </w:rPr>
        <w:t xml:space="preserve">2013 </w:t>
      </w:r>
      <w:r w:rsidR="002536DC">
        <w:rPr>
          <w:lang w:val="en-GB"/>
        </w:rPr>
        <w:t xml:space="preserve">NDSHS of more than 24,000 people </w:t>
      </w:r>
      <w:r w:rsidR="002536DC" w:rsidRPr="008040A0">
        <w:rPr>
          <w:lang w:val="en-GB"/>
        </w:rPr>
        <w:t>found</w:t>
      </w:r>
      <w:r w:rsidR="002536DC">
        <w:rPr>
          <w:lang w:val="en-GB"/>
        </w:rPr>
        <w:t xml:space="preserve"> that only</w:t>
      </w:r>
      <w:r w:rsidR="002536DC" w:rsidRPr="008040A0">
        <w:rPr>
          <w:lang w:val="en-GB"/>
        </w:rPr>
        <w:t xml:space="preserve"> 3.6% of those aged 14 years and over currently smoke unbranded tobacco (both unbranded loose tobacco and unbranded cigarettes). This is statistically significantly lower than the 2007 estimate of 6.1% for both unbranded loose tob</w:t>
      </w:r>
      <w:r w:rsidR="002536DC">
        <w:rPr>
          <w:lang w:val="en-GB"/>
        </w:rPr>
        <w:t>acco and unbranded cigarettes.</w:t>
      </w:r>
      <w:r w:rsidR="00B70A1D">
        <w:rPr>
          <w:lang w:val="en-GB"/>
        </w:rPr>
        <w:t xml:space="preserve"> </w:t>
      </w:r>
    </w:p>
    <w:p w14:paraId="2ACE0BE4" w14:textId="77777777" w:rsidR="005D03E9" w:rsidRDefault="005D03E9" w:rsidP="000B332F">
      <w:pPr>
        <w:rPr>
          <w:bCs/>
          <w:lang w:val="en-GB"/>
        </w:rPr>
      </w:pPr>
      <w:r>
        <w:rPr>
          <w:bCs/>
          <w:lang w:val="en-GB"/>
        </w:rPr>
        <w:t xml:space="preserve">Estimates of illicit trade in cigarettes are provided in a report conducted by </w:t>
      </w:r>
      <w:proofErr w:type="spellStart"/>
      <w:r>
        <w:rPr>
          <w:bCs/>
          <w:lang w:val="en-GB"/>
        </w:rPr>
        <w:t>Euromonitor</w:t>
      </w:r>
      <w:proofErr w:type="spellEnd"/>
      <w:r w:rsidR="003C6068">
        <w:rPr>
          <w:bCs/>
          <w:lang w:val="en-GB"/>
        </w:rPr>
        <w:t xml:space="preserve"> </w:t>
      </w:r>
      <w:r w:rsidR="00A05B75">
        <w:rPr>
          <w:bCs/>
          <w:lang w:val="en-GB"/>
        </w:rPr>
        <w:fldChar w:fldCharType="begin"/>
      </w:r>
      <w:r w:rsidR="00C95CF3">
        <w:rPr>
          <w:bCs/>
          <w:lang w:val="en-GB"/>
        </w:rPr>
        <w:instrText xml:space="preserve"> ADDIN EN.CITE &lt;EndNote&gt;&lt;Cite&gt;&lt;Author&gt;Euromonitor International&lt;/Author&gt;&lt;Year&gt;2014&lt;/Year&gt;&lt;RecNum&gt;58&lt;/RecNum&gt;&lt;DisplayText&gt;(Euromonitor International, 2014)&lt;/DisplayText&gt;&lt;record&gt;&lt;rec-number&gt;58&lt;/rec-number&gt;&lt;foreign-keys&gt;&lt;key app="EN" db-id="edfppa0tc0tfd1etp5xvexpnzfefzewwwas9" timestamp="1441592648"&gt;58&lt;/key&gt;&lt;/foreign-keys&gt;&lt;ref-type name="Government Document"&gt;46&lt;/ref-type&gt;&lt;contributors&gt;&lt;authors&gt;&lt;author&gt;Euromonitor International,&lt;/author&gt;&lt;/authors&gt;&lt;/contributors&gt;&lt;titles&gt;&lt;title&gt;Tobacco in Australia&lt;/title&gt;&lt;/titles&gt;&lt;dates&gt;&lt;year&gt;2014&lt;/year&gt;&lt;/dates&gt;&lt;publisher&gt;Euromonitor International&lt;/publisher&gt;&lt;urls&gt;&lt;/urls&gt;&lt;/record&gt;&lt;/Cite&gt;&lt;/EndNote&gt;</w:instrText>
      </w:r>
      <w:r w:rsidR="00A05B75">
        <w:rPr>
          <w:bCs/>
          <w:lang w:val="en-GB"/>
        </w:rPr>
        <w:fldChar w:fldCharType="separate"/>
      </w:r>
      <w:r w:rsidR="00B1645A">
        <w:rPr>
          <w:bCs/>
          <w:noProof/>
          <w:lang w:val="en-GB"/>
        </w:rPr>
        <w:t>(</w:t>
      </w:r>
      <w:hyperlink w:anchor="_ENREF_28" w:tooltip="Euromonitor International, 2014 #58" w:history="1">
        <w:r w:rsidR="008A14C8">
          <w:rPr>
            <w:bCs/>
            <w:noProof/>
            <w:lang w:val="en-GB"/>
          </w:rPr>
          <w:t>Euromonitor International, 2014</w:t>
        </w:r>
      </w:hyperlink>
      <w:r w:rsidR="00B1645A">
        <w:rPr>
          <w:bCs/>
          <w:noProof/>
          <w:lang w:val="en-GB"/>
        </w:rPr>
        <w:t>)</w:t>
      </w:r>
      <w:r w:rsidR="00A05B75">
        <w:rPr>
          <w:bCs/>
          <w:lang w:val="en-GB"/>
        </w:rPr>
        <w:fldChar w:fldCharType="end"/>
      </w:r>
      <w:r>
        <w:rPr>
          <w:bCs/>
          <w:lang w:val="en-GB"/>
        </w:rPr>
        <w:t>. These estimates indicate annual increases in illicit trade by volume from 2009 to 2013. The report claims that a 9% increase in the illicit trade of cigarettes between 2012 and 2</w:t>
      </w:r>
      <w:r w:rsidR="00AC7056">
        <w:rPr>
          <w:bCs/>
          <w:lang w:val="en-GB"/>
        </w:rPr>
        <w:t>0</w:t>
      </w:r>
      <w:r>
        <w:rPr>
          <w:bCs/>
          <w:lang w:val="en-GB"/>
        </w:rPr>
        <w:t xml:space="preserve">13 is due to the introduction of </w:t>
      </w:r>
      <w:r w:rsidR="00826A4E">
        <w:rPr>
          <w:bCs/>
          <w:lang w:val="en-GB"/>
        </w:rPr>
        <w:t>tobacco plain packaging</w:t>
      </w:r>
      <w:r>
        <w:rPr>
          <w:bCs/>
          <w:lang w:val="en-GB"/>
        </w:rPr>
        <w:t>. However, the report also states that the main driver behind the increase in illicit trade volume of cigarettes over the review period was the high rate of taxation payable on cigarette products. The report does not provide the method or data sources with respect to their estimate of illicit trade of cigarettes.</w:t>
      </w:r>
    </w:p>
    <w:p w14:paraId="3DAAEA1E" w14:textId="77777777" w:rsidR="00DE495D" w:rsidRPr="008040A0" w:rsidRDefault="00B70A1D" w:rsidP="000B332F">
      <w:pPr>
        <w:rPr>
          <w:lang w:val="en-GB"/>
        </w:rPr>
      </w:pPr>
      <w:r>
        <w:rPr>
          <w:bCs/>
          <w:lang w:val="en-GB"/>
        </w:rPr>
        <w:t>In Australia a</w:t>
      </w:r>
      <w:r w:rsidR="00DE495D">
        <w:rPr>
          <w:bCs/>
          <w:lang w:val="en-GB"/>
        </w:rPr>
        <w:t xml:space="preserve"> number of peer-reviewed studies </w:t>
      </w:r>
      <w:r>
        <w:rPr>
          <w:bCs/>
          <w:lang w:val="en-GB"/>
        </w:rPr>
        <w:t xml:space="preserve">have attempted to measure changes in the illicit tobacco market over the time of introducing the TPP </w:t>
      </w:r>
      <w:r w:rsidR="00BE5D26">
        <w:rPr>
          <w:bCs/>
          <w:lang w:val="en-GB"/>
        </w:rPr>
        <w:t>measure</w:t>
      </w:r>
      <w:r w:rsidR="00DE495D">
        <w:rPr>
          <w:bCs/>
          <w:lang w:val="en-GB"/>
        </w:rPr>
        <w:t xml:space="preserve">. </w:t>
      </w:r>
      <w:proofErr w:type="spellStart"/>
      <w:r w:rsidR="00DE495D" w:rsidRPr="008040A0">
        <w:rPr>
          <w:bCs/>
          <w:lang w:val="en-GB"/>
        </w:rPr>
        <w:t>Scollo</w:t>
      </w:r>
      <w:proofErr w:type="spellEnd"/>
      <w:r w:rsidR="00DE495D" w:rsidRPr="008040A0">
        <w:rPr>
          <w:bCs/>
          <w:lang w:val="en-GB"/>
        </w:rPr>
        <w:t xml:space="preserve"> </w:t>
      </w:r>
      <w:r w:rsidR="00DE495D" w:rsidRPr="00AC7056">
        <w:rPr>
          <w:bCs/>
          <w:lang w:val="en-GB"/>
        </w:rPr>
        <w:t>et al</w:t>
      </w:r>
      <w:r w:rsidR="00BE5D26">
        <w:rPr>
          <w:bCs/>
          <w:lang w:val="en-GB"/>
        </w:rPr>
        <w:t>.</w:t>
      </w:r>
      <w:r w:rsidR="00DE495D" w:rsidRPr="008040A0">
        <w:rPr>
          <w:bCs/>
          <w:lang w:val="en-GB"/>
        </w:rPr>
        <w:t xml:space="preserve"> (2015)</w:t>
      </w:r>
      <w:r w:rsidR="00DE495D" w:rsidRPr="008040A0">
        <w:rPr>
          <w:lang w:val="en-GB"/>
        </w:rPr>
        <w:t xml:space="preserve"> assess</w:t>
      </w:r>
      <w:r w:rsidR="00257D25">
        <w:rPr>
          <w:lang w:val="en-GB"/>
        </w:rPr>
        <w:t>ed</w:t>
      </w:r>
      <w:r w:rsidR="00DE495D" w:rsidRPr="008040A0">
        <w:rPr>
          <w:lang w:val="en-GB"/>
        </w:rPr>
        <w:t xml:space="preserve"> </w:t>
      </w:r>
      <w:r w:rsidR="00257D25">
        <w:rPr>
          <w:lang w:val="en-GB"/>
        </w:rPr>
        <w:t xml:space="preserve">the </w:t>
      </w:r>
      <w:r w:rsidR="00DE495D" w:rsidRPr="008040A0">
        <w:rPr>
          <w:lang w:val="en-GB"/>
        </w:rPr>
        <w:t xml:space="preserve">change in the availability of illicit tobacco in small mixed business retail outlets following the introduction of </w:t>
      </w:r>
      <w:r>
        <w:rPr>
          <w:lang w:val="en-GB"/>
        </w:rPr>
        <w:t xml:space="preserve">the </w:t>
      </w:r>
      <w:r w:rsidR="00826A4E">
        <w:rPr>
          <w:lang w:val="en-GB"/>
        </w:rPr>
        <w:t>tobacco plain packaging</w:t>
      </w:r>
      <w:r>
        <w:rPr>
          <w:lang w:val="en-GB"/>
        </w:rPr>
        <w:t xml:space="preserve"> measure</w:t>
      </w:r>
      <w:r w:rsidR="003C6068">
        <w:rPr>
          <w:lang w:val="en-GB"/>
        </w:rPr>
        <w:t xml:space="preserve"> </w:t>
      </w:r>
      <w:r w:rsidR="00A05B75" w:rsidRPr="008040A0">
        <w:rPr>
          <w:lang w:val="en-GB"/>
        </w:rPr>
        <w:fldChar w:fldCharType="begin"/>
      </w:r>
      <w:r w:rsidR="00C95CF3">
        <w:rPr>
          <w:lang w:val="en-GB"/>
        </w:rPr>
        <w:instrText xml:space="preserve"> ADDIN EN.CITE &lt;EndNote&gt;&lt;Cite&gt;&lt;Author&gt;Scollo&lt;/Author&gt;&lt;Year&gt;2015a&lt;/Year&gt;&lt;RecNum&gt;73&lt;/RecNum&gt;&lt;DisplayText&gt;(Scollo, Zacher, Coomber, &amp;amp; Wakefield, 2015a)&lt;/DisplayText&gt;&lt;record&gt;&lt;rec-number&gt;73&lt;/rec-number&gt;&lt;foreign-keys&gt;&lt;key app="EN" db-id="edfppa0tc0tfd1etp5xvexpnzfefzewwwas9" timestamp="1441592649"&gt;73&lt;/key&gt;&lt;/foreign-keys&gt;&lt;ref-type name="Journal Article"&gt;17&lt;/ref-type&gt;&lt;contributors&gt;&lt;authors&gt;&lt;author&gt;Scollo, Michelle&lt;/author&gt;&lt;author&gt;Zacher, Meghan&lt;/author&gt;&lt;author&gt;Coomber, Kerri&lt;/author&gt;&lt;author&gt;Wakefield, Melanie&lt;/author&gt;&lt;/authors&gt;&lt;/contributors&gt;&lt;titles&gt;&lt;title&gt;Use of illicit tobacco following introduction of standardised packaging of tobacco products in Australia: results from a national cross-sectional survey&lt;/title&gt;&lt;secondary-title&gt;Tobacco control&lt;/secondary-title&gt;&lt;/titles&gt;&lt;periodical&gt;&lt;full-title&gt;Tobacco control&lt;/full-title&gt;&lt;/periodical&gt;&lt;pages&gt;ii76-ii81&lt;/pages&gt;&lt;volume&gt;24&lt;/volume&gt;&lt;number&gt;Supplement 2&lt;/number&gt;&lt;dates&gt;&lt;year&gt;2015a&lt;/year&gt;&lt;pub-dates&gt;&lt;date&gt;April 1, 2015&lt;/date&gt;&lt;/pub-dates&gt;&lt;/dates&gt;&lt;urls&gt;&lt;/urls&gt;&lt;/record&gt;&lt;/Cite&gt;&lt;/EndNote&gt;</w:instrText>
      </w:r>
      <w:r w:rsidR="00A05B75" w:rsidRPr="008040A0">
        <w:rPr>
          <w:lang w:val="en-GB"/>
        </w:rPr>
        <w:fldChar w:fldCharType="separate"/>
      </w:r>
      <w:r w:rsidR="00B1645A">
        <w:rPr>
          <w:noProof/>
          <w:lang w:val="en-GB"/>
        </w:rPr>
        <w:t>(</w:t>
      </w:r>
      <w:hyperlink w:anchor="_ENREF_54" w:tooltip="Scollo, 2015a #73" w:history="1">
        <w:r w:rsidR="008A14C8">
          <w:rPr>
            <w:noProof/>
            <w:lang w:val="en-GB"/>
          </w:rPr>
          <w:t>Scollo, Zacher, Coomber, &amp; Wakefield, 2015a</w:t>
        </w:r>
      </w:hyperlink>
      <w:r w:rsidR="00B1645A">
        <w:rPr>
          <w:noProof/>
          <w:lang w:val="en-GB"/>
        </w:rPr>
        <w:t>)</w:t>
      </w:r>
      <w:r w:rsidR="00A05B75" w:rsidRPr="008040A0">
        <w:fldChar w:fldCharType="end"/>
      </w:r>
      <w:r w:rsidR="002A2A3E">
        <w:rPr>
          <w:lang w:val="en-GB"/>
        </w:rPr>
        <w:t xml:space="preserve">. </w:t>
      </w:r>
      <w:r w:rsidR="00DE495D" w:rsidRPr="008040A0">
        <w:rPr>
          <w:lang w:val="en-GB"/>
        </w:rPr>
        <w:t xml:space="preserve">Small retail outlets (n = 303) were visited in June and September 2012 </w:t>
      </w:r>
      <w:r w:rsidR="00DE495D">
        <w:rPr>
          <w:lang w:val="en-GB"/>
        </w:rPr>
        <w:t xml:space="preserve">before </w:t>
      </w:r>
      <w:r w:rsidR="00BE5D26">
        <w:rPr>
          <w:lang w:val="en-GB"/>
        </w:rPr>
        <w:t>the T</w:t>
      </w:r>
      <w:r w:rsidR="00DE495D">
        <w:rPr>
          <w:lang w:val="en-GB"/>
        </w:rPr>
        <w:t xml:space="preserve">PP </w:t>
      </w:r>
      <w:r w:rsidR="00BE5D26">
        <w:rPr>
          <w:lang w:val="en-GB"/>
        </w:rPr>
        <w:t xml:space="preserve">measure </w:t>
      </w:r>
      <w:r w:rsidR="00DE495D" w:rsidRPr="008040A0">
        <w:rPr>
          <w:lang w:val="en-GB"/>
        </w:rPr>
        <w:t>as baseline months, and in December 2012 and February, April and July 2013</w:t>
      </w:r>
      <w:r w:rsidR="00DE495D">
        <w:rPr>
          <w:lang w:val="en-GB"/>
        </w:rPr>
        <w:t>, following the implementation of the measure</w:t>
      </w:r>
      <w:r w:rsidR="00DE495D" w:rsidRPr="008040A0">
        <w:rPr>
          <w:lang w:val="en-GB"/>
        </w:rPr>
        <w:t xml:space="preserve">. </w:t>
      </w:r>
      <w:r w:rsidR="002A2A3E">
        <w:rPr>
          <w:lang w:val="en-GB"/>
        </w:rPr>
        <w:t xml:space="preserve">The </w:t>
      </w:r>
      <w:proofErr w:type="gramStart"/>
      <w:r w:rsidR="002A2A3E">
        <w:rPr>
          <w:lang w:val="en-GB"/>
        </w:rPr>
        <w:t>study compared t</w:t>
      </w:r>
      <w:r w:rsidR="00DE495D" w:rsidRPr="008040A0">
        <w:rPr>
          <w:lang w:val="en-GB"/>
        </w:rPr>
        <w:t>he cheapest pack</w:t>
      </w:r>
      <w:proofErr w:type="gramEnd"/>
      <w:r w:rsidR="00DE495D" w:rsidRPr="008040A0">
        <w:rPr>
          <w:lang w:val="en-GB"/>
        </w:rPr>
        <w:t xml:space="preserve"> offered</w:t>
      </w:r>
      <w:r w:rsidR="002A2A3E">
        <w:rPr>
          <w:lang w:val="en-GB"/>
        </w:rPr>
        <w:t xml:space="preserve"> by the retailer </w:t>
      </w:r>
      <w:r w:rsidR="009C3F0C">
        <w:rPr>
          <w:lang w:val="en-GB"/>
        </w:rPr>
        <w:t xml:space="preserve">with </w:t>
      </w:r>
      <w:r w:rsidR="00DE495D" w:rsidRPr="008040A0">
        <w:rPr>
          <w:lang w:val="en-GB"/>
        </w:rPr>
        <w:t xml:space="preserve">the recommended retail price for the brand and pack size. In a sub-set of 179 stores, fieldworkers then asked the retailer about availability of unbranded chop-chop tobacco. The likelihood of either an offer to sell or information about where unbranded tobacco could be obtained did not differ across the three periods. Packs judged likely to be illicit were sold in response to requests for the cheapest available packs on less than </w:t>
      </w:r>
      <w:r w:rsidR="00BE5D26">
        <w:rPr>
          <w:lang w:val="en-GB"/>
        </w:rPr>
        <w:t>1%</w:t>
      </w:r>
      <w:r w:rsidR="00DE495D" w:rsidRPr="008040A0">
        <w:rPr>
          <w:lang w:val="en-GB"/>
        </w:rPr>
        <w:t xml:space="preserve"> of occasions. Offers to sell unbranded tobacco were rare. </w:t>
      </w:r>
      <w:r w:rsidR="00DE495D">
        <w:rPr>
          <w:lang w:val="en-GB"/>
        </w:rPr>
        <w:t xml:space="preserve">The authors concluded </w:t>
      </w:r>
      <w:r w:rsidR="00257D25">
        <w:rPr>
          <w:lang w:val="en-GB"/>
        </w:rPr>
        <w:t>n</w:t>
      </w:r>
      <w:r w:rsidR="00DE495D" w:rsidRPr="008040A0">
        <w:rPr>
          <w:lang w:val="en-GB"/>
        </w:rPr>
        <w:t>o change in availability of illicit tobacco was observed following imp</w:t>
      </w:r>
      <w:r w:rsidR="00A06214">
        <w:rPr>
          <w:lang w:val="en-GB"/>
        </w:rPr>
        <w:t>lementation of</w:t>
      </w:r>
      <w:r>
        <w:rPr>
          <w:lang w:val="en-GB"/>
        </w:rPr>
        <w:t xml:space="preserve"> the</w:t>
      </w:r>
      <w:r w:rsidR="00A06214">
        <w:rPr>
          <w:lang w:val="en-GB"/>
        </w:rPr>
        <w:t xml:space="preserve"> </w:t>
      </w:r>
      <w:r w:rsidR="00826A4E">
        <w:rPr>
          <w:lang w:val="en-GB"/>
        </w:rPr>
        <w:t>tobacco plain packaging</w:t>
      </w:r>
      <w:r>
        <w:rPr>
          <w:lang w:val="en-GB"/>
        </w:rPr>
        <w:t xml:space="preserve"> measure</w:t>
      </w:r>
      <w:r w:rsidR="00A06214">
        <w:rPr>
          <w:lang w:val="en-GB"/>
        </w:rPr>
        <w:t>.</w:t>
      </w:r>
    </w:p>
    <w:p w14:paraId="60E454E4" w14:textId="77777777" w:rsidR="00A06214" w:rsidRDefault="00257D25" w:rsidP="000B332F">
      <w:pPr>
        <w:rPr>
          <w:lang w:val="en-GB"/>
        </w:rPr>
      </w:pPr>
      <w:r>
        <w:rPr>
          <w:lang w:val="en-GB"/>
        </w:rPr>
        <w:t>B</w:t>
      </w:r>
      <w:r w:rsidR="00DE495D">
        <w:rPr>
          <w:lang w:val="en-GB"/>
        </w:rPr>
        <w:t xml:space="preserve">ased on </w:t>
      </w:r>
      <w:r w:rsidR="00DE495D" w:rsidRPr="008040A0">
        <w:rPr>
          <w:lang w:val="en-GB"/>
        </w:rPr>
        <w:t xml:space="preserve">repeated cross-sectional telephone surveys of smokers, the change in current use of unbranded illicit tobacco from 2011 (one year prior to </w:t>
      </w:r>
      <w:r w:rsidR="00826A4E">
        <w:rPr>
          <w:lang w:val="en-GB"/>
        </w:rPr>
        <w:t>tobacco plain packaging</w:t>
      </w:r>
      <w:r w:rsidR="00DE495D" w:rsidRPr="008040A0">
        <w:rPr>
          <w:lang w:val="en-GB"/>
        </w:rPr>
        <w:t xml:space="preserve">) and 2013 (one year post implementation of </w:t>
      </w:r>
      <w:r w:rsidR="00826A4E">
        <w:rPr>
          <w:lang w:val="en-GB"/>
        </w:rPr>
        <w:t>tobacco plain packaging</w:t>
      </w:r>
      <w:r w:rsidR="00DE495D" w:rsidRPr="008040A0">
        <w:rPr>
          <w:lang w:val="en-GB"/>
        </w:rPr>
        <w:t>)</w:t>
      </w:r>
      <w:r w:rsidR="00E7390B">
        <w:rPr>
          <w:lang w:val="en-GB"/>
        </w:rPr>
        <w:t xml:space="preserve"> was measured</w:t>
      </w:r>
      <w:r w:rsidR="00DE495D" w:rsidRPr="008040A0">
        <w:rPr>
          <w:lang w:val="en-GB"/>
        </w:rPr>
        <w:t xml:space="preserve"> </w:t>
      </w:r>
      <w:r w:rsidR="00A05B75" w:rsidRPr="008040A0">
        <w:rPr>
          <w:lang w:val="en-GB"/>
        </w:rPr>
        <w:fldChar w:fldCharType="begin"/>
      </w:r>
      <w:r w:rsidR="00B1645A">
        <w:rPr>
          <w:lang w:val="en-GB"/>
        </w:rPr>
        <w:instrText xml:space="preserve"> ADDIN EN.CITE &lt;EndNote&gt;&lt;Cite&gt;&lt;Author&gt;Scollo&lt;/Author&gt;&lt;Year&gt;2014&lt;/Year&gt;&lt;RecNum&gt;65&lt;/RecNum&gt;&lt;DisplayText&gt;(Scollo et al., 2014)&lt;/DisplayText&gt;&lt;record&gt;&lt;rec-number&gt;65&lt;/rec-number&gt;&lt;foreign-keys&gt;&lt;key app="EN" db-id="edfppa0tc0tfd1etp5xvexpnzfefzewwwas9" timestamp="1441592648"&gt;65&lt;/key&gt;&lt;/foreign-keys&gt;&lt;ref-type name="Journal Article"&gt;17&lt;/ref-type&gt;&lt;contributors&gt;&lt;authors&gt;&lt;author&gt;Scollo, Michelle&lt;/author&gt;&lt;author&gt;Zacher, Meghan&lt;/author&gt;&lt;author&gt;Durkin, Sarah&lt;/author&gt;&lt;author&gt;Wakefield, Melanie&lt;/author&gt;&lt;/authors&gt;&lt;/contributors&gt;&lt;titles&gt;&lt;title&gt;Early evidence about the predicted unintended consequences of standardised packaging of tobacco products in Australia: a cross-sectional study of the place of purchase, regular brands and use of illicit tobacco&lt;/title&gt;&lt;secondary-title&gt;BMJ Open&lt;/secondary-title&gt;&lt;/titles&gt;&lt;periodical&gt;&lt;full-title&gt;BMJ Open&lt;/full-title&gt;&lt;/periodical&gt;&lt;volume&gt;4&lt;/volume&gt;&lt;number&gt;8&lt;/number&gt;&lt;dates&gt;&lt;year&gt;2014&lt;/year&gt;&lt;pub-dates&gt;&lt;date&gt;August 1, 2014&lt;/date&gt;&lt;/pub-dates&gt;&lt;/dates&gt;&lt;urls&gt;&lt;/urls&gt;&lt;/record&gt;&lt;/Cite&gt;&lt;/EndNote&gt;</w:instrText>
      </w:r>
      <w:r w:rsidR="00A05B75" w:rsidRPr="008040A0">
        <w:rPr>
          <w:lang w:val="en-GB"/>
        </w:rPr>
        <w:fldChar w:fldCharType="separate"/>
      </w:r>
      <w:r w:rsidR="00B1645A">
        <w:rPr>
          <w:noProof/>
          <w:lang w:val="en-GB"/>
        </w:rPr>
        <w:t>(</w:t>
      </w:r>
      <w:hyperlink w:anchor="_ENREF_55" w:tooltip="Scollo, 2014 #65" w:history="1">
        <w:r w:rsidR="008A14C8">
          <w:rPr>
            <w:noProof/>
            <w:lang w:val="en-GB"/>
          </w:rPr>
          <w:t>Scollo et al., 2014</w:t>
        </w:r>
      </w:hyperlink>
      <w:r w:rsidR="00B1645A">
        <w:rPr>
          <w:noProof/>
          <w:lang w:val="en-GB"/>
        </w:rPr>
        <w:t>)</w:t>
      </w:r>
      <w:r w:rsidR="00A05B75" w:rsidRPr="008040A0">
        <w:fldChar w:fldCharType="end"/>
      </w:r>
      <w:r w:rsidR="00E7390B">
        <w:t xml:space="preserve">. </w:t>
      </w:r>
      <w:r w:rsidR="00DE495D" w:rsidRPr="008040A0">
        <w:rPr>
          <w:lang w:val="en-GB"/>
        </w:rPr>
        <w:t xml:space="preserve">The proportion reporting current use of unbranded illicit tobacco </w:t>
      </w:r>
      <w:r w:rsidR="00DE495D">
        <w:rPr>
          <w:lang w:val="en-GB"/>
        </w:rPr>
        <w:t xml:space="preserve">declined from </w:t>
      </w:r>
      <w:r w:rsidR="00DE495D" w:rsidRPr="008040A0">
        <w:rPr>
          <w:lang w:val="en-GB"/>
        </w:rPr>
        <w:t xml:space="preserve">2.3% in 2011 (n = 754) </w:t>
      </w:r>
      <w:r w:rsidR="00F06BBD">
        <w:rPr>
          <w:lang w:val="en-GB"/>
        </w:rPr>
        <w:t xml:space="preserve">to </w:t>
      </w:r>
      <w:r w:rsidR="00DE495D" w:rsidRPr="008040A0">
        <w:rPr>
          <w:lang w:val="en-GB"/>
        </w:rPr>
        <w:t xml:space="preserve">1.9% in 2013 (n = </w:t>
      </w:r>
      <w:r w:rsidR="004E5872">
        <w:rPr>
          <w:lang w:val="en-GB"/>
        </w:rPr>
        <w:t>601</w:t>
      </w:r>
      <w:r w:rsidR="00DE495D" w:rsidRPr="008040A0">
        <w:rPr>
          <w:lang w:val="en-GB"/>
        </w:rPr>
        <w:t xml:space="preserve">). The observed reduction in unbranded illicit tobacco was not statistically significant. </w:t>
      </w:r>
      <w:r w:rsidR="00A06214">
        <w:rPr>
          <w:lang w:val="en-GB"/>
        </w:rPr>
        <w:t>However the generalisability of this study may be limited given that the surveys were restricted to residents of Victoria and only included English speaking residents.</w:t>
      </w:r>
    </w:p>
    <w:p w14:paraId="3299A06C" w14:textId="77777777" w:rsidR="00DE495D" w:rsidRPr="008040A0" w:rsidRDefault="00DE495D" w:rsidP="000B332F">
      <w:pPr>
        <w:rPr>
          <w:lang w:val="en-GB"/>
        </w:rPr>
      </w:pPr>
      <w:r w:rsidRPr="008040A0">
        <w:rPr>
          <w:lang w:val="en-GB"/>
        </w:rPr>
        <w:t xml:space="preserve">Based on a larger national study using repeated cross-sectional telephone surveys of smokers, the change in prevalence of smokers reporting any use of several categories of cigarettes which are highly </w:t>
      </w:r>
      <w:r w:rsidR="00B70A1D">
        <w:rPr>
          <w:lang w:val="en-GB"/>
        </w:rPr>
        <w:t>likely to be illicit</w:t>
      </w:r>
      <w:r w:rsidR="00BE5D26">
        <w:rPr>
          <w:lang w:val="en-GB"/>
        </w:rPr>
        <w:t xml:space="preserve"> or </w:t>
      </w:r>
      <w:r w:rsidR="00B70A1D">
        <w:rPr>
          <w:lang w:val="en-GB"/>
        </w:rPr>
        <w:t>contraband</w:t>
      </w:r>
      <w:r w:rsidR="00D10A64">
        <w:rPr>
          <w:lang w:val="en-GB"/>
        </w:rPr>
        <w:t xml:space="preserve"> </w:t>
      </w:r>
      <w:r w:rsidR="00E7390B">
        <w:rPr>
          <w:lang w:val="en-GB"/>
        </w:rPr>
        <w:t xml:space="preserve">were assessed </w:t>
      </w:r>
      <w:r w:rsidR="00A05B75" w:rsidRPr="008040A0">
        <w:rPr>
          <w:lang w:val="en-GB"/>
        </w:rPr>
        <w:fldChar w:fldCharType="begin"/>
      </w:r>
      <w:r w:rsidR="00C95CF3">
        <w:rPr>
          <w:lang w:val="en-GB"/>
        </w:rPr>
        <w:instrText xml:space="preserve"> ADDIN EN.CITE &lt;EndNote&gt;&lt;Cite&gt;&lt;Author&gt;Scollo&lt;/Author&gt;&lt;Year&gt;2015a&lt;/Year&gt;&lt;RecNum&gt;73&lt;/RecNum&gt;&lt;DisplayText&gt;(Scollo et al., 2015a)&lt;/DisplayText&gt;&lt;record&gt;&lt;rec-number&gt;73&lt;/rec-number&gt;&lt;foreign-keys&gt;&lt;key app="EN" db-id="edfppa0tc0tfd1etp5xvexpnzfefzewwwas9" timestamp="1441592649"&gt;73&lt;/key&gt;&lt;/foreign-keys&gt;&lt;ref-type name="Journal Article"&gt;17&lt;/ref-type&gt;&lt;contributors&gt;&lt;authors&gt;&lt;author&gt;Scollo, Michelle&lt;/author&gt;&lt;author&gt;Zacher, Meghan&lt;/author&gt;&lt;author&gt;Coomber, Kerri&lt;/author&gt;&lt;author&gt;Wakefield, Melanie&lt;/author&gt;&lt;/authors&gt;&lt;/contributors&gt;&lt;titles&gt;&lt;title&gt;Use of illicit tobacco following introduction of standardised packaging of tobacco products in Australia: results from a national cross-sectional survey&lt;/title&gt;&lt;secondary-title&gt;Tobacco control&lt;/secondary-title&gt;&lt;/titles&gt;&lt;periodical&gt;&lt;full-title&gt;Tobacco control&lt;/full-title&gt;&lt;/periodical&gt;&lt;pages&gt;ii76-ii81&lt;/pages&gt;&lt;volume&gt;24&lt;/volume&gt;&lt;number&gt;Supplement 2&lt;/number&gt;&lt;dates&gt;&lt;year&gt;2015a&lt;/year&gt;&lt;pub-dates&gt;&lt;date&gt;April 1, 2015&lt;/date&gt;&lt;/pub-dates&gt;&lt;/dates&gt;&lt;urls&gt;&lt;/urls&gt;&lt;/record&gt;&lt;/Cite&gt;&lt;/EndNote&gt;</w:instrText>
      </w:r>
      <w:r w:rsidR="00A05B75" w:rsidRPr="008040A0">
        <w:rPr>
          <w:lang w:val="en-GB"/>
        </w:rPr>
        <w:fldChar w:fldCharType="separate"/>
      </w:r>
      <w:r w:rsidR="00B1645A">
        <w:rPr>
          <w:noProof/>
          <w:lang w:val="en-GB"/>
        </w:rPr>
        <w:t>(</w:t>
      </w:r>
      <w:hyperlink w:anchor="_ENREF_54" w:tooltip="Scollo, 2015a #73" w:history="1">
        <w:r w:rsidR="008A14C8">
          <w:rPr>
            <w:noProof/>
            <w:lang w:val="en-GB"/>
          </w:rPr>
          <w:t>Scollo et al., 2015a</w:t>
        </w:r>
      </w:hyperlink>
      <w:r w:rsidR="00B1645A">
        <w:rPr>
          <w:noProof/>
          <w:lang w:val="en-GB"/>
        </w:rPr>
        <w:t>)</w:t>
      </w:r>
      <w:r w:rsidR="00A05B75" w:rsidRPr="008040A0">
        <w:fldChar w:fldCharType="end"/>
      </w:r>
      <w:r w:rsidRPr="008040A0">
        <w:rPr>
          <w:lang w:val="en-GB"/>
        </w:rPr>
        <w:t xml:space="preserve">. Based on 8,679 adult smokers (weighted for telephony status, gender, age, education and state of residence), logistic regression was used to assess changes between pre-plain packaging (April </w:t>
      </w:r>
      <w:r w:rsidRPr="008040A0">
        <w:rPr>
          <w:lang w:val="en-GB"/>
        </w:rPr>
        <w:lastRenderedPageBreak/>
        <w:t xml:space="preserve">to September 2012), a transitioning phase (October and November 2012) and post </w:t>
      </w:r>
      <w:r w:rsidR="00826A4E">
        <w:rPr>
          <w:lang w:val="en-GB"/>
        </w:rPr>
        <w:t>tobacco plain packaging</w:t>
      </w:r>
      <w:r w:rsidRPr="008040A0">
        <w:rPr>
          <w:lang w:val="en-GB"/>
        </w:rPr>
        <w:t xml:space="preserve"> (December 2012 to March 2014). </w:t>
      </w:r>
      <w:r w:rsidR="00AC7056">
        <w:rPr>
          <w:lang w:val="en-GB"/>
        </w:rPr>
        <w:t xml:space="preserve">The study found that there </w:t>
      </w:r>
      <w:r w:rsidRPr="008040A0">
        <w:rPr>
          <w:lang w:val="en-GB"/>
        </w:rPr>
        <w:t>were no significant increases in the use of: ‘cheap whites</w:t>
      </w:r>
      <w:r w:rsidR="004E5872">
        <w:rPr>
          <w:rStyle w:val="FootnoteReference"/>
          <w:lang w:val="en-GB"/>
        </w:rPr>
        <w:footnoteReference w:id="21"/>
      </w:r>
      <w:r w:rsidRPr="008040A0">
        <w:rPr>
          <w:lang w:val="en-GB"/>
        </w:rPr>
        <w:t>’; international brands purchased for 20% or more below the recommended retail price; or packs purchased from informal sellers. There was no statistically significant change in the prevalence of unbranded illicit tobacco. As a 12.5% increase in tobacco excise customs duty was effective from the 1 December</w:t>
      </w:r>
      <w:r>
        <w:rPr>
          <w:lang w:val="en-GB"/>
        </w:rPr>
        <w:t xml:space="preserve"> </w:t>
      </w:r>
      <w:r w:rsidRPr="008040A0">
        <w:rPr>
          <w:lang w:val="en-GB"/>
        </w:rPr>
        <w:t>2013, the authors attempt</w:t>
      </w:r>
      <w:r w:rsidR="00D10A64">
        <w:rPr>
          <w:lang w:val="en-GB"/>
        </w:rPr>
        <w:t>ed</w:t>
      </w:r>
      <w:r w:rsidRPr="008040A0">
        <w:rPr>
          <w:lang w:val="en-GB"/>
        </w:rPr>
        <w:t xml:space="preserve"> to control for any confounding by conducting a sensitivity test excluding the months after the tax increase (December 2013 through March 2014). The </w:t>
      </w:r>
      <w:r w:rsidR="00D10A64">
        <w:rPr>
          <w:lang w:val="en-GB"/>
        </w:rPr>
        <w:t>r</w:t>
      </w:r>
      <w:r w:rsidRPr="008040A0">
        <w:rPr>
          <w:lang w:val="en-GB"/>
        </w:rPr>
        <w:t>esults of the sensitivity analysis suggest</w:t>
      </w:r>
      <w:r w:rsidR="00D10A64">
        <w:rPr>
          <w:lang w:val="en-GB"/>
        </w:rPr>
        <w:t>ed</w:t>
      </w:r>
      <w:r w:rsidRPr="008040A0">
        <w:rPr>
          <w:lang w:val="en-GB"/>
        </w:rPr>
        <w:t xml:space="preserve"> that the use of all three forms of illicit tobacco declined after the introduction of </w:t>
      </w:r>
      <w:r w:rsidR="00826A4E">
        <w:rPr>
          <w:lang w:val="en-GB"/>
        </w:rPr>
        <w:t>tobacco plain packaging</w:t>
      </w:r>
      <w:r w:rsidRPr="008040A0">
        <w:rPr>
          <w:lang w:val="en-GB"/>
        </w:rPr>
        <w:t>, but that the use of contraband cigarettes and unbranded tobacco may have increased slightly after the 1 December 2013 increase in excise</w:t>
      </w:r>
      <w:r w:rsidR="00BE5D26">
        <w:rPr>
          <w:lang w:val="en-GB"/>
        </w:rPr>
        <w:t xml:space="preserve"> and </w:t>
      </w:r>
      <w:r w:rsidRPr="008040A0">
        <w:rPr>
          <w:lang w:val="en-GB"/>
        </w:rPr>
        <w:t xml:space="preserve">customs duty. </w:t>
      </w:r>
    </w:p>
    <w:p w14:paraId="4AAC10CC" w14:textId="3AEEE725" w:rsidR="00DE495D" w:rsidRDefault="00DE495D" w:rsidP="000B332F">
      <w:pPr>
        <w:rPr>
          <w:lang w:val="en-GB"/>
        </w:rPr>
      </w:pPr>
      <w:bookmarkStart w:id="127" w:name="_Ref416261753"/>
      <w:bookmarkStart w:id="128" w:name="_Ref416261750"/>
      <w:r w:rsidRPr="008040A0">
        <w:rPr>
          <w:lang w:val="en-GB"/>
        </w:rPr>
        <w:t xml:space="preserve">Data from Australian Customs &amp; Border Protection Service </w:t>
      </w:r>
      <w:r w:rsidR="00BE5D26">
        <w:rPr>
          <w:lang w:val="en-GB"/>
        </w:rPr>
        <w:t xml:space="preserve">(2014) </w:t>
      </w:r>
      <w:r w:rsidRPr="008040A0">
        <w:rPr>
          <w:lang w:val="en-GB"/>
        </w:rPr>
        <w:t>regarding tobacco detections via sea cargo has been compiled from annual reports (</w:t>
      </w:r>
      <w:r w:rsidR="0043774F">
        <w:rPr>
          <w:lang w:val="en-GB"/>
        </w:rPr>
        <w:fldChar w:fldCharType="begin"/>
      </w:r>
      <w:r w:rsidR="0043774F">
        <w:rPr>
          <w:lang w:val="en-GB"/>
        </w:rPr>
        <w:instrText xml:space="preserve"> REF _Ref444070046 \h </w:instrText>
      </w:r>
      <w:r w:rsidR="0043774F">
        <w:rPr>
          <w:lang w:val="en-GB"/>
        </w:rPr>
      </w:r>
      <w:r w:rsidR="0043774F">
        <w:rPr>
          <w:lang w:val="en-GB"/>
        </w:rPr>
        <w:fldChar w:fldCharType="separate"/>
      </w:r>
      <w:r w:rsidR="005403ED" w:rsidRPr="00BD0D79">
        <w:t xml:space="preserve">Figure </w:t>
      </w:r>
      <w:r w:rsidR="005403ED">
        <w:rPr>
          <w:noProof/>
        </w:rPr>
        <w:t>5</w:t>
      </w:r>
      <w:r w:rsidR="0043774F">
        <w:rPr>
          <w:lang w:val="en-GB"/>
        </w:rPr>
        <w:fldChar w:fldCharType="end"/>
      </w:r>
      <w:r w:rsidR="00B70A1D">
        <w:rPr>
          <w:lang w:val="en-GB"/>
        </w:rPr>
        <w:t>)</w:t>
      </w:r>
      <w:r w:rsidR="003C6068">
        <w:rPr>
          <w:lang w:val="en-GB"/>
        </w:rPr>
        <w:t xml:space="preserve"> </w:t>
      </w:r>
      <w:r w:rsidR="00A05B75" w:rsidRPr="008040A0">
        <w:rPr>
          <w:lang w:val="en-GB"/>
        </w:rPr>
        <w:fldChar w:fldCharType="begin"/>
      </w:r>
      <w:r w:rsidR="00B1645A">
        <w:rPr>
          <w:lang w:val="en-GB"/>
        </w:rPr>
        <w:instrText xml:space="preserve"> ADDIN EN.CITE &lt;EndNote&gt;&lt;Cite&gt;&lt;Author&gt;Australian Customs and Border Protection Service&lt;/Author&gt;&lt;Year&gt;2014&lt;/Year&gt;&lt;RecNum&gt;74&lt;/RecNum&gt;&lt;DisplayText&gt;(Australian Customs and Border Protection Service, 2014)&lt;/DisplayText&gt;&lt;record&gt;&lt;rec-number&gt;74&lt;/rec-number&gt;&lt;foreign-keys&gt;&lt;key app="EN" db-id="edfppa0tc0tfd1etp5xvexpnzfefzewwwas9" timestamp="1441592649"&gt;74&lt;/key&gt;&lt;/foreign-keys&gt;&lt;ref-type name="Report"&gt;27&lt;/ref-type&gt;&lt;contributors&gt;&lt;authors&gt;&lt;author&gt;Australian Customs and Border Protection Service,&lt;/author&gt;&lt;/authors&gt;&lt;/contributors&gt;&lt;titles&gt;&lt;title&gt;Annual Report 2013/2014&lt;/title&gt;&lt;/titles&gt;&lt;dates&gt;&lt;year&gt;2014&lt;/year&gt;&lt;/dates&gt;&lt;pub-location&gt;Canberra&lt;/pub-location&gt;&lt;publisher&gt;ACBPS&lt;/publisher&gt;&lt;urls&gt;&lt;/urls&gt;&lt;/record&gt;&lt;/Cite&gt;&lt;/EndNote&gt;</w:instrText>
      </w:r>
      <w:r w:rsidR="00A05B75" w:rsidRPr="008040A0">
        <w:rPr>
          <w:lang w:val="en-GB"/>
        </w:rPr>
        <w:fldChar w:fldCharType="separate"/>
      </w:r>
      <w:r w:rsidR="00B1645A">
        <w:rPr>
          <w:noProof/>
          <w:lang w:val="en-GB"/>
        </w:rPr>
        <w:t>(</w:t>
      </w:r>
      <w:hyperlink w:anchor="_ENREF_6" w:tooltip="Australian Customs and Border Protection Service, 2014 #74" w:history="1">
        <w:r w:rsidR="008A14C8">
          <w:rPr>
            <w:noProof/>
            <w:lang w:val="en-GB"/>
          </w:rPr>
          <w:t>Australian Customs and Border Protection Service, 2014</w:t>
        </w:r>
      </w:hyperlink>
      <w:r w:rsidR="00B1645A">
        <w:rPr>
          <w:noProof/>
          <w:lang w:val="en-GB"/>
        </w:rPr>
        <w:t>)</w:t>
      </w:r>
      <w:r w:rsidR="00A05B75" w:rsidRPr="008040A0">
        <w:fldChar w:fldCharType="end"/>
      </w:r>
      <w:r w:rsidR="00B70A1D">
        <w:rPr>
          <w:lang w:val="en-GB"/>
        </w:rPr>
        <w:t xml:space="preserve">. </w:t>
      </w:r>
      <w:r w:rsidRPr="008040A0">
        <w:rPr>
          <w:lang w:val="en-GB"/>
        </w:rPr>
        <w:t>The total tonnes of tobacco estimated each year is calculated assuming a cigarette stick contains 0.8g of tobacco. Data is available for financial years (i.e. July 1</w:t>
      </w:r>
      <w:r w:rsidRPr="008040A0">
        <w:rPr>
          <w:vertAlign w:val="superscript"/>
          <w:lang w:val="en-GB"/>
        </w:rPr>
        <w:t>st</w:t>
      </w:r>
      <w:r w:rsidRPr="008040A0">
        <w:rPr>
          <w:lang w:val="en-GB"/>
        </w:rPr>
        <w:t xml:space="preserve"> to June 30</w:t>
      </w:r>
      <w:r w:rsidRPr="008040A0">
        <w:rPr>
          <w:vertAlign w:val="superscript"/>
          <w:lang w:val="en-GB"/>
        </w:rPr>
        <w:t>th</w:t>
      </w:r>
      <w:r w:rsidRPr="008040A0">
        <w:rPr>
          <w:lang w:val="en-GB"/>
        </w:rPr>
        <w:t xml:space="preserve">) from 2007/08 until 2013/14. 2012/13 includes approximately </w:t>
      </w:r>
      <w:r>
        <w:rPr>
          <w:lang w:val="en-GB"/>
        </w:rPr>
        <w:t>five</w:t>
      </w:r>
      <w:r w:rsidRPr="008040A0">
        <w:rPr>
          <w:lang w:val="en-GB"/>
        </w:rPr>
        <w:t xml:space="preserve"> months of data when </w:t>
      </w:r>
      <w:r w:rsidR="00BE5D26">
        <w:rPr>
          <w:lang w:val="en-GB"/>
        </w:rPr>
        <w:t>tobacco plain</w:t>
      </w:r>
      <w:r w:rsidR="00BE5D26" w:rsidRPr="008040A0">
        <w:rPr>
          <w:lang w:val="en-GB"/>
        </w:rPr>
        <w:t xml:space="preserve"> </w:t>
      </w:r>
      <w:r w:rsidRPr="008040A0">
        <w:rPr>
          <w:lang w:val="en-GB"/>
        </w:rPr>
        <w:t>packaging was not in place and coincided with a period of transition.</w:t>
      </w:r>
    </w:p>
    <w:p w14:paraId="2B96A00D" w14:textId="076FD815" w:rsidR="0097090C" w:rsidRPr="00BD0D79" w:rsidRDefault="0097090C" w:rsidP="00BD0D79">
      <w:pPr>
        <w:pStyle w:val="Caption"/>
        <w:jc w:val="left"/>
        <w:rPr>
          <w:sz w:val="24"/>
          <w:szCs w:val="24"/>
          <w:lang w:val="en-GB"/>
        </w:rPr>
      </w:pPr>
      <w:bookmarkStart w:id="129" w:name="_Ref444070046"/>
      <w:r w:rsidRPr="00BD0D79">
        <w:rPr>
          <w:sz w:val="24"/>
          <w:szCs w:val="24"/>
        </w:rPr>
        <w:t xml:space="preserve">Figure </w:t>
      </w:r>
      <w:r w:rsidR="009C426B" w:rsidRPr="00BD0D79">
        <w:rPr>
          <w:sz w:val="24"/>
          <w:szCs w:val="24"/>
        </w:rPr>
        <w:fldChar w:fldCharType="begin"/>
      </w:r>
      <w:r w:rsidR="009C426B" w:rsidRPr="00BD0D79">
        <w:rPr>
          <w:sz w:val="24"/>
          <w:szCs w:val="24"/>
        </w:rPr>
        <w:instrText xml:space="preserve"> SEQ Figure \* ARABIC </w:instrText>
      </w:r>
      <w:r w:rsidR="009C426B" w:rsidRPr="00BD0D79">
        <w:rPr>
          <w:sz w:val="24"/>
          <w:szCs w:val="24"/>
        </w:rPr>
        <w:fldChar w:fldCharType="separate"/>
      </w:r>
      <w:r w:rsidR="005403ED">
        <w:rPr>
          <w:noProof/>
          <w:sz w:val="24"/>
          <w:szCs w:val="24"/>
        </w:rPr>
        <w:t>5</w:t>
      </w:r>
      <w:r w:rsidR="009C426B" w:rsidRPr="00BD0D79">
        <w:rPr>
          <w:noProof/>
          <w:sz w:val="24"/>
          <w:szCs w:val="24"/>
        </w:rPr>
        <w:fldChar w:fldCharType="end"/>
      </w:r>
      <w:bookmarkEnd w:id="129"/>
      <w:r w:rsidRPr="00BD0D79">
        <w:rPr>
          <w:sz w:val="24"/>
          <w:szCs w:val="24"/>
        </w:rPr>
        <w:t>: Tobacco detections in sea cargo</w:t>
      </w:r>
    </w:p>
    <w:p w14:paraId="2BC2B0CB" w14:textId="7113E721" w:rsidR="0097090C" w:rsidRPr="0097090C" w:rsidRDefault="0097090C" w:rsidP="0097090C">
      <w:r>
        <w:rPr>
          <w:noProof/>
          <w:lang w:eastAsia="en-AU"/>
        </w:rPr>
        <w:drawing>
          <wp:inline distT="0" distB="0" distL="0" distR="0" wp14:anchorId="7B17EE20" wp14:editId="58A7D2EF">
            <wp:extent cx="5090795" cy="3328670"/>
            <wp:effectExtent l="0" t="0" r="0" b="5080"/>
            <wp:docPr id="6" name="Picture 6" descr="Figure 5 is a bar graph illustrating illicit tobacco detections by the Australian Customs and Border Protection Service in sea cargo.  This graph presents the total tonnes (0 to 400) of illicit tobacco detected in each financial year (from 2007/08 to 2013/14).  Overall data for Figure 5 can be found in the text follow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0795" cy="3328670"/>
                    </a:xfrm>
                    <a:prstGeom prst="rect">
                      <a:avLst/>
                    </a:prstGeom>
                    <a:noFill/>
                  </pic:spPr>
                </pic:pic>
              </a:graphicData>
            </a:graphic>
          </wp:inline>
        </w:drawing>
      </w:r>
    </w:p>
    <w:bookmarkEnd w:id="127"/>
    <w:bookmarkEnd w:id="128"/>
    <w:p w14:paraId="5DB45F46" w14:textId="77777777" w:rsidR="00DE495D" w:rsidRPr="000B332F" w:rsidRDefault="00DE495D" w:rsidP="00C45985">
      <w:pPr>
        <w:pStyle w:val="tablenotes2"/>
      </w:pPr>
      <w:r w:rsidRPr="000B332F">
        <w:t xml:space="preserve">* </w:t>
      </w:r>
      <w:r w:rsidR="00826A4E" w:rsidRPr="000B332F">
        <w:t>Tobacco p</w:t>
      </w:r>
      <w:r w:rsidRPr="000B332F">
        <w:t>lain packaging measure introduced during this financial year</w:t>
      </w:r>
    </w:p>
    <w:p w14:paraId="6BB7E8A7" w14:textId="77777777" w:rsidR="00DE495D" w:rsidRDefault="00DE495D" w:rsidP="00C45985">
      <w:pPr>
        <w:pStyle w:val="tablenotes2"/>
      </w:pPr>
      <w:r w:rsidRPr="000B332F">
        <w:t xml:space="preserve">Source: Australian Customs and Border Protection Service Annual Reports </w:t>
      </w:r>
      <w:r w:rsidR="00A05B75" w:rsidRPr="000B332F">
        <w:fldChar w:fldCharType="begin"/>
      </w:r>
      <w:r w:rsidR="00B1645A">
        <w:instrText xml:space="preserve"> ADDIN EN.CITE &lt;EndNote&gt;&lt;Cite&gt;&lt;Author&gt;Australian Customs and Border Protection Service&lt;/Author&gt;&lt;Year&gt;2014&lt;/Year&gt;&lt;RecNum&gt;74&lt;/RecNum&gt;&lt;DisplayText&gt;(Australian Customs and Border Protection Service, 2014; United Kingdom Department of Health, 2015)&lt;/DisplayText&gt;&lt;record&gt;&lt;rec-number&gt;74&lt;/rec-number&gt;&lt;foreign-keys&gt;&lt;key app="EN" db-id="edfppa0tc0tfd1etp5xvexpnzfefzewwwas9" timestamp="1441592649"&gt;74&lt;/key&gt;&lt;/foreign-keys&gt;&lt;ref-type name="Report"&gt;27&lt;/ref-type&gt;&lt;contributors&gt;&lt;authors&gt;&lt;author&gt;Australian Customs and Border Protection Service,&lt;/author&gt;&lt;/authors&gt;&lt;/contributors&gt;&lt;titles&gt;&lt;title&gt;Annual Report 2013/2014&lt;/title&gt;&lt;/titles&gt;&lt;dates&gt;&lt;year&gt;2014&lt;/year&gt;&lt;/dates&gt;&lt;pub-location&gt;Canberra&lt;/pub-location&gt;&lt;publisher&gt;ACBPS&lt;/publisher&gt;&lt;urls&gt;&lt;/urls&gt;&lt;/record&gt;&lt;/Cite&gt;&lt;Cite&gt;&lt;Author&gt;United Kingdom Department of Health&lt;/Author&gt;&lt;Year&gt;2015&lt;/Year&gt;&lt;RecNum&gt;1&lt;/RecNum&gt;&lt;record&gt;&lt;rec-number&gt;1&lt;/rec-number&gt;&lt;foreign-keys&gt;&lt;key app="EN" db-id="edfppa0tc0tfd1etp5xvexpnzfefzewwwas9" timestamp="1441592647"&gt;1&lt;/key&gt;&lt;/foreign-keys&gt;&lt;ref-type name="Government Document"&gt;46&lt;/ref-type&gt;&lt;contributors&gt;&lt;authors&gt;&lt;author&gt;United Kingdom Department of Health,&lt;/author&gt;&lt;/authors&gt;&lt;/contributors&gt;&lt;titles&gt;&lt;title&gt;Impact assessment for standardised packaging of tobacco products&lt;/title&gt;&lt;/titles&gt;&lt;dates&gt;&lt;year&gt;2015&lt;/year&gt;&lt;/dates&gt;&lt;pub-location&gt;https://www.gov.uk/government/publications/impact-assessment-opinion-standardised-packaging-of-tobacco-products-final&lt;/pub-location&gt;&lt;publisher&gt;United Kingdom Department of Health&lt;/publisher&gt;&lt;urls&gt;&lt;/urls&gt;&lt;/record&gt;&lt;/Cite&gt;&lt;/EndNote&gt;</w:instrText>
      </w:r>
      <w:r w:rsidR="00A05B75" w:rsidRPr="000B332F">
        <w:fldChar w:fldCharType="separate"/>
      </w:r>
      <w:r w:rsidR="00B1645A">
        <w:rPr>
          <w:noProof/>
        </w:rPr>
        <w:t>(</w:t>
      </w:r>
      <w:hyperlink w:anchor="_ENREF_6" w:tooltip="Australian Customs and Border Protection Service, 2014 #74" w:history="1">
        <w:r w:rsidR="008A14C8">
          <w:rPr>
            <w:noProof/>
          </w:rPr>
          <w:t>Australian Customs and Border Protection Service, 2014</w:t>
        </w:r>
      </w:hyperlink>
      <w:r w:rsidR="00B1645A">
        <w:rPr>
          <w:noProof/>
        </w:rPr>
        <w:t xml:space="preserve">; </w:t>
      </w:r>
      <w:hyperlink w:anchor="_ENREF_62" w:tooltip="United Kingdom Department of Health, 2015 #1" w:history="1">
        <w:r w:rsidR="008A14C8">
          <w:rPr>
            <w:noProof/>
          </w:rPr>
          <w:t>United Kingdom Department of Health, 2015</w:t>
        </w:r>
      </w:hyperlink>
      <w:r w:rsidR="00B1645A">
        <w:rPr>
          <w:noProof/>
        </w:rPr>
        <w:t>)</w:t>
      </w:r>
      <w:r w:rsidR="00A05B75" w:rsidRPr="000B332F">
        <w:fldChar w:fldCharType="end"/>
      </w:r>
    </w:p>
    <w:p w14:paraId="0C9E4936" w14:textId="77777777" w:rsidR="00830649" w:rsidRDefault="00DE495D" w:rsidP="00C45985">
      <w:pPr>
        <w:keepLines/>
        <w:rPr>
          <w:lang w:val="en-GB"/>
        </w:rPr>
      </w:pPr>
      <w:r w:rsidRPr="008040A0">
        <w:rPr>
          <w:lang w:val="en-GB"/>
        </w:rPr>
        <w:lastRenderedPageBreak/>
        <w:t>There w</w:t>
      </w:r>
      <w:r>
        <w:rPr>
          <w:lang w:val="en-GB"/>
        </w:rPr>
        <w:t>ere</w:t>
      </w:r>
      <w:r w:rsidRPr="008040A0">
        <w:rPr>
          <w:lang w:val="en-GB"/>
        </w:rPr>
        <w:t xml:space="preserve"> 343 tonnes of tobacco detected in 2012/13 (183 tonnes of loose tobacco plus 200 million cigarette sticks) and 296 tonnes detected in 2013/14 (178 tonnes of loose tobacco plus 147 million cigarette sticks). This compares with previous detections of: </w:t>
      </w:r>
      <w:r w:rsidR="00B70A1D">
        <w:rPr>
          <w:lang w:val="en-GB"/>
        </w:rPr>
        <w:t xml:space="preserve">343, 216, 366, 324 and </w:t>
      </w:r>
      <w:r w:rsidRPr="008040A0">
        <w:rPr>
          <w:lang w:val="en-GB"/>
        </w:rPr>
        <w:t xml:space="preserve">290 over the period of </w:t>
      </w:r>
      <w:r w:rsidR="00B70A1D" w:rsidRPr="008040A0">
        <w:rPr>
          <w:lang w:val="en-GB"/>
        </w:rPr>
        <w:t>2007/08</w:t>
      </w:r>
      <w:r w:rsidR="00B70A1D">
        <w:rPr>
          <w:lang w:val="en-GB"/>
        </w:rPr>
        <w:t xml:space="preserve"> to </w:t>
      </w:r>
      <w:r w:rsidRPr="008040A0">
        <w:rPr>
          <w:lang w:val="en-GB"/>
        </w:rPr>
        <w:t>2011/1212. The amounts detected in 2012/13 and 2013/14 are not inconsistent with the general variation that is seen from year to year.</w:t>
      </w:r>
    </w:p>
    <w:p w14:paraId="2F6B4D9F" w14:textId="77777777" w:rsidR="00F06BBD" w:rsidRDefault="00830649" w:rsidP="000B332F">
      <w:pPr>
        <w:rPr>
          <w:lang w:val="en-GB"/>
        </w:rPr>
      </w:pPr>
      <w:r w:rsidRPr="008040A0">
        <w:rPr>
          <w:lang w:val="en-GB"/>
        </w:rPr>
        <w:t>However, changes in tobacco detections via sea cargo have not been validated as an appropriate measure of change in the size of the illicit tobacco market in Australia. It must be highlighted that a number of other important factors are likely to influence detections in sea cargo, most notably changes in smuggling methods</w:t>
      </w:r>
      <w:r>
        <w:rPr>
          <w:lang w:val="en-GB"/>
        </w:rPr>
        <w:t>,</w:t>
      </w:r>
      <w:r w:rsidRPr="008040A0">
        <w:rPr>
          <w:lang w:val="en-GB"/>
        </w:rPr>
        <w:t xml:space="preserve"> changes in detection activities and or efficacy</w:t>
      </w:r>
      <w:r>
        <w:rPr>
          <w:lang w:val="en-GB"/>
        </w:rPr>
        <w:t xml:space="preserve"> of detection activities</w:t>
      </w:r>
      <w:r w:rsidRPr="008040A0">
        <w:rPr>
          <w:lang w:val="en-GB"/>
        </w:rPr>
        <w:t>.</w:t>
      </w:r>
      <w:r w:rsidR="009255D6">
        <w:rPr>
          <w:lang w:val="en-GB"/>
        </w:rPr>
        <w:t xml:space="preserve"> </w:t>
      </w:r>
    </w:p>
    <w:p w14:paraId="0F0A3FFB" w14:textId="77777777" w:rsidR="00B50287" w:rsidRPr="00830649" w:rsidRDefault="00B50287" w:rsidP="00B50287">
      <w:pPr>
        <w:keepNext/>
        <w:pBdr>
          <w:top w:val="single" w:sz="2" w:space="1" w:color="auto"/>
          <w:left w:val="single" w:sz="2" w:space="4" w:color="auto"/>
          <w:bottom w:val="single" w:sz="2" w:space="1" w:color="auto"/>
          <w:right w:val="single" w:sz="2" w:space="4" w:color="auto"/>
        </w:pBdr>
        <w:shd w:val="clear" w:color="auto" w:fill="DBE5F1" w:themeFill="accent1" w:themeFillTint="33"/>
        <w:rPr>
          <w:b/>
          <w:sz w:val="22"/>
        </w:rPr>
      </w:pPr>
      <w:bookmarkStart w:id="130" w:name="_Toc418770531"/>
      <w:r w:rsidRPr="00830649">
        <w:rPr>
          <w:b/>
          <w:sz w:val="22"/>
        </w:rPr>
        <w:t xml:space="preserve">Box </w:t>
      </w:r>
      <w:r>
        <w:rPr>
          <w:b/>
          <w:sz w:val="22"/>
        </w:rPr>
        <w:t>6</w:t>
      </w:r>
      <w:r w:rsidRPr="00830649">
        <w:rPr>
          <w:b/>
          <w:sz w:val="22"/>
        </w:rPr>
        <w:t>: Summary Impact on Illicit Market</w:t>
      </w:r>
    </w:p>
    <w:p w14:paraId="17452666" w14:textId="77777777" w:rsidR="00B50287" w:rsidRPr="00830649"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830649">
        <w:t>Any change in illicit tobacco consumption in Australia is likely to be determined by a number of supply and demand factors, of which the price of legal tobacco products is one.</w:t>
      </w:r>
    </w:p>
    <w:p w14:paraId="52DEE2F5" w14:textId="77777777" w:rsidR="00B50287" w:rsidRPr="00830649"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pPr>
      <w:r w:rsidRPr="00830649">
        <w:t xml:space="preserve">Based on the weight of evidence, it is considered most likely that the impact of the TPP </w:t>
      </w:r>
      <w:r>
        <w:t>measure</w:t>
      </w:r>
      <w:r w:rsidRPr="00830649">
        <w:t xml:space="preserve"> on changes in the illicit tobacco market in Australia has been not been substantive, if there has been any impact at all. </w:t>
      </w:r>
    </w:p>
    <w:p w14:paraId="5D2C9591" w14:textId="4BB5AAEB" w:rsidR="00E7390B"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rPr>
          <w:lang w:val="en-GB"/>
        </w:rPr>
      </w:pPr>
      <w:r w:rsidRPr="00830649">
        <w:t>There are a number of limitations in measuring significant changes within any illicit market. However, self-reported consumption estimates from both peer reviewed research and large scale national surveys conducted by the AIHW, in addition to Australian Customs &amp; Border Protection Service data regarding the detection of illicit tobacco, do not support the claim that there has been a significant increase in illicit tobacco in Australia following the introduction of tobacco plain packaging.</w:t>
      </w:r>
    </w:p>
    <w:p w14:paraId="1272BCC9" w14:textId="77777777" w:rsidR="00DE495D" w:rsidRPr="00830649" w:rsidRDefault="00DE495D" w:rsidP="00673E6B">
      <w:pPr>
        <w:pStyle w:val="Heading3"/>
        <w:rPr>
          <w:lang w:val="en-GB"/>
        </w:rPr>
      </w:pPr>
      <w:bookmarkStart w:id="131" w:name="_Toc427737365"/>
      <w:bookmarkStart w:id="132" w:name="_Toc443560347"/>
      <w:bookmarkStart w:id="133" w:name="_Toc443560375"/>
      <w:bookmarkStart w:id="134" w:name="_Toc443560425"/>
      <w:r w:rsidRPr="00830649">
        <w:rPr>
          <w:lang w:val="en-GB"/>
        </w:rPr>
        <w:t>Government Costs</w:t>
      </w:r>
      <w:bookmarkEnd w:id="130"/>
      <w:bookmarkEnd w:id="131"/>
      <w:bookmarkEnd w:id="132"/>
      <w:bookmarkEnd w:id="133"/>
      <w:bookmarkEnd w:id="134"/>
    </w:p>
    <w:p w14:paraId="56C12E14" w14:textId="77777777" w:rsidR="004574F4" w:rsidRDefault="00DE495D" w:rsidP="000B332F">
      <w:r w:rsidRPr="008040A0">
        <w:rPr>
          <w:lang w:val="en-GB"/>
        </w:rPr>
        <w:t xml:space="preserve">The tobacco plain packaging initiative required government resources to implement, and oversee compliance and enforcement of the </w:t>
      </w:r>
      <w:r w:rsidR="00167CC2">
        <w:rPr>
          <w:lang w:val="en-GB"/>
        </w:rPr>
        <w:t xml:space="preserve">TPP </w:t>
      </w:r>
      <w:r w:rsidR="00BE5D26">
        <w:rPr>
          <w:lang w:val="en-GB"/>
        </w:rPr>
        <w:t>measure</w:t>
      </w:r>
      <w:r w:rsidRPr="008040A0">
        <w:rPr>
          <w:lang w:val="en-GB"/>
        </w:rPr>
        <w:t>.</w:t>
      </w:r>
      <w:r>
        <w:rPr>
          <w:lang w:val="en-GB"/>
        </w:rPr>
        <w:t xml:space="preserve"> </w:t>
      </w:r>
      <w:r w:rsidR="00167CC2">
        <w:rPr>
          <w:lang w:val="en-GB"/>
        </w:rPr>
        <w:t xml:space="preserve">A total of </w:t>
      </w:r>
      <w:r w:rsidR="005745D7">
        <w:t>e</w:t>
      </w:r>
      <w:r w:rsidRPr="008040A0">
        <w:t xml:space="preserve">leven government departments and organisations provided feedback on the level of expenditure that was associated with the implementation and operation of the </w:t>
      </w:r>
      <w:r w:rsidR="00167CC2">
        <w:t xml:space="preserve">TPP </w:t>
      </w:r>
      <w:r w:rsidR="00BE5D26">
        <w:t>measure</w:t>
      </w:r>
      <w:r w:rsidRPr="008040A0">
        <w:t xml:space="preserve">. The following </w:t>
      </w:r>
      <w:r>
        <w:t xml:space="preserve">organisations </w:t>
      </w:r>
      <w:r w:rsidRPr="008040A0">
        <w:t xml:space="preserve">provided information: Australian Customs and Border Protection Service, Department of Health, Australian Taxation Office, </w:t>
      </w:r>
      <w:r w:rsidR="0060174B">
        <w:t>Australian Competition and Consume</w:t>
      </w:r>
      <w:r w:rsidR="002A2BBB">
        <w:t>r</w:t>
      </w:r>
      <w:r w:rsidR="0060174B">
        <w:t xml:space="preserve"> Commission</w:t>
      </w:r>
      <w:r w:rsidR="00AC7056">
        <w:t xml:space="preserve"> (ACCC)</w:t>
      </w:r>
      <w:r>
        <w:t xml:space="preserve">, </w:t>
      </w:r>
      <w:r w:rsidRPr="008040A0">
        <w:t xml:space="preserve">IP Australia, Queensland Department of Health, </w:t>
      </w:r>
      <w:r>
        <w:t>W</w:t>
      </w:r>
      <w:r w:rsidR="00AC7056">
        <w:t xml:space="preserve">estern </w:t>
      </w:r>
      <w:r>
        <w:t>A</w:t>
      </w:r>
      <w:r w:rsidR="00AC7056">
        <w:t>ustralia</w:t>
      </w:r>
      <w:r w:rsidRPr="008040A0">
        <w:t xml:space="preserve"> Department of Health, Drug and Alcohol </w:t>
      </w:r>
      <w:r w:rsidR="00AC7056">
        <w:t>S</w:t>
      </w:r>
      <w:r w:rsidRPr="008040A0">
        <w:t xml:space="preserve">ervices </w:t>
      </w:r>
      <w:r>
        <w:t>S</w:t>
      </w:r>
      <w:r w:rsidR="00AC7056">
        <w:t xml:space="preserve">outh </w:t>
      </w:r>
      <w:r>
        <w:t>A</w:t>
      </w:r>
      <w:r w:rsidR="00AC7056">
        <w:t>ustralia</w:t>
      </w:r>
      <w:r w:rsidRPr="008040A0">
        <w:t xml:space="preserve">, Australian Capital Territory Health, </w:t>
      </w:r>
      <w:r>
        <w:t>N</w:t>
      </w:r>
      <w:r w:rsidR="00AC7056">
        <w:t xml:space="preserve">ew </w:t>
      </w:r>
      <w:r>
        <w:t>S</w:t>
      </w:r>
      <w:r w:rsidR="00AC7056">
        <w:t xml:space="preserve">outh </w:t>
      </w:r>
      <w:r>
        <w:t>W</w:t>
      </w:r>
      <w:r w:rsidR="00AC7056">
        <w:t>ales</w:t>
      </w:r>
      <w:r w:rsidRPr="008040A0">
        <w:t xml:space="preserve"> Ministry of Health, </w:t>
      </w:r>
      <w:r w:rsidR="004574F4">
        <w:t xml:space="preserve">and the </w:t>
      </w:r>
      <w:r w:rsidRPr="008040A0">
        <w:t xml:space="preserve">Cancer Institute NSW. </w:t>
      </w:r>
    </w:p>
    <w:p w14:paraId="4C11A4E9" w14:textId="6AE15CDE" w:rsidR="00DE495D" w:rsidRPr="005745D7" w:rsidRDefault="00DE495D" w:rsidP="000B332F">
      <w:r w:rsidRPr="008040A0">
        <w:t xml:space="preserve">The Australian Customs and Border Protection Service introduced a legislative amendment which provided a </w:t>
      </w:r>
      <w:r>
        <w:t xml:space="preserve">temporary tobacco duty </w:t>
      </w:r>
      <w:r w:rsidRPr="008040A0">
        <w:t xml:space="preserve">refund provision associated with the introduction of the </w:t>
      </w:r>
      <w:r w:rsidR="00DD2AC0">
        <w:t xml:space="preserve">tobacco </w:t>
      </w:r>
      <w:r w:rsidRPr="008040A0">
        <w:t>plain packaging legislation</w:t>
      </w:r>
      <w:r>
        <w:t xml:space="preserve">. Under this arrangement, those who had paid duty on imported non-plain packaged products could surrender those products for a controlled destruction by Customs and receive a refund of any duty paid. </w:t>
      </w:r>
      <w:r w:rsidRPr="008040A0">
        <w:t xml:space="preserve">The costs associated with this included planning, implementation, the establishment of a Tobacco Taskforce, administering and processing claims for refunds. The Australian Customs and Border Protection Service estimated the costs associated with </w:t>
      </w:r>
      <w:r>
        <w:t>all these</w:t>
      </w:r>
      <w:r w:rsidRPr="008040A0">
        <w:t xml:space="preserve"> tasks</w:t>
      </w:r>
      <w:r w:rsidR="005745D7">
        <w:t xml:space="preserve"> and are included </w:t>
      </w:r>
      <w:r w:rsidR="005745D7" w:rsidRPr="005745D7">
        <w:t xml:space="preserve">in </w:t>
      </w:r>
      <w:r w:rsidR="0043774F">
        <w:fldChar w:fldCharType="begin"/>
      </w:r>
      <w:r w:rsidR="0043774F">
        <w:instrText xml:space="preserve"> REF _Ref444088848 \h </w:instrText>
      </w:r>
      <w:r w:rsidR="0043774F">
        <w:fldChar w:fldCharType="separate"/>
      </w:r>
      <w:r w:rsidR="005403ED" w:rsidRPr="00BD0D79">
        <w:t xml:space="preserve">Table </w:t>
      </w:r>
      <w:r w:rsidR="005403ED">
        <w:rPr>
          <w:noProof/>
        </w:rPr>
        <w:t>6</w:t>
      </w:r>
      <w:r w:rsidR="0043774F">
        <w:fldChar w:fldCharType="end"/>
      </w:r>
      <w:r w:rsidRPr="005745D7">
        <w:t>.</w:t>
      </w:r>
    </w:p>
    <w:p w14:paraId="5BF04AD8" w14:textId="77777777" w:rsidR="00DE495D" w:rsidRPr="008040A0" w:rsidRDefault="00DE495D" w:rsidP="000B332F">
      <w:r w:rsidRPr="008040A0">
        <w:t xml:space="preserve">The Department of Health incurred costs for implementation, and </w:t>
      </w:r>
      <w:r>
        <w:t>compliance and enforcement activities</w:t>
      </w:r>
      <w:r w:rsidRPr="008040A0">
        <w:t xml:space="preserve"> </w:t>
      </w:r>
      <w:r w:rsidR="00B34909">
        <w:t xml:space="preserve">under </w:t>
      </w:r>
      <w:r w:rsidRPr="008040A0">
        <w:t xml:space="preserve">the </w:t>
      </w:r>
      <w:r w:rsidR="00B34909">
        <w:t xml:space="preserve">TPP </w:t>
      </w:r>
      <w:r w:rsidR="00BE5D26">
        <w:t>measure</w:t>
      </w:r>
      <w:r w:rsidRPr="008040A0">
        <w:t>. Th</w:t>
      </w:r>
      <w:r w:rsidR="00DD2AC0">
        <w:t xml:space="preserve">e activities </w:t>
      </w:r>
      <w:r w:rsidRPr="008040A0">
        <w:t xml:space="preserve">included </w:t>
      </w:r>
      <w:r w:rsidR="00F769A9">
        <w:t>developing a c</w:t>
      </w:r>
      <w:r w:rsidR="00DD2AC0">
        <w:t xml:space="preserve">ompliance and </w:t>
      </w:r>
      <w:r w:rsidR="00F769A9">
        <w:t>e</w:t>
      </w:r>
      <w:r w:rsidR="00DD2AC0">
        <w:t xml:space="preserve">nforcement </w:t>
      </w:r>
      <w:r w:rsidR="00F769A9">
        <w:t>f</w:t>
      </w:r>
      <w:r w:rsidR="00DD2AC0" w:rsidRPr="008040A0">
        <w:t>ramework for the tobacco plain packaging legislation</w:t>
      </w:r>
      <w:r w:rsidR="00DD2AC0">
        <w:t>;</w:t>
      </w:r>
      <w:r w:rsidR="00DD2AC0" w:rsidRPr="008040A0">
        <w:t xml:space="preserve"> </w:t>
      </w:r>
      <w:r w:rsidRPr="008040A0">
        <w:t>development of communications materials</w:t>
      </w:r>
      <w:r w:rsidR="00DD2AC0">
        <w:t>;</w:t>
      </w:r>
      <w:r w:rsidRPr="008040A0">
        <w:t xml:space="preserve"> setting up a Memorandum of Understanding </w:t>
      </w:r>
      <w:r>
        <w:t xml:space="preserve">with </w:t>
      </w:r>
      <w:r>
        <w:lastRenderedPageBreak/>
        <w:t>the</w:t>
      </w:r>
      <w:r w:rsidRPr="008040A0">
        <w:t xml:space="preserve"> National Measurement Institute (NMI) to undertake educational visits and compliance activities on behalf of the Department of Health</w:t>
      </w:r>
      <w:r w:rsidR="00DD2AC0">
        <w:t>;</w:t>
      </w:r>
      <w:r w:rsidRPr="008040A0">
        <w:t xml:space="preserve"> set</w:t>
      </w:r>
      <w:r w:rsidR="00DD2AC0">
        <w:t>ting</w:t>
      </w:r>
      <w:r w:rsidRPr="008040A0">
        <w:t xml:space="preserve"> up a complaint handling process and an Enforcement Committee to make decisions on complaints and investigations.</w:t>
      </w:r>
    </w:p>
    <w:p w14:paraId="2C743642" w14:textId="77777777" w:rsidR="00DE495D" w:rsidRDefault="00DE495D" w:rsidP="000B332F">
      <w:r w:rsidRPr="008040A0">
        <w:t>The ACCC identified some costs associated with being involved in administering</w:t>
      </w:r>
      <w:r>
        <w:t xml:space="preserve"> the tobacco health warning legislation</w:t>
      </w:r>
      <w:r w:rsidRPr="008040A0">
        <w:t xml:space="preserve"> in relation to tobacco products and crossover to the </w:t>
      </w:r>
      <w:r w:rsidR="00826A4E">
        <w:t>tobacco plain packaging</w:t>
      </w:r>
      <w:r w:rsidRPr="008040A0">
        <w:t xml:space="preserve"> legislation. Both the Australian Taxation Office and IP Australia incurred costs associated with training staff and advised that other dealings </w:t>
      </w:r>
      <w:r>
        <w:t xml:space="preserve">were </w:t>
      </w:r>
      <w:r w:rsidRPr="008040A0">
        <w:t>in</w:t>
      </w:r>
      <w:r>
        <w:t xml:space="preserve"> line</w:t>
      </w:r>
      <w:r w:rsidRPr="008040A0">
        <w:t xml:space="preserve"> </w:t>
      </w:r>
      <w:r>
        <w:t xml:space="preserve">with </w:t>
      </w:r>
      <w:r w:rsidRPr="008040A0">
        <w:t>business as usual. The Queensland Department of Health, W</w:t>
      </w:r>
      <w:r w:rsidR="00B34909">
        <w:t xml:space="preserve">estern </w:t>
      </w:r>
      <w:r w:rsidRPr="008040A0">
        <w:t>A</w:t>
      </w:r>
      <w:r w:rsidR="00B34909">
        <w:t>ustralia</w:t>
      </w:r>
      <w:r w:rsidRPr="008040A0">
        <w:t xml:space="preserve"> Department of Health, Drug and Alcohol </w:t>
      </w:r>
      <w:r w:rsidR="00B34909">
        <w:t>S</w:t>
      </w:r>
      <w:r w:rsidRPr="008040A0">
        <w:t>ervices S</w:t>
      </w:r>
      <w:r w:rsidR="00B34909">
        <w:t xml:space="preserve">outh </w:t>
      </w:r>
      <w:r w:rsidRPr="008040A0">
        <w:t>A</w:t>
      </w:r>
      <w:r w:rsidR="00B34909">
        <w:t>ustralia</w:t>
      </w:r>
      <w:r w:rsidRPr="008040A0">
        <w:t>, A</w:t>
      </w:r>
      <w:r w:rsidR="00B34909">
        <w:t xml:space="preserve">ustralian </w:t>
      </w:r>
      <w:r w:rsidRPr="008040A0">
        <w:t>C</w:t>
      </w:r>
      <w:r w:rsidR="00B34909">
        <w:t xml:space="preserve">apital </w:t>
      </w:r>
      <w:r w:rsidRPr="008040A0">
        <w:t>T</w:t>
      </w:r>
      <w:r w:rsidR="00B34909">
        <w:t>erritory</w:t>
      </w:r>
      <w:r w:rsidRPr="008040A0">
        <w:t xml:space="preserve"> Health, N</w:t>
      </w:r>
      <w:r w:rsidR="00B34909">
        <w:t xml:space="preserve">ew </w:t>
      </w:r>
      <w:r w:rsidRPr="008040A0">
        <w:t>S</w:t>
      </w:r>
      <w:r w:rsidR="00B34909">
        <w:t xml:space="preserve">outh </w:t>
      </w:r>
      <w:r w:rsidRPr="008040A0">
        <w:t>W</w:t>
      </w:r>
      <w:r w:rsidR="00B34909">
        <w:t>ales</w:t>
      </w:r>
      <w:r w:rsidRPr="008040A0">
        <w:t xml:space="preserve"> Ministry of Health, and Cancer Institute NSW, </w:t>
      </w:r>
      <w:r>
        <w:t>identified that whilst</w:t>
      </w:r>
      <w:r w:rsidRPr="008040A0">
        <w:t xml:space="preserve"> there w</w:t>
      </w:r>
      <w:r>
        <w:t>ere</w:t>
      </w:r>
      <w:r w:rsidRPr="008040A0">
        <w:t xml:space="preserve"> opportunity costs associated with the </w:t>
      </w:r>
      <w:r w:rsidR="00826A4E">
        <w:t>tobacco plain packaging</w:t>
      </w:r>
      <w:r w:rsidRPr="008040A0">
        <w:t xml:space="preserve"> legislation, they were </w:t>
      </w:r>
      <w:r>
        <w:t>non-substantive</w:t>
      </w:r>
      <w:r w:rsidRPr="008040A0">
        <w:t>.</w:t>
      </w:r>
    </w:p>
    <w:p w14:paraId="01524A23" w14:textId="0C1E7189" w:rsidR="005745D7" w:rsidRDefault="005745D7" w:rsidP="000B332F">
      <w:r w:rsidRPr="008040A0">
        <w:t xml:space="preserve">The </w:t>
      </w:r>
      <w:r w:rsidR="00657400">
        <w:t xml:space="preserve">total Government cost of </w:t>
      </w:r>
      <w:r w:rsidRPr="008040A0">
        <w:t xml:space="preserve">the </w:t>
      </w:r>
      <w:r w:rsidR="00826A4E">
        <w:t>tobacco plain packaging</w:t>
      </w:r>
      <w:r w:rsidRPr="008040A0">
        <w:t xml:space="preserve"> legislation is estimated to </w:t>
      </w:r>
      <w:r w:rsidR="00657400">
        <w:t xml:space="preserve">be </w:t>
      </w:r>
      <w:r w:rsidRPr="002372DF">
        <w:t>$</w:t>
      </w:r>
      <w:r w:rsidR="00AF45B2">
        <w:t>1</w:t>
      </w:r>
      <w:r w:rsidR="00C962A9">
        <w:t>2</w:t>
      </w:r>
      <w:r w:rsidR="00C86DC4" w:rsidRPr="002372DF">
        <w:t>.</w:t>
      </w:r>
      <w:r w:rsidR="00C962A9">
        <w:t>69</w:t>
      </w:r>
      <w:r w:rsidRPr="002372DF">
        <w:t xml:space="preserve"> million over 10 years (</w:t>
      </w:r>
      <w:r w:rsidR="0043774F">
        <w:fldChar w:fldCharType="begin"/>
      </w:r>
      <w:r w:rsidR="0043774F">
        <w:instrText xml:space="preserve"> REF _Ref444088848 \h </w:instrText>
      </w:r>
      <w:r w:rsidR="0043774F">
        <w:fldChar w:fldCharType="separate"/>
      </w:r>
      <w:r w:rsidR="005403ED" w:rsidRPr="00BD0D79">
        <w:t xml:space="preserve">Table </w:t>
      </w:r>
      <w:r w:rsidR="005403ED">
        <w:rPr>
          <w:noProof/>
        </w:rPr>
        <w:t>6</w:t>
      </w:r>
      <w:r w:rsidR="0043774F">
        <w:fldChar w:fldCharType="end"/>
      </w:r>
      <w:r w:rsidRPr="002372DF">
        <w:t xml:space="preserve">) discounting future costs at 7% per annum. </w:t>
      </w:r>
      <w:r w:rsidR="00AF45B2">
        <w:t>The cost</w:t>
      </w:r>
      <w:r w:rsidR="00C962A9">
        <w:t xml:space="preserve"> estimates provided are based on an aggregation of data provided by Australian Customs and Border Protection Service, Department of Health (including costs under the </w:t>
      </w:r>
      <w:r w:rsidR="00B34909">
        <w:t>M</w:t>
      </w:r>
      <w:r w:rsidR="00C962A9">
        <w:t xml:space="preserve">emorandum of </w:t>
      </w:r>
      <w:r w:rsidR="00B34909">
        <w:t>U</w:t>
      </w:r>
      <w:r w:rsidR="00C962A9">
        <w:t xml:space="preserve">nderstanding with the </w:t>
      </w:r>
      <w:r w:rsidR="00C962A9" w:rsidRPr="008040A0">
        <w:t>NMI</w:t>
      </w:r>
      <w:r w:rsidR="00C962A9">
        <w:t>), Australian Taxation Office, IP Australia and the ACCC.</w:t>
      </w:r>
      <w:r w:rsidR="00AF45B2">
        <w:t xml:space="preserve"> </w:t>
      </w:r>
      <w:r w:rsidR="00657400">
        <w:t xml:space="preserve">The cost in year one are inflated relative to future years as this includes one-off implementation costs. </w:t>
      </w:r>
      <w:r w:rsidR="00AF45B2">
        <w:t xml:space="preserve">The costs incurred since the implementation of the TPP </w:t>
      </w:r>
      <w:r w:rsidR="00BE5D26">
        <w:t xml:space="preserve">measure </w:t>
      </w:r>
      <w:r w:rsidR="00AF45B2">
        <w:t xml:space="preserve">are </w:t>
      </w:r>
      <w:r w:rsidR="00B34909">
        <w:t>estimates as some data is</w:t>
      </w:r>
      <w:r w:rsidR="00AF45B2">
        <w:t xml:space="preserve"> subject to confidentiality and not-for-publication restrictions.  The cost estimates over the future periods (years 4-10) are also uncertain as these are based on predicted future costs. Where estimates were provided with respect to full-time-equivalent staff, s</w:t>
      </w:r>
      <w:r>
        <w:t xml:space="preserve">alary costs were inflated by 75% to account for non-wage labour on-costs and overheads. This inflation is consistent with the guidance note on the Regulatory Burden Measurement Framework from the OBPR. </w:t>
      </w:r>
    </w:p>
    <w:p w14:paraId="1A4D52C7" w14:textId="1E7801E6" w:rsidR="005745D7" w:rsidRPr="00BD0D79" w:rsidRDefault="0094231E" w:rsidP="00BD0D79">
      <w:pPr>
        <w:pStyle w:val="Caption"/>
        <w:jc w:val="left"/>
        <w:rPr>
          <w:sz w:val="24"/>
          <w:szCs w:val="24"/>
        </w:rPr>
      </w:pPr>
      <w:bookmarkStart w:id="135" w:name="_Ref444088848"/>
      <w:bookmarkStart w:id="136" w:name="_Ref417503538"/>
      <w:bookmarkStart w:id="137" w:name="_Toc417504708"/>
      <w:r w:rsidRPr="00BD0D79">
        <w:rPr>
          <w:sz w:val="24"/>
          <w:szCs w:val="24"/>
        </w:rPr>
        <w:t xml:space="preserve">Table </w:t>
      </w:r>
      <w:r w:rsidR="009C426B" w:rsidRPr="00BD0D79">
        <w:rPr>
          <w:sz w:val="24"/>
          <w:szCs w:val="24"/>
        </w:rPr>
        <w:fldChar w:fldCharType="begin"/>
      </w:r>
      <w:r w:rsidR="009C426B" w:rsidRPr="00BD0D79">
        <w:rPr>
          <w:sz w:val="24"/>
          <w:szCs w:val="24"/>
        </w:rPr>
        <w:instrText xml:space="preserve"> SEQ Table \* ARABIC </w:instrText>
      </w:r>
      <w:r w:rsidR="009C426B" w:rsidRPr="00BD0D79">
        <w:rPr>
          <w:sz w:val="24"/>
          <w:szCs w:val="24"/>
        </w:rPr>
        <w:fldChar w:fldCharType="separate"/>
      </w:r>
      <w:r w:rsidR="005403ED">
        <w:rPr>
          <w:noProof/>
          <w:sz w:val="24"/>
          <w:szCs w:val="24"/>
        </w:rPr>
        <w:t>6</w:t>
      </w:r>
      <w:r w:rsidR="009C426B" w:rsidRPr="00BD0D79">
        <w:rPr>
          <w:noProof/>
          <w:sz w:val="24"/>
          <w:szCs w:val="24"/>
        </w:rPr>
        <w:fldChar w:fldCharType="end"/>
      </w:r>
      <w:bookmarkEnd w:id="135"/>
      <w:r w:rsidRPr="00BD0D79">
        <w:rPr>
          <w:sz w:val="24"/>
          <w:szCs w:val="24"/>
        </w:rPr>
        <w:t xml:space="preserve">: Government costs of tobacco plain packaging </w:t>
      </w:r>
      <w:r w:rsidR="00A827BC">
        <w:rPr>
          <w:sz w:val="24"/>
          <w:szCs w:val="24"/>
        </w:rPr>
        <w:t>measure, $ millions (discounted </w:t>
      </w:r>
      <w:r w:rsidRPr="00BD0D79">
        <w:rPr>
          <w:sz w:val="24"/>
          <w:szCs w:val="24"/>
        </w:rPr>
        <w:t>7%)</w:t>
      </w:r>
      <w:bookmarkEnd w:id="136"/>
      <w:bookmarkEnd w:id="137"/>
    </w:p>
    <w:tbl>
      <w:tblPr>
        <w:tblpPr w:leftFromText="180" w:rightFromText="180" w:vertAnchor="text" w:horzAnchor="margin" w:tblpXSpec="center" w:tblpY="134"/>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6 lists the estimated cost of the tobacco plain packaging measure to government in millions of dollars.  Read across for the government costs per annum presented in millions of dollars, for years 1 to 10. The third row of the table shows the total cost to government."/>
      </w:tblPr>
      <w:tblGrid>
        <w:gridCol w:w="2997"/>
        <w:gridCol w:w="601"/>
        <w:gridCol w:w="601"/>
        <w:gridCol w:w="601"/>
        <w:gridCol w:w="601"/>
        <w:gridCol w:w="601"/>
        <w:gridCol w:w="601"/>
        <w:gridCol w:w="601"/>
        <w:gridCol w:w="601"/>
        <w:gridCol w:w="601"/>
        <w:gridCol w:w="601"/>
      </w:tblGrid>
      <w:tr w:rsidR="00200056" w:rsidRPr="00E31BA1" w14:paraId="40A85C4B" w14:textId="77777777" w:rsidTr="007A5A09">
        <w:trPr>
          <w:trHeight w:val="20"/>
          <w:jc w:val="center"/>
        </w:trPr>
        <w:tc>
          <w:tcPr>
            <w:tcW w:w="1664" w:type="pct"/>
            <w:shd w:val="clear" w:color="auto" w:fill="DBE5F1" w:themeFill="accent1" w:themeFillTint="33"/>
            <w:noWrap/>
          </w:tcPr>
          <w:p w14:paraId="236D6A4C" w14:textId="77777777" w:rsidR="00200056" w:rsidRPr="00830649" w:rsidRDefault="00200056" w:rsidP="00E31BA1">
            <w:pPr>
              <w:pStyle w:val="tabletext0"/>
              <w:rPr>
                <w:b/>
                <w:szCs w:val="22"/>
              </w:rPr>
            </w:pPr>
            <w:r w:rsidRPr="00830649">
              <w:rPr>
                <w:b/>
                <w:sz w:val="22"/>
                <w:szCs w:val="22"/>
              </w:rPr>
              <w:t>Year</w:t>
            </w:r>
          </w:p>
        </w:tc>
        <w:tc>
          <w:tcPr>
            <w:tcW w:w="334" w:type="pct"/>
            <w:shd w:val="clear" w:color="auto" w:fill="DBE5F1" w:themeFill="accent1" w:themeFillTint="33"/>
            <w:noWrap/>
          </w:tcPr>
          <w:p w14:paraId="37939C75" w14:textId="77777777" w:rsidR="00200056" w:rsidRPr="00830649" w:rsidRDefault="00200056" w:rsidP="00200056">
            <w:pPr>
              <w:pStyle w:val="tabletext0"/>
              <w:jc w:val="center"/>
              <w:rPr>
                <w:b/>
                <w:szCs w:val="22"/>
              </w:rPr>
            </w:pPr>
            <w:r w:rsidRPr="00830649">
              <w:rPr>
                <w:b/>
                <w:sz w:val="22"/>
                <w:szCs w:val="22"/>
              </w:rPr>
              <w:t>1</w:t>
            </w:r>
          </w:p>
        </w:tc>
        <w:tc>
          <w:tcPr>
            <w:tcW w:w="334" w:type="pct"/>
            <w:shd w:val="clear" w:color="auto" w:fill="DBE5F1" w:themeFill="accent1" w:themeFillTint="33"/>
            <w:noWrap/>
          </w:tcPr>
          <w:p w14:paraId="34E60CD8" w14:textId="77777777" w:rsidR="00200056" w:rsidRPr="00830649" w:rsidRDefault="00200056" w:rsidP="00200056">
            <w:pPr>
              <w:pStyle w:val="tabletext0"/>
              <w:jc w:val="center"/>
              <w:rPr>
                <w:b/>
                <w:szCs w:val="22"/>
              </w:rPr>
            </w:pPr>
            <w:r w:rsidRPr="00830649">
              <w:rPr>
                <w:b/>
                <w:sz w:val="22"/>
                <w:szCs w:val="22"/>
              </w:rPr>
              <w:t>2</w:t>
            </w:r>
          </w:p>
        </w:tc>
        <w:tc>
          <w:tcPr>
            <w:tcW w:w="334" w:type="pct"/>
            <w:shd w:val="clear" w:color="auto" w:fill="DBE5F1" w:themeFill="accent1" w:themeFillTint="33"/>
            <w:noWrap/>
          </w:tcPr>
          <w:p w14:paraId="78879A39" w14:textId="77777777" w:rsidR="00200056" w:rsidRPr="00830649" w:rsidRDefault="00200056" w:rsidP="00200056">
            <w:pPr>
              <w:pStyle w:val="tabletext0"/>
              <w:jc w:val="center"/>
              <w:rPr>
                <w:b/>
                <w:szCs w:val="22"/>
              </w:rPr>
            </w:pPr>
            <w:r w:rsidRPr="00830649">
              <w:rPr>
                <w:b/>
                <w:sz w:val="22"/>
                <w:szCs w:val="22"/>
              </w:rPr>
              <w:t>3</w:t>
            </w:r>
          </w:p>
        </w:tc>
        <w:tc>
          <w:tcPr>
            <w:tcW w:w="334" w:type="pct"/>
            <w:shd w:val="clear" w:color="auto" w:fill="DBE5F1" w:themeFill="accent1" w:themeFillTint="33"/>
            <w:noWrap/>
          </w:tcPr>
          <w:p w14:paraId="05348229" w14:textId="77777777" w:rsidR="00200056" w:rsidRPr="00830649" w:rsidRDefault="00200056" w:rsidP="00200056">
            <w:pPr>
              <w:pStyle w:val="tabletext0"/>
              <w:jc w:val="center"/>
              <w:rPr>
                <w:b/>
                <w:szCs w:val="22"/>
              </w:rPr>
            </w:pPr>
            <w:r w:rsidRPr="00830649">
              <w:rPr>
                <w:b/>
                <w:sz w:val="22"/>
                <w:szCs w:val="22"/>
              </w:rPr>
              <w:t>4</w:t>
            </w:r>
          </w:p>
        </w:tc>
        <w:tc>
          <w:tcPr>
            <w:tcW w:w="334" w:type="pct"/>
            <w:shd w:val="clear" w:color="auto" w:fill="DBE5F1" w:themeFill="accent1" w:themeFillTint="33"/>
            <w:noWrap/>
          </w:tcPr>
          <w:p w14:paraId="4A71FF57" w14:textId="77777777" w:rsidR="00200056" w:rsidRPr="00830649" w:rsidRDefault="00200056" w:rsidP="00200056">
            <w:pPr>
              <w:pStyle w:val="tabletext0"/>
              <w:jc w:val="center"/>
              <w:rPr>
                <w:b/>
                <w:szCs w:val="22"/>
              </w:rPr>
            </w:pPr>
            <w:r w:rsidRPr="00830649">
              <w:rPr>
                <w:b/>
                <w:sz w:val="22"/>
                <w:szCs w:val="22"/>
              </w:rPr>
              <w:t>5</w:t>
            </w:r>
          </w:p>
        </w:tc>
        <w:tc>
          <w:tcPr>
            <w:tcW w:w="334" w:type="pct"/>
            <w:shd w:val="clear" w:color="auto" w:fill="DBE5F1" w:themeFill="accent1" w:themeFillTint="33"/>
            <w:noWrap/>
          </w:tcPr>
          <w:p w14:paraId="125D7909" w14:textId="77777777" w:rsidR="00200056" w:rsidRPr="00830649" w:rsidRDefault="00200056" w:rsidP="00200056">
            <w:pPr>
              <w:pStyle w:val="tabletext0"/>
              <w:jc w:val="center"/>
              <w:rPr>
                <w:b/>
                <w:szCs w:val="22"/>
              </w:rPr>
            </w:pPr>
            <w:r w:rsidRPr="00830649">
              <w:rPr>
                <w:b/>
                <w:sz w:val="22"/>
                <w:szCs w:val="22"/>
              </w:rPr>
              <w:t>6</w:t>
            </w:r>
          </w:p>
        </w:tc>
        <w:tc>
          <w:tcPr>
            <w:tcW w:w="334" w:type="pct"/>
            <w:shd w:val="clear" w:color="auto" w:fill="DBE5F1" w:themeFill="accent1" w:themeFillTint="33"/>
            <w:noWrap/>
          </w:tcPr>
          <w:p w14:paraId="26F90C3D" w14:textId="77777777" w:rsidR="00200056" w:rsidRPr="00830649" w:rsidRDefault="00200056" w:rsidP="00200056">
            <w:pPr>
              <w:pStyle w:val="tabletext0"/>
              <w:jc w:val="center"/>
              <w:rPr>
                <w:b/>
                <w:szCs w:val="22"/>
              </w:rPr>
            </w:pPr>
            <w:r w:rsidRPr="00830649">
              <w:rPr>
                <w:b/>
                <w:sz w:val="22"/>
                <w:szCs w:val="22"/>
              </w:rPr>
              <w:t>7</w:t>
            </w:r>
          </w:p>
        </w:tc>
        <w:tc>
          <w:tcPr>
            <w:tcW w:w="334" w:type="pct"/>
            <w:shd w:val="clear" w:color="auto" w:fill="DBE5F1" w:themeFill="accent1" w:themeFillTint="33"/>
            <w:noWrap/>
          </w:tcPr>
          <w:p w14:paraId="3B573BF4" w14:textId="77777777" w:rsidR="00200056" w:rsidRPr="00830649" w:rsidRDefault="00200056" w:rsidP="00200056">
            <w:pPr>
              <w:pStyle w:val="tabletext0"/>
              <w:jc w:val="center"/>
              <w:rPr>
                <w:b/>
                <w:szCs w:val="22"/>
              </w:rPr>
            </w:pPr>
            <w:r w:rsidRPr="00830649">
              <w:rPr>
                <w:b/>
                <w:sz w:val="22"/>
                <w:szCs w:val="22"/>
              </w:rPr>
              <w:t>8</w:t>
            </w:r>
          </w:p>
        </w:tc>
        <w:tc>
          <w:tcPr>
            <w:tcW w:w="334" w:type="pct"/>
            <w:shd w:val="clear" w:color="auto" w:fill="DBE5F1" w:themeFill="accent1" w:themeFillTint="33"/>
            <w:noWrap/>
          </w:tcPr>
          <w:p w14:paraId="1CA3D789" w14:textId="77777777" w:rsidR="00200056" w:rsidRPr="00830649" w:rsidRDefault="00200056" w:rsidP="00200056">
            <w:pPr>
              <w:pStyle w:val="tabletext0"/>
              <w:jc w:val="center"/>
              <w:rPr>
                <w:b/>
                <w:szCs w:val="22"/>
              </w:rPr>
            </w:pPr>
            <w:r w:rsidRPr="00830649">
              <w:rPr>
                <w:b/>
                <w:sz w:val="22"/>
                <w:szCs w:val="22"/>
              </w:rPr>
              <w:t>9</w:t>
            </w:r>
          </w:p>
        </w:tc>
        <w:tc>
          <w:tcPr>
            <w:tcW w:w="334" w:type="pct"/>
            <w:shd w:val="clear" w:color="auto" w:fill="DBE5F1" w:themeFill="accent1" w:themeFillTint="33"/>
            <w:noWrap/>
          </w:tcPr>
          <w:p w14:paraId="549058B8" w14:textId="77777777" w:rsidR="00200056" w:rsidRPr="00830649" w:rsidRDefault="00200056" w:rsidP="00200056">
            <w:pPr>
              <w:pStyle w:val="tabletext0"/>
              <w:jc w:val="center"/>
              <w:rPr>
                <w:b/>
                <w:szCs w:val="22"/>
              </w:rPr>
            </w:pPr>
            <w:r w:rsidRPr="00830649">
              <w:rPr>
                <w:b/>
                <w:sz w:val="22"/>
                <w:szCs w:val="22"/>
              </w:rPr>
              <w:t>10</w:t>
            </w:r>
          </w:p>
        </w:tc>
      </w:tr>
      <w:tr w:rsidR="00200056" w:rsidRPr="002372DF" w14:paraId="6D65401B" w14:textId="77777777" w:rsidTr="007A5A09">
        <w:trPr>
          <w:trHeight w:val="20"/>
          <w:jc w:val="center"/>
        </w:trPr>
        <w:tc>
          <w:tcPr>
            <w:tcW w:w="1664" w:type="pct"/>
            <w:shd w:val="clear" w:color="auto" w:fill="auto"/>
            <w:noWrap/>
            <w:hideMark/>
          </w:tcPr>
          <w:p w14:paraId="15E96DBC" w14:textId="77777777" w:rsidR="00200056" w:rsidRPr="00830649" w:rsidRDefault="00200056" w:rsidP="00C962A9">
            <w:pPr>
              <w:pStyle w:val="tabletext0"/>
              <w:rPr>
                <w:b/>
                <w:szCs w:val="22"/>
              </w:rPr>
            </w:pPr>
            <w:r>
              <w:rPr>
                <w:b/>
                <w:sz w:val="22"/>
                <w:szCs w:val="22"/>
              </w:rPr>
              <w:t>Government costs per annum</w:t>
            </w:r>
          </w:p>
        </w:tc>
        <w:tc>
          <w:tcPr>
            <w:tcW w:w="334" w:type="pct"/>
            <w:shd w:val="clear" w:color="auto" w:fill="auto"/>
            <w:noWrap/>
            <w:hideMark/>
          </w:tcPr>
          <w:p w14:paraId="37237986" w14:textId="77777777" w:rsidR="00200056" w:rsidRPr="00830649" w:rsidRDefault="00200056" w:rsidP="00200056">
            <w:pPr>
              <w:pStyle w:val="tabletext0"/>
              <w:jc w:val="right"/>
              <w:rPr>
                <w:szCs w:val="22"/>
              </w:rPr>
            </w:pPr>
            <w:r w:rsidRPr="00830649">
              <w:rPr>
                <w:sz w:val="22"/>
                <w:szCs w:val="22"/>
              </w:rPr>
              <w:t>3.</w:t>
            </w:r>
            <w:r>
              <w:rPr>
                <w:sz w:val="22"/>
                <w:szCs w:val="22"/>
              </w:rPr>
              <w:t>49</w:t>
            </w:r>
          </w:p>
        </w:tc>
        <w:tc>
          <w:tcPr>
            <w:tcW w:w="334" w:type="pct"/>
            <w:shd w:val="clear" w:color="auto" w:fill="auto"/>
            <w:noWrap/>
          </w:tcPr>
          <w:p w14:paraId="66F9D44E" w14:textId="77777777" w:rsidR="00200056" w:rsidRPr="00830649" w:rsidRDefault="00200056" w:rsidP="00200056">
            <w:pPr>
              <w:pStyle w:val="tabletext0"/>
              <w:jc w:val="right"/>
              <w:rPr>
                <w:szCs w:val="22"/>
              </w:rPr>
            </w:pPr>
            <w:r>
              <w:rPr>
                <w:sz w:val="22"/>
                <w:szCs w:val="22"/>
              </w:rPr>
              <w:t>1.75</w:t>
            </w:r>
          </w:p>
        </w:tc>
        <w:tc>
          <w:tcPr>
            <w:tcW w:w="334" w:type="pct"/>
            <w:shd w:val="clear" w:color="auto" w:fill="auto"/>
            <w:noWrap/>
          </w:tcPr>
          <w:p w14:paraId="1952B13E" w14:textId="77777777" w:rsidR="00200056" w:rsidRPr="00830649" w:rsidRDefault="00200056" w:rsidP="00200056">
            <w:pPr>
              <w:pStyle w:val="tabletext0"/>
              <w:jc w:val="right"/>
              <w:rPr>
                <w:szCs w:val="22"/>
              </w:rPr>
            </w:pPr>
            <w:r>
              <w:rPr>
                <w:sz w:val="22"/>
                <w:szCs w:val="22"/>
              </w:rPr>
              <w:t>1.57</w:t>
            </w:r>
          </w:p>
        </w:tc>
        <w:tc>
          <w:tcPr>
            <w:tcW w:w="334" w:type="pct"/>
            <w:shd w:val="clear" w:color="auto" w:fill="auto"/>
            <w:noWrap/>
          </w:tcPr>
          <w:p w14:paraId="1466697F" w14:textId="77777777" w:rsidR="00200056" w:rsidRPr="00830649" w:rsidRDefault="00200056" w:rsidP="00200056">
            <w:pPr>
              <w:pStyle w:val="tabletext0"/>
              <w:jc w:val="right"/>
              <w:rPr>
                <w:szCs w:val="22"/>
              </w:rPr>
            </w:pPr>
            <w:r>
              <w:rPr>
                <w:sz w:val="22"/>
                <w:szCs w:val="22"/>
              </w:rPr>
              <w:t>1.31</w:t>
            </w:r>
          </w:p>
        </w:tc>
        <w:tc>
          <w:tcPr>
            <w:tcW w:w="334" w:type="pct"/>
            <w:shd w:val="clear" w:color="auto" w:fill="auto"/>
            <w:noWrap/>
          </w:tcPr>
          <w:p w14:paraId="37E9FC09" w14:textId="77777777" w:rsidR="00200056" w:rsidRPr="00830649" w:rsidRDefault="00200056" w:rsidP="00200056">
            <w:pPr>
              <w:pStyle w:val="tabletext0"/>
              <w:jc w:val="right"/>
              <w:rPr>
                <w:szCs w:val="22"/>
              </w:rPr>
            </w:pPr>
            <w:r>
              <w:rPr>
                <w:sz w:val="22"/>
                <w:szCs w:val="22"/>
              </w:rPr>
              <w:t>1.23</w:t>
            </w:r>
          </w:p>
        </w:tc>
        <w:tc>
          <w:tcPr>
            <w:tcW w:w="334" w:type="pct"/>
            <w:shd w:val="clear" w:color="auto" w:fill="auto"/>
            <w:noWrap/>
          </w:tcPr>
          <w:p w14:paraId="2676C960" w14:textId="77777777" w:rsidR="00200056" w:rsidRPr="00830649" w:rsidRDefault="00200056" w:rsidP="00200056">
            <w:pPr>
              <w:pStyle w:val="tabletext0"/>
              <w:jc w:val="right"/>
              <w:rPr>
                <w:szCs w:val="22"/>
              </w:rPr>
            </w:pPr>
            <w:r>
              <w:rPr>
                <w:sz w:val="22"/>
                <w:szCs w:val="22"/>
              </w:rPr>
              <w:t>0.76</w:t>
            </w:r>
          </w:p>
        </w:tc>
        <w:tc>
          <w:tcPr>
            <w:tcW w:w="334" w:type="pct"/>
            <w:shd w:val="clear" w:color="auto" w:fill="auto"/>
            <w:noWrap/>
          </w:tcPr>
          <w:p w14:paraId="36183521" w14:textId="77777777" w:rsidR="00200056" w:rsidRPr="00830649" w:rsidRDefault="00200056" w:rsidP="00200056">
            <w:pPr>
              <w:pStyle w:val="tabletext0"/>
              <w:jc w:val="right"/>
              <w:rPr>
                <w:szCs w:val="22"/>
              </w:rPr>
            </w:pPr>
            <w:r>
              <w:rPr>
                <w:sz w:val="22"/>
                <w:szCs w:val="22"/>
              </w:rPr>
              <w:t>0.71</w:t>
            </w:r>
          </w:p>
        </w:tc>
        <w:tc>
          <w:tcPr>
            <w:tcW w:w="334" w:type="pct"/>
            <w:shd w:val="clear" w:color="auto" w:fill="auto"/>
            <w:noWrap/>
          </w:tcPr>
          <w:p w14:paraId="59BAF0E1" w14:textId="77777777" w:rsidR="00200056" w:rsidRPr="00830649" w:rsidRDefault="00200056" w:rsidP="00200056">
            <w:pPr>
              <w:pStyle w:val="tabletext0"/>
              <w:jc w:val="right"/>
              <w:rPr>
                <w:szCs w:val="22"/>
              </w:rPr>
            </w:pPr>
            <w:r>
              <w:rPr>
                <w:sz w:val="22"/>
                <w:szCs w:val="22"/>
              </w:rPr>
              <w:t>0.67</w:t>
            </w:r>
          </w:p>
        </w:tc>
        <w:tc>
          <w:tcPr>
            <w:tcW w:w="334" w:type="pct"/>
            <w:shd w:val="clear" w:color="auto" w:fill="auto"/>
            <w:noWrap/>
          </w:tcPr>
          <w:p w14:paraId="73B7C2EC" w14:textId="77777777" w:rsidR="00200056" w:rsidRPr="00830649" w:rsidRDefault="00200056" w:rsidP="00200056">
            <w:pPr>
              <w:pStyle w:val="tabletext0"/>
              <w:jc w:val="right"/>
              <w:rPr>
                <w:szCs w:val="22"/>
              </w:rPr>
            </w:pPr>
            <w:r>
              <w:rPr>
                <w:sz w:val="22"/>
                <w:szCs w:val="22"/>
              </w:rPr>
              <w:t>0.62</w:t>
            </w:r>
          </w:p>
        </w:tc>
        <w:tc>
          <w:tcPr>
            <w:tcW w:w="334" w:type="pct"/>
            <w:shd w:val="clear" w:color="auto" w:fill="auto"/>
            <w:noWrap/>
          </w:tcPr>
          <w:p w14:paraId="6BBDDA1B" w14:textId="77777777" w:rsidR="00200056" w:rsidRPr="00830649" w:rsidRDefault="00200056" w:rsidP="00200056">
            <w:pPr>
              <w:pStyle w:val="tabletext0"/>
              <w:jc w:val="right"/>
              <w:rPr>
                <w:szCs w:val="22"/>
              </w:rPr>
            </w:pPr>
            <w:r>
              <w:rPr>
                <w:sz w:val="22"/>
                <w:szCs w:val="22"/>
              </w:rPr>
              <w:t>0.58</w:t>
            </w:r>
          </w:p>
        </w:tc>
      </w:tr>
      <w:tr w:rsidR="00200056" w:rsidRPr="002372DF" w14:paraId="1CB4D91A" w14:textId="77777777" w:rsidTr="007A5A09">
        <w:trPr>
          <w:trHeight w:val="20"/>
          <w:jc w:val="center"/>
        </w:trPr>
        <w:tc>
          <w:tcPr>
            <w:tcW w:w="1664" w:type="pct"/>
            <w:shd w:val="clear" w:color="auto" w:fill="auto"/>
            <w:noWrap/>
          </w:tcPr>
          <w:p w14:paraId="60594737" w14:textId="77777777" w:rsidR="00200056" w:rsidRDefault="00200056" w:rsidP="00200056">
            <w:pPr>
              <w:pStyle w:val="tabletext0"/>
              <w:rPr>
                <w:b/>
                <w:szCs w:val="22"/>
              </w:rPr>
            </w:pPr>
            <w:r>
              <w:rPr>
                <w:b/>
                <w:sz w:val="22"/>
                <w:szCs w:val="22"/>
              </w:rPr>
              <w:t xml:space="preserve">Total </w:t>
            </w:r>
          </w:p>
        </w:tc>
        <w:tc>
          <w:tcPr>
            <w:tcW w:w="3336" w:type="pct"/>
            <w:gridSpan w:val="10"/>
            <w:shd w:val="clear" w:color="auto" w:fill="auto"/>
            <w:noWrap/>
          </w:tcPr>
          <w:p w14:paraId="5C0DE91D" w14:textId="77777777" w:rsidR="00200056" w:rsidRDefault="00200056" w:rsidP="00200056">
            <w:pPr>
              <w:pStyle w:val="tabletext0"/>
              <w:jc w:val="right"/>
              <w:rPr>
                <w:szCs w:val="22"/>
              </w:rPr>
            </w:pPr>
            <w:r>
              <w:rPr>
                <w:sz w:val="22"/>
                <w:szCs w:val="22"/>
              </w:rPr>
              <w:t>12.69</w:t>
            </w:r>
          </w:p>
        </w:tc>
      </w:tr>
    </w:tbl>
    <w:p w14:paraId="43173A9F" w14:textId="77777777" w:rsidR="007A5A09" w:rsidRPr="00542E0B" w:rsidRDefault="007A5A09" w:rsidP="00542E0B">
      <w:pPr>
        <w:pStyle w:val="Heading4"/>
        <w:rPr>
          <w:sz w:val="28"/>
          <w:u w:val="single"/>
        </w:rPr>
      </w:pPr>
      <w:r w:rsidRPr="00542E0B">
        <w:rPr>
          <w:sz w:val="28"/>
          <w:u w:val="single"/>
        </w:rPr>
        <w:t>Tax</w:t>
      </w:r>
    </w:p>
    <w:p w14:paraId="6D30B209" w14:textId="1A61772D" w:rsidR="007A5A09" w:rsidRDefault="007A5A09" w:rsidP="007A5A09">
      <w:r w:rsidRPr="00251DC8">
        <w:t xml:space="preserve">A drop in </w:t>
      </w:r>
      <w:r>
        <w:t xml:space="preserve">the </w:t>
      </w:r>
      <w:r w:rsidRPr="00251DC8">
        <w:t>consumption</w:t>
      </w:r>
      <w:r>
        <w:t xml:space="preserve"> of tobacco products will result in lower tobacco sales and thus the government is likely to lose some tax revenues due to the loss of excise and custom duties asso</w:t>
      </w:r>
      <w:r w:rsidR="003A31A8">
        <w:t>ciated with those foregone sales</w:t>
      </w:r>
      <w:r>
        <w:t xml:space="preserve">. Some of this lost revenue is likely to be recovered through tax payable on non-tobacco products consumers buy with the money they would have otherwise spent on tobacco products (that is the government will collect some GST from this alternative spending). However, given the large size of tobacco excise and custom duties any taxes received on expenditure on other products are unlikely to completely equal the foregone revenue. There may also be a loss due to corporate tax revenues given that corporate profits for tobacco manufacturers are relatively high. These tax losses, however, are regarded as transfer payments and are not generally included as part of the analysis of a measure’s costs and benefits. </w:t>
      </w:r>
      <w:r w:rsidR="000B078E">
        <w:t xml:space="preserve">That is, there is no net effect on society. </w:t>
      </w:r>
      <w:r>
        <w:t>The tax loss to government can be conceived of as a saving to the consumers who have additional money to spend in the economy.</w:t>
      </w:r>
    </w:p>
    <w:p w14:paraId="78E65C10" w14:textId="77777777" w:rsidR="00B50287" w:rsidRPr="00830649" w:rsidRDefault="00B50287" w:rsidP="00B50287">
      <w:pPr>
        <w:keepNext/>
        <w:pBdr>
          <w:top w:val="single" w:sz="2" w:space="1" w:color="auto"/>
          <w:left w:val="single" w:sz="2" w:space="4" w:color="auto"/>
          <w:bottom w:val="single" w:sz="2" w:space="1" w:color="auto"/>
          <w:right w:val="single" w:sz="2" w:space="4" w:color="auto"/>
        </w:pBdr>
        <w:shd w:val="clear" w:color="auto" w:fill="DBE5F1" w:themeFill="accent1" w:themeFillTint="33"/>
        <w:rPr>
          <w:b/>
          <w:sz w:val="22"/>
        </w:rPr>
      </w:pPr>
      <w:r w:rsidRPr="00830649">
        <w:rPr>
          <w:b/>
          <w:sz w:val="22"/>
        </w:rPr>
        <w:lastRenderedPageBreak/>
        <w:t xml:space="preserve">Box </w:t>
      </w:r>
      <w:r>
        <w:rPr>
          <w:b/>
          <w:sz w:val="22"/>
        </w:rPr>
        <w:t>7</w:t>
      </w:r>
      <w:r w:rsidRPr="00830649">
        <w:rPr>
          <w:b/>
          <w:sz w:val="22"/>
        </w:rPr>
        <w:t xml:space="preserve">: Summary Impact on Government costs </w:t>
      </w:r>
    </w:p>
    <w:p w14:paraId="0361DBE2" w14:textId="3866CC9F" w:rsidR="00030EDA" w:rsidRDefault="00B50287" w:rsidP="00B50287">
      <w:pPr>
        <w:pBdr>
          <w:top w:val="single" w:sz="2" w:space="1" w:color="auto"/>
          <w:left w:val="single" w:sz="2" w:space="4" w:color="auto"/>
          <w:bottom w:val="single" w:sz="2" w:space="1" w:color="auto"/>
          <w:right w:val="single" w:sz="2" w:space="4" w:color="auto"/>
        </w:pBdr>
        <w:shd w:val="clear" w:color="auto" w:fill="DBE5F1" w:themeFill="accent1" w:themeFillTint="33"/>
        <w:rPr>
          <w:lang w:val="en-GB"/>
        </w:rPr>
      </w:pPr>
      <w:r w:rsidRPr="00830649">
        <w:t xml:space="preserve">A number of Government organisations undertook a variety of activities associated with tobacco plain packaging. The resources spent on these activities have an opportunity cost and should be reflected in the </w:t>
      </w:r>
      <w:r>
        <w:t>analysis of costs and benefits</w:t>
      </w:r>
      <w:r w:rsidRPr="00830649">
        <w:t xml:space="preserve">. Based on submissions from the Government agencies, the discounted cost of implementation, compliance and enforcement of the tobacco plain packaging measures over 10 years is </w:t>
      </w:r>
      <w:r>
        <w:t xml:space="preserve">estimated at </w:t>
      </w:r>
      <w:r w:rsidRPr="00830649">
        <w:t>$</w:t>
      </w:r>
      <w:r>
        <w:t>12</w:t>
      </w:r>
      <w:r w:rsidRPr="00830649">
        <w:t>.</w:t>
      </w:r>
      <w:r>
        <w:t>69</w:t>
      </w:r>
      <w:r w:rsidRPr="00830649">
        <w:t xml:space="preserve"> million.</w:t>
      </w:r>
      <w:r>
        <w:t xml:space="preserve"> This report does not consider the impact of the measure on tax to be substantive given the transfer of the benefit of any decrease in taxation revenue to consumers.</w:t>
      </w:r>
    </w:p>
    <w:p w14:paraId="22E14FE4" w14:textId="46AB880F" w:rsidR="00495AE1" w:rsidRDefault="00495AE1" w:rsidP="00542E0B">
      <w:pPr>
        <w:pStyle w:val="Heading1"/>
        <w:rPr>
          <w:lang w:val="en-GB"/>
        </w:rPr>
      </w:pPr>
      <w:r>
        <w:rPr>
          <w:lang w:val="en-GB"/>
        </w:rPr>
        <w:br w:type="column"/>
      </w:r>
      <w:bookmarkStart w:id="138" w:name="_Toc443560348"/>
      <w:bookmarkStart w:id="139" w:name="_Toc443560376"/>
      <w:bookmarkStart w:id="140" w:name="_Toc443560426"/>
      <w:r>
        <w:rPr>
          <w:lang w:val="en-GB"/>
        </w:rPr>
        <w:lastRenderedPageBreak/>
        <w:t>Conclusion</w:t>
      </w:r>
      <w:bookmarkEnd w:id="138"/>
      <w:bookmarkEnd w:id="139"/>
      <w:bookmarkEnd w:id="140"/>
    </w:p>
    <w:p w14:paraId="33806F84" w14:textId="2163911C" w:rsidR="00495AE1" w:rsidRPr="00502B9D" w:rsidRDefault="004E5FC5" w:rsidP="00495AE1">
      <w:r w:rsidRPr="00502B9D">
        <w:t>This</w:t>
      </w:r>
      <w:r w:rsidR="00495AE1" w:rsidRPr="00502B9D">
        <w:t xml:space="preserve"> </w:t>
      </w:r>
      <w:r w:rsidR="000A0F8D" w:rsidRPr="00502B9D">
        <w:t xml:space="preserve">analysis </w:t>
      </w:r>
      <w:r w:rsidRPr="00502B9D">
        <w:t>considered</w:t>
      </w:r>
      <w:r w:rsidR="00495AE1" w:rsidRPr="00502B9D">
        <w:t xml:space="preserve"> both the costs and benefits attributable to the TPP measure compared with business as usual. </w:t>
      </w:r>
    </w:p>
    <w:p w14:paraId="6142F5C4" w14:textId="40BBFE42" w:rsidR="00495AE1" w:rsidRPr="00502B9D" w:rsidRDefault="00495AE1" w:rsidP="00495AE1">
      <w:r w:rsidRPr="00502B9D">
        <w:t>The analysis identified a number of potential costs and benefits that may have been associated with the tobacco plain packaging measure. These included: transitional packaging costs, increase in retail transaction costs, ongoing packaging savings, increased profits on non-tobacco products, increased workforce productivity, reduced cleaning costs, reduced health care costs, increased government costs from additional monitoring and enforcement, health benefits, changes in consumer surplus,</w:t>
      </w:r>
      <w:r w:rsidR="004F1E14" w:rsidRPr="00502B9D">
        <w:t xml:space="preserve"> reduced profits on tobacco products,</w:t>
      </w:r>
      <w:r w:rsidRPr="00502B9D">
        <w:t xml:space="preserve"> and increased amenity value.</w:t>
      </w:r>
    </w:p>
    <w:p w14:paraId="60DB3FBC" w14:textId="49212C67" w:rsidR="00495AE1" w:rsidRPr="00502B9D" w:rsidRDefault="00495AE1" w:rsidP="00495AE1">
      <w:r w:rsidRPr="00502B9D">
        <w:t>For each of the above identified possible costs and benefits, the available evidence was reviewed to consider the attributable costs and benefits to the tobacco plain packaging measure relative to the comparator, business as usual</w:t>
      </w:r>
      <w:r w:rsidR="004E5FC5" w:rsidRPr="00502B9D">
        <w:t xml:space="preserve">. </w:t>
      </w:r>
      <w:r w:rsidRPr="00502B9D">
        <w:t>Where possible costs and benefits were identified but unable to be quantified or monetised they have been discussed in the report above</w:t>
      </w:r>
      <w:r w:rsidR="004E5FC5" w:rsidRPr="00502B9D">
        <w:t xml:space="preserve"> and where possible illustrative examples have been explored (for example, in relation to health benefits and </w:t>
      </w:r>
      <w:r w:rsidR="0012262E" w:rsidRPr="00502B9D">
        <w:t>savings</w:t>
      </w:r>
      <w:r w:rsidR="004E5FC5" w:rsidRPr="00502B9D">
        <w:t xml:space="preserve"> resulting from reduced packaging costs)</w:t>
      </w:r>
      <w:r w:rsidRPr="00502B9D">
        <w:t xml:space="preserve">. </w:t>
      </w:r>
    </w:p>
    <w:p w14:paraId="7DEBAE33" w14:textId="5ABE8926" w:rsidR="00495AE1" w:rsidRDefault="0012262E" w:rsidP="00495AE1">
      <w:r>
        <w:rPr>
          <w:lang w:val="en-GB"/>
        </w:rPr>
        <w:t>As noted above by way of illustrative example of the measure’s potential health benefits, a</w:t>
      </w:r>
      <w:r w:rsidR="00495AE1" w:rsidRPr="00830649">
        <w:t xml:space="preserve"> </w:t>
      </w:r>
      <w:r w:rsidR="0063673E">
        <w:t xml:space="preserve">half </w:t>
      </w:r>
      <w:r>
        <w:t>per cent</w:t>
      </w:r>
      <w:r w:rsidR="00495AE1" w:rsidRPr="00830649">
        <w:t xml:space="preserve"> reduction</w:t>
      </w:r>
      <w:r w:rsidR="004E5FC5">
        <w:t xml:space="preserve"> in smoking prevalence</w:t>
      </w:r>
      <w:r>
        <w:t xml:space="preserve"> is equal to</w:t>
      </w:r>
      <w:r w:rsidR="00495AE1" w:rsidRPr="00830649">
        <w:t xml:space="preserve"> </w:t>
      </w:r>
      <w:r w:rsidR="0063673E">
        <w:t>30,318</w:t>
      </w:r>
      <w:r w:rsidR="00495AE1" w:rsidRPr="00830649">
        <w:t xml:space="preserve"> life years</w:t>
      </w:r>
      <w:r w:rsidR="00841C0B">
        <w:t>.</w:t>
      </w:r>
      <w:r w:rsidR="00495AE1" w:rsidRPr="00830649">
        <w:t xml:space="preserve"> </w:t>
      </w:r>
      <w:r w:rsidR="00841C0B">
        <w:t xml:space="preserve">Distributed over OBPR recommended ten year time horizon, this would have </w:t>
      </w:r>
      <w:r w:rsidR="00495AE1" w:rsidRPr="00830649">
        <w:t>a</w:t>
      </w:r>
      <w:r w:rsidR="004E5FC5">
        <w:t>n estimated</w:t>
      </w:r>
      <w:r w:rsidR="00495AE1" w:rsidRPr="00830649">
        <w:t xml:space="preserve"> monetary value of $</w:t>
      </w:r>
      <w:r w:rsidR="00841C0B">
        <w:t>273</w:t>
      </w:r>
      <w:r w:rsidR="0063673E" w:rsidRPr="00830649">
        <w:t xml:space="preserve"> </w:t>
      </w:r>
      <w:r w:rsidR="00495AE1" w:rsidRPr="00830649">
        <w:t>million.</w:t>
      </w:r>
      <w:r w:rsidR="004E5FC5">
        <w:t xml:space="preserve"> </w:t>
      </w:r>
      <w:r w:rsidR="00495AE1" w:rsidRPr="005953ED">
        <w:t xml:space="preserve">In addition to the potential health benefits from current smokers, TPP will have an ongoing impact on the uptake of smoking for each subsequent cohort of potential smokers (i.e. those currently aged 11). </w:t>
      </w:r>
      <w:r>
        <w:t>For example, a</w:t>
      </w:r>
      <w:r w:rsidR="00495AE1" w:rsidRPr="005953ED">
        <w:t xml:space="preserve"> </w:t>
      </w:r>
      <w:r w:rsidR="007440B8">
        <w:t xml:space="preserve">half per-cent </w:t>
      </w:r>
      <w:r w:rsidR="00495AE1" w:rsidRPr="005953ED">
        <w:t xml:space="preserve">reduction in those who are estimated to take up smoking in the future is equal to </w:t>
      </w:r>
      <w:r w:rsidR="0063673E">
        <w:t>70</w:t>
      </w:r>
      <w:r w:rsidR="0063673E" w:rsidRPr="005953ED">
        <w:t xml:space="preserve"> </w:t>
      </w:r>
      <w:r w:rsidR="00495AE1" w:rsidRPr="005953ED">
        <w:t xml:space="preserve">persons each and every subsequent year. This would translate to an additional </w:t>
      </w:r>
      <w:r w:rsidR="0063673E">
        <w:t>160</w:t>
      </w:r>
      <w:r w:rsidR="0063673E" w:rsidRPr="005953ED">
        <w:t xml:space="preserve"> </w:t>
      </w:r>
      <w:r w:rsidR="00495AE1" w:rsidRPr="005953ED">
        <w:t>life years each and every year after the introduction of the TPP.</w:t>
      </w:r>
    </w:p>
    <w:p w14:paraId="5586C539" w14:textId="7EB186BC" w:rsidR="00495AE1" w:rsidRDefault="00495AE1" w:rsidP="00495AE1">
      <w:r>
        <w:rPr>
          <w:lang w:val="en-GB"/>
        </w:rPr>
        <w:t xml:space="preserve">Based on a </w:t>
      </w:r>
      <w:r w:rsidR="00181E94">
        <w:rPr>
          <w:lang w:val="en-GB"/>
        </w:rPr>
        <w:t>regulatory</w:t>
      </w:r>
      <w:r w:rsidR="0063673E">
        <w:rPr>
          <w:lang w:val="en-GB"/>
        </w:rPr>
        <w:t xml:space="preserve"> burden measurement</w:t>
      </w:r>
      <w:r>
        <w:rPr>
          <w:lang w:val="en-GB"/>
        </w:rPr>
        <w:t xml:space="preserve"> for TPP of $</w:t>
      </w:r>
      <w:r w:rsidR="006923D1">
        <w:rPr>
          <w:lang w:val="en-GB"/>
        </w:rPr>
        <w:t>73</w:t>
      </w:r>
      <w:r w:rsidR="0063673E">
        <w:rPr>
          <w:lang w:val="en-GB"/>
        </w:rPr>
        <w:t>.</w:t>
      </w:r>
      <w:r w:rsidR="006923D1">
        <w:rPr>
          <w:lang w:val="en-GB"/>
        </w:rPr>
        <w:t xml:space="preserve">87 </w:t>
      </w:r>
      <w:r>
        <w:rPr>
          <w:lang w:val="en-GB"/>
        </w:rPr>
        <w:t>million</w:t>
      </w:r>
      <w:r w:rsidR="007440B8">
        <w:rPr>
          <w:rStyle w:val="FootnoteReference"/>
          <w:lang w:val="en-GB"/>
        </w:rPr>
        <w:footnoteReference w:id="22"/>
      </w:r>
      <w:r>
        <w:rPr>
          <w:lang w:val="en-GB"/>
        </w:rPr>
        <w:t xml:space="preserve">, a </w:t>
      </w:r>
      <w:r w:rsidR="0063673E">
        <w:rPr>
          <w:lang w:val="en-GB"/>
        </w:rPr>
        <w:t>0.013</w:t>
      </w:r>
      <w:r w:rsidR="004A068D">
        <w:rPr>
          <w:lang w:val="en-GB"/>
        </w:rPr>
        <w:t xml:space="preserve"> percentage point</w:t>
      </w:r>
      <w:r>
        <w:rPr>
          <w:lang w:val="en-GB"/>
        </w:rPr>
        <w:t xml:space="preserve"> reduction in smoking prevalence</w:t>
      </w:r>
      <w:r w:rsidR="0063673E">
        <w:rPr>
          <w:lang w:val="en-GB"/>
        </w:rPr>
        <w:t xml:space="preserve"> </w:t>
      </w:r>
      <w:r>
        <w:rPr>
          <w:lang w:val="en-GB"/>
        </w:rPr>
        <w:t>attributable to the TPP would generate sufficient health benefits in a monetary value to exceed the</w:t>
      </w:r>
      <w:r w:rsidR="004E5FC5">
        <w:rPr>
          <w:lang w:val="en-GB"/>
        </w:rPr>
        <w:t xml:space="preserve"> </w:t>
      </w:r>
      <w:r w:rsidR="00AD5445">
        <w:rPr>
          <w:lang w:val="en-GB"/>
        </w:rPr>
        <w:t xml:space="preserve">estimated potential </w:t>
      </w:r>
      <w:r w:rsidR="004E5FC5">
        <w:rPr>
          <w:lang w:val="en-GB"/>
        </w:rPr>
        <w:t>compliance</w:t>
      </w:r>
      <w:r>
        <w:rPr>
          <w:lang w:val="en-GB"/>
        </w:rPr>
        <w:t xml:space="preserve"> cost</w:t>
      </w:r>
      <w:r w:rsidR="004E5FC5">
        <w:rPr>
          <w:lang w:val="en-GB"/>
        </w:rPr>
        <w:t>s</w:t>
      </w:r>
      <w:r>
        <w:rPr>
          <w:lang w:val="en-GB"/>
        </w:rPr>
        <w:t xml:space="preserve"> of the TPP.</w:t>
      </w:r>
    </w:p>
    <w:p w14:paraId="2E490EB9" w14:textId="77777777" w:rsidR="00495AE1" w:rsidRDefault="00495AE1" w:rsidP="00495AE1">
      <w:r>
        <w:t>With respect to potential reduced profits and/or reduced value of tobacco brands, this analysis has considered the net impact of the tobacco plain packaging measure over the broader economy. Specifically, any reduced expenditure on tobacco products are likely to be redistributed into non-tobacco industries and any reduced value of tobacco product brands likely to be offset by increased value of non-tobacco product brands.</w:t>
      </w:r>
    </w:p>
    <w:p w14:paraId="43C6A214" w14:textId="59F4C227" w:rsidR="00495AE1" w:rsidRDefault="00495AE1" w:rsidP="00495AE1">
      <w:r>
        <w:t xml:space="preserve">This analysis has </w:t>
      </w:r>
      <w:r w:rsidR="004E5FC5">
        <w:t xml:space="preserve">also </w:t>
      </w:r>
      <w:r>
        <w:t>considered and included the potential disruption on tobacco retailers from the sale of tobacco products in plain packaging. The evidence indicates that Australian retailers have quickly adapted to any imposition. However, during this period of adaptation and through investment in strategies to mitigate any such imposition, retailers have incurred costs. This study has relied upon both published peer-review evidence as well as evidence provided during consultation</w:t>
      </w:r>
      <w:r w:rsidR="0012262E">
        <w:t>s</w:t>
      </w:r>
      <w:r>
        <w:t xml:space="preserve"> to provide </w:t>
      </w:r>
      <w:r w:rsidR="0012262E">
        <w:t xml:space="preserve">an </w:t>
      </w:r>
      <w:r>
        <w:t>estimate that is reflective of these activities.</w:t>
      </w:r>
    </w:p>
    <w:p w14:paraId="3E8917ED" w14:textId="3B5370F8" w:rsidR="003F3ACF" w:rsidRDefault="00495AE1" w:rsidP="001D186D">
      <w:pPr>
        <w:tabs>
          <w:tab w:val="clear" w:pos="357"/>
        </w:tabs>
        <w:spacing w:before="0" w:after="200" w:line="276" w:lineRule="auto"/>
        <w:rPr>
          <w:b/>
        </w:rPr>
      </w:pPr>
      <w:r>
        <w:t xml:space="preserve">In addition to the potential health benefits, tobacco plain packaging is also likely to produce ongoing cost savings associated with reduced packaging expenses. Based on a previously </w:t>
      </w:r>
      <w:r>
        <w:lastRenderedPageBreak/>
        <w:t xml:space="preserve">published estimate of the reduced packaging costs (and adjusted to an Australian dollar estimate), </w:t>
      </w:r>
      <w:r w:rsidR="004E5FC5">
        <w:t xml:space="preserve">an illustrative example </w:t>
      </w:r>
      <w:r w:rsidR="0012262E">
        <w:t>showed these savings could be within the range of</w:t>
      </w:r>
      <w:r w:rsidR="004E5FC5">
        <w:t xml:space="preserve"> </w:t>
      </w:r>
      <w:r w:rsidR="004E5FC5" w:rsidRPr="001D186D">
        <w:t>$</w:t>
      </w:r>
      <w:r w:rsidR="004A068D" w:rsidRPr="001D186D">
        <w:t>92</w:t>
      </w:r>
      <w:r w:rsidR="004E5FC5" w:rsidRPr="001D186D">
        <w:t xml:space="preserve"> million and $</w:t>
      </w:r>
      <w:r w:rsidR="004A068D" w:rsidRPr="001D186D">
        <w:t>277</w:t>
      </w:r>
      <w:r w:rsidR="004E5FC5" w:rsidRPr="001D186D">
        <w:t xml:space="preserve"> million</w:t>
      </w:r>
      <w:r w:rsidRPr="001D186D">
        <w:t xml:space="preserve"> over a </w:t>
      </w:r>
      <w:r w:rsidR="001D186D" w:rsidRPr="001D186D">
        <w:t>ten-year</w:t>
      </w:r>
      <w:r w:rsidRPr="001D186D">
        <w:t xml:space="preserve"> period. </w:t>
      </w:r>
      <w:r w:rsidR="0012262E" w:rsidRPr="001D186D">
        <w:t>Such savings</w:t>
      </w:r>
      <w:r w:rsidR="000A0F8D" w:rsidRPr="001D186D">
        <w:t>, if a</w:t>
      </w:r>
      <w:r w:rsidR="000A0F8D">
        <w:t>chieved,</w:t>
      </w:r>
      <w:r w:rsidR="0012262E">
        <w:t xml:space="preserve"> would outweigh the</w:t>
      </w:r>
      <w:r w:rsidR="00F272F2">
        <w:t xml:space="preserve"> estimated </w:t>
      </w:r>
      <w:r w:rsidR="0012262E">
        <w:t>compliance costs of the measure.</w:t>
      </w:r>
      <w:r>
        <w:t xml:space="preserve"> </w:t>
      </w:r>
      <w:r w:rsidR="003F3ACF">
        <w:rPr>
          <w:b/>
        </w:rPr>
        <w:br w:type="page"/>
      </w:r>
    </w:p>
    <w:p w14:paraId="2C67AB73" w14:textId="77777777" w:rsidR="003004AD" w:rsidRPr="000F4F0F" w:rsidRDefault="009F7434" w:rsidP="009F7434">
      <w:pPr>
        <w:pStyle w:val="Heading1"/>
        <w:rPr>
          <w:szCs w:val="36"/>
        </w:rPr>
      </w:pPr>
      <w:bookmarkStart w:id="141" w:name="_Toc427737371"/>
      <w:bookmarkStart w:id="142" w:name="_Toc443560349"/>
      <w:bookmarkStart w:id="143" w:name="_Toc443560377"/>
      <w:bookmarkStart w:id="144" w:name="_Toc443560427"/>
      <w:r w:rsidRPr="000F4F0F">
        <w:rPr>
          <w:szCs w:val="36"/>
        </w:rPr>
        <w:lastRenderedPageBreak/>
        <w:t>References</w:t>
      </w:r>
      <w:bookmarkEnd w:id="141"/>
      <w:bookmarkEnd w:id="142"/>
      <w:bookmarkEnd w:id="143"/>
      <w:bookmarkEnd w:id="144"/>
    </w:p>
    <w:p w14:paraId="20293824" w14:textId="1ECBC30C" w:rsidR="008A14C8" w:rsidRPr="008A14C8" w:rsidRDefault="00A05B75" w:rsidP="008A14C8">
      <w:pPr>
        <w:pStyle w:val="EndNoteBibliography"/>
        <w:spacing w:after="240"/>
      </w:pPr>
      <w:r>
        <w:fldChar w:fldCharType="begin"/>
      </w:r>
      <w:r w:rsidR="003004AD">
        <w:instrText xml:space="preserve"> ADDIN EN.REFLIST </w:instrText>
      </w:r>
      <w:r>
        <w:fldChar w:fldCharType="separate"/>
      </w:r>
      <w:bookmarkStart w:id="145" w:name="_ENREF_1"/>
      <w:r w:rsidR="008A14C8" w:rsidRPr="008A14C8">
        <w:t xml:space="preserve">Applied Economics. (2003). </w:t>
      </w:r>
      <w:hyperlink r:id="rId23" w:history="1">
        <w:r w:rsidR="008A14C8" w:rsidRPr="002F74F4">
          <w:rPr>
            <w:rStyle w:val="Hyperlink"/>
            <w:i/>
          </w:rPr>
          <w:t>Cost-benefit analysis of proposed new health warnings on tobacco products</w:t>
        </w:r>
        <w:r w:rsidR="008A14C8" w:rsidRPr="002F74F4">
          <w:rPr>
            <w:rStyle w:val="Hyperlink"/>
          </w:rPr>
          <w:t>.</w:t>
        </w:r>
      </w:hyperlink>
      <w:r w:rsidR="008A14C8" w:rsidRPr="008A14C8">
        <w:t xml:space="preserve"> Sydney: Applied Economics Retrieved from </w:t>
      </w:r>
      <w:r w:rsidR="008A14C8" w:rsidRPr="002F74F4">
        <w:t>www.appliedeconomics.com.au/pubs/reports/rep03_health_notfinish.htm</w:t>
      </w:r>
      <w:r w:rsidR="008A14C8" w:rsidRPr="008A14C8">
        <w:t>.</w:t>
      </w:r>
      <w:bookmarkEnd w:id="145"/>
    </w:p>
    <w:p w14:paraId="685B7CFD" w14:textId="77777777" w:rsidR="008A14C8" w:rsidRPr="008A14C8" w:rsidRDefault="008A14C8" w:rsidP="008A14C8">
      <w:pPr>
        <w:pStyle w:val="EndNoteBibliography"/>
        <w:spacing w:after="240"/>
      </w:pPr>
      <w:bookmarkStart w:id="146" w:name="_ENREF_2"/>
      <w:r w:rsidRPr="008A14C8">
        <w:t xml:space="preserve">Australian Bureau of Statistics. (2003). </w:t>
      </w:r>
      <w:r w:rsidRPr="008A14C8">
        <w:rPr>
          <w:i/>
        </w:rPr>
        <w:t>Working Arrangements, Australia</w:t>
      </w:r>
      <w:r w:rsidRPr="008A14C8">
        <w:t>. Canberra: ABS.</w:t>
      </w:r>
      <w:bookmarkEnd w:id="146"/>
    </w:p>
    <w:p w14:paraId="18D6F3CB" w14:textId="77777777" w:rsidR="008A14C8" w:rsidRPr="008A14C8" w:rsidRDefault="008A14C8" w:rsidP="008A14C8">
      <w:pPr>
        <w:pStyle w:val="EndNoteBibliography"/>
        <w:spacing w:after="240"/>
      </w:pPr>
      <w:bookmarkStart w:id="147" w:name="_ENREF_3"/>
      <w:r w:rsidRPr="008A14C8">
        <w:t xml:space="preserve">Australian Bureau of Statistics. (2014a). </w:t>
      </w:r>
      <w:r w:rsidRPr="008A14C8">
        <w:rPr>
          <w:i/>
        </w:rPr>
        <w:t>Australian Demographic Statistics, Dec 2014 Cat 3101.0</w:t>
      </w:r>
      <w:r w:rsidRPr="008A14C8">
        <w:t>. Canberra: ABS.</w:t>
      </w:r>
      <w:bookmarkEnd w:id="147"/>
    </w:p>
    <w:p w14:paraId="09536C38" w14:textId="77777777" w:rsidR="008A14C8" w:rsidRPr="008A14C8" w:rsidRDefault="008A14C8" w:rsidP="008A14C8">
      <w:pPr>
        <w:pStyle w:val="EndNoteBibliography"/>
        <w:spacing w:after="240"/>
      </w:pPr>
      <w:bookmarkStart w:id="148" w:name="_ENREF_4"/>
      <w:r w:rsidRPr="008A14C8">
        <w:t xml:space="preserve">Australian Bureau of Statistics. (2014b). </w:t>
      </w:r>
      <w:r w:rsidRPr="008A14C8">
        <w:rPr>
          <w:i/>
        </w:rPr>
        <w:t>Life Tables, States, Territories and Australia, 2011-2013</w:t>
      </w:r>
      <w:r w:rsidRPr="008A14C8">
        <w:t>. Canberra: ABS.</w:t>
      </w:r>
      <w:bookmarkEnd w:id="148"/>
    </w:p>
    <w:p w14:paraId="606B6008" w14:textId="77777777" w:rsidR="008A14C8" w:rsidRPr="008A14C8" w:rsidRDefault="008A14C8" w:rsidP="008A14C8">
      <w:pPr>
        <w:pStyle w:val="EndNoteBibliography"/>
        <w:spacing w:after="240"/>
      </w:pPr>
      <w:bookmarkStart w:id="149" w:name="_ENREF_5"/>
      <w:r w:rsidRPr="008A14C8">
        <w:t xml:space="preserve">Australian Bureau of Statistics. (2015). </w:t>
      </w:r>
      <w:r w:rsidRPr="008A14C8">
        <w:rPr>
          <w:i/>
        </w:rPr>
        <w:t>Australian National Accounts</w:t>
      </w:r>
      <w:r w:rsidRPr="008A14C8">
        <w:t>. Canberra: ABS.</w:t>
      </w:r>
      <w:bookmarkEnd w:id="149"/>
    </w:p>
    <w:p w14:paraId="124FFBE2" w14:textId="77777777" w:rsidR="008A14C8" w:rsidRPr="008A14C8" w:rsidRDefault="008A14C8" w:rsidP="008A14C8">
      <w:pPr>
        <w:pStyle w:val="EndNoteBibliography"/>
        <w:spacing w:after="240"/>
      </w:pPr>
      <w:bookmarkStart w:id="150" w:name="_ENREF_6"/>
      <w:r w:rsidRPr="008A14C8">
        <w:t xml:space="preserve">Australian Customs and Border Protection Service. (2014). </w:t>
      </w:r>
      <w:r w:rsidRPr="008A14C8">
        <w:rPr>
          <w:i/>
        </w:rPr>
        <w:t>Annual Report 2013/2014</w:t>
      </w:r>
      <w:r w:rsidRPr="008A14C8">
        <w:t xml:space="preserve">. Retrieved from Canberra: </w:t>
      </w:r>
      <w:bookmarkEnd w:id="150"/>
    </w:p>
    <w:p w14:paraId="217ED2F0" w14:textId="77777777" w:rsidR="008A14C8" w:rsidRPr="008A14C8" w:rsidRDefault="008A14C8" w:rsidP="008A14C8">
      <w:pPr>
        <w:pStyle w:val="EndNoteBibliography"/>
        <w:spacing w:after="240"/>
      </w:pPr>
      <w:bookmarkStart w:id="151" w:name="_ENREF_7"/>
      <w:r w:rsidRPr="008A14C8">
        <w:t xml:space="preserve">Australian Institute of Health and Welfare. (2014). </w:t>
      </w:r>
      <w:r w:rsidRPr="008A14C8">
        <w:rPr>
          <w:i/>
        </w:rPr>
        <w:t>National Drug Strategy Household Survey detailed report 2013</w:t>
      </w:r>
      <w:r w:rsidRPr="008A14C8">
        <w:t xml:space="preserve">. Retrieved from Canberra: </w:t>
      </w:r>
      <w:bookmarkEnd w:id="151"/>
    </w:p>
    <w:p w14:paraId="196EFFC1" w14:textId="77777777" w:rsidR="008A14C8" w:rsidRPr="008A14C8" w:rsidRDefault="008A14C8" w:rsidP="008A14C8">
      <w:pPr>
        <w:pStyle w:val="EndNoteBibliography"/>
        <w:spacing w:after="240"/>
      </w:pPr>
      <w:bookmarkStart w:id="152" w:name="_ENREF_8"/>
      <w:r w:rsidRPr="008A14C8">
        <w:t xml:space="preserve">Banks, Emily, Joshy, Grace, Weber, Marianne F, Liu, Bette, Grenfell, Robert, Egger, Sam, . . . Beral, Valerie. (2015). Tobacco smoking an all-cause mortality in a large Australian cohort study: findings from a mature epidemic with current low smoking prevalence. </w:t>
      </w:r>
      <w:r w:rsidRPr="008A14C8">
        <w:rPr>
          <w:i/>
        </w:rPr>
        <w:t>BMC Medicine, 13</w:t>
      </w:r>
      <w:r w:rsidRPr="008A14C8">
        <w:t xml:space="preserve">, 38. </w:t>
      </w:r>
      <w:bookmarkEnd w:id="152"/>
    </w:p>
    <w:p w14:paraId="52565C4A" w14:textId="4E9C37E4" w:rsidR="008A14C8" w:rsidRPr="008A14C8" w:rsidRDefault="008A14C8" w:rsidP="008A14C8">
      <w:pPr>
        <w:pStyle w:val="EndNoteBibliography"/>
        <w:spacing w:after="240"/>
      </w:pPr>
      <w:bookmarkStart w:id="153" w:name="_ENREF_9"/>
      <w:r w:rsidRPr="008A14C8">
        <w:t xml:space="preserve">Bayly, Megan, Scollo, Michelle, &amp; Wakefield, Melanie. (2015). No lasting effects of plain packaging on cigarette pack retrieval time in small Australian retail outlets. </w:t>
      </w:r>
      <w:hyperlink r:id="rId24" w:history="1">
        <w:r w:rsidRPr="002F74F4">
          <w:rPr>
            <w:rStyle w:val="Hyperlink"/>
            <w:i/>
          </w:rPr>
          <w:t>Tobacco control</w:t>
        </w:r>
      </w:hyperlink>
      <w:r w:rsidRPr="008A14C8">
        <w:rPr>
          <w:i/>
        </w:rPr>
        <w:t>, 24</w:t>
      </w:r>
      <w:r w:rsidRPr="008A14C8">
        <w:t xml:space="preserve">(e1), e108-e109.  Retrieved from </w:t>
      </w:r>
      <w:r w:rsidRPr="002F74F4">
        <w:t>http://tobaccocontrol.bmj.com/content/24/e1/e108.short</w:t>
      </w:r>
      <w:bookmarkEnd w:id="153"/>
    </w:p>
    <w:p w14:paraId="561F602B" w14:textId="77777777" w:rsidR="008A14C8" w:rsidRPr="008A14C8" w:rsidRDefault="008A14C8" w:rsidP="008A14C8">
      <w:pPr>
        <w:pStyle w:val="EndNoteBibliography"/>
        <w:spacing w:after="240"/>
      </w:pPr>
      <w:bookmarkStart w:id="154" w:name="_ENREF_10"/>
      <w:r w:rsidRPr="008A14C8">
        <w:t xml:space="preserve">Borland, R, &amp; Savvas, S. (2014). The effects of variant descriptors on the potential effectiveness of plain packaging. </w:t>
      </w:r>
      <w:r w:rsidRPr="008A14C8">
        <w:rPr>
          <w:i/>
        </w:rPr>
        <w:t>Tobacco control, 23</w:t>
      </w:r>
      <w:r w:rsidRPr="008A14C8">
        <w:t xml:space="preserve">, 58-63. </w:t>
      </w:r>
      <w:bookmarkEnd w:id="154"/>
    </w:p>
    <w:p w14:paraId="0CB930EF" w14:textId="77777777" w:rsidR="008A14C8" w:rsidRPr="008A14C8" w:rsidRDefault="008A14C8" w:rsidP="008A14C8">
      <w:pPr>
        <w:pStyle w:val="EndNoteBibliography"/>
        <w:spacing w:after="240"/>
      </w:pPr>
      <w:bookmarkStart w:id="155" w:name="_ENREF_11"/>
      <w:r w:rsidRPr="008A14C8">
        <w:t xml:space="preserve">Borland, R, Savvas, S, Sharkie, F, &amp; Moore, K. (2013). The impact of structural packaging design on young adult smokers' perceptions of tobacco products. </w:t>
      </w:r>
      <w:r w:rsidRPr="008A14C8">
        <w:rPr>
          <w:i/>
        </w:rPr>
        <w:t>Tobacco control, 22</w:t>
      </w:r>
      <w:r w:rsidRPr="008A14C8">
        <w:t xml:space="preserve">, 97-102. </w:t>
      </w:r>
      <w:bookmarkEnd w:id="155"/>
    </w:p>
    <w:p w14:paraId="3796F619" w14:textId="77777777" w:rsidR="008A14C8" w:rsidRPr="008A14C8" w:rsidRDefault="008A14C8" w:rsidP="008A14C8">
      <w:pPr>
        <w:pStyle w:val="EndNoteBibliography"/>
        <w:spacing w:after="240"/>
      </w:pPr>
      <w:bookmarkStart w:id="156" w:name="_ENREF_12"/>
      <w:r w:rsidRPr="008A14C8">
        <w:t xml:space="preserve">Brennan, E, Durkin, S, Coomber, K, Zacher, M, Scollo, M, &amp; Wakefield, M. (2015). Are quitting-related cognitions and behaviours predicted by proximal responses to plain packaging with larger health warnings? Findings from a national cohort study with Australian adult smokers. </w:t>
      </w:r>
      <w:r w:rsidRPr="008A14C8">
        <w:rPr>
          <w:i/>
        </w:rPr>
        <w:t>Tobacco control, 24</w:t>
      </w:r>
      <w:r w:rsidRPr="008A14C8">
        <w:t xml:space="preserve">(Suppl 2), ii33-ii41. </w:t>
      </w:r>
      <w:bookmarkEnd w:id="156"/>
    </w:p>
    <w:p w14:paraId="356BFC8B" w14:textId="77777777" w:rsidR="008A14C8" w:rsidRPr="008A14C8" w:rsidRDefault="008A14C8" w:rsidP="008A14C8">
      <w:pPr>
        <w:pStyle w:val="EndNoteBibliography"/>
        <w:spacing w:after="240"/>
      </w:pPr>
      <w:bookmarkStart w:id="157" w:name="_ENREF_13"/>
      <w:r w:rsidRPr="008A14C8">
        <w:t xml:space="preserve">Bunn, I. I. I. William B., Stave, Gregg M., Downs, Kristen E., Alvir, Jose Ma J., &amp; Dirani, Riad. (2006). Effect of Smoking Status on Productivity Loss. </w:t>
      </w:r>
      <w:r w:rsidRPr="008A14C8">
        <w:rPr>
          <w:i/>
        </w:rPr>
        <w:t>Journal of Occupational and Environmental Medicine, 48</w:t>
      </w:r>
      <w:r w:rsidRPr="008A14C8">
        <w:t xml:space="preserve">(10), 1099-1108. </w:t>
      </w:r>
      <w:bookmarkEnd w:id="157"/>
    </w:p>
    <w:p w14:paraId="0AC423B6" w14:textId="77777777" w:rsidR="008A14C8" w:rsidRPr="008A14C8" w:rsidRDefault="008A14C8" w:rsidP="008A14C8">
      <w:pPr>
        <w:pStyle w:val="EndNoteBibliography"/>
        <w:spacing w:after="240"/>
      </w:pPr>
      <w:bookmarkStart w:id="158" w:name="_ENREF_14"/>
      <w:r w:rsidRPr="008A14C8">
        <w:t xml:space="preserve">Bush, Robert, &amp; Wooden, Mark. (1995). Smoking and absence from work: Australian evidence. </w:t>
      </w:r>
      <w:r w:rsidRPr="008A14C8">
        <w:rPr>
          <w:i/>
        </w:rPr>
        <w:t>Social Science &amp; Medicine, 41</w:t>
      </w:r>
      <w:r w:rsidRPr="008A14C8">
        <w:t xml:space="preserve">(3), 437-446. </w:t>
      </w:r>
      <w:bookmarkEnd w:id="158"/>
    </w:p>
    <w:p w14:paraId="219AADF9" w14:textId="77777777" w:rsidR="008A14C8" w:rsidRPr="008A14C8" w:rsidRDefault="008A14C8" w:rsidP="008A14C8">
      <w:pPr>
        <w:pStyle w:val="EndNoteBibliography"/>
        <w:spacing w:after="240"/>
      </w:pPr>
      <w:bookmarkStart w:id="159" w:name="_ENREF_15"/>
      <w:r w:rsidRPr="008A14C8">
        <w:lastRenderedPageBreak/>
        <w:t xml:space="preserve">Carter, Owen, Mills, Brennen, Phan, Tina, &amp; Bremner, Jonathon. (2012). Measuring the effect of cigarette plain packaging on transaction times and selection errors in a simulation experiment. </w:t>
      </w:r>
      <w:r w:rsidRPr="008A14C8">
        <w:rPr>
          <w:i/>
        </w:rPr>
        <w:t>Tobacco control, 21</w:t>
      </w:r>
      <w:r w:rsidRPr="008A14C8">
        <w:t xml:space="preserve">(6), 572-577. </w:t>
      </w:r>
      <w:bookmarkEnd w:id="159"/>
    </w:p>
    <w:p w14:paraId="4610ED6B" w14:textId="77777777" w:rsidR="008A14C8" w:rsidRPr="008A14C8" w:rsidRDefault="008A14C8" w:rsidP="008A14C8">
      <w:pPr>
        <w:pStyle w:val="EndNoteBibliography"/>
        <w:spacing w:after="240"/>
      </w:pPr>
      <w:bookmarkStart w:id="160" w:name="_ENREF_16"/>
      <w:r w:rsidRPr="008A14C8">
        <w:t xml:space="preserve">Carter, Owen, Welch, Matthew, Mills, Brennen, Phan, Tina, &amp; Chang, Paul. (2013). Plain packaging for cigarettes improves retail transaction times. </w:t>
      </w:r>
      <w:r w:rsidRPr="008A14C8">
        <w:rPr>
          <w:i/>
        </w:rPr>
        <w:t>BMJ (Online), 346</w:t>
      </w:r>
      <w:r w:rsidRPr="008A14C8">
        <w:t xml:space="preserve">(7896). </w:t>
      </w:r>
      <w:bookmarkEnd w:id="160"/>
    </w:p>
    <w:p w14:paraId="1270F20C" w14:textId="77777777" w:rsidR="008A14C8" w:rsidRPr="008A14C8" w:rsidRDefault="008A14C8" w:rsidP="008A14C8">
      <w:pPr>
        <w:pStyle w:val="EndNoteBibliography"/>
        <w:spacing w:after="240"/>
      </w:pPr>
      <w:bookmarkStart w:id="161" w:name="_ENREF_17"/>
      <w:r w:rsidRPr="008A14C8">
        <w:t xml:space="preserve">Centers for Disease Control and Prevention. (2011). Quitting smoking among adults-United States, 2001-2010. </w:t>
      </w:r>
      <w:r w:rsidRPr="008A14C8">
        <w:rPr>
          <w:i/>
        </w:rPr>
        <w:t>MMWR Morbidity and Mortality Weekly Report, 60</w:t>
      </w:r>
      <w:r w:rsidRPr="008A14C8">
        <w:t xml:space="preserve">, 1513-1519. </w:t>
      </w:r>
      <w:bookmarkEnd w:id="161"/>
    </w:p>
    <w:p w14:paraId="1202777A" w14:textId="77777777" w:rsidR="008A14C8" w:rsidRPr="008A14C8" w:rsidRDefault="008A14C8" w:rsidP="008A14C8">
      <w:pPr>
        <w:pStyle w:val="EndNoteBibliography"/>
        <w:spacing w:after="240"/>
      </w:pPr>
      <w:bookmarkStart w:id="162" w:name="_ENREF_18"/>
      <w:r w:rsidRPr="008A14C8">
        <w:t xml:space="preserve">Chaloupka, Frank J, Warner, Kenneth E, Acemoğlu, Daron, Gruber, Jonathan, Laux, Fritz, Max, Wendy, . . . Sindelar, Jody. (2015). An evaluation of the FDA's analysis of the costs and benefits of the graphic warning label regulation. </w:t>
      </w:r>
      <w:r w:rsidRPr="008A14C8">
        <w:rPr>
          <w:i/>
        </w:rPr>
        <w:t>Tobacco control, 24</w:t>
      </w:r>
      <w:r w:rsidRPr="008A14C8">
        <w:t xml:space="preserve">(2), 112-119. </w:t>
      </w:r>
      <w:bookmarkEnd w:id="162"/>
    </w:p>
    <w:p w14:paraId="03AE30E1" w14:textId="77777777" w:rsidR="008A14C8" w:rsidRPr="008A14C8" w:rsidRDefault="008A14C8" w:rsidP="008A14C8">
      <w:pPr>
        <w:pStyle w:val="EndNoteBibliography"/>
        <w:spacing w:after="240"/>
        <w:rPr>
          <w:i/>
        </w:rPr>
      </w:pPr>
      <w:bookmarkStart w:id="163" w:name="_ENREF_19"/>
      <w:r w:rsidRPr="008A14C8">
        <w:t xml:space="preserve">Chantler, Sir Cyril. (April 2014). </w:t>
      </w:r>
      <w:r w:rsidRPr="008A14C8">
        <w:rPr>
          <w:i/>
        </w:rPr>
        <w:t>Standardised packaging of tobacco. Report of the independent review undertaken by Sir Cyril Chantler.</w:t>
      </w:r>
      <w:bookmarkEnd w:id="163"/>
    </w:p>
    <w:p w14:paraId="4C95EBFF" w14:textId="77777777" w:rsidR="008A14C8" w:rsidRPr="008A14C8" w:rsidRDefault="008A14C8" w:rsidP="008A14C8">
      <w:pPr>
        <w:pStyle w:val="EndNoteBibliography"/>
        <w:spacing w:after="240"/>
      </w:pPr>
      <w:bookmarkStart w:id="164" w:name="_ENREF_20"/>
      <w:r w:rsidRPr="008A14C8">
        <w:t xml:space="preserve">Chiang, CL. (1984). </w:t>
      </w:r>
      <w:r w:rsidRPr="008A14C8">
        <w:rPr>
          <w:i/>
        </w:rPr>
        <w:t>The Life Table and its Applications</w:t>
      </w:r>
      <w:r w:rsidRPr="008A14C8">
        <w:t>. Malabar, FL: Krieger.</w:t>
      </w:r>
      <w:bookmarkEnd w:id="164"/>
    </w:p>
    <w:p w14:paraId="2E8B81AF" w14:textId="77777777" w:rsidR="008A14C8" w:rsidRPr="008A14C8" w:rsidRDefault="008A14C8" w:rsidP="008A14C8">
      <w:pPr>
        <w:pStyle w:val="EndNoteBibliography"/>
        <w:spacing w:after="240"/>
      </w:pPr>
      <w:bookmarkStart w:id="165" w:name="_ENREF_21"/>
      <w:r w:rsidRPr="008A14C8">
        <w:t xml:space="preserve">Collins, David J, &amp; Lapsley, Helen M. (2008). </w:t>
      </w:r>
      <w:r w:rsidRPr="008A14C8">
        <w:rPr>
          <w:i/>
        </w:rPr>
        <w:t>The costs of tobacco, alcohol and illicit drug abuse to Australian Society in 2004/05</w:t>
      </w:r>
      <w:r w:rsidRPr="008A14C8">
        <w:t>. Canberra: Department of Health and Ageing.</w:t>
      </w:r>
      <w:bookmarkEnd w:id="165"/>
    </w:p>
    <w:p w14:paraId="38FAED91" w14:textId="77777777" w:rsidR="008A14C8" w:rsidRPr="008A14C8" w:rsidRDefault="008A14C8" w:rsidP="008A14C8">
      <w:pPr>
        <w:pStyle w:val="EndNoteBibliography"/>
        <w:spacing w:after="240"/>
      </w:pPr>
      <w:bookmarkStart w:id="166" w:name="_ENREF_22"/>
      <w:r w:rsidRPr="008A14C8">
        <w:t xml:space="preserve">Collins, David J, &amp; Lapsley, Helen M. (2014). </w:t>
      </w:r>
      <w:r w:rsidRPr="008A14C8">
        <w:rPr>
          <w:i/>
        </w:rPr>
        <w:t>The social costs of smoking in Western Australia in 2009/10 and the social benefits of public policy measures to reduce smoking prevalence.</w:t>
      </w:r>
      <w:r w:rsidRPr="008A14C8">
        <w:t xml:space="preserve"> Perth: Cancer Council Western Australia.</w:t>
      </w:r>
      <w:bookmarkEnd w:id="166"/>
    </w:p>
    <w:p w14:paraId="0D78A919" w14:textId="77777777" w:rsidR="008A14C8" w:rsidRPr="008A14C8" w:rsidRDefault="008A14C8" w:rsidP="008A14C8">
      <w:pPr>
        <w:pStyle w:val="EndNoteBibliography"/>
        <w:spacing w:after="240"/>
      </w:pPr>
      <w:bookmarkStart w:id="167" w:name="_ENREF_23"/>
      <w:r w:rsidRPr="008A14C8">
        <w:t xml:space="preserve">Davidson, S, &amp; de Silva, A. (2014). The plain truth about Plain packaging: An econometric analysis of the Australian  2011 Tobacco Plain Packaging Act. </w:t>
      </w:r>
      <w:r w:rsidRPr="008A14C8">
        <w:rPr>
          <w:i/>
        </w:rPr>
        <w:t>Agenda - A Journal of Policy Analysis and Reform, 21</w:t>
      </w:r>
      <w:r w:rsidRPr="008A14C8">
        <w:t xml:space="preserve">(1), 1-5. </w:t>
      </w:r>
      <w:bookmarkEnd w:id="167"/>
    </w:p>
    <w:p w14:paraId="68FBDA41" w14:textId="70A78E67" w:rsidR="008A14C8" w:rsidRPr="008A14C8" w:rsidRDefault="008A14C8" w:rsidP="008A14C8">
      <w:pPr>
        <w:pStyle w:val="EndNoteBibliography"/>
        <w:spacing w:after="240"/>
      </w:pPr>
      <w:bookmarkStart w:id="168" w:name="_ENREF_24"/>
      <w:r w:rsidRPr="008A14C8">
        <w:t xml:space="preserve">Deloitte Touche Tomatsu Ltd. (2011a). </w:t>
      </w:r>
      <w:hyperlink r:id="rId25" w:history="1">
        <w:r w:rsidRPr="002F74F4">
          <w:rPr>
            <w:rStyle w:val="Hyperlink"/>
            <w:i/>
          </w:rPr>
          <w:t>Illicit trade of tobacco in Australia. Prepared for British American Tobacco Australia, Philip Morris d and Imperial Tobacco Australia. Sydney: British American Tobacco Australia</w:t>
        </w:r>
      </w:hyperlink>
      <w:r w:rsidRPr="008A14C8">
        <w:t xml:space="preserve">. Retrieved from </w:t>
      </w:r>
      <w:r w:rsidRPr="002F74F4">
        <w:t>http://www.bata.com.au/group/sites/bat_7wykg8.nsf/vwPagesWebLive/DO7WZEX6/$FILE/medMD8EHAM5.pdf?openelement:</w:t>
      </w:r>
      <w:r w:rsidRPr="008A14C8">
        <w:t xml:space="preserve"> </w:t>
      </w:r>
      <w:bookmarkEnd w:id="168"/>
    </w:p>
    <w:p w14:paraId="20F0D5F8" w14:textId="5B9D6E25" w:rsidR="008A14C8" w:rsidRPr="008A14C8" w:rsidRDefault="008A14C8" w:rsidP="008A14C8">
      <w:pPr>
        <w:pStyle w:val="EndNoteBibliography"/>
        <w:spacing w:after="240"/>
      </w:pPr>
      <w:bookmarkStart w:id="169" w:name="_ENREF_25"/>
      <w:r w:rsidRPr="008A14C8">
        <w:t xml:space="preserve">Deloitte Touche Tomatsu Ltd. (2011b). </w:t>
      </w:r>
      <w:hyperlink r:id="rId26" w:history="1">
        <w:r w:rsidRPr="00B05BB7">
          <w:rPr>
            <w:rStyle w:val="Hyperlink"/>
            <w:i/>
          </w:rPr>
          <w:t>Potential impact on retailers from the introduction of plain tobacco packaging</w:t>
        </w:r>
        <w:r w:rsidRPr="00B05BB7">
          <w:rPr>
            <w:rStyle w:val="Hyperlink"/>
          </w:rPr>
          <w:t>.</w:t>
        </w:r>
      </w:hyperlink>
      <w:r w:rsidRPr="008A14C8">
        <w:t xml:space="preserve"> Retrieved from </w:t>
      </w:r>
      <w:r w:rsidRPr="00B05BB7">
        <w:t>https://www.australianretailers.com.au/downloads/pdf/deloitte/2011_01_31_AAR_Plain_Packaging2.pdf:</w:t>
      </w:r>
      <w:r w:rsidRPr="008A14C8">
        <w:t xml:space="preserve"> </w:t>
      </w:r>
      <w:bookmarkEnd w:id="169"/>
    </w:p>
    <w:p w14:paraId="524D4337" w14:textId="48AD1F19" w:rsidR="008A14C8" w:rsidRPr="008A14C8" w:rsidRDefault="008A14C8" w:rsidP="008A14C8">
      <w:pPr>
        <w:pStyle w:val="EndNoteBibliography"/>
        <w:spacing w:after="240"/>
      </w:pPr>
      <w:bookmarkStart w:id="170" w:name="_ENREF_26"/>
      <w:r w:rsidRPr="008A14C8">
        <w:t xml:space="preserve">Department of Health. (2015). </w:t>
      </w:r>
      <w:hyperlink r:id="rId27" w:history="1">
        <w:r w:rsidRPr="00B05BB7">
          <w:rPr>
            <w:rStyle w:val="Hyperlink"/>
            <w:i/>
          </w:rPr>
          <w:t>Tobacco key facts and figures</w:t>
        </w:r>
      </w:hyperlink>
      <w:r w:rsidRPr="008A14C8">
        <w:t xml:space="preserve">. </w:t>
      </w:r>
      <w:r w:rsidRPr="00B05BB7">
        <w:t>http://www.health.gov.au/internet/main/publishing.nsf/content/tobacco-kff:</w:t>
      </w:r>
      <w:r w:rsidRPr="008A14C8">
        <w:t xml:space="preserve"> Australian Government.</w:t>
      </w:r>
      <w:bookmarkEnd w:id="170"/>
    </w:p>
    <w:p w14:paraId="791870B1" w14:textId="77777777" w:rsidR="008A14C8" w:rsidRPr="008A14C8" w:rsidRDefault="008A14C8" w:rsidP="008A14C8">
      <w:pPr>
        <w:pStyle w:val="EndNoteBibliography"/>
        <w:spacing w:after="240"/>
      </w:pPr>
      <w:bookmarkStart w:id="171" w:name="_ENREF_27"/>
      <w:r w:rsidRPr="008A14C8">
        <w:t xml:space="preserve">Doll, Richard, Peto, Richard, Boreham, Jillian, &amp; Sutherland, Isabelle. (2004). Mortality in relation to smoking: 50 years' observations on male British doctors. </w:t>
      </w:r>
      <w:r w:rsidRPr="008A14C8">
        <w:rPr>
          <w:i/>
        </w:rPr>
        <w:t>BMJ, 328</w:t>
      </w:r>
      <w:r w:rsidRPr="008A14C8">
        <w:t xml:space="preserve">(7455), 1519-1528. </w:t>
      </w:r>
      <w:bookmarkEnd w:id="171"/>
    </w:p>
    <w:p w14:paraId="39A81CBA" w14:textId="77777777" w:rsidR="008A14C8" w:rsidRPr="008A14C8" w:rsidRDefault="008A14C8" w:rsidP="008A14C8">
      <w:pPr>
        <w:pStyle w:val="EndNoteBibliography"/>
        <w:spacing w:after="240"/>
      </w:pPr>
      <w:bookmarkStart w:id="172" w:name="_ENREF_28"/>
      <w:r w:rsidRPr="008A14C8">
        <w:t xml:space="preserve">Euromonitor International. (2014). </w:t>
      </w:r>
      <w:r w:rsidRPr="008A14C8">
        <w:rPr>
          <w:i/>
        </w:rPr>
        <w:t>Tobacco in Australia</w:t>
      </w:r>
      <w:r w:rsidRPr="008A14C8">
        <w:t>. Euromonitor International.</w:t>
      </w:r>
      <w:bookmarkEnd w:id="172"/>
    </w:p>
    <w:p w14:paraId="0162F11A" w14:textId="77777777" w:rsidR="008A14C8" w:rsidRPr="008A14C8" w:rsidRDefault="008A14C8" w:rsidP="008A14C8">
      <w:pPr>
        <w:pStyle w:val="EndNoteBibliography"/>
        <w:spacing w:after="240"/>
      </w:pPr>
      <w:bookmarkStart w:id="173" w:name="_ENREF_29"/>
      <w:r w:rsidRPr="008A14C8">
        <w:lastRenderedPageBreak/>
        <w:t xml:space="preserve">Europe Economics. (2008). </w:t>
      </w:r>
      <w:r w:rsidRPr="008A14C8">
        <w:rPr>
          <w:i/>
        </w:rPr>
        <w:t>Economic analysis of a display ban and/or a plain packs requirement in the UK</w:t>
      </w:r>
      <w:r w:rsidRPr="008A14C8">
        <w:t>. London: Europe Economics.</w:t>
      </w:r>
      <w:bookmarkEnd w:id="173"/>
    </w:p>
    <w:p w14:paraId="4BC82AA4" w14:textId="77777777" w:rsidR="008A14C8" w:rsidRPr="008A14C8" w:rsidRDefault="008A14C8" w:rsidP="008A14C8">
      <w:pPr>
        <w:pStyle w:val="EndNoteBibliography"/>
        <w:spacing w:after="240"/>
      </w:pPr>
      <w:bookmarkStart w:id="174" w:name="_ENREF_30"/>
      <w:r w:rsidRPr="008A14C8">
        <w:t xml:space="preserve">Fong, Geoffrey T., Hammond, David, Laux, Fritz L., Zanna, Mark P., Cummings, K. Michael, Borland, Ron, &amp; Ross, Hana. (2004). The near-universal experience of regret among smokers in four countries: Findings from the International Tobacco Control Policy Evaluation Survey. </w:t>
      </w:r>
      <w:r w:rsidRPr="008A14C8">
        <w:rPr>
          <w:i/>
        </w:rPr>
        <w:t>Nicotine &amp; Tobacco Research, 6</w:t>
      </w:r>
      <w:r w:rsidRPr="008A14C8">
        <w:t xml:space="preserve">(Supplementary 3), S341-S351. </w:t>
      </w:r>
      <w:bookmarkEnd w:id="174"/>
    </w:p>
    <w:p w14:paraId="5918B842" w14:textId="77777777" w:rsidR="008A14C8" w:rsidRPr="008A14C8" w:rsidRDefault="008A14C8" w:rsidP="008A14C8">
      <w:pPr>
        <w:pStyle w:val="EndNoteBibliography"/>
        <w:spacing w:after="240"/>
      </w:pPr>
      <w:bookmarkStart w:id="175" w:name="_ENREF_31"/>
      <w:r w:rsidRPr="008A14C8">
        <w:t xml:space="preserve">Grey, R. J., Hoek, J., &amp; Edwards, R. (2014). A qualitative analysis of 'informed choice' among young adult smokers. </w:t>
      </w:r>
      <w:r w:rsidRPr="008A14C8">
        <w:rPr>
          <w:i/>
        </w:rPr>
        <w:t>Tobacco control, 0</w:t>
      </w:r>
      <w:r w:rsidRPr="008A14C8">
        <w:t xml:space="preserve">, 1-6. </w:t>
      </w:r>
      <w:bookmarkEnd w:id="175"/>
    </w:p>
    <w:p w14:paraId="2461A9C0" w14:textId="77777777" w:rsidR="008A14C8" w:rsidRPr="008A14C8" w:rsidRDefault="008A14C8" w:rsidP="008A14C8">
      <w:pPr>
        <w:pStyle w:val="EndNoteBibliography"/>
        <w:spacing w:after="240"/>
      </w:pPr>
      <w:bookmarkStart w:id="176" w:name="_ENREF_32"/>
      <w:r w:rsidRPr="008A14C8">
        <w:t xml:space="preserve">Gruber, Jonathan, &amp; Koszegi, B. (2008). </w:t>
      </w:r>
      <w:r w:rsidRPr="008A14C8">
        <w:rPr>
          <w:i/>
        </w:rPr>
        <w:t>A modern economic view of tobacco taxation</w:t>
      </w:r>
      <w:r w:rsidRPr="008A14C8">
        <w:t>. Paris: International Union against Tuberculosis and Lung disease.</w:t>
      </w:r>
      <w:bookmarkEnd w:id="176"/>
    </w:p>
    <w:p w14:paraId="51B9E232" w14:textId="77777777" w:rsidR="008A14C8" w:rsidRPr="008A14C8" w:rsidRDefault="008A14C8" w:rsidP="008A14C8">
      <w:pPr>
        <w:pStyle w:val="EndNoteBibliography"/>
        <w:spacing w:after="240"/>
      </w:pPr>
      <w:bookmarkStart w:id="177" w:name="_ENREF_33"/>
      <w:r w:rsidRPr="008A14C8">
        <w:t xml:space="preserve">Hamilton, RebeccaW, Thompson, DeboraV, Arens, ZacharyG, Blanchard, SimonJ, Häubl, Gerald, Kannan, P. K., . . . Thomas, Manoj. (2014). Consumer substitution decisions: an integrative framework. </w:t>
      </w:r>
      <w:r w:rsidRPr="008A14C8">
        <w:rPr>
          <w:i/>
        </w:rPr>
        <w:t>Marketing Letters, 25</w:t>
      </w:r>
      <w:r w:rsidRPr="008A14C8">
        <w:t xml:space="preserve">(3), 305-317. </w:t>
      </w:r>
      <w:bookmarkEnd w:id="177"/>
    </w:p>
    <w:p w14:paraId="632781E3" w14:textId="77777777" w:rsidR="008A14C8" w:rsidRPr="008A14C8" w:rsidRDefault="008A14C8" w:rsidP="008A14C8">
      <w:pPr>
        <w:pStyle w:val="EndNoteBibliography"/>
        <w:spacing w:after="240"/>
      </w:pPr>
      <w:bookmarkStart w:id="178" w:name="_ENREF_34"/>
      <w:r w:rsidRPr="008A14C8">
        <w:t xml:space="preserve">Jang, A, Park, S, Kim, D, Whang, H, Lim, G, &amp; Park, C. (2010). Effects of smoking cessation on airflow obstruction and quality of life in asthmatic smokers. </w:t>
      </w:r>
      <w:r w:rsidRPr="008A14C8">
        <w:rPr>
          <w:i/>
        </w:rPr>
        <w:t>Allergy Astma Immunol Res., 2</w:t>
      </w:r>
      <w:r w:rsidRPr="008A14C8">
        <w:t xml:space="preserve">(4), 254-259. </w:t>
      </w:r>
      <w:bookmarkEnd w:id="178"/>
    </w:p>
    <w:p w14:paraId="7DAEC69D" w14:textId="77777777" w:rsidR="008A14C8" w:rsidRPr="008A14C8" w:rsidRDefault="008A14C8" w:rsidP="008A14C8">
      <w:pPr>
        <w:pStyle w:val="EndNoteBibliography"/>
        <w:spacing w:after="240"/>
      </w:pPr>
      <w:bookmarkStart w:id="179" w:name="_ENREF_35"/>
      <w:r w:rsidRPr="008A14C8">
        <w:t xml:space="preserve">Jha, P, Ramasundarahettige, C, Landsman, V, Rostron, B, Thun, M, Anderson, R, . . . Peto, Richard. (2013). 21-st Century hazards of smoking and benefits of cessation in the United States. </w:t>
      </w:r>
      <w:r w:rsidRPr="008A14C8">
        <w:rPr>
          <w:i/>
        </w:rPr>
        <w:t>The New England Journal of Medicine, 367</w:t>
      </w:r>
      <w:r w:rsidRPr="008A14C8">
        <w:t xml:space="preserve">(4), 341. </w:t>
      </w:r>
      <w:bookmarkEnd w:id="179"/>
    </w:p>
    <w:p w14:paraId="35067D7B" w14:textId="77777777" w:rsidR="008A14C8" w:rsidRPr="008A14C8" w:rsidRDefault="008A14C8" w:rsidP="008A14C8">
      <w:pPr>
        <w:pStyle w:val="EndNoteBibliography"/>
        <w:spacing w:after="240"/>
      </w:pPr>
      <w:bookmarkStart w:id="180" w:name="_ENREF_36"/>
      <w:r w:rsidRPr="008A14C8">
        <w:t xml:space="preserve">Johnston, Lloyd D, O'Malley, Patrick M, Bachman, Jerald G, Schulenberg, John E, &amp; Miech, Richard A. (2013). </w:t>
      </w:r>
      <w:r w:rsidRPr="008A14C8">
        <w:rPr>
          <w:i/>
        </w:rPr>
        <w:t>Monitoring the future national survey results on drug use 1975-2013</w:t>
      </w:r>
      <w:r w:rsidRPr="008A14C8">
        <w:t>. Ann Arbor, MI: Institute for Social Research, The University of Michigan.</w:t>
      </w:r>
      <w:bookmarkEnd w:id="180"/>
    </w:p>
    <w:p w14:paraId="5508A8AE" w14:textId="77777777" w:rsidR="008A14C8" w:rsidRPr="008A14C8" w:rsidRDefault="008A14C8" w:rsidP="008A14C8">
      <w:pPr>
        <w:pStyle w:val="EndNoteBibliography"/>
        <w:spacing w:after="240"/>
      </w:pPr>
      <w:bookmarkStart w:id="181" w:name="_ENREF_37"/>
      <w:r w:rsidRPr="008A14C8">
        <w:t xml:space="preserve">Junor, W, Collins, David J, &amp; Lapsley, Helen M. (June 2004). </w:t>
      </w:r>
      <w:r w:rsidRPr="008A14C8">
        <w:rPr>
          <w:i/>
        </w:rPr>
        <w:t>The macroeconomic and distributional effects of reduced smoking prevalence in New South Wales.</w:t>
      </w:r>
      <w:r w:rsidRPr="008A14C8">
        <w:t xml:space="preserve"> Sydney: The Cancer Council New South Wales.</w:t>
      </w:r>
      <w:bookmarkEnd w:id="181"/>
    </w:p>
    <w:p w14:paraId="483C029D" w14:textId="74AB144D" w:rsidR="008A14C8" w:rsidRPr="008A14C8" w:rsidRDefault="008A14C8" w:rsidP="008A14C8">
      <w:pPr>
        <w:pStyle w:val="EndNoteBibliography"/>
        <w:spacing w:after="240"/>
      </w:pPr>
      <w:bookmarkStart w:id="182" w:name="_ENREF_38"/>
      <w:r w:rsidRPr="008A14C8">
        <w:t xml:space="preserve">Keep Australia Beautiful Queensland. </w:t>
      </w:r>
      <w:hyperlink r:id="rId28" w:history="1">
        <w:r w:rsidRPr="00B05BB7">
          <w:rPr>
            <w:rStyle w:val="Hyperlink"/>
            <w:i/>
          </w:rPr>
          <w:t>What is litter?</w:t>
        </w:r>
      </w:hyperlink>
      <w:r w:rsidRPr="008A14C8">
        <w:t xml:space="preserve"> </w:t>
      </w:r>
      <w:r w:rsidRPr="00B05BB7">
        <w:t>http://www.keepqueenslandbeautiful.org.au/Default.aspx?PageID=6461734&amp;A=SearchResult&amp;SearchID=8260523&amp;ObjectID=6461734&amp;ObjectType=1:</w:t>
      </w:r>
      <w:r w:rsidRPr="008A14C8">
        <w:t xml:space="preserve"> Keep Australia Beautiful Queensland,.</w:t>
      </w:r>
      <w:bookmarkEnd w:id="182"/>
    </w:p>
    <w:p w14:paraId="413D0DFD" w14:textId="12C3E6D8" w:rsidR="008A14C8" w:rsidRPr="008A14C8" w:rsidRDefault="008A14C8" w:rsidP="008A14C8">
      <w:pPr>
        <w:pStyle w:val="EndNoteBibliography"/>
        <w:spacing w:after="240"/>
      </w:pPr>
      <w:bookmarkStart w:id="183" w:name="_ENREF_39"/>
      <w:r w:rsidRPr="008A14C8">
        <w:t xml:space="preserve">Keep Australia Beautiful Queensland. (2015). </w:t>
      </w:r>
      <w:hyperlink r:id="rId29" w:history="1">
        <w:r w:rsidRPr="00B05BB7">
          <w:rPr>
            <w:rStyle w:val="Hyperlink"/>
            <w:i/>
          </w:rPr>
          <w:t>Cigarette Butt Littering</w:t>
        </w:r>
      </w:hyperlink>
      <w:r w:rsidRPr="008A14C8">
        <w:t xml:space="preserve">. </w:t>
      </w:r>
      <w:r w:rsidRPr="00B05BB7">
        <w:t>http://www.keepqueenslandbeautiful.org.au/resources/fact%20sheets/Cigarette%20Butt%20Litter.pdf</w:t>
      </w:r>
      <w:r w:rsidRPr="008A14C8">
        <w:t>.</w:t>
      </w:r>
      <w:bookmarkEnd w:id="183"/>
    </w:p>
    <w:p w14:paraId="5E4E6B4A" w14:textId="77777777" w:rsidR="008A14C8" w:rsidRPr="008A14C8" w:rsidRDefault="008A14C8" w:rsidP="008A14C8">
      <w:pPr>
        <w:pStyle w:val="EndNoteBibliography"/>
        <w:spacing w:after="240"/>
      </w:pPr>
      <w:bookmarkStart w:id="184" w:name="_ENREF_40"/>
      <w:r w:rsidRPr="008A14C8">
        <w:t xml:space="preserve">Kiiskinen, U, Vartiainen, E, Puska, P, &amp; Pekurinen, M. (2002). Smoking-related costs among 25 to 59 year-old males in 19-year individual follow-up. </w:t>
      </w:r>
      <w:r w:rsidRPr="008A14C8">
        <w:rPr>
          <w:i/>
        </w:rPr>
        <w:t>The European Journal of Public Health, 12</w:t>
      </w:r>
      <w:r w:rsidRPr="008A14C8">
        <w:t xml:space="preserve">(2), 145-151. </w:t>
      </w:r>
      <w:bookmarkEnd w:id="184"/>
    </w:p>
    <w:p w14:paraId="0176E18F" w14:textId="461AC5FC" w:rsidR="008A14C8" w:rsidRPr="008A14C8" w:rsidRDefault="008A14C8" w:rsidP="008A14C8">
      <w:pPr>
        <w:pStyle w:val="EndNoteBibliography"/>
        <w:spacing w:after="240"/>
      </w:pPr>
      <w:bookmarkStart w:id="185" w:name="_ENREF_41"/>
      <w:r w:rsidRPr="008A14C8">
        <w:t xml:space="preserve">KPMG. (2013). </w:t>
      </w:r>
      <w:hyperlink r:id="rId30" w:history="1">
        <w:r w:rsidRPr="00B05BB7">
          <w:rPr>
            <w:rStyle w:val="Hyperlink"/>
            <w:i/>
          </w:rPr>
          <w:t>Illicit tobacco in Australia. 2013 Half Year Report</w:t>
        </w:r>
      </w:hyperlink>
      <w:r w:rsidRPr="008A14C8">
        <w:t xml:space="preserve">. Retrieved from </w:t>
      </w:r>
      <w:r w:rsidRPr="00B05BB7">
        <w:t>http://www.bata.com.au/group/sites/BAT_7WYKG8.nsf/vwPagesWebLive/DO9879X3?opendocument&amp;SKN=1:</w:t>
      </w:r>
      <w:r w:rsidRPr="008A14C8">
        <w:t xml:space="preserve"> </w:t>
      </w:r>
      <w:bookmarkEnd w:id="185"/>
    </w:p>
    <w:p w14:paraId="48B7DF19" w14:textId="1BE336DB" w:rsidR="008A14C8" w:rsidRPr="008A14C8" w:rsidRDefault="008A14C8" w:rsidP="008A14C8">
      <w:pPr>
        <w:pStyle w:val="EndNoteBibliography"/>
        <w:spacing w:after="240"/>
      </w:pPr>
      <w:bookmarkStart w:id="186" w:name="_ENREF_42"/>
      <w:r w:rsidRPr="008A14C8">
        <w:lastRenderedPageBreak/>
        <w:t xml:space="preserve">KPMG. (2014a). </w:t>
      </w:r>
      <w:hyperlink r:id="rId31" w:history="1">
        <w:r w:rsidRPr="00B05BB7">
          <w:rPr>
            <w:rStyle w:val="Hyperlink"/>
            <w:i/>
          </w:rPr>
          <w:t>Illicit tobacco in Australia. 2013 Full Year Report</w:t>
        </w:r>
        <w:r w:rsidRPr="00B05BB7">
          <w:rPr>
            <w:rStyle w:val="Hyperlink"/>
          </w:rPr>
          <w:t>.</w:t>
        </w:r>
      </w:hyperlink>
      <w:r w:rsidRPr="008A14C8">
        <w:t xml:space="preserve"> Retrieved from </w:t>
      </w:r>
      <w:r w:rsidRPr="00B05BB7">
        <w:t>http://www.bata.com.au/group/sites/BAT_7WYKG8.nsf/vwPagesWebLive/DO9FC38M?opendocument&amp;SKN=1:</w:t>
      </w:r>
      <w:r w:rsidRPr="008A14C8">
        <w:t xml:space="preserve"> </w:t>
      </w:r>
      <w:bookmarkEnd w:id="186"/>
    </w:p>
    <w:p w14:paraId="50F6AC1B" w14:textId="44A70F1F" w:rsidR="008A14C8" w:rsidRPr="008A14C8" w:rsidRDefault="008A14C8" w:rsidP="008A14C8">
      <w:pPr>
        <w:pStyle w:val="EndNoteBibliography"/>
        <w:spacing w:after="240"/>
      </w:pPr>
      <w:bookmarkStart w:id="187" w:name="_ENREF_43"/>
      <w:r w:rsidRPr="008A14C8">
        <w:t xml:space="preserve">KPMG. (2014b). </w:t>
      </w:r>
      <w:hyperlink r:id="rId32" w:history="1">
        <w:r w:rsidRPr="00B05BB7">
          <w:rPr>
            <w:rStyle w:val="Hyperlink"/>
            <w:i/>
          </w:rPr>
          <w:t>Illicit tobacco in Australia. 2014 Half Year Report</w:t>
        </w:r>
        <w:r w:rsidRPr="00B05BB7">
          <w:rPr>
            <w:rStyle w:val="Hyperlink"/>
          </w:rPr>
          <w:t>.</w:t>
        </w:r>
      </w:hyperlink>
      <w:r w:rsidRPr="008A14C8">
        <w:t xml:space="preserve"> Retrieved from </w:t>
      </w:r>
      <w:r w:rsidRPr="00B05BB7">
        <w:t>http://www.bata.com.au/group/sites/BAT_7WYKG8.nsf/vwPagesWebLive/DO9FC38M?opendocument&amp;SKN=1:</w:t>
      </w:r>
      <w:r w:rsidRPr="008A14C8">
        <w:t xml:space="preserve"> </w:t>
      </w:r>
      <w:bookmarkEnd w:id="187"/>
    </w:p>
    <w:p w14:paraId="22356DF0" w14:textId="39B32DEF" w:rsidR="008A14C8" w:rsidRPr="008A14C8" w:rsidRDefault="008A14C8" w:rsidP="008A14C8">
      <w:pPr>
        <w:pStyle w:val="EndNoteBibliography"/>
        <w:spacing w:after="240"/>
      </w:pPr>
      <w:bookmarkStart w:id="188" w:name="_ENREF_44"/>
      <w:r w:rsidRPr="008A14C8">
        <w:t xml:space="preserve">KPMG. (2015). </w:t>
      </w:r>
      <w:hyperlink r:id="rId33" w:history="1">
        <w:r w:rsidRPr="00B05BB7">
          <w:rPr>
            <w:rStyle w:val="Hyperlink"/>
            <w:i/>
          </w:rPr>
          <w:t>Illicit tobacco in Australia. 2014 Full Year Report</w:t>
        </w:r>
      </w:hyperlink>
      <w:r w:rsidRPr="008A14C8">
        <w:t xml:space="preserve">. Retrieved from </w:t>
      </w:r>
      <w:r w:rsidRPr="00B05BB7">
        <w:t>http://www.bata.com.au/group/sites/BAT_7WYKG8.nsf/vwPagesWebLive/DO9T9289?opendocument:</w:t>
      </w:r>
      <w:r w:rsidRPr="008A14C8">
        <w:t xml:space="preserve"> </w:t>
      </w:r>
      <w:bookmarkEnd w:id="188"/>
    </w:p>
    <w:p w14:paraId="76C759C4" w14:textId="62E1F6C3" w:rsidR="008A14C8" w:rsidRPr="008A14C8" w:rsidRDefault="008A14C8" w:rsidP="008A14C8">
      <w:pPr>
        <w:pStyle w:val="EndNoteBibliography"/>
        <w:spacing w:after="240"/>
      </w:pPr>
      <w:bookmarkStart w:id="189" w:name="_ENREF_45"/>
      <w:r w:rsidRPr="008A14C8">
        <w:t xml:space="preserve">Laaksonen, M, Piha, K, Martikainen, P, Rahkonen, O, &amp; Lahelma, E. (2009). Health-related behaviours and sickness absence from work. </w:t>
      </w:r>
      <w:hyperlink r:id="rId34" w:history="1">
        <w:r w:rsidRPr="00B05BB7">
          <w:rPr>
            <w:rStyle w:val="Hyperlink"/>
            <w:i/>
          </w:rPr>
          <w:t>Occupational And Environmental Medicine</w:t>
        </w:r>
      </w:hyperlink>
      <w:r w:rsidRPr="008A14C8">
        <w:rPr>
          <w:i/>
        </w:rPr>
        <w:t>, 66</w:t>
      </w:r>
      <w:r w:rsidRPr="008A14C8">
        <w:t xml:space="preserve">(12), 840-847.  Retrieved from </w:t>
      </w:r>
      <w:r w:rsidRPr="00B05BB7">
        <w:t>http://oem.bmj.com/content/66/12/840.abstract</w:t>
      </w:r>
      <w:bookmarkEnd w:id="189"/>
    </w:p>
    <w:p w14:paraId="58CB9C47" w14:textId="77777777" w:rsidR="008A14C8" w:rsidRPr="008A14C8" w:rsidRDefault="008A14C8" w:rsidP="008A14C8">
      <w:pPr>
        <w:pStyle w:val="EndNoteBibliography"/>
        <w:spacing w:after="240"/>
      </w:pPr>
      <w:bookmarkStart w:id="190" w:name="_ENREF_46"/>
      <w:r w:rsidRPr="008A14C8">
        <w:t xml:space="preserve">Laibson, David. (1997). Golden Eggs and Hyperbolic Discounting. </w:t>
      </w:r>
      <w:r w:rsidRPr="008A14C8">
        <w:rPr>
          <w:i/>
        </w:rPr>
        <w:t>The Quarterly Journal of Economics, 112</w:t>
      </w:r>
      <w:r w:rsidRPr="008A14C8">
        <w:t xml:space="preserve">(2), 443-478. </w:t>
      </w:r>
      <w:bookmarkEnd w:id="190"/>
    </w:p>
    <w:p w14:paraId="1637352C" w14:textId="77777777" w:rsidR="008A14C8" w:rsidRPr="008A14C8" w:rsidRDefault="008A14C8" w:rsidP="008A14C8">
      <w:pPr>
        <w:pStyle w:val="EndNoteBibliography"/>
        <w:spacing w:after="240"/>
      </w:pPr>
      <w:bookmarkStart w:id="191" w:name="_ENREF_47"/>
      <w:r w:rsidRPr="008A14C8">
        <w:t xml:space="preserve">Loewenstein, George, O'Donoghue, Ted, &amp; Rabin, Matthew. (2003). Projection Bias in Predicting Future Utility. </w:t>
      </w:r>
      <w:r w:rsidRPr="008A14C8">
        <w:rPr>
          <w:i/>
        </w:rPr>
        <w:t>The Quarterly Journal of Economics, 118</w:t>
      </w:r>
      <w:r w:rsidRPr="008A14C8">
        <w:t xml:space="preserve">(4), 1209-1248. </w:t>
      </w:r>
      <w:bookmarkEnd w:id="191"/>
    </w:p>
    <w:p w14:paraId="5EFFA99B" w14:textId="77777777" w:rsidR="008A14C8" w:rsidRPr="008A14C8" w:rsidRDefault="008A14C8" w:rsidP="008A14C8">
      <w:pPr>
        <w:pStyle w:val="EndNoteBibliography"/>
        <w:spacing w:after="240"/>
      </w:pPr>
      <w:bookmarkStart w:id="192" w:name="_ENREF_48"/>
      <w:r w:rsidRPr="008A14C8">
        <w:t xml:space="preserve">Moerman, J W, &amp; Potts, G E. (2011). Analysis of metals leached from smoked cigarette litter. </w:t>
      </w:r>
      <w:r w:rsidRPr="008A14C8">
        <w:rPr>
          <w:i/>
        </w:rPr>
        <w:t>Tobacco control, 20</w:t>
      </w:r>
      <w:r w:rsidRPr="008A14C8">
        <w:t xml:space="preserve">(Suppl 1), i30-i35. </w:t>
      </w:r>
      <w:bookmarkEnd w:id="192"/>
    </w:p>
    <w:p w14:paraId="111A8A3C" w14:textId="77777777" w:rsidR="008A14C8" w:rsidRPr="008A14C8" w:rsidRDefault="008A14C8" w:rsidP="008A14C8">
      <w:pPr>
        <w:pStyle w:val="EndNoteBibliography"/>
        <w:spacing w:after="240"/>
      </w:pPr>
      <w:bookmarkStart w:id="193" w:name="_ENREF_49"/>
      <w:r w:rsidRPr="008A14C8">
        <w:t xml:space="preserve">Morewedge, Carey, Vosgerau, Joachim, &amp; Eun-Huh, Young. (2013). Within-Category Versus Cross-Category Substitution in Food Consumption. In Simona Botti &amp; Aparna Labroo (Eds.), </w:t>
      </w:r>
      <w:r w:rsidRPr="008A14C8">
        <w:rPr>
          <w:i/>
        </w:rPr>
        <w:t>Advances in Consumer Research Volume 41</w:t>
      </w:r>
      <w:r w:rsidRPr="008A14C8">
        <w:t>. Duluth, MN: Association for Consumer Research.</w:t>
      </w:r>
      <w:bookmarkEnd w:id="193"/>
    </w:p>
    <w:p w14:paraId="4235DAFE" w14:textId="77777777" w:rsidR="008A14C8" w:rsidRPr="008A14C8" w:rsidRDefault="008A14C8" w:rsidP="008A14C8">
      <w:pPr>
        <w:pStyle w:val="EndNoteBibliography"/>
        <w:spacing w:after="240"/>
      </w:pPr>
      <w:bookmarkStart w:id="194" w:name="_ENREF_50"/>
      <w:r w:rsidRPr="008A14C8">
        <w:t xml:space="preserve">Novotny, Thomas E, Hardin, Sarah N, Hovda, Lynn R, Novotny, Dale J, McLean, Mary Kay, &amp; Khan, Safdar. (2011). Tobacco and cigarette butt consumption in humans and animals. </w:t>
      </w:r>
      <w:r w:rsidRPr="008A14C8">
        <w:rPr>
          <w:i/>
        </w:rPr>
        <w:t>Tobacco control, 20</w:t>
      </w:r>
      <w:r w:rsidRPr="008A14C8">
        <w:t xml:space="preserve">(Supplementary 1), i17-i20. </w:t>
      </w:r>
      <w:bookmarkEnd w:id="194"/>
    </w:p>
    <w:p w14:paraId="271F08C8" w14:textId="77777777" w:rsidR="008A14C8" w:rsidRPr="008A14C8" w:rsidRDefault="008A14C8" w:rsidP="008A14C8">
      <w:pPr>
        <w:pStyle w:val="EndNoteBibliography"/>
        <w:spacing w:after="240"/>
      </w:pPr>
      <w:bookmarkStart w:id="195" w:name="_ENREF_51"/>
      <w:r w:rsidRPr="008A14C8">
        <w:t xml:space="preserve">PricewaterhouseCoopers. (2005). </w:t>
      </w:r>
      <w:r w:rsidRPr="008A14C8">
        <w:rPr>
          <w:i/>
        </w:rPr>
        <w:t>Sales of cigarettes and tobacco products by type of retail business. An analysis of the significance of sales of cigarettes and tobacco products to tobacco retailers in Australia.</w:t>
      </w:r>
      <w:r w:rsidRPr="008A14C8">
        <w:t>: Pricewaterhouse Coopers.</w:t>
      </w:r>
      <w:bookmarkEnd w:id="195"/>
    </w:p>
    <w:p w14:paraId="6CA0B792" w14:textId="77777777" w:rsidR="008A14C8" w:rsidRPr="008A14C8" w:rsidRDefault="008A14C8" w:rsidP="008A14C8">
      <w:pPr>
        <w:pStyle w:val="EndNoteBibliography"/>
        <w:spacing w:after="240"/>
      </w:pPr>
      <w:bookmarkStart w:id="196" w:name="_ENREF_52"/>
      <w:r w:rsidRPr="008A14C8">
        <w:t xml:space="preserve">Scollo, Michelle, Coomber, Kerri, Zacher, Meghan, &amp; Wakefield, Melanie. (2015b). Did smokers shift from small mixed businesses to discount outlets following the introduction of plain packaging in Australia? A national cross-sectional survey. </w:t>
      </w:r>
      <w:r w:rsidRPr="008A14C8">
        <w:rPr>
          <w:i/>
        </w:rPr>
        <w:t>Tobacco control, 24</w:t>
      </w:r>
      <w:r w:rsidRPr="008A14C8">
        <w:t xml:space="preserve">(Supplement 2), ii98-ii100. </w:t>
      </w:r>
      <w:bookmarkEnd w:id="196"/>
    </w:p>
    <w:p w14:paraId="6CAF50DA" w14:textId="77777777" w:rsidR="008A14C8" w:rsidRPr="008A14C8" w:rsidRDefault="008A14C8" w:rsidP="008A14C8">
      <w:pPr>
        <w:pStyle w:val="EndNoteBibliography"/>
        <w:spacing w:after="240"/>
      </w:pPr>
      <w:bookmarkStart w:id="197" w:name="_ENREF_53"/>
      <w:r w:rsidRPr="008A14C8">
        <w:t xml:space="preserve">Scollo, Michelle, Zacher, Meghan, Coomber, Kerri, Bayly, Megan, &amp; Wakefield, Melanie. (2015). Changes in use of types of tobacco products by pack sizes and price segments, prices paid and consumption following the introduction of plain packaging in Australia. </w:t>
      </w:r>
      <w:r w:rsidRPr="008A14C8">
        <w:rPr>
          <w:i/>
        </w:rPr>
        <w:t>Tobacco control, 24</w:t>
      </w:r>
      <w:r w:rsidRPr="008A14C8">
        <w:t xml:space="preserve">(Supplement 2), ii66-ii75. </w:t>
      </w:r>
      <w:bookmarkEnd w:id="197"/>
    </w:p>
    <w:p w14:paraId="1CBD9BEE" w14:textId="77777777" w:rsidR="008A14C8" w:rsidRPr="008A14C8" w:rsidRDefault="008A14C8" w:rsidP="008A14C8">
      <w:pPr>
        <w:pStyle w:val="EndNoteBibliography"/>
        <w:spacing w:after="240"/>
      </w:pPr>
      <w:bookmarkStart w:id="198" w:name="_ENREF_54"/>
      <w:r w:rsidRPr="008A14C8">
        <w:t xml:space="preserve">Scollo, Michelle, Zacher, Meghan, Coomber, Kerri, &amp; Wakefield, Melanie. (2015a). Use of illicit tobacco following introduction of standardised packaging of tobacco products in </w:t>
      </w:r>
      <w:r w:rsidRPr="008A14C8">
        <w:lastRenderedPageBreak/>
        <w:t xml:space="preserve">Australia: results from a national cross-sectional survey. </w:t>
      </w:r>
      <w:r w:rsidRPr="008A14C8">
        <w:rPr>
          <w:i/>
        </w:rPr>
        <w:t>Tobacco control, 24</w:t>
      </w:r>
      <w:r w:rsidRPr="008A14C8">
        <w:t xml:space="preserve">(Supplement 2), ii76-ii81. </w:t>
      </w:r>
      <w:bookmarkEnd w:id="198"/>
    </w:p>
    <w:p w14:paraId="3113C01F" w14:textId="77777777" w:rsidR="008A14C8" w:rsidRPr="008A14C8" w:rsidRDefault="008A14C8" w:rsidP="008A14C8">
      <w:pPr>
        <w:pStyle w:val="EndNoteBibliography"/>
        <w:spacing w:after="240"/>
      </w:pPr>
      <w:bookmarkStart w:id="199" w:name="_ENREF_55"/>
      <w:r w:rsidRPr="008A14C8">
        <w:t xml:space="preserve">Scollo, Michelle, Zacher, Meghan, Durkin, Sarah, &amp; Wakefield, Melanie. (2014). Early evidence about the predicted unintended consequences of standardised packaging of tobacco products in Australia: a cross-sectional study of the place of purchase, regular brands and use of illicit tobacco. </w:t>
      </w:r>
      <w:r w:rsidRPr="008A14C8">
        <w:rPr>
          <w:i/>
        </w:rPr>
        <w:t>BMJ Open, 4</w:t>
      </w:r>
      <w:r w:rsidRPr="008A14C8">
        <w:t xml:space="preserve">(8). </w:t>
      </w:r>
      <w:bookmarkEnd w:id="199"/>
    </w:p>
    <w:p w14:paraId="5DBE23C0" w14:textId="77777777" w:rsidR="008A14C8" w:rsidRPr="008A14C8" w:rsidRDefault="008A14C8" w:rsidP="008A14C8">
      <w:pPr>
        <w:pStyle w:val="EndNoteBibliography"/>
        <w:spacing w:after="240"/>
      </w:pPr>
      <w:bookmarkStart w:id="200" w:name="_ENREF_56"/>
      <w:r w:rsidRPr="008A14C8">
        <w:t xml:space="preserve">Shanahan, P., &amp; Elliott, D. (2009). </w:t>
      </w:r>
      <w:r w:rsidRPr="008A14C8">
        <w:rPr>
          <w:i/>
        </w:rPr>
        <w:t>Evaluation of the Effectiveness of the Graphic Health Warnings on Tobacco Product Packaging 2008</w:t>
      </w:r>
      <w:r w:rsidRPr="008A14C8">
        <w:t>. Canberra: Australian Government Department of Health and Ageing.</w:t>
      </w:r>
      <w:bookmarkEnd w:id="200"/>
    </w:p>
    <w:p w14:paraId="626E6952" w14:textId="77777777" w:rsidR="008A14C8" w:rsidRPr="008A14C8" w:rsidRDefault="008A14C8" w:rsidP="008A14C8">
      <w:pPr>
        <w:pStyle w:val="EndNoteBibliography"/>
        <w:spacing w:after="240"/>
      </w:pPr>
      <w:bookmarkStart w:id="201" w:name="_ENREF_57"/>
      <w:r w:rsidRPr="008A14C8">
        <w:t xml:space="preserve">Shiroiwa, Takeru, Sung, Yoon-Kyoung, Fukuda, Takashi, Lang, Hui-Chu, Bae, Sang-Cheol, &amp; Tsutani, Kiichiro. (2010). International survey on willingness-to-pay (WTP) for one additional qaly gained: what is the threshold of cost effectiveness? </w:t>
      </w:r>
      <w:r w:rsidRPr="008A14C8">
        <w:rPr>
          <w:i/>
        </w:rPr>
        <w:t>Health Economics, 19</w:t>
      </w:r>
      <w:r w:rsidRPr="008A14C8">
        <w:t xml:space="preserve">(4), 422-437. </w:t>
      </w:r>
      <w:bookmarkEnd w:id="201"/>
    </w:p>
    <w:p w14:paraId="40CB5032" w14:textId="77777777" w:rsidR="008A14C8" w:rsidRPr="008A14C8" w:rsidRDefault="008A14C8" w:rsidP="008A14C8">
      <w:pPr>
        <w:pStyle w:val="EndNoteBibliography"/>
        <w:spacing w:after="240"/>
      </w:pPr>
      <w:bookmarkStart w:id="202" w:name="_ENREF_58"/>
      <w:r w:rsidRPr="008A14C8">
        <w:t xml:space="preserve">Slaughter, Elli, Gersberg, Richard M, Watanabe, Kayo, Rudolph, John, Stransky, Chris, &amp; Novotny, Thomas E. (2011). Toxicity of cigarette butts, and their chemical components, to marine and freshwater fish. </w:t>
      </w:r>
      <w:r w:rsidRPr="008A14C8">
        <w:rPr>
          <w:i/>
        </w:rPr>
        <w:t>Tobacco control, 20</w:t>
      </w:r>
      <w:r w:rsidRPr="008A14C8">
        <w:t xml:space="preserve">(Supplement 1), i25-i29. </w:t>
      </w:r>
      <w:bookmarkEnd w:id="202"/>
    </w:p>
    <w:p w14:paraId="52D06D19" w14:textId="77777777" w:rsidR="008A14C8" w:rsidRPr="008A14C8" w:rsidRDefault="008A14C8" w:rsidP="008A14C8">
      <w:pPr>
        <w:pStyle w:val="EndNoteBibliography"/>
        <w:spacing w:after="240"/>
      </w:pPr>
      <w:bookmarkStart w:id="203" w:name="_ENREF_59"/>
      <w:r w:rsidRPr="008A14C8">
        <w:t xml:space="preserve">Smith, Collin N., Kraemer, John D., Johnson, Andrea C., &amp; Mays, Darren. (2015). Plain packaging of cigarettes: do we have sufficient evidence? </w:t>
      </w:r>
      <w:r w:rsidRPr="008A14C8">
        <w:rPr>
          <w:i/>
        </w:rPr>
        <w:t>Risk management and healthcare policy, 8</w:t>
      </w:r>
      <w:r w:rsidRPr="008A14C8">
        <w:t xml:space="preserve">, 21. </w:t>
      </w:r>
      <w:bookmarkEnd w:id="203"/>
    </w:p>
    <w:p w14:paraId="20F6373E" w14:textId="242EF9BD" w:rsidR="008A14C8" w:rsidRPr="008A14C8" w:rsidRDefault="008A14C8" w:rsidP="008A14C8">
      <w:pPr>
        <w:pStyle w:val="EndNoteBibliography"/>
        <w:spacing w:after="240"/>
      </w:pPr>
      <w:bookmarkStart w:id="204" w:name="_ENREF_60"/>
      <w:r w:rsidRPr="008A14C8">
        <w:t xml:space="preserve">The National Tobacco Campaign. (2012). </w:t>
      </w:r>
      <w:hyperlink r:id="rId35" w:history="1">
        <w:r w:rsidRPr="00B05BB7">
          <w:rPr>
            <w:rStyle w:val="Hyperlink"/>
            <w:i/>
          </w:rPr>
          <w:t>Benefits of quitting</w:t>
        </w:r>
      </w:hyperlink>
      <w:r w:rsidRPr="008A14C8">
        <w:t xml:space="preserve">.  Retrieved from </w:t>
      </w:r>
      <w:r w:rsidRPr="00B05BB7">
        <w:t>http://www.quitnow.gov.au/internet/quitnow/publishing.nsf/Content/benefits-of-quitting</w:t>
      </w:r>
      <w:r w:rsidRPr="008A14C8">
        <w:t>.</w:t>
      </w:r>
      <w:bookmarkEnd w:id="204"/>
    </w:p>
    <w:p w14:paraId="20B2133A" w14:textId="77777777" w:rsidR="008A14C8" w:rsidRPr="008A14C8" w:rsidRDefault="008A14C8" w:rsidP="008A14C8">
      <w:pPr>
        <w:pStyle w:val="EndNoteBibliography"/>
        <w:spacing w:after="240"/>
      </w:pPr>
      <w:bookmarkStart w:id="205" w:name="_ENREF_61"/>
      <w:r w:rsidRPr="008A14C8">
        <w:t xml:space="preserve">Tiessen, J, Hunt, P, Celia, C, Fazekas, M, de Vries, H, Staetsky, L, . . . Ling, T. (2010). </w:t>
      </w:r>
      <w:r w:rsidRPr="008A14C8">
        <w:rPr>
          <w:i/>
        </w:rPr>
        <w:t>Assessing the impacts of revising the Tobacco Products Directive: study to support a DG SANCO Impact Assessment.</w:t>
      </w:r>
      <w:r w:rsidRPr="008A14C8">
        <w:t xml:space="preserve"> Cambridge: RAND Europe.</w:t>
      </w:r>
      <w:bookmarkEnd w:id="205"/>
    </w:p>
    <w:p w14:paraId="6A985968" w14:textId="6C062EB0" w:rsidR="008A14C8" w:rsidRPr="008A14C8" w:rsidRDefault="008A14C8" w:rsidP="008A14C8">
      <w:pPr>
        <w:pStyle w:val="EndNoteBibliography"/>
        <w:spacing w:after="240"/>
      </w:pPr>
      <w:bookmarkStart w:id="206" w:name="_ENREF_62"/>
      <w:r w:rsidRPr="008A14C8">
        <w:t xml:space="preserve">United Kingdom Department of Health. (2015). </w:t>
      </w:r>
      <w:hyperlink r:id="rId36" w:history="1">
        <w:r w:rsidRPr="00B05BB7">
          <w:rPr>
            <w:rStyle w:val="Hyperlink"/>
            <w:i/>
          </w:rPr>
          <w:t>Impact assessment for standardised packaging of tobacco products</w:t>
        </w:r>
      </w:hyperlink>
      <w:r w:rsidRPr="008A14C8">
        <w:t xml:space="preserve">. </w:t>
      </w:r>
      <w:r w:rsidRPr="00B05BB7">
        <w:t>https://www.gov.uk/government/publications/impact-assessment-opinion-standardised-packaging-of-tobacco-products-final:</w:t>
      </w:r>
      <w:r w:rsidRPr="008A14C8">
        <w:t xml:space="preserve"> United Kingdom Department of Health.</w:t>
      </w:r>
      <w:bookmarkEnd w:id="206"/>
    </w:p>
    <w:p w14:paraId="71AAD39A" w14:textId="77777777" w:rsidR="008A14C8" w:rsidRPr="008A14C8" w:rsidRDefault="008A14C8" w:rsidP="008A14C8">
      <w:pPr>
        <w:pStyle w:val="EndNoteBibliography"/>
      </w:pPr>
      <w:bookmarkStart w:id="207" w:name="_ENREF_63"/>
      <w:r w:rsidRPr="008A14C8">
        <w:t>United States Department of Health and Human Services. (2012).</w:t>
      </w:r>
      <w:r w:rsidRPr="008A14C8">
        <w:rPr>
          <w:i/>
        </w:rPr>
        <w:t xml:space="preserve"> Preventing Tobacco Use Among Youth and Young Adults: A Report of the Surgeon General.</w:t>
      </w:r>
      <w:r w:rsidRPr="008A14C8">
        <w:t xml:space="preserve"> Atlanta: U.S. Department of Health and Human Services, Centers for Disease Control and Prevention, National Center for Chronic Disease Prevention</w:t>
      </w:r>
    </w:p>
    <w:p w14:paraId="4184BF92" w14:textId="77777777" w:rsidR="008A14C8" w:rsidRPr="008A14C8" w:rsidRDefault="008A14C8" w:rsidP="008A14C8">
      <w:pPr>
        <w:pStyle w:val="EndNoteBibliography"/>
        <w:spacing w:after="240"/>
      </w:pPr>
      <w:r w:rsidRPr="008A14C8">
        <w:t>and Health Promotion, Office on Smoking and Health.</w:t>
      </w:r>
      <w:bookmarkEnd w:id="207"/>
    </w:p>
    <w:p w14:paraId="1CB60B00" w14:textId="77777777" w:rsidR="008A14C8" w:rsidRPr="008A14C8" w:rsidRDefault="008A14C8" w:rsidP="008A14C8">
      <w:pPr>
        <w:pStyle w:val="EndNoteBibliography"/>
        <w:spacing w:after="240"/>
      </w:pPr>
      <w:bookmarkStart w:id="208" w:name="_ENREF_64"/>
      <w:r w:rsidRPr="008A14C8">
        <w:t xml:space="preserve">Visuality. (2012). </w:t>
      </w:r>
      <w:r w:rsidRPr="008A14C8">
        <w:rPr>
          <w:i/>
        </w:rPr>
        <w:t>The effects of standarised tobacco packaging on retail service in the UK.</w:t>
      </w:r>
      <w:r w:rsidRPr="008A14C8">
        <w:t xml:space="preserve"> Weymouth: Rural Shops Alliance.</w:t>
      </w:r>
      <w:bookmarkEnd w:id="208"/>
    </w:p>
    <w:p w14:paraId="0ED0B301" w14:textId="77777777" w:rsidR="008A14C8" w:rsidRPr="008A14C8" w:rsidRDefault="008A14C8" w:rsidP="008A14C8">
      <w:pPr>
        <w:pStyle w:val="EndNoteBibliography"/>
        <w:spacing w:after="240"/>
      </w:pPr>
      <w:bookmarkStart w:id="209" w:name="_ENREF_65"/>
      <w:r w:rsidRPr="008A14C8">
        <w:t xml:space="preserve">Wakefield, M, Bayly, M, &amp; Scollo, M. (2014). Product retrieval time in small tobacco retail outlets before and after the Australian plain packaging policy: real-world study. </w:t>
      </w:r>
      <w:r w:rsidRPr="008A14C8">
        <w:rPr>
          <w:i/>
        </w:rPr>
        <w:t>Tobacco control, 23</w:t>
      </w:r>
      <w:r w:rsidRPr="008A14C8">
        <w:t xml:space="preserve">(1), 70-76. </w:t>
      </w:r>
      <w:bookmarkEnd w:id="209"/>
    </w:p>
    <w:p w14:paraId="776FE315" w14:textId="77777777" w:rsidR="008A14C8" w:rsidRPr="008A14C8" w:rsidRDefault="008A14C8" w:rsidP="008A14C8">
      <w:pPr>
        <w:pStyle w:val="EndNoteBibliography"/>
        <w:spacing w:after="240"/>
      </w:pPr>
      <w:bookmarkStart w:id="210" w:name="_ENREF_66"/>
      <w:r w:rsidRPr="008A14C8">
        <w:lastRenderedPageBreak/>
        <w:t xml:space="preserve">Wakefield, M, Coomber, K, Zacher, M, Durkin, S, Brennan, E, &amp; Scollo, M. (2015). Australian adult smokers' responses to plain packaging with larger graphci health warnings 1 year after implementation: results from a national cross-sectional tracking survey. </w:t>
      </w:r>
      <w:r w:rsidRPr="008A14C8">
        <w:rPr>
          <w:i/>
        </w:rPr>
        <w:t>Tobacco control, 215</w:t>
      </w:r>
      <w:r w:rsidRPr="008A14C8">
        <w:t xml:space="preserve">(24), ii17-ii25. </w:t>
      </w:r>
      <w:bookmarkEnd w:id="210"/>
    </w:p>
    <w:p w14:paraId="1A67A5E6" w14:textId="77777777" w:rsidR="008A14C8" w:rsidRPr="008A14C8" w:rsidRDefault="008A14C8" w:rsidP="008A14C8">
      <w:pPr>
        <w:pStyle w:val="EndNoteBibliography"/>
        <w:spacing w:after="240"/>
      </w:pPr>
      <w:bookmarkStart w:id="211" w:name="_ENREF_67"/>
      <w:r w:rsidRPr="008A14C8">
        <w:t xml:space="preserve">Wakefield, M, Hayes, L, Durkin, S, &amp; Borland, R. (2013). Introduction effects of the Australian plain packaging policy on adult smokers: a cross-sectional study. </w:t>
      </w:r>
      <w:r w:rsidRPr="008A14C8">
        <w:rPr>
          <w:i/>
        </w:rPr>
        <w:t>BMJ Open, 3</w:t>
      </w:r>
      <w:r w:rsidRPr="008A14C8">
        <w:t xml:space="preserve">. </w:t>
      </w:r>
      <w:bookmarkEnd w:id="211"/>
    </w:p>
    <w:p w14:paraId="15543968" w14:textId="77777777" w:rsidR="008A14C8" w:rsidRPr="008A14C8" w:rsidRDefault="008A14C8" w:rsidP="008A14C8">
      <w:pPr>
        <w:pStyle w:val="EndNoteBibliography"/>
        <w:spacing w:after="240"/>
      </w:pPr>
      <w:bookmarkStart w:id="212" w:name="_ENREF_68"/>
      <w:r w:rsidRPr="008A14C8">
        <w:t xml:space="preserve">Weimer, David L., Vining, Aidan R., &amp; Thomas, Randall K. (2009). Cost-Benefit Analysis Involving Addictive Goods: Contingent Valuation to Estimate Willingness-to-Pay for Smoking Cessation. </w:t>
      </w:r>
      <w:r w:rsidRPr="008A14C8">
        <w:rPr>
          <w:i/>
        </w:rPr>
        <w:t>Health Economics, 18</w:t>
      </w:r>
      <w:r w:rsidRPr="008A14C8">
        <w:t xml:space="preserve">(2), 181-202. </w:t>
      </w:r>
      <w:bookmarkEnd w:id="212"/>
    </w:p>
    <w:p w14:paraId="5B2AFDE2" w14:textId="77777777" w:rsidR="008A14C8" w:rsidRPr="008A14C8" w:rsidRDefault="008A14C8" w:rsidP="008A14C8">
      <w:pPr>
        <w:pStyle w:val="EndNoteBibliography"/>
        <w:spacing w:after="240"/>
      </w:pPr>
      <w:bookmarkStart w:id="213" w:name="_ENREF_69"/>
      <w:r w:rsidRPr="008A14C8">
        <w:t xml:space="preserve">White, V, Williams, T, Faulkner, A, &amp; Wakefield, M. (2015b). Do larger graphic health warnings on standardised cigarette packs increase adolescents’ cognitive processing of consumer health information and beliefs about smoking-related harms? </w:t>
      </w:r>
      <w:r w:rsidRPr="008A14C8">
        <w:rPr>
          <w:i/>
        </w:rPr>
        <w:t>Tobacco control, 24</w:t>
      </w:r>
      <w:r w:rsidRPr="008A14C8">
        <w:t xml:space="preserve">(Supplement 2), ii50-ii57. </w:t>
      </w:r>
      <w:bookmarkEnd w:id="213"/>
    </w:p>
    <w:p w14:paraId="1B5A9C4C" w14:textId="77777777" w:rsidR="008A14C8" w:rsidRPr="008A14C8" w:rsidRDefault="008A14C8" w:rsidP="008A14C8">
      <w:pPr>
        <w:pStyle w:val="EndNoteBibliography"/>
        <w:spacing w:after="240"/>
      </w:pPr>
      <w:bookmarkStart w:id="214" w:name="_ENREF_70"/>
      <w:r w:rsidRPr="008A14C8">
        <w:t xml:space="preserve">Winstanley, M. H., &amp; Freeman, Becky. (2012). The tobacco industry in Australian society. In Michelle Scollo &amp; M. H. Winstanley (Eds.), </w:t>
      </w:r>
      <w:r w:rsidRPr="008A14C8">
        <w:rPr>
          <w:i/>
        </w:rPr>
        <w:t>Tobacco in Australia: Facts and issues 4th ed.</w:t>
      </w:r>
      <w:r w:rsidRPr="008A14C8">
        <w:t xml:space="preserve"> Melbourne: Cancer Council Victoria.</w:t>
      </w:r>
      <w:bookmarkEnd w:id="214"/>
    </w:p>
    <w:p w14:paraId="7E2AD73D" w14:textId="6DC057FE" w:rsidR="008A14C8" w:rsidRPr="008A14C8" w:rsidRDefault="008A14C8" w:rsidP="008A14C8">
      <w:pPr>
        <w:pStyle w:val="EndNoteBibliography"/>
        <w:spacing w:after="240"/>
      </w:pPr>
      <w:bookmarkStart w:id="215" w:name="_ENREF_71"/>
      <w:r w:rsidRPr="008A14C8">
        <w:t xml:space="preserve">World Health Organisation Framework Convention on Tobacco Control. (2008). </w:t>
      </w:r>
      <w:hyperlink r:id="rId37" w:history="1">
        <w:r w:rsidRPr="00B05BB7">
          <w:rPr>
            <w:rStyle w:val="Hyperlink"/>
            <w:i/>
          </w:rPr>
          <w:t>Guidelines for implementation of Article 11</w:t>
        </w:r>
      </w:hyperlink>
      <w:r w:rsidRPr="008A14C8">
        <w:t xml:space="preserve">. </w:t>
      </w:r>
      <w:r w:rsidRPr="00B05BB7">
        <w:t>http://www.who.int/fctc/guidelines/adopted/article_11/en/:</w:t>
      </w:r>
      <w:r w:rsidRPr="008A14C8">
        <w:t xml:space="preserve"> World Health Organisation.</w:t>
      </w:r>
      <w:bookmarkEnd w:id="215"/>
    </w:p>
    <w:p w14:paraId="4C9031E0" w14:textId="77777777" w:rsidR="008A14C8" w:rsidRPr="008A14C8" w:rsidRDefault="008A14C8" w:rsidP="008A14C8">
      <w:pPr>
        <w:pStyle w:val="EndNoteBibliography"/>
        <w:spacing w:after="240"/>
      </w:pPr>
      <w:bookmarkStart w:id="216" w:name="_ENREF_72"/>
      <w:r w:rsidRPr="008A14C8">
        <w:t xml:space="preserve">Yong, H, Borland, R, Hammond, D, Thrasher, J, Cummings, K, &amp; Fong, G. (2015). Smokers' reactions to the new larger health warning labels on plain cigarette packs in Australia: findings from the ITC Australia poject. </w:t>
      </w:r>
      <w:r w:rsidRPr="008A14C8">
        <w:rPr>
          <w:i/>
        </w:rPr>
        <w:t>Tobacco control, 0</w:t>
      </w:r>
      <w:r w:rsidRPr="008A14C8">
        <w:t xml:space="preserve">, 1-7. </w:t>
      </w:r>
      <w:bookmarkEnd w:id="216"/>
    </w:p>
    <w:p w14:paraId="52D63BCF" w14:textId="77777777" w:rsidR="008A14C8" w:rsidRPr="008A14C8" w:rsidRDefault="008A14C8" w:rsidP="008A14C8">
      <w:pPr>
        <w:pStyle w:val="EndNoteBibliography"/>
        <w:spacing w:after="240"/>
      </w:pPr>
      <w:bookmarkStart w:id="217" w:name="_ENREF_73"/>
      <w:r w:rsidRPr="008A14C8">
        <w:t xml:space="preserve">Young, J, Currow, D, &amp; Dunlop, S. (2014). The association between tobacco plain packaging and Quitline calls. </w:t>
      </w:r>
      <w:r w:rsidRPr="008A14C8">
        <w:rPr>
          <w:i/>
        </w:rPr>
        <w:t>The Medical Journal of Australia, 200</w:t>
      </w:r>
      <w:r w:rsidRPr="008A14C8">
        <w:t xml:space="preserve">(1), 29-32. </w:t>
      </w:r>
      <w:bookmarkEnd w:id="217"/>
    </w:p>
    <w:p w14:paraId="7FC16171" w14:textId="3963EC69" w:rsidR="008A14C8" w:rsidRPr="008A14C8" w:rsidRDefault="008A14C8" w:rsidP="008A14C8">
      <w:pPr>
        <w:pStyle w:val="EndNoteBibliography"/>
      </w:pPr>
      <w:bookmarkStart w:id="218" w:name="_ENREF_74"/>
      <w:r w:rsidRPr="008A14C8">
        <w:t xml:space="preserve">Zacher, Meghan, Bayly, Megan, Brennan, Emily, Dono, Joanne, Miller, Caroline, Durkin, Sarah, </w:t>
      </w:r>
      <w:r w:rsidR="00082694">
        <w:t>Scollo, Michelle,</w:t>
      </w:r>
      <w:r w:rsidRPr="008A14C8">
        <w:t xml:space="preserve"> Wakefield, Melanie. (2014). Personal tobacco pack display before and after the introduction of plain packaging with larger pictorial health warnings in Australia: an observational study of outdoor café strips. </w:t>
      </w:r>
      <w:r w:rsidRPr="008A14C8">
        <w:rPr>
          <w:i/>
        </w:rPr>
        <w:t>Addiction, 109</w:t>
      </w:r>
      <w:r w:rsidRPr="008A14C8">
        <w:t xml:space="preserve">(4), 653-662. </w:t>
      </w:r>
      <w:bookmarkEnd w:id="218"/>
    </w:p>
    <w:p w14:paraId="38C425CF" w14:textId="77777777" w:rsidR="00034360" w:rsidRPr="00247A0A" w:rsidRDefault="00A05B75" w:rsidP="00BD6488">
      <w:pPr>
        <w:tabs>
          <w:tab w:val="clear" w:pos="357"/>
          <w:tab w:val="left" w:pos="0"/>
        </w:tabs>
        <w:rPr>
          <w:b/>
        </w:rPr>
      </w:pPr>
      <w:r>
        <w:rPr>
          <w:b/>
        </w:rPr>
        <w:fldChar w:fldCharType="end"/>
      </w:r>
    </w:p>
    <w:sectPr w:rsidR="00034360" w:rsidRPr="00247A0A" w:rsidSect="00EF7A49">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D1BA9" w14:textId="77777777" w:rsidR="00060678" w:rsidRDefault="00060678">
      <w:pPr>
        <w:spacing w:before="0" w:after="0"/>
      </w:pPr>
      <w:r>
        <w:separator/>
      </w:r>
    </w:p>
  </w:endnote>
  <w:endnote w:type="continuationSeparator" w:id="0">
    <w:p w14:paraId="5CC9A604" w14:textId="77777777" w:rsidR="00060678" w:rsidRDefault="000606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Bliss">
    <w:altName w:val="Bliss"/>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5B90B" w14:textId="77777777" w:rsidR="000E3B10" w:rsidRDefault="000E3B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E6E38" w14:textId="77777777" w:rsidR="00060678" w:rsidRPr="00455B6F" w:rsidRDefault="00060678" w:rsidP="00EF7A49">
    <w:pPr>
      <w:pStyle w:val="Footer"/>
      <w:rPr>
        <w:sz w:val="18"/>
        <w:szCs w:val="18"/>
      </w:rPr>
    </w:pPr>
    <w:r w:rsidRPr="00455B6F">
      <w:rPr>
        <w:b/>
        <w:noProof/>
        <w:color w:val="C0C0C0"/>
        <w:sz w:val="18"/>
        <w:szCs w:val="18"/>
        <w:lang w:eastAsia="en-AU"/>
      </w:rPr>
      <w:drawing>
        <wp:inline distT="0" distB="0" distL="0" distR="0" wp14:anchorId="6C6A0E84" wp14:editId="79C731BD">
          <wp:extent cx="1095375" cy="285750"/>
          <wp:effectExtent l="0" t="0" r="9525" b="0"/>
          <wp:docPr id="3" name="Picture 3" descr="Siggins Mill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C 2006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285750"/>
                  </a:xfrm>
                  <a:prstGeom prst="rect">
                    <a:avLst/>
                  </a:prstGeom>
                  <a:noFill/>
                  <a:ln>
                    <a:noFill/>
                  </a:ln>
                </pic:spPr>
              </pic:pic>
            </a:graphicData>
          </a:graphic>
        </wp:inline>
      </w:drawing>
    </w:r>
    <w:r w:rsidRPr="00455B6F">
      <w:rPr>
        <w:b/>
        <w:bCs/>
        <w:color w:val="C0C0C0"/>
        <w:sz w:val="18"/>
        <w:szCs w:val="18"/>
      </w:rPr>
      <w:tab/>
    </w:r>
    <w:r w:rsidRPr="00455B6F">
      <w:rPr>
        <w:b/>
        <w:bCs/>
        <w:color w:val="808080"/>
        <w:sz w:val="18"/>
        <w:szCs w:val="18"/>
      </w:rPr>
      <w:t>Tobacco Plain Packaging</w:t>
    </w:r>
    <w:r w:rsidRPr="00455B6F">
      <w:rPr>
        <w:b/>
        <w:bCs/>
        <w:color w:val="808080"/>
        <w:sz w:val="18"/>
        <w:szCs w:val="18"/>
      </w:rPr>
      <w:tab/>
    </w:r>
    <w:r w:rsidRPr="00455B6F">
      <w:rPr>
        <w:b/>
        <w:bCs/>
        <w:color w:val="808080"/>
        <w:sz w:val="18"/>
        <w:szCs w:val="18"/>
      </w:rPr>
      <w:fldChar w:fldCharType="begin"/>
    </w:r>
    <w:r w:rsidRPr="00455B6F">
      <w:rPr>
        <w:b/>
        <w:bCs/>
        <w:color w:val="808080"/>
        <w:sz w:val="18"/>
        <w:szCs w:val="18"/>
      </w:rPr>
      <w:instrText xml:space="preserve"> PAGE   \* MERGEFORMAT </w:instrText>
    </w:r>
    <w:r w:rsidRPr="00455B6F">
      <w:rPr>
        <w:b/>
        <w:bCs/>
        <w:color w:val="808080"/>
        <w:sz w:val="18"/>
        <w:szCs w:val="18"/>
      </w:rPr>
      <w:fldChar w:fldCharType="separate"/>
    </w:r>
    <w:r w:rsidR="00C005B6">
      <w:rPr>
        <w:b/>
        <w:bCs/>
        <w:noProof/>
        <w:color w:val="808080"/>
        <w:sz w:val="18"/>
        <w:szCs w:val="18"/>
      </w:rPr>
      <w:t>45</w:t>
    </w:r>
    <w:r w:rsidRPr="00455B6F">
      <w:rPr>
        <w:b/>
        <w:bCs/>
        <w:noProof/>
        <w:color w:val="808080"/>
        <w:sz w:val="18"/>
        <w:szCs w:val="18"/>
      </w:rPr>
      <w:fldChar w:fldCharType="end"/>
    </w:r>
  </w:p>
  <w:p w14:paraId="4C9737C7" w14:textId="77777777" w:rsidR="00060678" w:rsidRDefault="000606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688538"/>
      <w:docPartObj>
        <w:docPartGallery w:val="Page Numbers (Bottom of Page)"/>
        <w:docPartUnique/>
      </w:docPartObj>
    </w:sdtPr>
    <w:sdtEndPr>
      <w:rPr>
        <w:noProof/>
      </w:rPr>
    </w:sdtEndPr>
    <w:sdtContent>
      <w:p w14:paraId="70E47284" w14:textId="28F74AF6" w:rsidR="00060678" w:rsidRDefault="00060678">
        <w:pPr>
          <w:pStyle w:val="Footer"/>
          <w:jc w:val="right"/>
        </w:pPr>
        <w:r>
          <w:fldChar w:fldCharType="begin"/>
        </w:r>
        <w:r>
          <w:instrText xml:space="preserve"> PAGE   \* MERGEFORMAT </w:instrText>
        </w:r>
        <w:r>
          <w:fldChar w:fldCharType="separate"/>
        </w:r>
        <w:r w:rsidR="00C005B6">
          <w:rPr>
            <w:noProof/>
          </w:rPr>
          <w:t>1</w:t>
        </w:r>
        <w:r>
          <w:rPr>
            <w:noProof/>
          </w:rPr>
          <w:fldChar w:fldCharType="end"/>
        </w:r>
      </w:p>
    </w:sdtContent>
  </w:sdt>
  <w:p w14:paraId="61A4FA74" w14:textId="77777777" w:rsidR="00060678" w:rsidRDefault="000606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387E8" w14:textId="77777777" w:rsidR="008110B4" w:rsidRPr="00455B6F" w:rsidRDefault="008110B4" w:rsidP="008110B4">
    <w:pPr>
      <w:pStyle w:val="Footer"/>
      <w:rPr>
        <w:sz w:val="18"/>
        <w:szCs w:val="18"/>
      </w:rPr>
    </w:pPr>
    <w:r w:rsidRPr="00455B6F">
      <w:rPr>
        <w:b/>
        <w:noProof/>
        <w:color w:val="C0C0C0"/>
        <w:sz w:val="18"/>
        <w:szCs w:val="18"/>
        <w:lang w:eastAsia="en-AU"/>
      </w:rPr>
      <w:drawing>
        <wp:inline distT="0" distB="0" distL="0" distR="0" wp14:anchorId="0201BBB5" wp14:editId="178ABBDD">
          <wp:extent cx="1095375" cy="285750"/>
          <wp:effectExtent l="0" t="0" r="9525" b="0"/>
          <wp:docPr id="1" name="Picture 1" descr="Siggins Mill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C 2006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285750"/>
                  </a:xfrm>
                  <a:prstGeom prst="rect">
                    <a:avLst/>
                  </a:prstGeom>
                  <a:noFill/>
                  <a:ln>
                    <a:noFill/>
                  </a:ln>
                </pic:spPr>
              </pic:pic>
            </a:graphicData>
          </a:graphic>
        </wp:inline>
      </w:drawing>
    </w:r>
    <w:r w:rsidRPr="00455B6F">
      <w:rPr>
        <w:b/>
        <w:bCs/>
        <w:color w:val="C0C0C0"/>
        <w:sz w:val="18"/>
        <w:szCs w:val="18"/>
      </w:rPr>
      <w:tab/>
    </w:r>
    <w:r w:rsidRPr="00455B6F">
      <w:rPr>
        <w:b/>
        <w:bCs/>
        <w:color w:val="808080"/>
        <w:sz w:val="18"/>
        <w:szCs w:val="18"/>
      </w:rPr>
      <w:t>Tobacco Plain Packaging</w:t>
    </w:r>
    <w:r w:rsidRPr="00455B6F">
      <w:rPr>
        <w:b/>
        <w:bCs/>
        <w:color w:val="808080"/>
        <w:sz w:val="18"/>
        <w:szCs w:val="18"/>
      </w:rPr>
      <w:tab/>
    </w:r>
    <w:r w:rsidRPr="00455B6F">
      <w:rPr>
        <w:b/>
        <w:bCs/>
        <w:color w:val="808080"/>
        <w:sz w:val="18"/>
        <w:szCs w:val="18"/>
      </w:rPr>
      <w:fldChar w:fldCharType="begin"/>
    </w:r>
    <w:r w:rsidRPr="00455B6F">
      <w:rPr>
        <w:b/>
        <w:bCs/>
        <w:color w:val="808080"/>
        <w:sz w:val="18"/>
        <w:szCs w:val="18"/>
      </w:rPr>
      <w:instrText xml:space="preserve"> PAGE   \* MERGEFORMAT </w:instrText>
    </w:r>
    <w:r w:rsidRPr="00455B6F">
      <w:rPr>
        <w:b/>
        <w:bCs/>
        <w:color w:val="808080"/>
        <w:sz w:val="18"/>
        <w:szCs w:val="18"/>
      </w:rPr>
      <w:fldChar w:fldCharType="separate"/>
    </w:r>
    <w:r w:rsidR="00C005B6">
      <w:rPr>
        <w:b/>
        <w:bCs/>
        <w:noProof/>
        <w:color w:val="808080"/>
        <w:sz w:val="18"/>
        <w:szCs w:val="18"/>
      </w:rPr>
      <w:t>8</w:t>
    </w:r>
    <w:r w:rsidRPr="00455B6F">
      <w:rPr>
        <w:b/>
        <w:bCs/>
        <w:noProof/>
        <w:color w:val="808080"/>
        <w:sz w:val="18"/>
        <w:szCs w:val="18"/>
      </w:rPr>
      <w:fldChar w:fldCharType="end"/>
    </w:r>
  </w:p>
  <w:p w14:paraId="0DE89ED9" w14:textId="77777777" w:rsidR="008110B4" w:rsidRDefault="008110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22240" w14:textId="77777777" w:rsidR="00060678" w:rsidRDefault="00060678">
      <w:pPr>
        <w:spacing w:before="0" w:after="0"/>
      </w:pPr>
      <w:r>
        <w:separator/>
      </w:r>
    </w:p>
  </w:footnote>
  <w:footnote w:type="continuationSeparator" w:id="0">
    <w:p w14:paraId="13BCA2A4" w14:textId="77777777" w:rsidR="00060678" w:rsidRDefault="00060678">
      <w:pPr>
        <w:spacing w:before="0" w:after="0"/>
      </w:pPr>
      <w:r>
        <w:continuationSeparator/>
      </w:r>
    </w:p>
  </w:footnote>
  <w:footnote w:id="1">
    <w:p w14:paraId="6D577661" w14:textId="77777777" w:rsidR="00060678" w:rsidRPr="00FD1C29" w:rsidRDefault="00060678" w:rsidP="00673E6B">
      <w:pPr>
        <w:pStyle w:val="FootnoteText"/>
        <w:rPr>
          <w:sz w:val="16"/>
          <w:szCs w:val="16"/>
        </w:rPr>
      </w:pPr>
      <w:r w:rsidRPr="00FD1C29">
        <w:rPr>
          <w:rStyle w:val="FootnoteReference"/>
          <w:sz w:val="16"/>
          <w:szCs w:val="16"/>
        </w:rPr>
        <w:footnoteRef/>
      </w:r>
      <w:r w:rsidRPr="00FD1C29">
        <w:rPr>
          <w:sz w:val="16"/>
          <w:szCs w:val="16"/>
        </w:rPr>
        <w:t xml:space="preserve"> </w:t>
      </w:r>
      <w:proofErr w:type="gramStart"/>
      <w:r w:rsidRPr="00FD1C29">
        <w:rPr>
          <w:sz w:val="16"/>
          <w:szCs w:val="16"/>
        </w:rPr>
        <w:t>Australian Government Office of Best Practice Regulation.</w:t>
      </w:r>
      <w:proofErr w:type="gramEnd"/>
      <w:r w:rsidRPr="00FD1C29">
        <w:rPr>
          <w:sz w:val="16"/>
          <w:szCs w:val="16"/>
        </w:rPr>
        <w:t xml:space="preserve"> </w:t>
      </w:r>
      <w:r w:rsidRPr="00FD1C29">
        <w:rPr>
          <w:i/>
          <w:sz w:val="16"/>
          <w:szCs w:val="16"/>
        </w:rPr>
        <w:t xml:space="preserve">Guidance Note: Regulatory Burden Measurement Framework </w:t>
      </w:r>
      <w:r w:rsidRPr="00FD1C29">
        <w:rPr>
          <w:sz w:val="16"/>
          <w:szCs w:val="16"/>
        </w:rPr>
        <w:t>(July 2014)</w:t>
      </w:r>
      <w:r>
        <w:rPr>
          <w:sz w:val="16"/>
          <w:szCs w:val="16"/>
        </w:rPr>
        <w:t xml:space="preserve"> (pg.1)</w:t>
      </w:r>
      <w:r w:rsidRPr="00FD1C29">
        <w:rPr>
          <w:sz w:val="16"/>
          <w:szCs w:val="16"/>
        </w:rPr>
        <w:t xml:space="preserve">. </w:t>
      </w:r>
      <w:proofErr w:type="gramStart"/>
      <w:r w:rsidRPr="00FD1C29">
        <w:rPr>
          <w:sz w:val="16"/>
          <w:szCs w:val="16"/>
        </w:rPr>
        <w:t>Australian Government Office of Best Practice Regulation.</w:t>
      </w:r>
      <w:proofErr w:type="gramEnd"/>
      <w:r w:rsidRPr="00FD1C29">
        <w:rPr>
          <w:sz w:val="16"/>
          <w:szCs w:val="16"/>
        </w:rPr>
        <w:t xml:space="preserve"> </w:t>
      </w:r>
      <w:r w:rsidRPr="00FD1C29">
        <w:rPr>
          <w:i/>
          <w:sz w:val="16"/>
          <w:szCs w:val="16"/>
        </w:rPr>
        <w:t>Guidance Note: Post-Implementation Reviews</w:t>
      </w:r>
      <w:r>
        <w:rPr>
          <w:i/>
          <w:sz w:val="16"/>
          <w:szCs w:val="16"/>
        </w:rPr>
        <w:t xml:space="preserve"> </w:t>
      </w:r>
      <w:r w:rsidRPr="00FD1C29">
        <w:rPr>
          <w:sz w:val="16"/>
          <w:szCs w:val="16"/>
        </w:rPr>
        <w:t>(July 2014)</w:t>
      </w:r>
      <w:r>
        <w:rPr>
          <w:sz w:val="16"/>
          <w:szCs w:val="16"/>
        </w:rPr>
        <w:t>. (pg. 8)</w:t>
      </w:r>
    </w:p>
  </w:footnote>
  <w:footnote w:id="2">
    <w:p w14:paraId="748DBB63" w14:textId="37E801B6" w:rsidR="00060678" w:rsidRPr="004D2AA3" w:rsidRDefault="00060678">
      <w:pPr>
        <w:pStyle w:val="FootnoteText"/>
        <w:rPr>
          <w:lang w:val="en-GB"/>
        </w:rPr>
      </w:pPr>
      <w:r>
        <w:rPr>
          <w:rStyle w:val="FootnoteReference"/>
        </w:rPr>
        <w:footnoteRef/>
      </w:r>
      <w:r>
        <w:t xml:space="preserve"> </w:t>
      </w:r>
      <w:r>
        <w:rPr>
          <w:lang w:val="en-GB"/>
        </w:rPr>
        <w:t>Data available as at July 2015 were included in this analysis.</w:t>
      </w:r>
    </w:p>
  </w:footnote>
  <w:footnote w:id="3">
    <w:p w14:paraId="7335234B" w14:textId="362EA503" w:rsidR="00060678" w:rsidRDefault="00060678">
      <w:pPr>
        <w:pStyle w:val="FootnoteText"/>
      </w:pPr>
      <w:r>
        <w:rPr>
          <w:rStyle w:val="FootnoteReference"/>
        </w:rPr>
        <w:footnoteRef/>
      </w:r>
      <w:r>
        <w:t xml:space="preserve"> This figure is subject to the limitations described on pages 7 to 9 above. </w:t>
      </w:r>
    </w:p>
  </w:footnote>
  <w:footnote w:id="4">
    <w:p w14:paraId="71D325B8" w14:textId="7C67746E" w:rsidR="00060678" w:rsidRDefault="00060678">
      <w:pPr>
        <w:pStyle w:val="FootnoteText"/>
      </w:pPr>
      <w:r>
        <w:rPr>
          <w:rStyle w:val="FootnoteReference"/>
        </w:rPr>
        <w:footnoteRef/>
      </w:r>
      <w:r>
        <w:t xml:space="preserve"> This figure is subject to the limitations described on pages 7 to 9 above.</w:t>
      </w:r>
    </w:p>
  </w:footnote>
  <w:footnote w:id="5">
    <w:p w14:paraId="037227C0" w14:textId="74C2B856" w:rsidR="00060678" w:rsidRDefault="00060678" w:rsidP="00E56224">
      <w:pPr>
        <w:pStyle w:val="FootnoteText"/>
      </w:pPr>
      <w:r>
        <w:rPr>
          <w:rStyle w:val="FootnoteReference"/>
        </w:rPr>
        <w:footnoteRef/>
      </w:r>
      <w:r>
        <w:t xml:space="preserve"> The figures in this table must be read subject to the limitations described on pages 7 to 9 above. </w:t>
      </w:r>
    </w:p>
  </w:footnote>
  <w:footnote w:id="6">
    <w:p w14:paraId="320B37C5" w14:textId="7FC6351E" w:rsidR="00060678" w:rsidRDefault="00060678">
      <w:pPr>
        <w:pStyle w:val="FootnoteText"/>
      </w:pPr>
      <w:r>
        <w:rPr>
          <w:rStyle w:val="FootnoteReference"/>
        </w:rPr>
        <w:footnoteRef/>
      </w:r>
      <w:r>
        <w:t xml:space="preserve"> </w:t>
      </w:r>
      <w:proofErr w:type="gramStart"/>
      <w:r>
        <w:t>Does not sum to values in table due to rounding.</w:t>
      </w:r>
      <w:proofErr w:type="gramEnd"/>
      <w:r>
        <w:t xml:space="preserve"> This figure is subject to the limitations described on pages 7 to 9 above. </w:t>
      </w:r>
    </w:p>
  </w:footnote>
  <w:footnote w:id="7">
    <w:p w14:paraId="19542F62" w14:textId="394BF68B" w:rsidR="00060678" w:rsidRDefault="00060678">
      <w:pPr>
        <w:pStyle w:val="FootnoteText"/>
      </w:pPr>
      <w:r>
        <w:rPr>
          <w:rStyle w:val="FootnoteReference"/>
        </w:rPr>
        <w:footnoteRef/>
      </w:r>
      <w:r>
        <w:t xml:space="preserve"> The figures in this table must be read subject to the limitations described on pages 7 to 9 above.</w:t>
      </w:r>
    </w:p>
  </w:footnote>
  <w:footnote w:id="8">
    <w:p w14:paraId="3A2050B0" w14:textId="1C37B304" w:rsidR="00060678" w:rsidRDefault="00060678">
      <w:pPr>
        <w:pStyle w:val="FootnoteText"/>
      </w:pPr>
      <w:r>
        <w:rPr>
          <w:rStyle w:val="FootnoteReference"/>
        </w:rPr>
        <w:footnoteRef/>
      </w:r>
      <w:r>
        <w:t xml:space="preserve"> This figure is subject to limitations described on pages 7 to 9 above. </w:t>
      </w:r>
    </w:p>
  </w:footnote>
  <w:footnote w:id="9">
    <w:p w14:paraId="4F655934" w14:textId="77777777" w:rsidR="00060678" w:rsidRDefault="00060678" w:rsidP="003C09A7">
      <w:pPr>
        <w:pStyle w:val="FootnoteText"/>
      </w:pPr>
      <w:r>
        <w:rPr>
          <w:rStyle w:val="FootnoteReference"/>
        </w:rPr>
        <w:footnoteRef/>
      </w:r>
      <w:r>
        <w:t xml:space="preserve"> Estimated using the 2010 prevalence of smokers aged 14 and older compared to the prevalence of smokers aged 14 and older in 2013 </w:t>
      </w:r>
      <w:r>
        <w:fldChar w:fldCharType="begin"/>
      </w:r>
      <w:r>
        <w:instrText xml:space="preserve"> ADDIN EN.CITE &lt;EndNote&gt;&lt;Cite&gt;&lt;Author&gt;Australian Institute of Health and Welfare&lt;/Author&gt;&lt;Year&gt;2014&lt;/Year&gt;&lt;RecNum&gt;5&lt;/RecNum&gt;&lt;DisplayText&gt;(Australian Institute of Health and Welfare, 2014)&lt;/DisplayText&gt;&lt;record&gt;&lt;rec-number&gt;5&lt;/rec-number&gt;&lt;foreign-keys&gt;&lt;key app="EN" db-id="edfppa0tc0tfd1etp5xvexpnzfefzewwwas9" timestamp="1441592648"&gt;5&lt;/key&gt;&lt;/foreign-keys&gt;&lt;ref-type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no.28 Cat. no. PHE 183&lt;/secondary-title&gt;&lt;/titles&gt;&lt;volume&gt;Drug statistics series no.28 Cat. no. PHE 183&lt;/volume&gt;&lt;dates&gt;&lt;year&gt;2014&lt;/year&gt;&lt;/dates&gt;&lt;pub-location&gt;Canberra&lt;/pub-location&gt;&lt;publisher&gt;AIHW&lt;/publisher&gt;&lt;urls&gt;&lt;/urls&gt;&lt;/record&gt;&lt;/Cite&gt;&lt;/EndNote&gt;</w:instrText>
      </w:r>
      <w:r>
        <w:fldChar w:fldCharType="separate"/>
      </w:r>
      <w:r>
        <w:rPr>
          <w:noProof/>
        </w:rPr>
        <w:t>(</w:t>
      </w:r>
      <w:hyperlink w:anchor="_ENREF_7" w:tooltip="Australian Institute of Health and Welfare, 2014 #5" w:history="1">
        <w:r>
          <w:rPr>
            <w:noProof/>
          </w:rPr>
          <w:t>Australian Institute of Health and Welfare, 2014</w:t>
        </w:r>
      </w:hyperlink>
      <w:r>
        <w:rPr>
          <w:noProof/>
        </w:rPr>
        <w:t>)</w:t>
      </w:r>
      <w:r>
        <w:fldChar w:fldCharType="end"/>
      </w:r>
      <w:r>
        <w:t xml:space="preserve"> based on the Australian population estimates for those aged 14 and older in 2013 </w:t>
      </w:r>
      <w:r>
        <w:fldChar w:fldCharType="begin"/>
      </w:r>
      <w:r>
        <w:instrText xml:space="preserve"> ADDIN EN.CITE &lt;EndNote&gt;&lt;Cite&gt;&lt;Author&gt;Australian Bureau of Statistics&lt;/Author&gt;&lt;Year&gt;2014&lt;/Year&gt;&lt;RecNum&gt;75&lt;/RecNum&gt;&lt;DisplayText&gt;(Australian Bureau of Statistics, 2014a)&lt;/DisplayText&gt;&lt;record&gt;&lt;rec-number&gt;75&lt;/rec-number&gt;&lt;foreign-keys&gt;&lt;key app="EN" db-id="edfppa0tc0tfd1etp5xvexpnzfefzewwwas9" timestamp="1441592649"&gt;75&lt;/key&gt;&lt;/foreign-keys&gt;&lt;ref-type name="Book"&gt;6&lt;/ref-type&gt;&lt;contributors&gt;&lt;authors&gt;&lt;author&gt;Australian Bureau of Statistics,&lt;/author&gt;&lt;/authors&gt;&lt;/contributors&gt;&lt;titles&gt;&lt;title&gt;Australian Demographic Statistics, Dec 2014 Cat 3101.0&lt;/title&gt;&lt;/titles&gt;&lt;dates&gt;&lt;year&gt;2014&lt;/year&gt;&lt;/dates&gt;&lt;pub-location&gt;Canberra&lt;/pub-location&gt;&lt;publisher&gt;ABS&lt;/publisher&gt;&lt;urls&gt;&lt;/urls&gt;&lt;/record&gt;&lt;/Cite&gt;&lt;/EndNote&gt;</w:instrText>
      </w:r>
      <w:r>
        <w:fldChar w:fldCharType="separate"/>
      </w:r>
      <w:r>
        <w:rPr>
          <w:noProof/>
        </w:rPr>
        <w:t>(</w:t>
      </w:r>
      <w:hyperlink w:anchor="_ENREF_3" w:tooltip="Australian Bureau of Statistics, 2014 #75" w:history="1">
        <w:r>
          <w:rPr>
            <w:noProof/>
          </w:rPr>
          <w:t>Australian Bureau of Statistics, 2014a</w:t>
        </w:r>
      </w:hyperlink>
      <w:r>
        <w:rPr>
          <w:noProof/>
        </w:rPr>
        <w:t>)</w:t>
      </w:r>
      <w:r>
        <w:fldChar w:fldCharType="end"/>
      </w:r>
    </w:p>
  </w:footnote>
  <w:footnote w:id="10">
    <w:p w14:paraId="7E1C045E" w14:textId="72C33810" w:rsidR="00060678" w:rsidRPr="001D186D" w:rsidRDefault="00060678">
      <w:pPr>
        <w:pStyle w:val="FootnoteText"/>
      </w:pPr>
      <w:r w:rsidRPr="001D186D">
        <w:rPr>
          <w:rStyle w:val="FootnoteReference"/>
        </w:rPr>
        <w:footnoteRef/>
      </w:r>
      <w:r w:rsidRPr="001D186D">
        <w:t xml:space="preserve"> Estimated as a one half percent reduction (uniform across all age groups) in the estimated number of current smokers where current smokers was estimated based on 2013 Australian population </w:t>
      </w:r>
      <w:r w:rsidRPr="001D186D">
        <w:fldChar w:fldCharType="begin"/>
      </w:r>
      <w:r w:rsidRPr="001D186D">
        <w:instrText xml:space="preserve"> ADDIN EN.CITE &lt;EndNote&gt;&lt;Cite&gt;&lt;Author&gt;Australian Bureau of Statistics&lt;/Author&gt;&lt;Year&gt;2014&lt;/Year&gt;&lt;RecNum&gt;75&lt;/RecNum&gt;&lt;DisplayText&gt;(Australian Bureau of Statistics, 2014a)&lt;/DisplayText&gt;&lt;record&gt;&lt;rec-number&gt;75&lt;/rec-number&gt;&lt;foreign-keys&gt;&lt;key app="EN" db-id="edfppa0tc0tfd1etp5xvexpnzfefzewwwas9" timestamp="1441592649"&gt;75&lt;/key&gt;&lt;/foreign-keys&gt;&lt;ref-type name="Book"&gt;6&lt;/ref-type&gt;&lt;contributors&gt;&lt;authors&gt;&lt;author&gt;Australian Bureau of Statistics,&lt;/author&gt;&lt;/authors&gt;&lt;/contributors&gt;&lt;titles&gt;&lt;title&gt;Australian Demographic Statistics, Dec 2014 Cat 3101.0&lt;/title&gt;&lt;/titles&gt;&lt;dates&gt;&lt;year&gt;2014&lt;/year&gt;&lt;/dates&gt;&lt;pub-location&gt;Canberra&lt;/pub-location&gt;&lt;publisher&gt;ABS&lt;/publisher&gt;&lt;urls&gt;&lt;/urls&gt;&lt;/record&gt;&lt;/Cite&gt;&lt;/EndNote&gt;</w:instrText>
      </w:r>
      <w:r w:rsidRPr="001D186D">
        <w:fldChar w:fldCharType="separate"/>
      </w:r>
      <w:r w:rsidRPr="001D186D">
        <w:rPr>
          <w:noProof/>
        </w:rPr>
        <w:t>(</w:t>
      </w:r>
      <w:hyperlink w:anchor="_ENREF_3" w:tooltip="Australian Bureau of Statistics, 2014 #75" w:history="1">
        <w:r w:rsidRPr="001D186D">
          <w:rPr>
            <w:noProof/>
          </w:rPr>
          <w:t>Australian Bureau of Statistics, 2014a</w:t>
        </w:r>
      </w:hyperlink>
      <w:r w:rsidRPr="001D186D">
        <w:rPr>
          <w:noProof/>
        </w:rPr>
        <w:t>)</w:t>
      </w:r>
      <w:r w:rsidRPr="001D186D">
        <w:fldChar w:fldCharType="end"/>
      </w:r>
      <w:r w:rsidRPr="001D186D">
        <w:t xml:space="preserve"> multiplied by the age specific prevalence estimates of current smokers </w:t>
      </w:r>
      <w:r w:rsidRPr="001D186D">
        <w:fldChar w:fldCharType="begin"/>
      </w:r>
      <w:r w:rsidRPr="001D186D">
        <w:instrText xml:space="preserve"> ADDIN EN.CITE &lt;EndNote&gt;&lt;Cite&gt;&lt;Author&gt;Australian Institute of Health and Welfare&lt;/Author&gt;&lt;Year&gt;2014&lt;/Year&gt;&lt;RecNum&gt;5&lt;/RecNum&gt;&lt;DisplayText&gt;(Australian Institute of Health and Welfare, 2014)&lt;/DisplayText&gt;&lt;record&gt;&lt;rec-number&gt;5&lt;/rec-number&gt;&lt;foreign-keys&gt;&lt;key app="EN" db-id="edfppa0tc0tfd1etp5xvexpnzfefzewwwas9" timestamp="1441592648"&gt;5&lt;/key&gt;&lt;/foreign-keys&gt;&lt;ref-type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no.28 Cat. no. PHE 183&lt;/secondary-title&gt;&lt;/titles&gt;&lt;volume&gt;Drug statistics series no.28 Cat. no. PHE 183&lt;/volume&gt;&lt;dates&gt;&lt;year&gt;2014&lt;/year&gt;&lt;/dates&gt;&lt;pub-location&gt;Canberra&lt;/pub-location&gt;&lt;publisher&gt;AIHW&lt;/publisher&gt;&lt;urls&gt;&lt;/urls&gt;&lt;/record&gt;&lt;/Cite&gt;&lt;/EndNote&gt;</w:instrText>
      </w:r>
      <w:r w:rsidRPr="001D186D">
        <w:fldChar w:fldCharType="separate"/>
      </w:r>
      <w:r w:rsidRPr="001D186D">
        <w:rPr>
          <w:noProof/>
        </w:rPr>
        <w:t>(</w:t>
      </w:r>
      <w:hyperlink w:anchor="_ENREF_7" w:tooltip="Australian Institute of Health and Welfare, 2014 #5" w:history="1">
        <w:r w:rsidRPr="001D186D">
          <w:rPr>
            <w:noProof/>
          </w:rPr>
          <w:t>Australian Institute of Health and Welfare, 2014</w:t>
        </w:r>
      </w:hyperlink>
      <w:r w:rsidRPr="001D186D">
        <w:rPr>
          <w:noProof/>
        </w:rPr>
        <w:t>)</w:t>
      </w:r>
      <w:r w:rsidRPr="001D186D">
        <w:fldChar w:fldCharType="end"/>
      </w:r>
      <w:r w:rsidRPr="001D186D">
        <w:t xml:space="preserve"> </w:t>
      </w:r>
    </w:p>
  </w:footnote>
  <w:footnote w:id="11">
    <w:p w14:paraId="13E07A3F" w14:textId="179E9F54" w:rsidR="00060678" w:rsidRPr="001D186D" w:rsidRDefault="00060678" w:rsidP="008D7873">
      <w:pPr>
        <w:pStyle w:val="FootnoteText"/>
      </w:pPr>
      <w:r w:rsidRPr="001D186D">
        <w:rPr>
          <w:rStyle w:val="FootnoteReference"/>
        </w:rPr>
        <w:footnoteRef/>
      </w:r>
      <w:r w:rsidRPr="001D186D">
        <w:t xml:space="preserve"> </w:t>
      </w:r>
      <w:proofErr w:type="gramStart"/>
      <w:r w:rsidRPr="001D186D">
        <w:t>Estimated by multiplying the reduction in current smokers (15,057) by the age-specific increases in life expectancy (1.06-3.00 life years per quitter).</w:t>
      </w:r>
      <w:proofErr w:type="gramEnd"/>
    </w:p>
  </w:footnote>
  <w:footnote w:id="12">
    <w:p w14:paraId="25BE6C2D" w14:textId="2406F7D0" w:rsidR="00060678" w:rsidRPr="001D186D" w:rsidRDefault="00060678">
      <w:pPr>
        <w:pStyle w:val="FootnoteText"/>
      </w:pPr>
      <w:r w:rsidRPr="001D186D">
        <w:rPr>
          <w:rStyle w:val="FootnoteReference"/>
        </w:rPr>
        <w:footnoteRef/>
      </w:r>
      <w:r w:rsidRPr="001D186D">
        <w:t xml:space="preserve"> </w:t>
      </w:r>
      <w:proofErr w:type="gramStart"/>
      <w:r w:rsidRPr="001D186D">
        <w:t>Calculated by multiplying the estimated life years (30,318) by the value of an additional life year.</w:t>
      </w:r>
      <w:proofErr w:type="gramEnd"/>
      <w:r w:rsidRPr="001D186D">
        <w:t xml:space="preserve"> The value of an additional life year is equal to the WTP per life year ($182,000, discounted at 7% per annum relative to the age-specific timing in which this additional life year would occur (i.e. age-specific life-expectancy for a smoker adjusted by predicted future quit rate).</w:t>
      </w:r>
    </w:p>
  </w:footnote>
  <w:footnote w:id="13">
    <w:p w14:paraId="30026304" w14:textId="3D7D1422" w:rsidR="00060678" w:rsidRDefault="00060678">
      <w:pPr>
        <w:pStyle w:val="FootnoteText"/>
      </w:pPr>
      <w:r>
        <w:rPr>
          <w:rStyle w:val="FootnoteReference"/>
        </w:rPr>
        <w:footnoteRef/>
      </w:r>
      <w:r>
        <w:t xml:space="preserve"> This figure is subject to limitations described in pages 7 to 9 above. </w:t>
      </w:r>
    </w:p>
  </w:footnote>
  <w:footnote w:id="14">
    <w:p w14:paraId="20BCE3C4" w14:textId="7C84A0D0" w:rsidR="00060678" w:rsidRDefault="00060678">
      <w:pPr>
        <w:pStyle w:val="FootnoteText"/>
      </w:pPr>
      <w:r w:rsidRPr="001D186D">
        <w:rPr>
          <w:rStyle w:val="FootnoteReference"/>
        </w:rPr>
        <w:footnoteRef/>
      </w:r>
      <w:r w:rsidRPr="001D186D">
        <w:t xml:space="preserve"> Estimated as one half percent of those aged 11 </w:t>
      </w:r>
      <w:r w:rsidRPr="001D186D">
        <w:fldChar w:fldCharType="begin"/>
      </w:r>
      <w:r w:rsidRPr="001D186D">
        <w:instrText xml:space="preserve"> ADDIN EN.CITE &lt;EndNote&gt;&lt;Cite&gt;&lt;Author&gt;Australian Bureau of Statistics&lt;/Author&gt;&lt;Year&gt;2014&lt;/Year&gt;&lt;RecNum&gt;75&lt;/RecNum&gt;&lt;DisplayText&gt;(Australian Bureau of Statistics, 2014a)&lt;/DisplayText&gt;&lt;record&gt;&lt;rec-number&gt;75&lt;/rec-number&gt;&lt;foreign-keys&gt;&lt;key app="EN" db-id="edfppa0tc0tfd1etp5xvexpnzfefzewwwas9" timestamp="1441592649"&gt;75&lt;/key&gt;&lt;/foreign-keys&gt;&lt;ref-type name="Book"&gt;6&lt;/ref-type&gt;&lt;contributors&gt;&lt;authors&gt;&lt;author&gt;Australian Bureau of Statistics,&lt;/author&gt;&lt;/authors&gt;&lt;/contributors&gt;&lt;titles&gt;&lt;title&gt;Australian Demographic Statistics, Dec 2014 Cat 3101.0&lt;/title&gt;&lt;/titles&gt;&lt;dates&gt;&lt;year&gt;2014&lt;/year&gt;&lt;/dates&gt;&lt;pub-location&gt;Canberra&lt;/pub-location&gt;&lt;publisher&gt;ABS&lt;/publisher&gt;&lt;urls&gt;&lt;/urls&gt;&lt;/record&gt;&lt;/Cite&gt;&lt;/EndNote&gt;</w:instrText>
      </w:r>
      <w:r w:rsidRPr="001D186D">
        <w:fldChar w:fldCharType="separate"/>
      </w:r>
      <w:r w:rsidRPr="001D186D">
        <w:rPr>
          <w:noProof/>
        </w:rPr>
        <w:t>(</w:t>
      </w:r>
      <w:hyperlink w:anchor="_ENREF_3" w:tooltip="Australian Bureau of Statistics, 2014 #75" w:history="1">
        <w:r w:rsidRPr="001D186D">
          <w:rPr>
            <w:noProof/>
          </w:rPr>
          <w:t>Australian Bureau of Statistics, 2014a</w:t>
        </w:r>
      </w:hyperlink>
      <w:r w:rsidRPr="001D186D">
        <w:rPr>
          <w:noProof/>
        </w:rPr>
        <w:t>)</w:t>
      </w:r>
      <w:r w:rsidRPr="001D186D">
        <w:fldChar w:fldCharType="end"/>
      </w:r>
      <w:r w:rsidRPr="001D186D">
        <w:t xml:space="preserve"> in 2013 multiplied by the prevalence of current smokers in 12-17 year olds </w:t>
      </w:r>
      <w:r w:rsidRPr="001D186D">
        <w:fldChar w:fldCharType="begin"/>
      </w:r>
      <w:r w:rsidRPr="001D186D">
        <w:instrText xml:space="preserve"> ADDIN EN.CITE &lt;EndNote&gt;&lt;Cite&gt;&lt;Author&gt;Australian Institute of Health and Welfare&lt;/Author&gt;&lt;Year&gt;2014&lt;/Year&gt;&lt;RecNum&gt;5&lt;/RecNum&gt;&lt;DisplayText&gt;(Australian Institute of Health and Welfare, 2014)&lt;/DisplayText&gt;&lt;record&gt;&lt;rec-number&gt;5&lt;/rec-number&gt;&lt;foreign-keys&gt;&lt;key app="EN" db-id="edfppa0tc0tfd1etp5xvexpnzfefzewwwas9" timestamp="1441592648"&gt;5&lt;/key&gt;&lt;/foreign-keys&gt;&lt;ref-type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no.28 Cat. no. PHE 183&lt;/secondary-title&gt;&lt;/titles&gt;&lt;volume&gt;Drug statistics series no.28 Cat. no. PHE 183&lt;/volume&gt;&lt;dates&gt;&lt;year&gt;2014&lt;/year&gt;&lt;/dates&gt;&lt;pub-location&gt;Canberra&lt;/pub-location&gt;&lt;publisher&gt;AIHW&lt;/publisher&gt;&lt;urls&gt;&lt;/urls&gt;&lt;/record&gt;&lt;/Cite&gt;&lt;/EndNote&gt;</w:instrText>
      </w:r>
      <w:r w:rsidRPr="001D186D">
        <w:fldChar w:fldCharType="separate"/>
      </w:r>
      <w:r w:rsidRPr="001D186D">
        <w:rPr>
          <w:noProof/>
        </w:rPr>
        <w:t>(</w:t>
      </w:r>
      <w:hyperlink w:anchor="_ENREF_7" w:tooltip="Australian Institute of Health and Welfare, 2014 #5" w:history="1">
        <w:r w:rsidRPr="001D186D">
          <w:rPr>
            <w:noProof/>
          </w:rPr>
          <w:t>Australian Institute of Health and Welfare, 2014</w:t>
        </w:r>
      </w:hyperlink>
      <w:r w:rsidRPr="001D186D">
        <w:rPr>
          <w:noProof/>
        </w:rPr>
        <w:t>)</w:t>
      </w:r>
      <w:r w:rsidRPr="001D186D">
        <w:fldChar w:fldCharType="end"/>
      </w:r>
    </w:p>
  </w:footnote>
  <w:footnote w:id="15">
    <w:p w14:paraId="097A97D8" w14:textId="38834EEC" w:rsidR="00060678" w:rsidRDefault="00060678">
      <w:pPr>
        <w:pStyle w:val="FootnoteText"/>
      </w:pPr>
      <w:r>
        <w:rPr>
          <w:rStyle w:val="FootnoteReference"/>
        </w:rPr>
        <w:footnoteRef/>
      </w:r>
      <w:r>
        <w:t xml:space="preserve"> Assuming constant population and that the half per-cent reduction in those who become a current smoker is maintained</w:t>
      </w:r>
    </w:p>
  </w:footnote>
  <w:footnote w:id="16">
    <w:p w14:paraId="3F1FF171" w14:textId="77777777" w:rsidR="00060678" w:rsidRDefault="00060678">
      <w:pPr>
        <w:pStyle w:val="FootnoteText"/>
      </w:pPr>
      <w:r>
        <w:rPr>
          <w:rStyle w:val="FootnoteReference"/>
        </w:rPr>
        <w:footnoteRef/>
      </w:r>
      <w:r>
        <w:t xml:space="preserve"> Calculated as reduction in current smokers multiplied by 2.27 life years (the estimated increase in life expectancy per smoker avoided adjusted for otherwise observed future life-time quit rates)</w:t>
      </w:r>
    </w:p>
  </w:footnote>
  <w:footnote w:id="17">
    <w:p w14:paraId="7661086F" w14:textId="22C626C6" w:rsidR="00060678" w:rsidRDefault="00060678">
      <w:pPr>
        <w:pStyle w:val="FootnoteText"/>
      </w:pPr>
      <w:r>
        <w:rPr>
          <w:rStyle w:val="FootnoteReference"/>
        </w:rPr>
        <w:footnoteRef/>
      </w:r>
      <w:r>
        <w:t xml:space="preserve"> This figure is subject to limitations described in pages 7 to 9 above. </w:t>
      </w:r>
    </w:p>
  </w:footnote>
  <w:footnote w:id="18">
    <w:p w14:paraId="3DD210DC" w14:textId="0B36C2BC" w:rsidR="00060678" w:rsidRDefault="00060678" w:rsidP="00C45985">
      <w:pPr>
        <w:pStyle w:val="FootnoteText"/>
        <w:spacing w:before="0"/>
      </w:pPr>
      <w:r>
        <w:rPr>
          <w:rStyle w:val="FootnoteReference"/>
        </w:rPr>
        <w:footnoteRef/>
      </w:r>
      <w:r>
        <w:t xml:space="preserve"> </w:t>
      </w:r>
      <w:proofErr w:type="gramStart"/>
      <w:r>
        <w:t xml:space="preserve">As was the case in 2012 according to the 2014 </w:t>
      </w:r>
      <w:proofErr w:type="spellStart"/>
      <w:r>
        <w:t>Euromonitor</w:t>
      </w:r>
      <w:proofErr w:type="spellEnd"/>
      <w:r>
        <w:t xml:space="preserve"> International ‘Tobacco in Australia’ Report.</w:t>
      </w:r>
      <w:proofErr w:type="gramEnd"/>
      <w:r>
        <w:t xml:space="preserve"> </w:t>
      </w:r>
      <w:proofErr w:type="spellStart"/>
      <w:r>
        <w:t>Euromonitor</w:t>
      </w:r>
      <w:proofErr w:type="spellEnd"/>
      <w:r>
        <w:t xml:space="preserve"> International is a market research company based in London, which provides market information on a number of different industries. </w:t>
      </w:r>
    </w:p>
  </w:footnote>
  <w:footnote w:id="19">
    <w:p w14:paraId="3EDDA821" w14:textId="77777777" w:rsidR="00060678" w:rsidRDefault="00060678" w:rsidP="00C45985">
      <w:pPr>
        <w:pStyle w:val="FootnoteText"/>
        <w:spacing w:before="0"/>
      </w:pPr>
      <w:r>
        <w:rPr>
          <w:rStyle w:val="FootnoteReference"/>
        </w:rPr>
        <w:footnoteRef/>
      </w:r>
      <w:r>
        <w:t xml:space="preserve"> Assuming 25 per pack which is the most commonly sold size. See 2014 </w:t>
      </w:r>
      <w:proofErr w:type="spellStart"/>
      <w:r>
        <w:t>Euromonitor</w:t>
      </w:r>
      <w:proofErr w:type="spellEnd"/>
      <w:r>
        <w:t xml:space="preserve"> Report p.38</w:t>
      </w:r>
    </w:p>
  </w:footnote>
  <w:footnote w:id="20">
    <w:p w14:paraId="5887DC85" w14:textId="77777777" w:rsidR="00060678" w:rsidRDefault="00060678" w:rsidP="00C45985">
      <w:pPr>
        <w:pStyle w:val="FootnoteText"/>
        <w:spacing w:before="0"/>
      </w:pPr>
      <w:r>
        <w:rPr>
          <w:rStyle w:val="FootnoteReference"/>
        </w:rPr>
        <w:footnoteRef/>
      </w:r>
      <w:r>
        <w:t xml:space="preserve"> This is a simplistic assumption on the basis of the </w:t>
      </w:r>
      <w:proofErr w:type="spellStart"/>
      <w:r>
        <w:t>Euromonitor</w:t>
      </w:r>
      <w:proofErr w:type="spellEnd"/>
      <w:r>
        <w:t xml:space="preserve"> Report which reported an annual decline cigarette sales volume of between 3-4% in the year 2011-2014 (p.20). Other data sources regarding tobacco sales volume, such as clearance data, also indicate similar declines. The assumed decline is for the purpose of the illustrative example only and does not attempt to quantify the actual likely future decline in tobacco sales or the potential impact of tobacco control measures more generally.</w:t>
      </w:r>
    </w:p>
  </w:footnote>
  <w:footnote w:id="21">
    <w:p w14:paraId="477E49D4" w14:textId="77777777" w:rsidR="00060678" w:rsidRDefault="00060678">
      <w:pPr>
        <w:pStyle w:val="FootnoteText"/>
      </w:pPr>
      <w:r>
        <w:rPr>
          <w:rStyle w:val="FootnoteReference"/>
        </w:rPr>
        <w:footnoteRef/>
      </w:r>
      <w:r>
        <w:t xml:space="preserve"> Cigarettes that are manufactured legally in the country of origin, but are intended specifically for the illicit market and are sold without duty having been paid in the destination country</w:t>
      </w:r>
    </w:p>
  </w:footnote>
  <w:footnote w:id="22">
    <w:p w14:paraId="7F68650D" w14:textId="3525D87E" w:rsidR="00060678" w:rsidRDefault="00060678">
      <w:pPr>
        <w:pStyle w:val="FootnoteText"/>
      </w:pPr>
      <w:r>
        <w:rPr>
          <w:rStyle w:val="FootnoteReference"/>
        </w:rPr>
        <w:footnoteRef/>
      </w:r>
      <w:r>
        <w:t xml:space="preserve"> This figure is subject to limitations described in pages 7 to 9 above.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9D3CE" w14:textId="77777777" w:rsidR="000E3B10" w:rsidRDefault="000E3B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4B16D" w14:textId="77777777" w:rsidR="000E3B10" w:rsidRDefault="000E3B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E6EAD" w14:textId="77777777" w:rsidR="000E3B10" w:rsidRDefault="000E3B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20CB7F6"/>
    <w:lvl w:ilvl="0">
      <w:start w:val="1"/>
      <w:numFmt w:val="decimal"/>
      <w:pStyle w:val="NcondensedChar"/>
      <w:lvlText w:val="%1."/>
      <w:lvlJc w:val="left"/>
      <w:pPr>
        <w:tabs>
          <w:tab w:val="num" w:pos="643"/>
        </w:tabs>
        <w:ind w:left="643" w:hanging="360"/>
      </w:pPr>
    </w:lvl>
  </w:abstractNum>
  <w:abstractNum w:abstractNumId="1">
    <w:nsid w:val="FFFFFF80"/>
    <w:multiLevelType w:val="singleLevel"/>
    <w:tmpl w:val="04B87A5A"/>
    <w:lvl w:ilvl="0">
      <w:start w:val="1"/>
      <w:numFmt w:val="bullet"/>
      <w:pStyle w:val="NoteHeading"/>
      <w:lvlText w:val=""/>
      <w:lvlJc w:val="left"/>
      <w:pPr>
        <w:tabs>
          <w:tab w:val="num" w:pos="1492"/>
        </w:tabs>
        <w:ind w:left="1492" w:hanging="360"/>
      </w:pPr>
      <w:rPr>
        <w:rFonts w:ascii="Symbol" w:hAnsi="Symbol" w:hint="default"/>
      </w:rPr>
    </w:lvl>
  </w:abstractNum>
  <w:abstractNum w:abstractNumId="2">
    <w:nsid w:val="FFFFFF82"/>
    <w:multiLevelType w:val="singleLevel"/>
    <w:tmpl w:val="C7AC9DB8"/>
    <w:lvl w:ilvl="0">
      <w:start w:val="1"/>
      <w:numFmt w:val="bullet"/>
      <w:pStyle w:val="MessageHeader"/>
      <w:lvlText w:val=""/>
      <w:lvlJc w:val="left"/>
      <w:pPr>
        <w:tabs>
          <w:tab w:val="num" w:pos="926"/>
        </w:tabs>
        <w:ind w:left="926" w:hanging="360"/>
      </w:pPr>
      <w:rPr>
        <w:rFonts w:ascii="Symbol" w:hAnsi="Symbol" w:hint="default"/>
      </w:rPr>
    </w:lvl>
  </w:abstractNum>
  <w:abstractNum w:abstractNumId="3">
    <w:nsid w:val="14B101CC"/>
    <w:multiLevelType w:val="hybridMultilevel"/>
    <w:tmpl w:val="E1947F04"/>
    <w:lvl w:ilvl="0" w:tplc="C026E8B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A891F47"/>
    <w:multiLevelType w:val="hybridMultilevel"/>
    <w:tmpl w:val="62585B40"/>
    <w:lvl w:ilvl="0" w:tplc="2A84975C">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590" w:hanging="360"/>
      </w:pPr>
      <w:rPr>
        <w:rFonts w:ascii="Courier New" w:hAnsi="Courier New" w:cs="Courier New" w:hint="default"/>
      </w:rPr>
    </w:lvl>
    <w:lvl w:ilvl="2" w:tplc="0C090005" w:tentative="1">
      <w:start w:val="1"/>
      <w:numFmt w:val="bullet"/>
      <w:lvlText w:val=""/>
      <w:lvlJc w:val="left"/>
      <w:pPr>
        <w:ind w:left="1310" w:hanging="360"/>
      </w:pPr>
      <w:rPr>
        <w:rFonts w:ascii="Wingdings" w:hAnsi="Wingdings" w:hint="default"/>
      </w:rPr>
    </w:lvl>
    <w:lvl w:ilvl="3" w:tplc="0C090001" w:tentative="1">
      <w:start w:val="1"/>
      <w:numFmt w:val="bullet"/>
      <w:lvlText w:val=""/>
      <w:lvlJc w:val="left"/>
      <w:pPr>
        <w:ind w:left="2030" w:hanging="360"/>
      </w:pPr>
      <w:rPr>
        <w:rFonts w:ascii="Symbol" w:hAnsi="Symbol" w:hint="default"/>
      </w:rPr>
    </w:lvl>
    <w:lvl w:ilvl="4" w:tplc="0C090003" w:tentative="1">
      <w:start w:val="1"/>
      <w:numFmt w:val="bullet"/>
      <w:lvlText w:val="o"/>
      <w:lvlJc w:val="left"/>
      <w:pPr>
        <w:ind w:left="2750" w:hanging="360"/>
      </w:pPr>
      <w:rPr>
        <w:rFonts w:ascii="Courier New" w:hAnsi="Courier New" w:cs="Courier New" w:hint="default"/>
      </w:rPr>
    </w:lvl>
    <w:lvl w:ilvl="5" w:tplc="0C090005" w:tentative="1">
      <w:start w:val="1"/>
      <w:numFmt w:val="bullet"/>
      <w:lvlText w:val=""/>
      <w:lvlJc w:val="left"/>
      <w:pPr>
        <w:ind w:left="3470" w:hanging="360"/>
      </w:pPr>
      <w:rPr>
        <w:rFonts w:ascii="Wingdings" w:hAnsi="Wingdings" w:hint="default"/>
      </w:rPr>
    </w:lvl>
    <w:lvl w:ilvl="6" w:tplc="0C090001" w:tentative="1">
      <w:start w:val="1"/>
      <w:numFmt w:val="bullet"/>
      <w:lvlText w:val=""/>
      <w:lvlJc w:val="left"/>
      <w:pPr>
        <w:ind w:left="4190" w:hanging="360"/>
      </w:pPr>
      <w:rPr>
        <w:rFonts w:ascii="Symbol" w:hAnsi="Symbol" w:hint="default"/>
      </w:rPr>
    </w:lvl>
    <w:lvl w:ilvl="7" w:tplc="0C090003" w:tentative="1">
      <w:start w:val="1"/>
      <w:numFmt w:val="bullet"/>
      <w:lvlText w:val="o"/>
      <w:lvlJc w:val="left"/>
      <w:pPr>
        <w:ind w:left="4910" w:hanging="360"/>
      </w:pPr>
      <w:rPr>
        <w:rFonts w:ascii="Courier New" w:hAnsi="Courier New" w:cs="Courier New" w:hint="default"/>
      </w:rPr>
    </w:lvl>
    <w:lvl w:ilvl="8" w:tplc="0C090005" w:tentative="1">
      <w:start w:val="1"/>
      <w:numFmt w:val="bullet"/>
      <w:lvlText w:val=""/>
      <w:lvlJc w:val="left"/>
      <w:pPr>
        <w:ind w:left="5630" w:hanging="360"/>
      </w:pPr>
      <w:rPr>
        <w:rFonts w:ascii="Wingdings" w:hAnsi="Wingdings" w:hint="default"/>
      </w:rPr>
    </w:lvl>
  </w:abstractNum>
  <w:abstractNum w:abstractNumId="5">
    <w:nsid w:val="1ECF1EF8"/>
    <w:multiLevelType w:val="hybridMultilevel"/>
    <w:tmpl w:val="6CC68A5E"/>
    <w:lvl w:ilvl="0" w:tplc="5FE2C97C">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nsid w:val="204B208B"/>
    <w:multiLevelType w:val="multilevel"/>
    <w:tmpl w:val="FD7661D0"/>
    <w:lvl w:ilvl="0">
      <w:start w:val="1"/>
      <w:numFmt w:val="decimal"/>
      <w:pStyle w:val="TableofFigures"/>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2014261"/>
    <w:multiLevelType w:val="hybridMultilevel"/>
    <w:tmpl w:val="A420D754"/>
    <w:lvl w:ilvl="0" w:tplc="5FBAF75E">
      <w:start w:val="1"/>
      <w:numFmt w:val="lowerRoman"/>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8">
    <w:nsid w:val="39692BB7"/>
    <w:multiLevelType w:val="hybridMultilevel"/>
    <w:tmpl w:val="AA0AA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A76B03"/>
    <w:multiLevelType w:val="hybridMultilevel"/>
    <w:tmpl w:val="B9BE58E4"/>
    <w:lvl w:ilvl="0" w:tplc="7B46AC76">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7D50226"/>
    <w:multiLevelType w:val="hybridMultilevel"/>
    <w:tmpl w:val="E1947F04"/>
    <w:lvl w:ilvl="0" w:tplc="C026E8B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68C516A5"/>
    <w:multiLevelType w:val="hybridMultilevel"/>
    <w:tmpl w:val="570A82F4"/>
    <w:lvl w:ilvl="0" w:tplc="D33C6388">
      <w:start w:val="1"/>
      <w:numFmt w:val="bullet"/>
      <w:lvlText w:val="-"/>
      <w:lvlJc w:val="left"/>
      <w:pPr>
        <w:ind w:left="360" w:hanging="360"/>
      </w:pPr>
      <w:rPr>
        <w:rFonts w:ascii="Times New Roman" w:hAnsi="Times New Roman" w:cs="Times New Roman" w:hint="default"/>
        <w:sz w:val="18"/>
      </w:rPr>
    </w:lvl>
    <w:lvl w:ilvl="1" w:tplc="4A900CA4">
      <w:start w:val="1"/>
      <w:numFmt w:val="bullet"/>
      <w:pStyle w:val="Bullet2ndLevel"/>
      <w:lvlText w:val="-"/>
      <w:lvlJc w:val="left"/>
      <w:pPr>
        <w:ind w:left="1080" w:hanging="360"/>
      </w:pPr>
      <w:rPr>
        <w:rFonts w:ascii="Times New Roman" w:hAnsi="Times New Roman" w:cs="Times New Roman" w:hint="default"/>
        <w:sz w:val="18"/>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74B057D3"/>
    <w:multiLevelType w:val="hybridMultilevel"/>
    <w:tmpl w:val="281892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F8C76BF"/>
    <w:multiLevelType w:val="multilevel"/>
    <w:tmpl w:val="83444A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6"/>
  </w:num>
  <w:num w:numId="3">
    <w:abstractNumId w:val="4"/>
  </w:num>
  <w:num w:numId="4">
    <w:abstractNumId w:val="2"/>
  </w:num>
  <w:num w:numId="5">
    <w:abstractNumId w:val="1"/>
  </w:num>
  <w:num w:numId="6">
    <w:abstractNumId w:val="0"/>
  </w:num>
  <w:num w:numId="7">
    <w:abstractNumId w:val="9"/>
  </w:num>
  <w:num w:numId="8">
    <w:abstractNumId w:val="5"/>
  </w:num>
  <w:num w:numId="9">
    <w:abstractNumId w:val="7"/>
  </w:num>
  <w:num w:numId="10">
    <w:abstractNumId w:val="10"/>
  </w:num>
  <w:num w:numId="11">
    <w:abstractNumId w:val="3"/>
  </w:num>
  <w:num w:numId="12">
    <w:abstractNumId w:val="12"/>
  </w:num>
  <w:num w:numId="13">
    <w:abstractNumId w:val="8"/>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4"/>
  </w:num>
  <w:num w:numId="2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full name&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Libraries&gt;"/>
  </w:docVars>
  <w:rsids>
    <w:rsidRoot w:val="00DE495D"/>
    <w:rsid w:val="000019AC"/>
    <w:rsid w:val="00001C3A"/>
    <w:rsid w:val="0000208E"/>
    <w:rsid w:val="00011181"/>
    <w:rsid w:val="000127A2"/>
    <w:rsid w:val="00012829"/>
    <w:rsid w:val="000146DB"/>
    <w:rsid w:val="00015511"/>
    <w:rsid w:val="000214FF"/>
    <w:rsid w:val="00023274"/>
    <w:rsid w:val="00023336"/>
    <w:rsid w:val="000233B0"/>
    <w:rsid w:val="00030EDA"/>
    <w:rsid w:val="00031615"/>
    <w:rsid w:val="000326B8"/>
    <w:rsid w:val="000333C5"/>
    <w:rsid w:val="00033756"/>
    <w:rsid w:val="00034360"/>
    <w:rsid w:val="00034CDF"/>
    <w:rsid w:val="000351D2"/>
    <w:rsid w:val="00040BBF"/>
    <w:rsid w:val="00041E7A"/>
    <w:rsid w:val="00042B42"/>
    <w:rsid w:val="00051795"/>
    <w:rsid w:val="00052C4F"/>
    <w:rsid w:val="00054512"/>
    <w:rsid w:val="000546DE"/>
    <w:rsid w:val="000551A0"/>
    <w:rsid w:val="0005587F"/>
    <w:rsid w:val="00057237"/>
    <w:rsid w:val="00060660"/>
    <w:rsid w:val="00060678"/>
    <w:rsid w:val="000721E6"/>
    <w:rsid w:val="00074FFC"/>
    <w:rsid w:val="000754CC"/>
    <w:rsid w:val="0007738B"/>
    <w:rsid w:val="0008006A"/>
    <w:rsid w:val="000811F6"/>
    <w:rsid w:val="00081786"/>
    <w:rsid w:val="00082694"/>
    <w:rsid w:val="000842F1"/>
    <w:rsid w:val="00087856"/>
    <w:rsid w:val="00087896"/>
    <w:rsid w:val="00092E5C"/>
    <w:rsid w:val="000933F4"/>
    <w:rsid w:val="000A0F8D"/>
    <w:rsid w:val="000A1E5C"/>
    <w:rsid w:val="000A25BD"/>
    <w:rsid w:val="000A2A7B"/>
    <w:rsid w:val="000A2F4C"/>
    <w:rsid w:val="000A6D85"/>
    <w:rsid w:val="000A797C"/>
    <w:rsid w:val="000B02ED"/>
    <w:rsid w:val="000B035F"/>
    <w:rsid w:val="000B078E"/>
    <w:rsid w:val="000B2569"/>
    <w:rsid w:val="000B3092"/>
    <w:rsid w:val="000B332F"/>
    <w:rsid w:val="000B5ACB"/>
    <w:rsid w:val="000B7001"/>
    <w:rsid w:val="000B7349"/>
    <w:rsid w:val="000B7F0C"/>
    <w:rsid w:val="000C204C"/>
    <w:rsid w:val="000C6FDC"/>
    <w:rsid w:val="000C705A"/>
    <w:rsid w:val="000D1359"/>
    <w:rsid w:val="000D1726"/>
    <w:rsid w:val="000E3B10"/>
    <w:rsid w:val="000E5012"/>
    <w:rsid w:val="000E5198"/>
    <w:rsid w:val="000E5D0B"/>
    <w:rsid w:val="000E5FF1"/>
    <w:rsid w:val="000E7199"/>
    <w:rsid w:val="000F176C"/>
    <w:rsid w:val="000F25AF"/>
    <w:rsid w:val="000F491B"/>
    <w:rsid w:val="000F4F0F"/>
    <w:rsid w:val="001016BC"/>
    <w:rsid w:val="00101911"/>
    <w:rsid w:val="00103471"/>
    <w:rsid w:val="00106197"/>
    <w:rsid w:val="00107546"/>
    <w:rsid w:val="001119E6"/>
    <w:rsid w:val="0011643B"/>
    <w:rsid w:val="001214E7"/>
    <w:rsid w:val="0012262E"/>
    <w:rsid w:val="00124AE0"/>
    <w:rsid w:val="00134DD4"/>
    <w:rsid w:val="001358A4"/>
    <w:rsid w:val="00142996"/>
    <w:rsid w:val="00152CF6"/>
    <w:rsid w:val="00157023"/>
    <w:rsid w:val="00157D0F"/>
    <w:rsid w:val="001603B6"/>
    <w:rsid w:val="0016312F"/>
    <w:rsid w:val="001643F1"/>
    <w:rsid w:val="00166FA0"/>
    <w:rsid w:val="001673AE"/>
    <w:rsid w:val="001675AF"/>
    <w:rsid w:val="00167CC2"/>
    <w:rsid w:val="00167EB7"/>
    <w:rsid w:val="00171B6A"/>
    <w:rsid w:val="0017394A"/>
    <w:rsid w:val="00174BAA"/>
    <w:rsid w:val="001757D7"/>
    <w:rsid w:val="00181E94"/>
    <w:rsid w:val="00182D8C"/>
    <w:rsid w:val="00184B65"/>
    <w:rsid w:val="00184E6C"/>
    <w:rsid w:val="00185157"/>
    <w:rsid w:val="00186232"/>
    <w:rsid w:val="00187720"/>
    <w:rsid w:val="001907AF"/>
    <w:rsid w:val="00190A13"/>
    <w:rsid w:val="00190AFD"/>
    <w:rsid w:val="0019214D"/>
    <w:rsid w:val="00192A26"/>
    <w:rsid w:val="00195565"/>
    <w:rsid w:val="0019577B"/>
    <w:rsid w:val="00196115"/>
    <w:rsid w:val="001A1D27"/>
    <w:rsid w:val="001A2042"/>
    <w:rsid w:val="001A2804"/>
    <w:rsid w:val="001A33F2"/>
    <w:rsid w:val="001A3CF2"/>
    <w:rsid w:val="001A5BDF"/>
    <w:rsid w:val="001B08ED"/>
    <w:rsid w:val="001B0FEE"/>
    <w:rsid w:val="001B3A89"/>
    <w:rsid w:val="001B5AC2"/>
    <w:rsid w:val="001B62F6"/>
    <w:rsid w:val="001B6A5E"/>
    <w:rsid w:val="001B7146"/>
    <w:rsid w:val="001B77B8"/>
    <w:rsid w:val="001C0BEF"/>
    <w:rsid w:val="001C42C7"/>
    <w:rsid w:val="001C5863"/>
    <w:rsid w:val="001C6C0C"/>
    <w:rsid w:val="001D186D"/>
    <w:rsid w:val="001D29EA"/>
    <w:rsid w:val="001D4733"/>
    <w:rsid w:val="001D6A30"/>
    <w:rsid w:val="001D6CD6"/>
    <w:rsid w:val="001D749F"/>
    <w:rsid w:val="001D76C4"/>
    <w:rsid w:val="001E0759"/>
    <w:rsid w:val="001E1128"/>
    <w:rsid w:val="001E6BB8"/>
    <w:rsid w:val="001F26A5"/>
    <w:rsid w:val="001F2904"/>
    <w:rsid w:val="001F3BE3"/>
    <w:rsid w:val="001F4763"/>
    <w:rsid w:val="001F48CA"/>
    <w:rsid w:val="001F59CC"/>
    <w:rsid w:val="00200056"/>
    <w:rsid w:val="00200692"/>
    <w:rsid w:val="0020520E"/>
    <w:rsid w:val="00206F1F"/>
    <w:rsid w:val="002071CA"/>
    <w:rsid w:val="002148EF"/>
    <w:rsid w:val="00215A3B"/>
    <w:rsid w:val="00216EFF"/>
    <w:rsid w:val="0021799A"/>
    <w:rsid w:val="0022078F"/>
    <w:rsid w:val="002209DB"/>
    <w:rsid w:val="0022131C"/>
    <w:rsid w:val="00221FC5"/>
    <w:rsid w:val="00222D5E"/>
    <w:rsid w:val="002237F6"/>
    <w:rsid w:val="00223C2C"/>
    <w:rsid w:val="00226485"/>
    <w:rsid w:val="00226A66"/>
    <w:rsid w:val="002309A2"/>
    <w:rsid w:val="00231EAF"/>
    <w:rsid w:val="00233A13"/>
    <w:rsid w:val="00236B4E"/>
    <w:rsid w:val="00236D42"/>
    <w:rsid w:val="00237183"/>
    <w:rsid w:val="002372DF"/>
    <w:rsid w:val="0024058E"/>
    <w:rsid w:val="002414CA"/>
    <w:rsid w:val="00242F75"/>
    <w:rsid w:val="00243AD7"/>
    <w:rsid w:val="00243B3D"/>
    <w:rsid w:val="00244009"/>
    <w:rsid w:val="00245125"/>
    <w:rsid w:val="00245471"/>
    <w:rsid w:val="0024746D"/>
    <w:rsid w:val="00247A0A"/>
    <w:rsid w:val="002536DC"/>
    <w:rsid w:val="002541BF"/>
    <w:rsid w:val="00256D97"/>
    <w:rsid w:val="00257721"/>
    <w:rsid w:val="00257D25"/>
    <w:rsid w:val="00261710"/>
    <w:rsid w:val="00266506"/>
    <w:rsid w:val="00266A1C"/>
    <w:rsid w:val="00267D71"/>
    <w:rsid w:val="00272AE1"/>
    <w:rsid w:val="00272E09"/>
    <w:rsid w:val="00276613"/>
    <w:rsid w:val="00276710"/>
    <w:rsid w:val="00276A0B"/>
    <w:rsid w:val="00276E79"/>
    <w:rsid w:val="00282390"/>
    <w:rsid w:val="00292824"/>
    <w:rsid w:val="00292A6F"/>
    <w:rsid w:val="0029448E"/>
    <w:rsid w:val="00297F1E"/>
    <w:rsid w:val="002A0C89"/>
    <w:rsid w:val="002A2A3E"/>
    <w:rsid w:val="002A2BBB"/>
    <w:rsid w:val="002A359E"/>
    <w:rsid w:val="002A4CC9"/>
    <w:rsid w:val="002A5BB4"/>
    <w:rsid w:val="002A7652"/>
    <w:rsid w:val="002B153F"/>
    <w:rsid w:val="002B341E"/>
    <w:rsid w:val="002B3D96"/>
    <w:rsid w:val="002B5144"/>
    <w:rsid w:val="002B723B"/>
    <w:rsid w:val="002C36F2"/>
    <w:rsid w:val="002C5417"/>
    <w:rsid w:val="002C5BB6"/>
    <w:rsid w:val="002C6FAF"/>
    <w:rsid w:val="002D13E8"/>
    <w:rsid w:val="002D1520"/>
    <w:rsid w:val="002D1CBD"/>
    <w:rsid w:val="002D3D19"/>
    <w:rsid w:val="002D60E6"/>
    <w:rsid w:val="002D6178"/>
    <w:rsid w:val="002E143E"/>
    <w:rsid w:val="002E3002"/>
    <w:rsid w:val="002E3247"/>
    <w:rsid w:val="002E63CB"/>
    <w:rsid w:val="002E7937"/>
    <w:rsid w:val="002E7BE9"/>
    <w:rsid w:val="002F04F9"/>
    <w:rsid w:val="002F2BF3"/>
    <w:rsid w:val="002F567A"/>
    <w:rsid w:val="002F74F4"/>
    <w:rsid w:val="003004AD"/>
    <w:rsid w:val="003016BA"/>
    <w:rsid w:val="00301A7A"/>
    <w:rsid w:val="00302118"/>
    <w:rsid w:val="00302ADD"/>
    <w:rsid w:val="0030316E"/>
    <w:rsid w:val="0030471F"/>
    <w:rsid w:val="0030715E"/>
    <w:rsid w:val="00311D2B"/>
    <w:rsid w:val="00314C95"/>
    <w:rsid w:val="003150D9"/>
    <w:rsid w:val="00315A1F"/>
    <w:rsid w:val="00317F99"/>
    <w:rsid w:val="00321F1E"/>
    <w:rsid w:val="003231B5"/>
    <w:rsid w:val="00326782"/>
    <w:rsid w:val="00327AAE"/>
    <w:rsid w:val="003317C7"/>
    <w:rsid w:val="00332A8B"/>
    <w:rsid w:val="00334EC1"/>
    <w:rsid w:val="00340647"/>
    <w:rsid w:val="00344420"/>
    <w:rsid w:val="00347918"/>
    <w:rsid w:val="00347E34"/>
    <w:rsid w:val="0035384D"/>
    <w:rsid w:val="003546D3"/>
    <w:rsid w:val="00354A08"/>
    <w:rsid w:val="0035716D"/>
    <w:rsid w:val="0035743D"/>
    <w:rsid w:val="00357BDA"/>
    <w:rsid w:val="00357F87"/>
    <w:rsid w:val="00361A42"/>
    <w:rsid w:val="00361D74"/>
    <w:rsid w:val="003645C5"/>
    <w:rsid w:val="003645CE"/>
    <w:rsid w:val="003649A2"/>
    <w:rsid w:val="003705F8"/>
    <w:rsid w:val="0037297C"/>
    <w:rsid w:val="00372A00"/>
    <w:rsid w:val="00373270"/>
    <w:rsid w:val="00374939"/>
    <w:rsid w:val="00374DC5"/>
    <w:rsid w:val="00374E94"/>
    <w:rsid w:val="003769C3"/>
    <w:rsid w:val="00380F41"/>
    <w:rsid w:val="003816CF"/>
    <w:rsid w:val="00384449"/>
    <w:rsid w:val="00386A04"/>
    <w:rsid w:val="00386F2F"/>
    <w:rsid w:val="0039052B"/>
    <w:rsid w:val="00390645"/>
    <w:rsid w:val="00392474"/>
    <w:rsid w:val="00394C50"/>
    <w:rsid w:val="003A177E"/>
    <w:rsid w:val="003A17D3"/>
    <w:rsid w:val="003A2046"/>
    <w:rsid w:val="003A31A8"/>
    <w:rsid w:val="003A3A2D"/>
    <w:rsid w:val="003A3D34"/>
    <w:rsid w:val="003B083E"/>
    <w:rsid w:val="003B3922"/>
    <w:rsid w:val="003B3C99"/>
    <w:rsid w:val="003B4167"/>
    <w:rsid w:val="003B57DF"/>
    <w:rsid w:val="003B67B4"/>
    <w:rsid w:val="003B7822"/>
    <w:rsid w:val="003B7FA4"/>
    <w:rsid w:val="003C09A7"/>
    <w:rsid w:val="003C5355"/>
    <w:rsid w:val="003C6068"/>
    <w:rsid w:val="003D1D14"/>
    <w:rsid w:val="003E5441"/>
    <w:rsid w:val="003F21D7"/>
    <w:rsid w:val="003F283F"/>
    <w:rsid w:val="003F3065"/>
    <w:rsid w:val="003F3ACF"/>
    <w:rsid w:val="003F7CEF"/>
    <w:rsid w:val="003F7DC4"/>
    <w:rsid w:val="004131D6"/>
    <w:rsid w:val="00414676"/>
    <w:rsid w:val="0041498A"/>
    <w:rsid w:val="004154DE"/>
    <w:rsid w:val="00422D40"/>
    <w:rsid w:val="00422F74"/>
    <w:rsid w:val="004247E7"/>
    <w:rsid w:val="00424E96"/>
    <w:rsid w:val="00424F88"/>
    <w:rsid w:val="00430FDF"/>
    <w:rsid w:val="0043120F"/>
    <w:rsid w:val="0043152B"/>
    <w:rsid w:val="00432E04"/>
    <w:rsid w:val="004330C9"/>
    <w:rsid w:val="004334A9"/>
    <w:rsid w:val="0043362D"/>
    <w:rsid w:val="004340D8"/>
    <w:rsid w:val="00436194"/>
    <w:rsid w:val="0043701D"/>
    <w:rsid w:val="0043774F"/>
    <w:rsid w:val="00444235"/>
    <w:rsid w:val="004447F5"/>
    <w:rsid w:val="00444B21"/>
    <w:rsid w:val="004460AB"/>
    <w:rsid w:val="00451B6B"/>
    <w:rsid w:val="00453008"/>
    <w:rsid w:val="00453B7A"/>
    <w:rsid w:val="0045493A"/>
    <w:rsid w:val="00455709"/>
    <w:rsid w:val="004559E5"/>
    <w:rsid w:val="004569ED"/>
    <w:rsid w:val="004574F4"/>
    <w:rsid w:val="0046571E"/>
    <w:rsid w:val="00465995"/>
    <w:rsid w:val="00470264"/>
    <w:rsid w:val="0047061D"/>
    <w:rsid w:val="00471EBA"/>
    <w:rsid w:val="00471FE6"/>
    <w:rsid w:val="00475502"/>
    <w:rsid w:val="0048071D"/>
    <w:rsid w:val="00481023"/>
    <w:rsid w:val="00486BAB"/>
    <w:rsid w:val="00486FDB"/>
    <w:rsid w:val="00487618"/>
    <w:rsid w:val="004876C0"/>
    <w:rsid w:val="00487C87"/>
    <w:rsid w:val="00490DD0"/>
    <w:rsid w:val="004927BE"/>
    <w:rsid w:val="0049414D"/>
    <w:rsid w:val="00495AE1"/>
    <w:rsid w:val="00495C14"/>
    <w:rsid w:val="00497246"/>
    <w:rsid w:val="00497790"/>
    <w:rsid w:val="00497E57"/>
    <w:rsid w:val="004A00A1"/>
    <w:rsid w:val="004A068D"/>
    <w:rsid w:val="004A219A"/>
    <w:rsid w:val="004A28AA"/>
    <w:rsid w:val="004A3268"/>
    <w:rsid w:val="004A41A7"/>
    <w:rsid w:val="004A53DC"/>
    <w:rsid w:val="004A6DBA"/>
    <w:rsid w:val="004A772C"/>
    <w:rsid w:val="004B4C4D"/>
    <w:rsid w:val="004C0631"/>
    <w:rsid w:val="004C0D9B"/>
    <w:rsid w:val="004C2674"/>
    <w:rsid w:val="004C2D1E"/>
    <w:rsid w:val="004C3E1B"/>
    <w:rsid w:val="004C4317"/>
    <w:rsid w:val="004C5077"/>
    <w:rsid w:val="004D1C78"/>
    <w:rsid w:val="004D2478"/>
    <w:rsid w:val="004D2AA3"/>
    <w:rsid w:val="004E033D"/>
    <w:rsid w:val="004E173D"/>
    <w:rsid w:val="004E4B9A"/>
    <w:rsid w:val="004E5872"/>
    <w:rsid w:val="004E5FC5"/>
    <w:rsid w:val="004F1E14"/>
    <w:rsid w:val="004F3C66"/>
    <w:rsid w:val="004F3CDA"/>
    <w:rsid w:val="004F530B"/>
    <w:rsid w:val="004F5E14"/>
    <w:rsid w:val="0050083C"/>
    <w:rsid w:val="00500BA1"/>
    <w:rsid w:val="00501360"/>
    <w:rsid w:val="00502AD8"/>
    <w:rsid w:val="00502B9D"/>
    <w:rsid w:val="0050576A"/>
    <w:rsid w:val="005062BD"/>
    <w:rsid w:val="005065AD"/>
    <w:rsid w:val="00510F09"/>
    <w:rsid w:val="00511FFD"/>
    <w:rsid w:val="00517264"/>
    <w:rsid w:val="00517992"/>
    <w:rsid w:val="005223C9"/>
    <w:rsid w:val="005233EE"/>
    <w:rsid w:val="0052406A"/>
    <w:rsid w:val="00524809"/>
    <w:rsid w:val="0052659A"/>
    <w:rsid w:val="005265F0"/>
    <w:rsid w:val="00526E7E"/>
    <w:rsid w:val="00537F58"/>
    <w:rsid w:val="005403ED"/>
    <w:rsid w:val="0054058E"/>
    <w:rsid w:val="00541296"/>
    <w:rsid w:val="00542E0B"/>
    <w:rsid w:val="00543190"/>
    <w:rsid w:val="00543228"/>
    <w:rsid w:val="00543F5F"/>
    <w:rsid w:val="005454F1"/>
    <w:rsid w:val="00547AEA"/>
    <w:rsid w:val="00547F45"/>
    <w:rsid w:val="00553728"/>
    <w:rsid w:val="005549F6"/>
    <w:rsid w:val="005607BE"/>
    <w:rsid w:val="00562579"/>
    <w:rsid w:val="0056258B"/>
    <w:rsid w:val="00562658"/>
    <w:rsid w:val="00563336"/>
    <w:rsid w:val="00565221"/>
    <w:rsid w:val="00566434"/>
    <w:rsid w:val="005667B0"/>
    <w:rsid w:val="005745D7"/>
    <w:rsid w:val="005751F0"/>
    <w:rsid w:val="00576FED"/>
    <w:rsid w:val="0058302A"/>
    <w:rsid w:val="00583929"/>
    <w:rsid w:val="00584306"/>
    <w:rsid w:val="00585C82"/>
    <w:rsid w:val="00586823"/>
    <w:rsid w:val="005878B7"/>
    <w:rsid w:val="00587E41"/>
    <w:rsid w:val="00590628"/>
    <w:rsid w:val="00591478"/>
    <w:rsid w:val="00591C83"/>
    <w:rsid w:val="0059396F"/>
    <w:rsid w:val="005940B8"/>
    <w:rsid w:val="005953ED"/>
    <w:rsid w:val="00596220"/>
    <w:rsid w:val="0059731B"/>
    <w:rsid w:val="005A1052"/>
    <w:rsid w:val="005A24E9"/>
    <w:rsid w:val="005A2927"/>
    <w:rsid w:val="005A3DCC"/>
    <w:rsid w:val="005A4315"/>
    <w:rsid w:val="005A5A72"/>
    <w:rsid w:val="005B04E1"/>
    <w:rsid w:val="005B2E1A"/>
    <w:rsid w:val="005B334F"/>
    <w:rsid w:val="005B5827"/>
    <w:rsid w:val="005B68F1"/>
    <w:rsid w:val="005B7957"/>
    <w:rsid w:val="005C0499"/>
    <w:rsid w:val="005C0E56"/>
    <w:rsid w:val="005C19B2"/>
    <w:rsid w:val="005C2CC6"/>
    <w:rsid w:val="005C6D4D"/>
    <w:rsid w:val="005D02B0"/>
    <w:rsid w:val="005D03E9"/>
    <w:rsid w:val="005E1275"/>
    <w:rsid w:val="005E2D88"/>
    <w:rsid w:val="005E6C5D"/>
    <w:rsid w:val="005F0B13"/>
    <w:rsid w:val="005F4587"/>
    <w:rsid w:val="005F69F2"/>
    <w:rsid w:val="00600E15"/>
    <w:rsid w:val="0060174B"/>
    <w:rsid w:val="00603512"/>
    <w:rsid w:val="006052A5"/>
    <w:rsid w:val="006104D0"/>
    <w:rsid w:val="0061396B"/>
    <w:rsid w:val="00617D23"/>
    <w:rsid w:val="00617E7B"/>
    <w:rsid w:val="006232CE"/>
    <w:rsid w:val="00625D8C"/>
    <w:rsid w:val="006330C7"/>
    <w:rsid w:val="0063415D"/>
    <w:rsid w:val="0063673E"/>
    <w:rsid w:val="00636C28"/>
    <w:rsid w:val="00644A3D"/>
    <w:rsid w:val="00644A91"/>
    <w:rsid w:val="00650150"/>
    <w:rsid w:val="00652C40"/>
    <w:rsid w:val="00653249"/>
    <w:rsid w:val="006553C4"/>
    <w:rsid w:val="006556DA"/>
    <w:rsid w:val="00655B8B"/>
    <w:rsid w:val="006571D9"/>
    <w:rsid w:val="00657400"/>
    <w:rsid w:val="006678DE"/>
    <w:rsid w:val="00672812"/>
    <w:rsid w:val="00672FF5"/>
    <w:rsid w:val="00673E6B"/>
    <w:rsid w:val="006741A3"/>
    <w:rsid w:val="00674702"/>
    <w:rsid w:val="00675515"/>
    <w:rsid w:val="00676527"/>
    <w:rsid w:val="0068402F"/>
    <w:rsid w:val="00687655"/>
    <w:rsid w:val="006908FB"/>
    <w:rsid w:val="00691EC9"/>
    <w:rsid w:val="006923D1"/>
    <w:rsid w:val="006942A1"/>
    <w:rsid w:val="006942C5"/>
    <w:rsid w:val="006A528E"/>
    <w:rsid w:val="006A70D4"/>
    <w:rsid w:val="006B069F"/>
    <w:rsid w:val="006B06FD"/>
    <w:rsid w:val="006B5DBD"/>
    <w:rsid w:val="006C383A"/>
    <w:rsid w:val="006C3CA9"/>
    <w:rsid w:val="006C408B"/>
    <w:rsid w:val="006D6E18"/>
    <w:rsid w:val="006E28E4"/>
    <w:rsid w:val="006E3505"/>
    <w:rsid w:val="006E401A"/>
    <w:rsid w:val="006E4C66"/>
    <w:rsid w:val="006E698E"/>
    <w:rsid w:val="006F03E8"/>
    <w:rsid w:val="006F522E"/>
    <w:rsid w:val="006F5348"/>
    <w:rsid w:val="006F5A0C"/>
    <w:rsid w:val="006F5F43"/>
    <w:rsid w:val="006F6AD9"/>
    <w:rsid w:val="006F73FD"/>
    <w:rsid w:val="00701A5D"/>
    <w:rsid w:val="00701AA9"/>
    <w:rsid w:val="00702A5B"/>
    <w:rsid w:val="0070333C"/>
    <w:rsid w:val="00703709"/>
    <w:rsid w:val="00703A0C"/>
    <w:rsid w:val="00707D60"/>
    <w:rsid w:val="0071082E"/>
    <w:rsid w:val="007230B1"/>
    <w:rsid w:val="0072405A"/>
    <w:rsid w:val="00725174"/>
    <w:rsid w:val="00725B99"/>
    <w:rsid w:val="007267CC"/>
    <w:rsid w:val="007307C9"/>
    <w:rsid w:val="0073135B"/>
    <w:rsid w:val="00734AC6"/>
    <w:rsid w:val="00735608"/>
    <w:rsid w:val="00735775"/>
    <w:rsid w:val="00735F5E"/>
    <w:rsid w:val="00743C34"/>
    <w:rsid w:val="007440B8"/>
    <w:rsid w:val="007445F1"/>
    <w:rsid w:val="00746051"/>
    <w:rsid w:val="007500EA"/>
    <w:rsid w:val="0075060F"/>
    <w:rsid w:val="00751AF3"/>
    <w:rsid w:val="00752E6C"/>
    <w:rsid w:val="0075325A"/>
    <w:rsid w:val="00755722"/>
    <w:rsid w:val="007560DE"/>
    <w:rsid w:val="007619DD"/>
    <w:rsid w:val="00764059"/>
    <w:rsid w:val="00764FDD"/>
    <w:rsid w:val="00765CEB"/>
    <w:rsid w:val="00765E3C"/>
    <w:rsid w:val="00770612"/>
    <w:rsid w:val="007725BB"/>
    <w:rsid w:val="00772CCF"/>
    <w:rsid w:val="00773BD4"/>
    <w:rsid w:val="0077657C"/>
    <w:rsid w:val="007767F3"/>
    <w:rsid w:val="007768C7"/>
    <w:rsid w:val="0077723D"/>
    <w:rsid w:val="007809C6"/>
    <w:rsid w:val="00780BCE"/>
    <w:rsid w:val="00782298"/>
    <w:rsid w:val="0078490E"/>
    <w:rsid w:val="007873E0"/>
    <w:rsid w:val="00787B8A"/>
    <w:rsid w:val="00791A27"/>
    <w:rsid w:val="00792E2D"/>
    <w:rsid w:val="007933CC"/>
    <w:rsid w:val="00793FAE"/>
    <w:rsid w:val="00795EAC"/>
    <w:rsid w:val="007A4FB6"/>
    <w:rsid w:val="007A56E5"/>
    <w:rsid w:val="007A5A09"/>
    <w:rsid w:val="007A5B63"/>
    <w:rsid w:val="007A60BE"/>
    <w:rsid w:val="007A765C"/>
    <w:rsid w:val="007B33F4"/>
    <w:rsid w:val="007B7C90"/>
    <w:rsid w:val="007C172C"/>
    <w:rsid w:val="007C2EA5"/>
    <w:rsid w:val="007C3020"/>
    <w:rsid w:val="007C3433"/>
    <w:rsid w:val="007C40B9"/>
    <w:rsid w:val="007C4776"/>
    <w:rsid w:val="007C4A46"/>
    <w:rsid w:val="007C5B60"/>
    <w:rsid w:val="007D0C18"/>
    <w:rsid w:val="007D2FF3"/>
    <w:rsid w:val="007D3666"/>
    <w:rsid w:val="007D43EE"/>
    <w:rsid w:val="007D653A"/>
    <w:rsid w:val="007D67D6"/>
    <w:rsid w:val="007E292F"/>
    <w:rsid w:val="007E4682"/>
    <w:rsid w:val="007E5300"/>
    <w:rsid w:val="007E5739"/>
    <w:rsid w:val="007E58D4"/>
    <w:rsid w:val="007E71C6"/>
    <w:rsid w:val="007E7618"/>
    <w:rsid w:val="007F3E40"/>
    <w:rsid w:val="007F593A"/>
    <w:rsid w:val="00802AA2"/>
    <w:rsid w:val="008051BC"/>
    <w:rsid w:val="00806952"/>
    <w:rsid w:val="00810E1B"/>
    <w:rsid w:val="008110B4"/>
    <w:rsid w:val="00812272"/>
    <w:rsid w:val="0081308D"/>
    <w:rsid w:val="00814699"/>
    <w:rsid w:val="00815111"/>
    <w:rsid w:val="0081587D"/>
    <w:rsid w:val="00817A55"/>
    <w:rsid w:val="00821FCC"/>
    <w:rsid w:val="00822DE5"/>
    <w:rsid w:val="0082345F"/>
    <w:rsid w:val="0082372F"/>
    <w:rsid w:val="00825236"/>
    <w:rsid w:val="00826732"/>
    <w:rsid w:val="00826A4E"/>
    <w:rsid w:val="00826D2E"/>
    <w:rsid w:val="00830649"/>
    <w:rsid w:val="00832BE9"/>
    <w:rsid w:val="008334EE"/>
    <w:rsid w:val="00834154"/>
    <w:rsid w:val="00841C0B"/>
    <w:rsid w:val="00843428"/>
    <w:rsid w:val="00847593"/>
    <w:rsid w:val="00847797"/>
    <w:rsid w:val="00850739"/>
    <w:rsid w:val="0085214D"/>
    <w:rsid w:val="008525F2"/>
    <w:rsid w:val="00852812"/>
    <w:rsid w:val="008549AC"/>
    <w:rsid w:val="00855F5B"/>
    <w:rsid w:val="00857525"/>
    <w:rsid w:val="00860324"/>
    <w:rsid w:val="008631E6"/>
    <w:rsid w:val="0086337E"/>
    <w:rsid w:val="008641DA"/>
    <w:rsid w:val="0086479D"/>
    <w:rsid w:val="0086773B"/>
    <w:rsid w:val="00871866"/>
    <w:rsid w:val="00871BA6"/>
    <w:rsid w:val="00873AA8"/>
    <w:rsid w:val="00873E35"/>
    <w:rsid w:val="00875432"/>
    <w:rsid w:val="00881F61"/>
    <w:rsid w:val="00882C42"/>
    <w:rsid w:val="00884022"/>
    <w:rsid w:val="00885B5A"/>
    <w:rsid w:val="00886EDC"/>
    <w:rsid w:val="008871AB"/>
    <w:rsid w:val="00890CDE"/>
    <w:rsid w:val="00891360"/>
    <w:rsid w:val="0089534C"/>
    <w:rsid w:val="008A14C8"/>
    <w:rsid w:val="008A2048"/>
    <w:rsid w:val="008A22B8"/>
    <w:rsid w:val="008A62FB"/>
    <w:rsid w:val="008B07D9"/>
    <w:rsid w:val="008B0989"/>
    <w:rsid w:val="008B0A21"/>
    <w:rsid w:val="008B285B"/>
    <w:rsid w:val="008C1455"/>
    <w:rsid w:val="008C42B4"/>
    <w:rsid w:val="008C4E59"/>
    <w:rsid w:val="008C5E33"/>
    <w:rsid w:val="008D20AD"/>
    <w:rsid w:val="008D2F62"/>
    <w:rsid w:val="008D307C"/>
    <w:rsid w:val="008D5EDF"/>
    <w:rsid w:val="008D7873"/>
    <w:rsid w:val="008E2171"/>
    <w:rsid w:val="008E2886"/>
    <w:rsid w:val="008E28AC"/>
    <w:rsid w:val="008E43BF"/>
    <w:rsid w:val="008F1173"/>
    <w:rsid w:val="008F120A"/>
    <w:rsid w:val="008F1EFE"/>
    <w:rsid w:val="008F65B0"/>
    <w:rsid w:val="008F73AA"/>
    <w:rsid w:val="009012A1"/>
    <w:rsid w:val="009032D6"/>
    <w:rsid w:val="00904CEE"/>
    <w:rsid w:val="00910689"/>
    <w:rsid w:val="00911267"/>
    <w:rsid w:val="00913908"/>
    <w:rsid w:val="00913BE2"/>
    <w:rsid w:val="00916651"/>
    <w:rsid w:val="00916D34"/>
    <w:rsid w:val="00917B55"/>
    <w:rsid w:val="00920739"/>
    <w:rsid w:val="009224C6"/>
    <w:rsid w:val="00922E7B"/>
    <w:rsid w:val="00923A84"/>
    <w:rsid w:val="00924C29"/>
    <w:rsid w:val="009255D6"/>
    <w:rsid w:val="009327A3"/>
    <w:rsid w:val="00936FB2"/>
    <w:rsid w:val="0094231E"/>
    <w:rsid w:val="009427DE"/>
    <w:rsid w:val="009457E1"/>
    <w:rsid w:val="009475DE"/>
    <w:rsid w:val="009507B7"/>
    <w:rsid w:val="00951CB3"/>
    <w:rsid w:val="00955662"/>
    <w:rsid w:val="00955B35"/>
    <w:rsid w:val="00955F07"/>
    <w:rsid w:val="00956047"/>
    <w:rsid w:val="00957635"/>
    <w:rsid w:val="00960727"/>
    <w:rsid w:val="0096200B"/>
    <w:rsid w:val="0096458B"/>
    <w:rsid w:val="00965256"/>
    <w:rsid w:val="00966001"/>
    <w:rsid w:val="009667AE"/>
    <w:rsid w:val="0097090C"/>
    <w:rsid w:val="009723B4"/>
    <w:rsid w:val="00972CBE"/>
    <w:rsid w:val="009752CD"/>
    <w:rsid w:val="009757AA"/>
    <w:rsid w:val="00975CF0"/>
    <w:rsid w:val="00975E71"/>
    <w:rsid w:val="009760C2"/>
    <w:rsid w:val="00984ABB"/>
    <w:rsid w:val="00987641"/>
    <w:rsid w:val="00990410"/>
    <w:rsid w:val="00990C13"/>
    <w:rsid w:val="00991396"/>
    <w:rsid w:val="009920F6"/>
    <w:rsid w:val="00994AD7"/>
    <w:rsid w:val="00995D40"/>
    <w:rsid w:val="009A0DB7"/>
    <w:rsid w:val="009A4448"/>
    <w:rsid w:val="009A4B4B"/>
    <w:rsid w:val="009A540F"/>
    <w:rsid w:val="009B1C54"/>
    <w:rsid w:val="009B36C8"/>
    <w:rsid w:val="009B43A8"/>
    <w:rsid w:val="009B5228"/>
    <w:rsid w:val="009B53D8"/>
    <w:rsid w:val="009B7600"/>
    <w:rsid w:val="009C092F"/>
    <w:rsid w:val="009C0FEF"/>
    <w:rsid w:val="009C1B70"/>
    <w:rsid w:val="009C2464"/>
    <w:rsid w:val="009C3559"/>
    <w:rsid w:val="009C38BD"/>
    <w:rsid w:val="009C3CD5"/>
    <w:rsid w:val="009C3DDD"/>
    <w:rsid w:val="009C3E81"/>
    <w:rsid w:val="009C3F0C"/>
    <w:rsid w:val="009C426B"/>
    <w:rsid w:val="009C673D"/>
    <w:rsid w:val="009D0329"/>
    <w:rsid w:val="009D2617"/>
    <w:rsid w:val="009D2FCC"/>
    <w:rsid w:val="009D34B8"/>
    <w:rsid w:val="009D4F6A"/>
    <w:rsid w:val="009E1783"/>
    <w:rsid w:val="009E1D62"/>
    <w:rsid w:val="009E207F"/>
    <w:rsid w:val="009E267D"/>
    <w:rsid w:val="009E296C"/>
    <w:rsid w:val="009E3AA1"/>
    <w:rsid w:val="009E4907"/>
    <w:rsid w:val="009E4F92"/>
    <w:rsid w:val="009E6363"/>
    <w:rsid w:val="009F432C"/>
    <w:rsid w:val="009F48E3"/>
    <w:rsid w:val="009F7434"/>
    <w:rsid w:val="009F7C32"/>
    <w:rsid w:val="00A0043A"/>
    <w:rsid w:val="00A02630"/>
    <w:rsid w:val="00A05630"/>
    <w:rsid w:val="00A05B75"/>
    <w:rsid w:val="00A06214"/>
    <w:rsid w:val="00A0773B"/>
    <w:rsid w:val="00A10D40"/>
    <w:rsid w:val="00A1294D"/>
    <w:rsid w:val="00A13B88"/>
    <w:rsid w:val="00A15B7F"/>
    <w:rsid w:val="00A16286"/>
    <w:rsid w:val="00A168DD"/>
    <w:rsid w:val="00A207AE"/>
    <w:rsid w:val="00A208B1"/>
    <w:rsid w:val="00A208E6"/>
    <w:rsid w:val="00A23525"/>
    <w:rsid w:val="00A23638"/>
    <w:rsid w:val="00A237CD"/>
    <w:rsid w:val="00A2473E"/>
    <w:rsid w:val="00A26511"/>
    <w:rsid w:val="00A27B3A"/>
    <w:rsid w:val="00A30688"/>
    <w:rsid w:val="00A31F6F"/>
    <w:rsid w:val="00A3542B"/>
    <w:rsid w:val="00A41EB0"/>
    <w:rsid w:val="00A42C4E"/>
    <w:rsid w:val="00A43F9A"/>
    <w:rsid w:val="00A44920"/>
    <w:rsid w:val="00A46B89"/>
    <w:rsid w:val="00A46DB6"/>
    <w:rsid w:val="00A52916"/>
    <w:rsid w:val="00A53FB8"/>
    <w:rsid w:val="00A54D69"/>
    <w:rsid w:val="00A54DFE"/>
    <w:rsid w:val="00A60D4D"/>
    <w:rsid w:val="00A6225D"/>
    <w:rsid w:val="00A63C38"/>
    <w:rsid w:val="00A653B6"/>
    <w:rsid w:val="00A77696"/>
    <w:rsid w:val="00A80939"/>
    <w:rsid w:val="00A822C6"/>
    <w:rsid w:val="00A827BC"/>
    <w:rsid w:val="00A8557A"/>
    <w:rsid w:val="00A85741"/>
    <w:rsid w:val="00A91DE3"/>
    <w:rsid w:val="00A9221D"/>
    <w:rsid w:val="00A9394C"/>
    <w:rsid w:val="00A949BD"/>
    <w:rsid w:val="00A958F8"/>
    <w:rsid w:val="00AA0283"/>
    <w:rsid w:val="00AA12EF"/>
    <w:rsid w:val="00AA3C87"/>
    <w:rsid w:val="00AA4786"/>
    <w:rsid w:val="00AA74CC"/>
    <w:rsid w:val="00AB3874"/>
    <w:rsid w:val="00AB441C"/>
    <w:rsid w:val="00AB5E81"/>
    <w:rsid w:val="00AC17BE"/>
    <w:rsid w:val="00AC1DEB"/>
    <w:rsid w:val="00AC2831"/>
    <w:rsid w:val="00AC3A5A"/>
    <w:rsid w:val="00AC55FD"/>
    <w:rsid w:val="00AC6DDD"/>
    <w:rsid w:val="00AC6F2E"/>
    <w:rsid w:val="00AC7056"/>
    <w:rsid w:val="00AD00FB"/>
    <w:rsid w:val="00AD1BCA"/>
    <w:rsid w:val="00AD22DC"/>
    <w:rsid w:val="00AD2C53"/>
    <w:rsid w:val="00AD389B"/>
    <w:rsid w:val="00AD5058"/>
    <w:rsid w:val="00AD5445"/>
    <w:rsid w:val="00AD6408"/>
    <w:rsid w:val="00AD6CB8"/>
    <w:rsid w:val="00AD6D0F"/>
    <w:rsid w:val="00AE006C"/>
    <w:rsid w:val="00AE1D06"/>
    <w:rsid w:val="00AE7EFC"/>
    <w:rsid w:val="00AF0B7A"/>
    <w:rsid w:val="00AF25D6"/>
    <w:rsid w:val="00AF3D55"/>
    <w:rsid w:val="00AF44AA"/>
    <w:rsid w:val="00AF45B2"/>
    <w:rsid w:val="00AF62D5"/>
    <w:rsid w:val="00AF7765"/>
    <w:rsid w:val="00B006F4"/>
    <w:rsid w:val="00B024F5"/>
    <w:rsid w:val="00B04314"/>
    <w:rsid w:val="00B045A9"/>
    <w:rsid w:val="00B05408"/>
    <w:rsid w:val="00B05BB7"/>
    <w:rsid w:val="00B063E2"/>
    <w:rsid w:val="00B06A92"/>
    <w:rsid w:val="00B10573"/>
    <w:rsid w:val="00B1216E"/>
    <w:rsid w:val="00B1645A"/>
    <w:rsid w:val="00B17C96"/>
    <w:rsid w:val="00B20C0F"/>
    <w:rsid w:val="00B21997"/>
    <w:rsid w:val="00B21F90"/>
    <w:rsid w:val="00B240BC"/>
    <w:rsid w:val="00B24FBC"/>
    <w:rsid w:val="00B2688C"/>
    <w:rsid w:val="00B26CD9"/>
    <w:rsid w:val="00B30092"/>
    <w:rsid w:val="00B30490"/>
    <w:rsid w:val="00B30A62"/>
    <w:rsid w:val="00B323D7"/>
    <w:rsid w:val="00B34909"/>
    <w:rsid w:val="00B35A34"/>
    <w:rsid w:val="00B40C57"/>
    <w:rsid w:val="00B40CDA"/>
    <w:rsid w:val="00B4147C"/>
    <w:rsid w:val="00B44B55"/>
    <w:rsid w:val="00B46509"/>
    <w:rsid w:val="00B470F1"/>
    <w:rsid w:val="00B50287"/>
    <w:rsid w:val="00B50E58"/>
    <w:rsid w:val="00B51018"/>
    <w:rsid w:val="00B544D8"/>
    <w:rsid w:val="00B64867"/>
    <w:rsid w:val="00B64BEC"/>
    <w:rsid w:val="00B65619"/>
    <w:rsid w:val="00B669FD"/>
    <w:rsid w:val="00B70A1D"/>
    <w:rsid w:val="00B70C65"/>
    <w:rsid w:val="00B7186E"/>
    <w:rsid w:val="00B734C9"/>
    <w:rsid w:val="00B746E3"/>
    <w:rsid w:val="00B8264A"/>
    <w:rsid w:val="00B8290C"/>
    <w:rsid w:val="00B82D86"/>
    <w:rsid w:val="00B84CA7"/>
    <w:rsid w:val="00B85E65"/>
    <w:rsid w:val="00B85F4C"/>
    <w:rsid w:val="00B900E2"/>
    <w:rsid w:val="00B90650"/>
    <w:rsid w:val="00BA0CC9"/>
    <w:rsid w:val="00BA27AE"/>
    <w:rsid w:val="00BA3F41"/>
    <w:rsid w:val="00BA434A"/>
    <w:rsid w:val="00BB16A5"/>
    <w:rsid w:val="00BB1940"/>
    <w:rsid w:val="00BB3445"/>
    <w:rsid w:val="00BB5118"/>
    <w:rsid w:val="00BC2684"/>
    <w:rsid w:val="00BC651C"/>
    <w:rsid w:val="00BC7021"/>
    <w:rsid w:val="00BD0D79"/>
    <w:rsid w:val="00BD1113"/>
    <w:rsid w:val="00BD4428"/>
    <w:rsid w:val="00BD4D03"/>
    <w:rsid w:val="00BD6488"/>
    <w:rsid w:val="00BD7C82"/>
    <w:rsid w:val="00BE2F16"/>
    <w:rsid w:val="00BE3B78"/>
    <w:rsid w:val="00BE5D26"/>
    <w:rsid w:val="00BE6A23"/>
    <w:rsid w:val="00BF031D"/>
    <w:rsid w:val="00BF637A"/>
    <w:rsid w:val="00C005B6"/>
    <w:rsid w:val="00C104DD"/>
    <w:rsid w:val="00C10BA7"/>
    <w:rsid w:val="00C1116F"/>
    <w:rsid w:val="00C11E3B"/>
    <w:rsid w:val="00C20530"/>
    <w:rsid w:val="00C26F95"/>
    <w:rsid w:val="00C276D2"/>
    <w:rsid w:val="00C33436"/>
    <w:rsid w:val="00C334D1"/>
    <w:rsid w:val="00C34363"/>
    <w:rsid w:val="00C34A5A"/>
    <w:rsid w:val="00C40CE9"/>
    <w:rsid w:val="00C4141E"/>
    <w:rsid w:val="00C45985"/>
    <w:rsid w:val="00C46AAE"/>
    <w:rsid w:val="00C47AC0"/>
    <w:rsid w:val="00C51098"/>
    <w:rsid w:val="00C52C94"/>
    <w:rsid w:val="00C52E29"/>
    <w:rsid w:val="00C538F0"/>
    <w:rsid w:val="00C53D80"/>
    <w:rsid w:val="00C54373"/>
    <w:rsid w:val="00C571DA"/>
    <w:rsid w:val="00C57EB1"/>
    <w:rsid w:val="00C66B01"/>
    <w:rsid w:val="00C67440"/>
    <w:rsid w:val="00C704BA"/>
    <w:rsid w:val="00C71942"/>
    <w:rsid w:val="00C71DE1"/>
    <w:rsid w:val="00C72F9B"/>
    <w:rsid w:val="00C73FC1"/>
    <w:rsid w:val="00C77DBF"/>
    <w:rsid w:val="00C810BB"/>
    <w:rsid w:val="00C82ADB"/>
    <w:rsid w:val="00C83416"/>
    <w:rsid w:val="00C840D7"/>
    <w:rsid w:val="00C86110"/>
    <w:rsid w:val="00C86DC4"/>
    <w:rsid w:val="00C93922"/>
    <w:rsid w:val="00C93D4E"/>
    <w:rsid w:val="00C94893"/>
    <w:rsid w:val="00C9543F"/>
    <w:rsid w:val="00C95CF3"/>
    <w:rsid w:val="00C962A9"/>
    <w:rsid w:val="00C96AEC"/>
    <w:rsid w:val="00C97E27"/>
    <w:rsid w:val="00CA028D"/>
    <w:rsid w:val="00CA0A6F"/>
    <w:rsid w:val="00CA296D"/>
    <w:rsid w:val="00CA37AF"/>
    <w:rsid w:val="00CA43B3"/>
    <w:rsid w:val="00CA5299"/>
    <w:rsid w:val="00CA715A"/>
    <w:rsid w:val="00CA7A10"/>
    <w:rsid w:val="00CB1B27"/>
    <w:rsid w:val="00CB1EE0"/>
    <w:rsid w:val="00CB3BC0"/>
    <w:rsid w:val="00CB7ABB"/>
    <w:rsid w:val="00CC06E4"/>
    <w:rsid w:val="00CC228D"/>
    <w:rsid w:val="00CC2F39"/>
    <w:rsid w:val="00CD4A01"/>
    <w:rsid w:val="00CD6E7D"/>
    <w:rsid w:val="00CE349A"/>
    <w:rsid w:val="00CE35BB"/>
    <w:rsid w:val="00CE7075"/>
    <w:rsid w:val="00CE7EE3"/>
    <w:rsid w:val="00CF25DB"/>
    <w:rsid w:val="00CF37E6"/>
    <w:rsid w:val="00CF5ADA"/>
    <w:rsid w:val="00CF73E3"/>
    <w:rsid w:val="00D018E0"/>
    <w:rsid w:val="00D02263"/>
    <w:rsid w:val="00D03316"/>
    <w:rsid w:val="00D07C25"/>
    <w:rsid w:val="00D10A64"/>
    <w:rsid w:val="00D13704"/>
    <w:rsid w:val="00D16890"/>
    <w:rsid w:val="00D17A2D"/>
    <w:rsid w:val="00D214D9"/>
    <w:rsid w:val="00D2244E"/>
    <w:rsid w:val="00D3444D"/>
    <w:rsid w:val="00D352E9"/>
    <w:rsid w:val="00D4161C"/>
    <w:rsid w:val="00D44375"/>
    <w:rsid w:val="00D44B59"/>
    <w:rsid w:val="00D44C8D"/>
    <w:rsid w:val="00D451D8"/>
    <w:rsid w:val="00D47F8A"/>
    <w:rsid w:val="00D51C60"/>
    <w:rsid w:val="00D53553"/>
    <w:rsid w:val="00D55828"/>
    <w:rsid w:val="00D565DA"/>
    <w:rsid w:val="00D63D94"/>
    <w:rsid w:val="00D66210"/>
    <w:rsid w:val="00D667C3"/>
    <w:rsid w:val="00D66EA6"/>
    <w:rsid w:val="00D67044"/>
    <w:rsid w:val="00D702DF"/>
    <w:rsid w:val="00D73D21"/>
    <w:rsid w:val="00D7607F"/>
    <w:rsid w:val="00D76663"/>
    <w:rsid w:val="00D77310"/>
    <w:rsid w:val="00D7759A"/>
    <w:rsid w:val="00D8053E"/>
    <w:rsid w:val="00D816B8"/>
    <w:rsid w:val="00D825AE"/>
    <w:rsid w:val="00D83697"/>
    <w:rsid w:val="00D83A18"/>
    <w:rsid w:val="00D85F29"/>
    <w:rsid w:val="00D87966"/>
    <w:rsid w:val="00D907B2"/>
    <w:rsid w:val="00D943C3"/>
    <w:rsid w:val="00D971C2"/>
    <w:rsid w:val="00D971FF"/>
    <w:rsid w:val="00D97A6A"/>
    <w:rsid w:val="00D97AB1"/>
    <w:rsid w:val="00DA0818"/>
    <w:rsid w:val="00DA0DF2"/>
    <w:rsid w:val="00DA11A7"/>
    <w:rsid w:val="00DA2641"/>
    <w:rsid w:val="00DA2B20"/>
    <w:rsid w:val="00DA2E8F"/>
    <w:rsid w:val="00DA3A1F"/>
    <w:rsid w:val="00DA61FC"/>
    <w:rsid w:val="00DB213B"/>
    <w:rsid w:val="00DB37FA"/>
    <w:rsid w:val="00DB6EB0"/>
    <w:rsid w:val="00DB7DDC"/>
    <w:rsid w:val="00DC1631"/>
    <w:rsid w:val="00DD2AC0"/>
    <w:rsid w:val="00DD30C3"/>
    <w:rsid w:val="00DD329F"/>
    <w:rsid w:val="00DD5B7A"/>
    <w:rsid w:val="00DD739F"/>
    <w:rsid w:val="00DE1323"/>
    <w:rsid w:val="00DE2101"/>
    <w:rsid w:val="00DE47B4"/>
    <w:rsid w:val="00DE495D"/>
    <w:rsid w:val="00DE6810"/>
    <w:rsid w:val="00DE6D47"/>
    <w:rsid w:val="00DF5ED0"/>
    <w:rsid w:val="00DF708B"/>
    <w:rsid w:val="00E063B8"/>
    <w:rsid w:val="00E06D25"/>
    <w:rsid w:val="00E1550E"/>
    <w:rsid w:val="00E15B87"/>
    <w:rsid w:val="00E15E35"/>
    <w:rsid w:val="00E17754"/>
    <w:rsid w:val="00E204AC"/>
    <w:rsid w:val="00E31010"/>
    <w:rsid w:val="00E31BA1"/>
    <w:rsid w:val="00E33F25"/>
    <w:rsid w:val="00E34A88"/>
    <w:rsid w:val="00E361D7"/>
    <w:rsid w:val="00E362CE"/>
    <w:rsid w:val="00E36CDC"/>
    <w:rsid w:val="00E3780B"/>
    <w:rsid w:val="00E4496E"/>
    <w:rsid w:val="00E47963"/>
    <w:rsid w:val="00E50184"/>
    <w:rsid w:val="00E51206"/>
    <w:rsid w:val="00E56224"/>
    <w:rsid w:val="00E57334"/>
    <w:rsid w:val="00E60B19"/>
    <w:rsid w:val="00E620D7"/>
    <w:rsid w:val="00E645A6"/>
    <w:rsid w:val="00E64D9E"/>
    <w:rsid w:val="00E72954"/>
    <w:rsid w:val="00E73776"/>
    <w:rsid w:val="00E7390B"/>
    <w:rsid w:val="00E7478F"/>
    <w:rsid w:val="00E77819"/>
    <w:rsid w:val="00E77DE5"/>
    <w:rsid w:val="00E82349"/>
    <w:rsid w:val="00E829C5"/>
    <w:rsid w:val="00E85B3C"/>
    <w:rsid w:val="00E86813"/>
    <w:rsid w:val="00E944CF"/>
    <w:rsid w:val="00E951EF"/>
    <w:rsid w:val="00E95290"/>
    <w:rsid w:val="00E95EE0"/>
    <w:rsid w:val="00E963C9"/>
    <w:rsid w:val="00EA1326"/>
    <w:rsid w:val="00EA2C40"/>
    <w:rsid w:val="00EA48DF"/>
    <w:rsid w:val="00EA70ED"/>
    <w:rsid w:val="00EB21BB"/>
    <w:rsid w:val="00EB3C71"/>
    <w:rsid w:val="00EB3EA6"/>
    <w:rsid w:val="00EB5132"/>
    <w:rsid w:val="00EB5917"/>
    <w:rsid w:val="00EB6EC9"/>
    <w:rsid w:val="00EB7C3F"/>
    <w:rsid w:val="00EC3437"/>
    <w:rsid w:val="00EC6AB7"/>
    <w:rsid w:val="00EC6DC3"/>
    <w:rsid w:val="00ED42FF"/>
    <w:rsid w:val="00EE0FC1"/>
    <w:rsid w:val="00EE20BE"/>
    <w:rsid w:val="00EE264B"/>
    <w:rsid w:val="00EE270B"/>
    <w:rsid w:val="00EE4583"/>
    <w:rsid w:val="00EE57C7"/>
    <w:rsid w:val="00EF032D"/>
    <w:rsid w:val="00EF04D6"/>
    <w:rsid w:val="00EF0B7C"/>
    <w:rsid w:val="00EF4C12"/>
    <w:rsid w:val="00EF7A49"/>
    <w:rsid w:val="00EF7FB9"/>
    <w:rsid w:val="00F00F7B"/>
    <w:rsid w:val="00F01F63"/>
    <w:rsid w:val="00F02081"/>
    <w:rsid w:val="00F05A6E"/>
    <w:rsid w:val="00F05EBF"/>
    <w:rsid w:val="00F05FFA"/>
    <w:rsid w:val="00F06BBD"/>
    <w:rsid w:val="00F07A82"/>
    <w:rsid w:val="00F127BE"/>
    <w:rsid w:val="00F13179"/>
    <w:rsid w:val="00F13A73"/>
    <w:rsid w:val="00F13C81"/>
    <w:rsid w:val="00F13C83"/>
    <w:rsid w:val="00F159F0"/>
    <w:rsid w:val="00F173D6"/>
    <w:rsid w:val="00F22725"/>
    <w:rsid w:val="00F272F2"/>
    <w:rsid w:val="00F273A1"/>
    <w:rsid w:val="00F30B1A"/>
    <w:rsid w:val="00F323F1"/>
    <w:rsid w:val="00F34037"/>
    <w:rsid w:val="00F34734"/>
    <w:rsid w:val="00F34F01"/>
    <w:rsid w:val="00F37CE4"/>
    <w:rsid w:val="00F41EAF"/>
    <w:rsid w:val="00F459A2"/>
    <w:rsid w:val="00F45B03"/>
    <w:rsid w:val="00F460E5"/>
    <w:rsid w:val="00F52BE4"/>
    <w:rsid w:val="00F530E6"/>
    <w:rsid w:val="00F562DA"/>
    <w:rsid w:val="00F56BAE"/>
    <w:rsid w:val="00F57D2C"/>
    <w:rsid w:val="00F6011C"/>
    <w:rsid w:val="00F60A81"/>
    <w:rsid w:val="00F62DE1"/>
    <w:rsid w:val="00F648C3"/>
    <w:rsid w:val="00F64B02"/>
    <w:rsid w:val="00F667D1"/>
    <w:rsid w:val="00F71D28"/>
    <w:rsid w:val="00F7247F"/>
    <w:rsid w:val="00F72C7E"/>
    <w:rsid w:val="00F74733"/>
    <w:rsid w:val="00F75CF1"/>
    <w:rsid w:val="00F769A9"/>
    <w:rsid w:val="00F76B0B"/>
    <w:rsid w:val="00F77109"/>
    <w:rsid w:val="00F77608"/>
    <w:rsid w:val="00F8550F"/>
    <w:rsid w:val="00F85C94"/>
    <w:rsid w:val="00F90CCB"/>
    <w:rsid w:val="00F94FA0"/>
    <w:rsid w:val="00F9574B"/>
    <w:rsid w:val="00FA4969"/>
    <w:rsid w:val="00FA5179"/>
    <w:rsid w:val="00FA5C4D"/>
    <w:rsid w:val="00FA60AE"/>
    <w:rsid w:val="00FA6CD1"/>
    <w:rsid w:val="00FA79FA"/>
    <w:rsid w:val="00FA7E61"/>
    <w:rsid w:val="00FB130A"/>
    <w:rsid w:val="00FB6F11"/>
    <w:rsid w:val="00FB75CA"/>
    <w:rsid w:val="00FB7933"/>
    <w:rsid w:val="00FC6B02"/>
    <w:rsid w:val="00FC6CCB"/>
    <w:rsid w:val="00FD318A"/>
    <w:rsid w:val="00FD3305"/>
    <w:rsid w:val="00FD43EB"/>
    <w:rsid w:val="00FE2B8F"/>
    <w:rsid w:val="00FE2F7E"/>
    <w:rsid w:val="00FE3580"/>
    <w:rsid w:val="00FE4C03"/>
    <w:rsid w:val="00FE5F01"/>
    <w:rsid w:val="00FE6001"/>
    <w:rsid w:val="00FE7A2E"/>
    <w:rsid w:val="00FF216E"/>
    <w:rsid w:val="00FF38D5"/>
    <w:rsid w:val="00FF3C85"/>
    <w:rsid w:val="00FF5F2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8986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Message Header" w:uiPriority="0"/>
    <w:lsdException w:name="Subtitle" w:semiHidden="0" w:unhideWhenUsed="0" w:qFormat="1"/>
    <w:lsdException w:name="Note Heading" w:uiPriority="0"/>
    <w:lsdException w:name="Body Text Indent 2" w:uiPriority="0"/>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C426B"/>
    <w:pPr>
      <w:tabs>
        <w:tab w:val="left" w:pos="357"/>
      </w:tabs>
      <w:spacing w:before="120" w:after="120" w:line="240" w:lineRule="auto"/>
    </w:pPr>
    <w:rPr>
      <w:rFonts w:ascii="Times New Roman" w:eastAsia="Times New Roman" w:hAnsi="Times New Roman" w:cs="Arial"/>
      <w:sz w:val="24"/>
      <w:szCs w:val="24"/>
    </w:rPr>
  </w:style>
  <w:style w:type="paragraph" w:styleId="Heading1">
    <w:name w:val="heading 1"/>
    <w:basedOn w:val="Normal"/>
    <w:next w:val="Normal"/>
    <w:link w:val="Heading1Char"/>
    <w:uiPriority w:val="99"/>
    <w:qFormat/>
    <w:rsid w:val="00CA0A6F"/>
    <w:pPr>
      <w:keepNext/>
      <w:outlineLvl w:val="0"/>
    </w:pPr>
    <w:rPr>
      <w:rFonts w:cs="Times New Roman"/>
      <w:b/>
      <w:bCs/>
      <w:kern w:val="32"/>
      <w:sz w:val="36"/>
      <w:szCs w:val="32"/>
    </w:rPr>
  </w:style>
  <w:style w:type="paragraph" w:styleId="Heading2">
    <w:name w:val="heading 2"/>
    <w:basedOn w:val="Normal"/>
    <w:next w:val="Normal"/>
    <w:link w:val="Heading2Char"/>
    <w:uiPriority w:val="99"/>
    <w:qFormat/>
    <w:rsid w:val="008C4E59"/>
    <w:pPr>
      <w:keepNext/>
      <w:outlineLvl w:val="1"/>
    </w:pPr>
    <w:rPr>
      <w:rFonts w:cs="Times New Roman"/>
      <w:b/>
      <w:bCs/>
      <w:i/>
      <w:iCs/>
      <w:sz w:val="32"/>
      <w:szCs w:val="28"/>
    </w:rPr>
  </w:style>
  <w:style w:type="paragraph" w:styleId="Heading3">
    <w:name w:val="heading 3"/>
    <w:basedOn w:val="Normal"/>
    <w:next w:val="Normal"/>
    <w:link w:val="Heading3Char"/>
    <w:uiPriority w:val="99"/>
    <w:qFormat/>
    <w:rsid w:val="00C67440"/>
    <w:pPr>
      <w:keepNext/>
      <w:spacing w:line="276" w:lineRule="auto"/>
      <w:outlineLvl w:val="2"/>
    </w:pPr>
    <w:rPr>
      <w:rFonts w:cs="Times New Roman"/>
      <w:b/>
      <w:bCs/>
      <w:sz w:val="28"/>
      <w:szCs w:val="26"/>
    </w:rPr>
  </w:style>
  <w:style w:type="paragraph" w:styleId="Heading4">
    <w:name w:val="heading 4"/>
    <w:basedOn w:val="Normal"/>
    <w:next w:val="Normal"/>
    <w:link w:val="Heading4Char"/>
    <w:uiPriority w:val="99"/>
    <w:qFormat/>
    <w:rsid w:val="00DE495D"/>
    <w:pPr>
      <w:keepNext/>
      <w:outlineLvl w:val="3"/>
    </w:pPr>
    <w:rPr>
      <w:rFonts w:cs="Times New Roman"/>
      <w:bCs/>
      <w:i/>
      <w:sz w:val="22"/>
      <w:szCs w:val="28"/>
    </w:rPr>
  </w:style>
  <w:style w:type="paragraph" w:styleId="Heading5">
    <w:name w:val="heading 5"/>
    <w:basedOn w:val="Normal"/>
    <w:next w:val="Normal"/>
    <w:link w:val="Heading5Char"/>
    <w:uiPriority w:val="99"/>
    <w:qFormat/>
    <w:rsid w:val="00791A27"/>
    <w:pPr>
      <w:keepNext/>
      <w:outlineLvl w:val="4"/>
    </w:pPr>
    <w:rPr>
      <w:rFonts w:cs="Times New Roman"/>
      <w:bCs/>
      <w:i/>
      <w:iCs/>
      <w:sz w:val="28"/>
      <w:szCs w:val="26"/>
      <w:u w:val="single"/>
    </w:rPr>
  </w:style>
  <w:style w:type="paragraph" w:styleId="Heading6">
    <w:name w:val="heading 6"/>
    <w:basedOn w:val="Heading5"/>
    <w:next w:val="Normal"/>
    <w:link w:val="Heading6Char"/>
    <w:uiPriority w:val="99"/>
    <w:qFormat/>
    <w:rsid w:val="00617E7B"/>
    <w:pPr>
      <w:outlineLvl w:val="5"/>
    </w:pPr>
    <w:rPr>
      <w:u w:val="none"/>
    </w:rPr>
  </w:style>
  <w:style w:type="paragraph" w:styleId="Heading7">
    <w:name w:val="heading 7"/>
    <w:basedOn w:val="Normal"/>
    <w:next w:val="Normal"/>
    <w:link w:val="Heading7Char"/>
    <w:uiPriority w:val="99"/>
    <w:qFormat/>
    <w:rsid w:val="00DE495D"/>
    <w:pPr>
      <w:spacing w:before="0"/>
      <w:outlineLvl w:val="6"/>
    </w:pPr>
    <w:rPr>
      <w:b/>
      <w:smallCaps/>
      <w:color w:val="C0504D"/>
      <w:spacing w:val="10"/>
      <w:szCs w:val="22"/>
      <w:lang w:val="en-GB" w:eastAsia="en-AU"/>
    </w:rPr>
  </w:style>
  <w:style w:type="paragraph" w:styleId="Heading8">
    <w:name w:val="heading 8"/>
    <w:basedOn w:val="Normal"/>
    <w:next w:val="Normal"/>
    <w:link w:val="Heading8Char"/>
    <w:uiPriority w:val="99"/>
    <w:qFormat/>
    <w:rsid w:val="00DE495D"/>
    <w:pPr>
      <w:spacing w:before="0"/>
      <w:outlineLvl w:val="7"/>
    </w:pPr>
    <w:rPr>
      <w:b/>
      <w:i/>
      <w:smallCaps/>
      <w:color w:val="943634"/>
      <w:szCs w:val="22"/>
      <w:lang w:val="en-GB" w:eastAsia="en-AU"/>
    </w:rPr>
  </w:style>
  <w:style w:type="paragraph" w:styleId="Heading9">
    <w:name w:val="heading 9"/>
    <w:basedOn w:val="Normal"/>
    <w:next w:val="Normal"/>
    <w:link w:val="Heading9Char"/>
    <w:uiPriority w:val="99"/>
    <w:qFormat/>
    <w:rsid w:val="00DE495D"/>
    <w:pPr>
      <w:spacing w:before="0"/>
      <w:outlineLvl w:val="8"/>
    </w:pPr>
    <w:rPr>
      <w:b/>
      <w:i/>
      <w:smallCaps/>
      <w:color w:val="622423"/>
      <w:szCs w:val="22"/>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A0A6F"/>
    <w:rPr>
      <w:rFonts w:ascii="Times New Roman" w:eastAsia="Times New Roman" w:hAnsi="Times New Roman" w:cs="Times New Roman"/>
      <w:b/>
      <w:bCs/>
      <w:kern w:val="32"/>
      <w:sz w:val="36"/>
      <w:szCs w:val="32"/>
    </w:rPr>
  </w:style>
  <w:style w:type="character" w:customStyle="1" w:styleId="Heading2Char">
    <w:name w:val="Heading 2 Char"/>
    <w:basedOn w:val="DefaultParagraphFont"/>
    <w:link w:val="Heading2"/>
    <w:uiPriority w:val="99"/>
    <w:rsid w:val="008C4E59"/>
    <w:rPr>
      <w:rFonts w:ascii="Times New Roman" w:eastAsia="Times New Roman" w:hAnsi="Times New Roman" w:cs="Times New Roman"/>
      <w:b/>
      <w:bCs/>
      <w:i/>
      <w:iCs/>
      <w:sz w:val="32"/>
      <w:szCs w:val="28"/>
    </w:rPr>
  </w:style>
  <w:style w:type="character" w:customStyle="1" w:styleId="Heading3Char">
    <w:name w:val="Heading 3 Char"/>
    <w:basedOn w:val="DefaultParagraphFont"/>
    <w:link w:val="Heading3"/>
    <w:uiPriority w:val="99"/>
    <w:rsid w:val="00C67440"/>
    <w:rPr>
      <w:rFonts w:ascii="Times New Roman" w:eastAsia="Times New Roman" w:hAnsi="Times New Roman" w:cs="Times New Roman"/>
      <w:b/>
      <w:bCs/>
      <w:sz w:val="28"/>
      <w:szCs w:val="26"/>
    </w:rPr>
  </w:style>
  <w:style w:type="character" w:customStyle="1" w:styleId="Heading4Char">
    <w:name w:val="Heading 4 Char"/>
    <w:basedOn w:val="DefaultParagraphFont"/>
    <w:link w:val="Heading4"/>
    <w:uiPriority w:val="99"/>
    <w:rsid w:val="00DE495D"/>
    <w:rPr>
      <w:rFonts w:ascii="Arial" w:eastAsia="Times New Roman" w:hAnsi="Arial" w:cs="Times New Roman"/>
      <w:bCs/>
      <w:i/>
      <w:szCs w:val="28"/>
    </w:rPr>
  </w:style>
  <w:style w:type="character" w:customStyle="1" w:styleId="Heading5Char">
    <w:name w:val="Heading 5 Char"/>
    <w:basedOn w:val="DefaultParagraphFont"/>
    <w:link w:val="Heading5"/>
    <w:uiPriority w:val="99"/>
    <w:rsid w:val="00791A27"/>
    <w:rPr>
      <w:rFonts w:ascii="Times New Roman" w:eastAsia="Times New Roman" w:hAnsi="Times New Roman" w:cs="Times New Roman"/>
      <w:bCs/>
      <w:i/>
      <w:iCs/>
      <w:sz w:val="28"/>
      <w:szCs w:val="26"/>
      <w:u w:val="single"/>
    </w:rPr>
  </w:style>
  <w:style w:type="character" w:customStyle="1" w:styleId="Heading6Char">
    <w:name w:val="Heading 6 Char"/>
    <w:basedOn w:val="DefaultParagraphFont"/>
    <w:link w:val="Heading6"/>
    <w:uiPriority w:val="99"/>
    <w:rsid w:val="00617E7B"/>
    <w:rPr>
      <w:rFonts w:ascii="Times New Roman" w:eastAsia="Times New Roman" w:hAnsi="Times New Roman" w:cs="Times New Roman"/>
      <w:bCs/>
      <w:i/>
      <w:iCs/>
      <w:sz w:val="28"/>
      <w:szCs w:val="26"/>
    </w:rPr>
  </w:style>
  <w:style w:type="character" w:customStyle="1" w:styleId="Heading7Char">
    <w:name w:val="Heading 7 Char"/>
    <w:basedOn w:val="DefaultParagraphFont"/>
    <w:link w:val="Heading7"/>
    <w:uiPriority w:val="99"/>
    <w:rsid w:val="00DE495D"/>
    <w:rPr>
      <w:rFonts w:ascii="Arial" w:eastAsia="Times New Roman" w:hAnsi="Arial" w:cs="Arial"/>
      <w:b/>
      <w:smallCaps/>
      <w:color w:val="C0504D"/>
      <w:spacing w:val="10"/>
      <w:sz w:val="20"/>
      <w:lang w:val="en-GB" w:eastAsia="en-AU"/>
    </w:rPr>
  </w:style>
  <w:style w:type="character" w:customStyle="1" w:styleId="Heading8Char">
    <w:name w:val="Heading 8 Char"/>
    <w:basedOn w:val="DefaultParagraphFont"/>
    <w:link w:val="Heading8"/>
    <w:uiPriority w:val="99"/>
    <w:rsid w:val="00DE495D"/>
    <w:rPr>
      <w:rFonts w:ascii="Arial" w:eastAsia="Times New Roman" w:hAnsi="Arial" w:cs="Arial"/>
      <w:b/>
      <w:i/>
      <w:smallCaps/>
      <w:color w:val="943634"/>
      <w:sz w:val="20"/>
      <w:lang w:val="en-GB" w:eastAsia="en-AU"/>
    </w:rPr>
  </w:style>
  <w:style w:type="character" w:customStyle="1" w:styleId="Heading9Char">
    <w:name w:val="Heading 9 Char"/>
    <w:basedOn w:val="DefaultParagraphFont"/>
    <w:link w:val="Heading9"/>
    <w:uiPriority w:val="99"/>
    <w:rsid w:val="00DE495D"/>
    <w:rPr>
      <w:rFonts w:ascii="Arial" w:eastAsia="Times New Roman" w:hAnsi="Arial" w:cs="Arial"/>
      <w:b/>
      <w:i/>
      <w:smallCaps/>
      <w:color w:val="622423"/>
      <w:sz w:val="20"/>
      <w:lang w:val="en-GB" w:eastAsia="en-AU"/>
    </w:rPr>
  </w:style>
  <w:style w:type="paragraph" w:styleId="FootnoteText">
    <w:name w:val="footnote text"/>
    <w:aliases w:val="single space Char,single space,FOOTNOTES,fn,ADB,WB-Fußnotentext,Fußnote,WB-Fuﬂnotentext,Fuﬂnote,Car,Note de bas de page2,Note de basFootnote text,(NECG) Footnote Text"/>
    <w:basedOn w:val="Normal"/>
    <w:link w:val="FootnoteTextChar"/>
    <w:uiPriority w:val="99"/>
    <w:unhideWhenUsed/>
    <w:qFormat/>
    <w:rsid w:val="00DE495D"/>
    <w:pPr>
      <w:spacing w:before="60" w:after="0"/>
      <w:ind w:left="113" w:hanging="113"/>
    </w:pPr>
    <w:rPr>
      <w:sz w:val="18"/>
      <w:szCs w:val="20"/>
    </w:rPr>
  </w:style>
  <w:style w:type="character" w:customStyle="1" w:styleId="FootnoteTextChar">
    <w:name w:val="Footnote Text Char"/>
    <w:aliases w:val="single space Char Char,single space Char1,FOOTNOTES Char,fn Char,ADB Char,WB-Fußnotentext Char,Fußnote Char,WB-Fuﬂnotentext Char,Fuﬂnote Char,Car Char,Note de bas de page2 Char,Note de basFootnote text Char,(NECG) Footnote Text Char"/>
    <w:basedOn w:val="DefaultParagraphFont"/>
    <w:link w:val="FootnoteText"/>
    <w:uiPriority w:val="99"/>
    <w:rsid w:val="00DE495D"/>
    <w:rPr>
      <w:rFonts w:ascii="Arial" w:eastAsia="Times New Roman" w:hAnsi="Arial" w:cs="Arial"/>
      <w:sz w:val="18"/>
      <w:szCs w:val="20"/>
    </w:rPr>
  </w:style>
  <w:style w:type="paragraph" w:customStyle="1" w:styleId="Quotation">
    <w:name w:val="Quotation"/>
    <w:basedOn w:val="Normal"/>
    <w:qFormat/>
    <w:rsid w:val="00DE495D"/>
    <w:pPr>
      <w:tabs>
        <w:tab w:val="left" w:pos="3553"/>
      </w:tabs>
      <w:spacing w:before="60" w:after="60"/>
    </w:pPr>
    <w:rPr>
      <w:i/>
      <w:sz w:val="18"/>
    </w:rPr>
  </w:style>
  <w:style w:type="table" w:styleId="TableGrid">
    <w:name w:val="Table Grid"/>
    <w:basedOn w:val="TableNormal"/>
    <w:uiPriority w:val="59"/>
    <w:rsid w:val="00DE495D"/>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E495D"/>
    <w:pPr>
      <w:tabs>
        <w:tab w:val="clear" w:pos="357"/>
      </w:tabs>
      <w:spacing w:before="100" w:beforeAutospacing="1" w:after="100" w:afterAutospacing="1"/>
    </w:pPr>
    <w:rPr>
      <w:rFonts w:eastAsia="Calibri"/>
    </w:rPr>
  </w:style>
  <w:style w:type="character" w:customStyle="1" w:styleId="MediumGrid2Char">
    <w:name w:val="Medium Grid 2 Char"/>
    <w:aliases w:val="Quotations Char,No Spacing Char"/>
    <w:link w:val="MediumGrid2"/>
    <w:uiPriority w:val="1"/>
    <w:rsid w:val="00DE495D"/>
    <w:rPr>
      <w:sz w:val="22"/>
      <w:szCs w:val="22"/>
    </w:rPr>
  </w:style>
  <w:style w:type="character" w:styleId="CommentReference">
    <w:name w:val="annotation reference"/>
    <w:uiPriority w:val="99"/>
    <w:unhideWhenUsed/>
    <w:rsid w:val="00DE495D"/>
    <w:rPr>
      <w:sz w:val="16"/>
      <w:szCs w:val="16"/>
    </w:rPr>
  </w:style>
  <w:style w:type="paragraph" w:styleId="CommentText">
    <w:name w:val="annotation text"/>
    <w:basedOn w:val="Normal"/>
    <w:link w:val="CommentTextChar"/>
    <w:uiPriority w:val="99"/>
    <w:unhideWhenUsed/>
    <w:rsid w:val="00DE495D"/>
    <w:rPr>
      <w:rFonts w:cs="Times New Roman"/>
      <w:szCs w:val="20"/>
    </w:rPr>
  </w:style>
  <w:style w:type="character" w:customStyle="1" w:styleId="CommentTextChar">
    <w:name w:val="Comment Text Char"/>
    <w:basedOn w:val="DefaultParagraphFont"/>
    <w:link w:val="CommentText"/>
    <w:uiPriority w:val="99"/>
    <w:rsid w:val="00DE495D"/>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DE495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95D"/>
    <w:rPr>
      <w:rFonts w:ascii="Tahoma" w:eastAsia="Times New Roman" w:hAnsi="Tahoma" w:cs="Tahoma"/>
      <w:sz w:val="16"/>
      <w:szCs w:val="16"/>
    </w:rPr>
  </w:style>
  <w:style w:type="paragraph" w:styleId="Header">
    <w:name w:val="header"/>
    <w:basedOn w:val="Normal"/>
    <w:link w:val="HeaderChar"/>
    <w:uiPriority w:val="99"/>
    <w:unhideWhenUsed/>
    <w:rsid w:val="00DE495D"/>
    <w:pPr>
      <w:tabs>
        <w:tab w:val="clear" w:pos="357"/>
        <w:tab w:val="center" w:pos="4513"/>
        <w:tab w:val="right" w:pos="9026"/>
      </w:tabs>
    </w:pPr>
  </w:style>
  <w:style w:type="character" w:customStyle="1" w:styleId="HeaderChar">
    <w:name w:val="Header Char"/>
    <w:basedOn w:val="DefaultParagraphFont"/>
    <w:link w:val="Header"/>
    <w:uiPriority w:val="99"/>
    <w:rsid w:val="00DE495D"/>
    <w:rPr>
      <w:rFonts w:ascii="Arial" w:eastAsia="Times New Roman" w:hAnsi="Arial" w:cs="Arial"/>
      <w:sz w:val="20"/>
      <w:szCs w:val="24"/>
    </w:rPr>
  </w:style>
  <w:style w:type="paragraph" w:styleId="Footer">
    <w:name w:val="footer"/>
    <w:basedOn w:val="Normal"/>
    <w:link w:val="FooterChar"/>
    <w:uiPriority w:val="99"/>
    <w:unhideWhenUsed/>
    <w:rsid w:val="00DE495D"/>
    <w:pPr>
      <w:tabs>
        <w:tab w:val="clear" w:pos="357"/>
        <w:tab w:val="center" w:pos="4513"/>
        <w:tab w:val="right" w:pos="9026"/>
      </w:tabs>
    </w:pPr>
  </w:style>
  <w:style w:type="character" w:customStyle="1" w:styleId="FooterChar">
    <w:name w:val="Footer Char"/>
    <w:basedOn w:val="DefaultParagraphFont"/>
    <w:link w:val="Footer"/>
    <w:uiPriority w:val="99"/>
    <w:rsid w:val="00DE495D"/>
    <w:rPr>
      <w:rFonts w:ascii="Arial" w:eastAsia="Times New Roman" w:hAnsi="Arial" w:cs="Arial"/>
      <w:sz w:val="20"/>
      <w:szCs w:val="24"/>
    </w:rPr>
  </w:style>
  <w:style w:type="character" w:styleId="PageNumber">
    <w:name w:val="page number"/>
    <w:basedOn w:val="DefaultParagraphFont"/>
    <w:uiPriority w:val="99"/>
    <w:rsid w:val="00DE495D"/>
  </w:style>
  <w:style w:type="paragraph" w:styleId="TOC1">
    <w:name w:val="toc 1"/>
    <w:basedOn w:val="Normal"/>
    <w:next w:val="Normal"/>
    <w:autoRedefine/>
    <w:uiPriority w:val="39"/>
    <w:unhideWhenUsed/>
    <w:qFormat/>
    <w:rsid w:val="00DE495D"/>
    <w:pPr>
      <w:tabs>
        <w:tab w:val="clear" w:pos="357"/>
      </w:tabs>
    </w:pPr>
    <w:rPr>
      <w:rFonts w:asciiTheme="minorHAnsi" w:hAnsiTheme="minorHAnsi"/>
      <w:b/>
      <w:bCs/>
      <w:caps/>
      <w:sz w:val="20"/>
      <w:szCs w:val="20"/>
    </w:rPr>
  </w:style>
  <w:style w:type="character" w:styleId="Hyperlink">
    <w:name w:val="Hyperlink"/>
    <w:uiPriority w:val="99"/>
    <w:unhideWhenUsed/>
    <w:qFormat/>
    <w:rsid w:val="00DE495D"/>
    <w:rPr>
      <w:color w:val="0000FF"/>
      <w:u w:val="single"/>
    </w:rPr>
  </w:style>
  <w:style w:type="paragraph" w:styleId="TOC2">
    <w:name w:val="toc 2"/>
    <w:basedOn w:val="Normal"/>
    <w:next w:val="Normal"/>
    <w:autoRedefine/>
    <w:uiPriority w:val="39"/>
    <w:unhideWhenUsed/>
    <w:qFormat/>
    <w:rsid w:val="00DE495D"/>
    <w:pPr>
      <w:tabs>
        <w:tab w:val="clear" w:pos="357"/>
      </w:tabs>
      <w:spacing w:before="0" w:after="0"/>
      <w:ind w:left="240"/>
    </w:pPr>
    <w:rPr>
      <w:rFonts w:asciiTheme="minorHAnsi" w:hAnsiTheme="minorHAnsi"/>
      <w:smallCaps/>
      <w:sz w:val="20"/>
      <w:szCs w:val="20"/>
    </w:rPr>
  </w:style>
  <w:style w:type="paragraph" w:styleId="TOC3">
    <w:name w:val="toc 3"/>
    <w:basedOn w:val="Normal"/>
    <w:next w:val="Normal"/>
    <w:autoRedefine/>
    <w:uiPriority w:val="39"/>
    <w:unhideWhenUsed/>
    <w:qFormat/>
    <w:rsid w:val="00DE495D"/>
    <w:pPr>
      <w:tabs>
        <w:tab w:val="clear" w:pos="357"/>
      </w:tabs>
      <w:spacing w:before="0" w:after="0"/>
      <w:ind w:left="480"/>
    </w:pPr>
    <w:rPr>
      <w:rFonts w:asciiTheme="minorHAnsi" w:hAnsiTheme="minorHAnsi"/>
      <w:i/>
      <w:iCs/>
      <w:sz w:val="20"/>
      <w:szCs w:val="20"/>
    </w:rPr>
  </w:style>
  <w:style w:type="character" w:styleId="FollowedHyperlink">
    <w:name w:val="FollowedHyperlink"/>
    <w:uiPriority w:val="99"/>
    <w:semiHidden/>
    <w:unhideWhenUsed/>
    <w:rsid w:val="00DE495D"/>
    <w:rPr>
      <w:color w:val="800080"/>
      <w:u w:val="single"/>
    </w:rPr>
  </w:style>
  <w:style w:type="paragraph" w:styleId="Caption">
    <w:name w:val="caption"/>
    <w:basedOn w:val="Normal"/>
    <w:next w:val="Normal"/>
    <w:uiPriority w:val="35"/>
    <w:qFormat/>
    <w:rsid w:val="00B04314"/>
    <w:pPr>
      <w:spacing w:after="60"/>
      <w:jc w:val="center"/>
    </w:pPr>
    <w:rPr>
      <w:b/>
      <w:bCs/>
      <w:sz w:val="20"/>
      <w:szCs w:val="20"/>
    </w:rPr>
  </w:style>
  <w:style w:type="paragraph" w:styleId="TableofFigures">
    <w:name w:val="table of figures"/>
    <w:basedOn w:val="Normal"/>
    <w:next w:val="Normal"/>
    <w:uiPriority w:val="99"/>
    <w:unhideWhenUsed/>
    <w:rsid w:val="0078490E"/>
    <w:pPr>
      <w:numPr>
        <w:numId w:val="2"/>
      </w:numPr>
      <w:tabs>
        <w:tab w:val="clear" w:pos="357"/>
      </w:tabs>
      <w:ind w:left="0" w:firstLine="0"/>
    </w:pPr>
    <w:rPr>
      <w:sz w:val="20"/>
    </w:rPr>
  </w:style>
  <w:style w:type="paragraph" w:customStyle="1" w:styleId="BulletPoints">
    <w:name w:val="Bullet Points"/>
    <w:basedOn w:val="Normal"/>
    <w:link w:val="BulletPointsChar"/>
    <w:qFormat/>
    <w:rsid w:val="00E57334"/>
    <w:pPr>
      <w:spacing w:after="60"/>
    </w:pPr>
  </w:style>
  <w:style w:type="character" w:customStyle="1" w:styleId="BulletPointsChar">
    <w:name w:val="Bullet Points Char"/>
    <w:link w:val="BulletPoints"/>
    <w:rsid w:val="00E57334"/>
    <w:rPr>
      <w:rFonts w:ascii="Times New Roman" w:eastAsia="Times New Roman" w:hAnsi="Times New Roman" w:cs="Arial"/>
      <w:sz w:val="24"/>
      <w:szCs w:val="24"/>
    </w:rPr>
  </w:style>
  <w:style w:type="paragraph" w:customStyle="1" w:styleId="Bullet2ndLevel">
    <w:name w:val="Bullet 2nd Level"/>
    <w:basedOn w:val="BulletPoints"/>
    <w:link w:val="Bullet2ndLevelChar"/>
    <w:qFormat/>
    <w:rsid w:val="00DE495D"/>
    <w:pPr>
      <w:numPr>
        <w:ilvl w:val="1"/>
        <w:numId w:val="1"/>
      </w:numPr>
      <w:spacing w:after="120"/>
      <w:ind w:left="717"/>
    </w:pPr>
  </w:style>
  <w:style w:type="character" w:customStyle="1" w:styleId="Bullet2ndLevelChar">
    <w:name w:val="Bullet 2nd Level Char"/>
    <w:link w:val="Bullet2ndLevel"/>
    <w:rsid w:val="00DE495D"/>
    <w:rPr>
      <w:rFonts w:ascii="Times New Roman" w:eastAsia="Times New Roman" w:hAnsi="Times New Roman" w:cs="Arial"/>
      <w:sz w:val="24"/>
      <w:szCs w:val="24"/>
    </w:rPr>
  </w:style>
  <w:style w:type="paragraph" w:customStyle="1" w:styleId="NumberedPoints">
    <w:name w:val="Numbered Points"/>
    <w:basedOn w:val="Normal"/>
    <w:link w:val="NumberedPointsChar"/>
    <w:qFormat/>
    <w:rsid w:val="00DE495D"/>
    <w:pPr>
      <w:ind w:left="360" w:hanging="360"/>
    </w:pPr>
  </w:style>
  <w:style w:type="character" w:customStyle="1" w:styleId="NumberedPointsChar">
    <w:name w:val="Numbered Points Char"/>
    <w:link w:val="NumberedPoints"/>
    <w:rsid w:val="00DE495D"/>
    <w:rPr>
      <w:rFonts w:ascii="Arial" w:eastAsia="Times New Roman" w:hAnsi="Arial" w:cs="Arial"/>
      <w:sz w:val="20"/>
      <w:szCs w:val="24"/>
    </w:rPr>
  </w:style>
  <w:style w:type="paragraph" w:customStyle="1" w:styleId="TblHeading">
    <w:name w:val="Tbl Heading"/>
    <w:basedOn w:val="Normal"/>
    <w:link w:val="TblHeadingChar"/>
    <w:qFormat/>
    <w:rsid w:val="00A1294D"/>
    <w:pPr>
      <w:spacing w:before="40" w:after="40"/>
    </w:pPr>
    <w:rPr>
      <w:b/>
      <w:szCs w:val="22"/>
    </w:rPr>
  </w:style>
  <w:style w:type="character" w:customStyle="1" w:styleId="TblHeadingChar">
    <w:name w:val="Tbl Heading Char"/>
    <w:link w:val="TblHeading"/>
    <w:rsid w:val="00A1294D"/>
    <w:rPr>
      <w:rFonts w:ascii="Times New Roman" w:eastAsia="Times New Roman" w:hAnsi="Times New Roman" w:cs="Arial"/>
      <w:b/>
      <w:sz w:val="24"/>
    </w:rPr>
  </w:style>
  <w:style w:type="paragraph" w:customStyle="1" w:styleId="TblText">
    <w:name w:val="Tbl Text"/>
    <w:basedOn w:val="Normal"/>
    <w:link w:val="TblTextChar"/>
    <w:qFormat/>
    <w:rsid w:val="00DE495D"/>
    <w:pPr>
      <w:spacing w:before="40" w:after="40"/>
    </w:pPr>
    <w:rPr>
      <w:sz w:val="18"/>
      <w:szCs w:val="18"/>
    </w:rPr>
  </w:style>
  <w:style w:type="character" w:customStyle="1" w:styleId="TblTextChar">
    <w:name w:val="Tbl Text Char"/>
    <w:link w:val="TblText"/>
    <w:rsid w:val="00DE495D"/>
    <w:rPr>
      <w:rFonts w:ascii="Arial" w:eastAsia="Times New Roman" w:hAnsi="Arial" w:cs="Arial"/>
      <w:sz w:val="18"/>
      <w:szCs w:val="18"/>
    </w:rPr>
  </w:style>
  <w:style w:type="paragraph" w:customStyle="1" w:styleId="Bullet">
    <w:name w:val="Bullet"/>
    <w:basedOn w:val="BulletPoints"/>
    <w:link w:val="BulletChar"/>
    <w:qFormat/>
    <w:rsid w:val="001A1D27"/>
    <w:pPr>
      <w:numPr>
        <w:numId w:val="3"/>
      </w:numPr>
      <w:tabs>
        <w:tab w:val="clear" w:pos="357"/>
      </w:tabs>
      <w:spacing w:before="40" w:after="40"/>
    </w:pPr>
    <w:rPr>
      <w:szCs w:val="18"/>
    </w:rPr>
  </w:style>
  <w:style w:type="character" w:customStyle="1" w:styleId="BulletChar">
    <w:name w:val="Bullet Char"/>
    <w:link w:val="Bullet"/>
    <w:rsid w:val="001A1D27"/>
    <w:rPr>
      <w:rFonts w:ascii="Times New Roman" w:eastAsia="Times New Roman" w:hAnsi="Times New Roman" w:cs="Arial"/>
      <w:sz w:val="24"/>
      <w:szCs w:val="18"/>
    </w:rPr>
  </w:style>
  <w:style w:type="paragraph" w:styleId="TOCHeading">
    <w:name w:val="TOC Heading"/>
    <w:basedOn w:val="Heading1"/>
    <w:next w:val="Normal"/>
    <w:uiPriority w:val="39"/>
    <w:unhideWhenUsed/>
    <w:qFormat/>
    <w:rsid w:val="00DE495D"/>
    <w:pPr>
      <w:spacing w:before="240" w:after="60"/>
      <w:jc w:val="both"/>
      <w:outlineLvl w:val="9"/>
    </w:pPr>
    <w:rPr>
      <w:rFonts w:ascii="Cambria" w:hAnsi="Cambria"/>
      <w:sz w:val="32"/>
    </w:rPr>
  </w:style>
  <w:style w:type="character" w:styleId="FootnoteReference">
    <w:name w:val="footnote reference"/>
    <w:aliases w:val="Footnote text,ftref,BVI fnr,FNRefe,(NECG) Footnote Reference"/>
    <w:uiPriority w:val="99"/>
    <w:rsid w:val="00DE495D"/>
    <w:rPr>
      <w:vertAlign w:val="superscript"/>
    </w:rPr>
  </w:style>
  <w:style w:type="character" w:customStyle="1" w:styleId="ColorfulList-Accent1Char">
    <w:name w:val="Colorful List - Accent 1 Char"/>
    <w:aliases w:val="List Paragraph1 Char,List Paragraph11 Char,Recommendation Char"/>
    <w:link w:val="ColorfulList-Accent1"/>
    <w:uiPriority w:val="34"/>
    <w:rsid w:val="00DE495D"/>
    <w:rPr>
      <w:rFonts w:eastAsia="Calibri"/>
      <w:sz w:val="22"/>
      <w:szCs w:val="22"/>
      <w:lang w:eastAsia="en-US"/>
    </w:rPr>
  </w:style>
  <w:style w:type="paragraph" w:styleId="MessageHeader">
    <w:name w:val="Message Header"/>
    <w:basedOn w:val="Normal"/>
    <w:link w:val="MessageHeaderChar"/>
    <w:semiHidden/>
    <w:rsid w:val="00DE495D"/>
    <w:pPr>
      <w:numPr>
        <w:numId w:val="4"/>
      </w:numPr>
      <w:pBdr>
        <w:top w:val="single" w:sz="6" w:space="1" w:color="auto"/>
        <w:left w:val="single" w:sz="6" w:space="1" w:color="auto"/>
        <w:bottom w:val="single" w:sz="6" w:space="1" w:color="auto"/>
        <w:right w:val="single" w:sz="6" w:space="1" w:color="auto"/>
      </w:pBdr>
      <w:shd w:val="pct20" w:color="auto" w:fill="auto"/>
      <w:tabs>
        <w:tab w:val="clear" w:pos="357"/>
        <w:tab w:val="clear" w:pos="926"/>
      </w:tabs>
      <w:ind w:left="1134" w:hanging="1134"/>
    </w:pPr>
    <w:rPr>
      <w:snapToGrid w:val="0"/>
      <w:lang w:eastAsia="en-AU"/>
    </w:rPr>
  </w:style>
  <w:style w:type="character" w:customStyle="1" w:styleId="MessageHeaderChar">
    <w:name w:val="Message Header Char"/>
    <w:basedOn w:val="DefaultParagraphFont"/>
    <w:link w:val="MessageHeader"/>
    <w:semiHidden/>
    <w:rsid w:val="00DE495D"/>
    <w:rPr>
      <w:rFonts w:ascii="Times New Roman" w:eastAsia="Times New Roman" w:hAnsi="Times New Roman" w:cs="Arial"/>
      <w:snapToGrid w:val="0"/>
      <w:sz w:val="24"/>
      <w:szCs w:val="24"/>
      <w:shd w:val="pct20" w:color="auto" w:fill="auto"/>
      <w:lang w:eastAsia="en-AU"/>
    </w:rPr>
  </w:style>
  <w:style w:type="paragraph" w:styleId="NoteHeading">
    <w:name w:val="Note Heading"/>
    <w:basedOn w:val="Normal"/>
    <w:next w:val="Normal"/>
    <w:link w:val="NoteHeadingChar"/>
    <w:semiHidden/>
    <w:rsid w:val="00DE495D"/>
    <w:pPr>
      <w:numPr>
        <w:numId w:val="5"/>
      </w:numPr>
      <w:tabs>
        <w:tab w:val="clear" w:pos="357"/>
        <w:tab w:val="clear" w:pos="1492"/>
      </w:tabs>
      <w:ind w:left="0" w:firstLine="0"/>
    </w:pPr>
    <w:rPr>
      <w:rFonts w:cs="Times New Roman"/>
      <w:snapToGrid w:val="0"/>
      <w:szCs w:val="20"/>
      <w:lang w:eastAsia="en-AU"/>
    </w:rPr>
  </w:style>
  <w:style w:type="character" w:customStyle="1" w:styleId="NoteHeadingChar">
    <w:name w:val="Note Heading Char"/>
    <w:basedOn w:val="DefaultParagraphFont"/>
    <w:link w:val="NoteHeading"/>
    <w:semiHidden/>
    <w:rsid w:val="00DE495D"/>
    <w:rPr>
      <w:rFonts w:ascii="Times New Roman" w:eastAsia="Times New Roman" w:hAnsi="Times New Roman" w:cs="Times New Roman"/>
      <w:snapToGrid w:val="0"/>
      <w:sz w:val="24"/>
      <w:szCs w:val="20"/>
      <w:lang w:eastAsia="en-AU"/>
    </w:rPr>
  </w:style>
  <w:style w:type="paragraph" w:customStyle="1" w:styleId="NcondensedChar">
    <w:name w:val="N condensed Char"/>
    <w:basedOn w:val="Normal"/>
    <w:rsid w:val="00DE495D"/>
    <w:pPr>
      <w:numPr>
        <w:numId w:val="6"/>
      </w:numPr>
      <w:tabs>
        <w:tab w:val="clear" w:pos="357"/>
        <w:tab w:val="clear" w:pos="643"/>
      </w:tabs>
      <w:ind w:left="0" w:firstLine="0"/>
    </w:pPr>
    <w:rPr>
      <w:rFonts w:cs="Times New Roman"/>
      <w:snapToGrid w:val="0"/>
      <w:spacing w:val="-2"/>
      <w:sz w:val="22"/>
      <w:szCs w:val="20"/>
    </w:rPr>
  </w:style>
  <w:style w:type="character" w:customStyle="1" w:styleId="apple-converted-space">
    <w:name w:val="apple-converted-space"/>
    <w:rsid w:val="00DE495D"/>
  </w:style>
  <w:style w:type="paragraph" w:styleId="CommentSubject">
    <w:name w:val="annotation subject"/>
    <w:basedOn w:val="CommentText"/>
    <w:next w:val="CommentText"/>
    <w:link w:val="CommentSubjectChar"/>
    <w:uiPriority w:val="99"/>
    <w:semiHidden/>
    <w:unhideWhenUsed/>
    <w:rsid w:val="00DE495D"/>
    <w:rPr>
      <w:rFonts w:cs="Arial"/>
      <w:b/>
      <w:bCs/>
    </w:rPr>
  </w:style>
  <w:style w:type="character" w:customStyle="1" w:styleId="CommentSubjectChar">
    <w:name w:val="Comment Subject Char"/>
    <w:basedOn w:val="CommentTextChar"/>
    <w:link w:val="CommentSubject"/>
    <w:uiPriority w:val="99"/>
    <w:semiHidden/>
    <w:rsid w:val="00DE495D"/>
    <w:rPr>
      <w:rFonts w:ascii="Arial" w:eastAsia="Times New Roman" w:hAnsi="Arial" w:cs="Arial"/>
      <w:b/>
      <w:bCs/>
      <w:sz w:val="20"/>
      <w:szCs w:val="20"/>
    </w:rPr>
  </w:style>
  <w:style w:type="paragraph" w:styleId="BodyTextIndent2">
    <w:name w:val="Body Text Indent 2"/>
    <w:basedOn w:val="Normal"/>
    <w:link w:val="BodyTextIndent2Char"/>
    <w:rsid w:val="00DE495D"/>
    <w:pPr>
      <w:widowControl w:val="0"/>
      <w:pBdr>
        <w:top w:val="single" w:sz="6" w:space="3" w:color="auto" w:shadow="1"/>
        <w:left w:val="single" w:sz="6" w:space="3" w:color="auto" w:shadow="1"/>
        <w:bottom w:val="single" w:sz="6" w:space="3" w:color="auto" w:shadow="1"/>
        <w:right w:val="single" w:sz="6" w:space="3" w:color="auto" w:shadow="1"/>
      </w:pBdr>
      <w:shd w:val="pct5" w:color="auto" w:fill="auto"/>
      <w:tabs>
        <w:tab w:val="clear" w:pos="357"/>
      </w:tabs>
      <w:spacing w:after="0"/>
      <w:ind w:firstLine="567"/>
    </w:pPr>
    <w:rPr>
      <w:rFonts w:ascii="Times" w:hAnsi="Times" w:cs="Times New Roman"/>
      <w:i/>
      <w:color w:val="000000"/>
      <w:sz w:val="26"/>
      <w:szCs w:val="20"/>
      <w:lang w:eastAsia="en-AU"/>
    </w:rPr>
  </w:style>
  <w:style w:type="character" w:customStyle="1" w:styleId="BodyTextIndent2Char">
    <w:name w:val="Body Text Indent 2 Char"/>
    <w:basedOn w:val="DefaultParagraphFont"/>
    <w:link w:val="BodyTextIndent2"/>
    <w:rsid w:val="00DE495D"/>
    <w:rPr>
      <w:rFonts w:ascii="Times" w:eastAsia="Times New Roman" w:hAnsi="Times" w:cs="Times New Roman"/>
      <w:i/>
      <w:color w:val="000000"/>
      <w:sz w:val="26"/>
      <w:szCs w:val="20"/>
      <w:shd w:val="pct5" w:color="auto" w:fill="auto"/>
      <w:lang w:eastAsia="en-AU"/>
    </w:rPr>
  </w:style>
  <w:style w:type="paragraph" w:styleId="ListBullet">
    <w:name w:val="List Bullet"/>
    <w:basedOn w:val="Normal"/>
    <w:uiPriority w:val="99"/>
    <w:rsid w:val="00DE495D"/>
    <w:pPr>
      <w:tabs>
        <w:tab w:val="clear" w:pos="357"/>
        <w:tab w:val="num" w:pos="360"/>
      </w:tabs>
      <w:spacing w:after="0"/>
      <w:ind w:left="360" w:hanging="360"/>
    </w:pPr>
    <w:rPr>
      <w:rFonts w:ascii="Calibri" w:eastAsia="Calibri" w:hAnsi="Calibri" w:cs="Times New Roman"/>
      <w:sz w:val="22"/>
      <w:szCs w:val="22"/>
    </w:rPr>
  </w:style>
  <w:style w:type="paragraph" w:customStyle="1" w:styleId="Default">
    <w:name w:val="Default"/>
    <w:rsid w:val="00DE495D"/>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PFNumLevel2">
    <w:name w:val="PF (Num) Level 2"/>
    <w:basedOn w:val="Normal"/>
    <w:rsid w:val="00DE495D"/>
    <w:pPr>
      <w:tabs>
        <w:tab w:val="clear" w:pos="357"/>
        <w:tab w:val="num" w:pos="924"/>
        <w:tab w:val="left" w:pos="2773"/>
        <w:tab w:val="left" w:pos="3697"/>
        <w:tab w:val="left" w:pos="4621"/>
        <w:tab w:val="left" w:pos="5545"/>
        <w:tab w:val="left" w:pos="6469"/>
        <w:tab w:val="left" w:pos="7394"/>
        <w:tab w:val="left" w:pos="8318"/>
        <w:tab w:val="right" w:pos="8930"/>
      </w:tabs>
      <w:spacing w:line="276" w:lineRule="auto"/>
      <w:ind w:left="924" w:hanging="924"/>
    </w:pPr>
    <w:rPr>
      <w:rFonts w:cs="Times New Roman"/>
      <w:color w:val="000000"/>
      <w:sz w:val="21"/>
      <w:szCs w:val="20"/>
    </w:rPr>
  </w:style>
  <w:style w:type="paragraph" w:customStyle="1" w:styleId="PFNumLevel3">
    <w:name w:val="PF (Num) Level 3"/>
    <w:basedOn w:val="Normal"/>
    <w:rsid w:val="00DE495D"/>
    <w:pPr>
      <w:tabs>
        <w:tab w:val="clear" w:pos="357"/>
        <w:tab w:val="num" w:pos="1848"/>
        <w:tab w:val="left" w:pos="3697"/>
        <w:tab w:val="left" w:pos="4621"/>
        <w:tab w:val="left" w:pos="5545"/>
        <w:tab w:val="left" w:pos="6469"/>
        <w:tab w:val="left" w:pos="7394"/>
        <w:tab w:val="left" w:pos="8318"/>
        <w:tab w:val="right" w:pos="8930"/>
      </w:tabs>
      <w:spacing w:line="276" w:lineRule="auto"/>
      <w:ind w:left="1848" w:hanging="924"/>
    </w:pPr>
    <w:rPr>
      <w:rFonts w:cs="Times New Roman"/>
      <w:color w:val="000000"/>
      <w:sz w:val="21"/>
      <w:szCs w:val="20"/>
    </w:rPr>
  </w:style>
  <w:style w:type="paragraph" w:customStyle="1" w:styleId="PFNumLevel4">
    <w:name w:val="PF (Num) Level 4"/>
    <w:basedOn w:val="Normal"/>
    <w:rsid w:val="00DE495D"/>
    <w:pPr>
      <w:numPr>
        <w:ilvl w:val="3"/>
      </w:numPr>
      <w:tabs>
        <w:tab w:val="clear" w:pos="357"/>
        <w:tab w:val="num" w:pos="2773"/>
        <w:tab w:val="left" w:pos="4621"/>
        <w:tab w:val="left" w:pos="5545"/>
        <w:tab w:val="left" w:pos="6469"/>
        <w:tab w:val="left" w:pos="7394"/>
        <w:tab w:val="left" w:pos="8318"/>
        <w:tab w:val="right" w:pos="8930"/>
      </w:tabs>
      <w:spacing w:line="276" w:lineRule="auto"/>
      <w:ind w:left="2773" w:hanging="925"/>
    </w:pPr>
    <w:rPr>
      <w:rFonts w:cs="Times New Roman"/>
      <w:color w:val="000000"/>
      <w:sz w:val="21"/>
      <w:szCs w:val="20"/>
    </w:rPr>
  </w:style>
  <w:style w:type="paragraph" w:customStyle="1" w:styleId="PFNumLevel5">
    <w:name w:val="PF (Num) Level 5"/>
    <w:basedOn w:val="Normal"/>
    <w:rsid w:val="00DE495D"/>
    <w:pPr>
      <w:numPr>
        <w:ilvl w:val="4"/>
      </w:numPr>
      <w:tabs>
        <w:tab w:val="clear" w:pos="357"/>
        <w:tab w:val="num" w:pos="1848"/>
        <w:tab w:val="left" w:pos="2773"/>
        <w:tab w:val="left" w:pos="3697"/>
        <w:tab w:val="left" w:pos="4621"/>
        <w:tab w:val="left" w:pos="5545"/>
        <w:tab w:val="left" w:pos="6469"/>
        <w:tab w:val="left" w:pos="7394"/>
        <w:tab w:val="left" w:pos="8318"/>
        <w:tab w:val="right" w:pos="8930"/>
      </w:tabs>
      <w:spacing w:line="276" w:lineRule="auto"/>
      <w:ind w:left="1848" w:hanging="924"/>
    </w:pPr>
    <w:rPr>
      <w:rFonts w:cs="Times New Roman"/>
      <w:color w:val="000000"/>
      <w:sz w:val="21"/>
      <w:szCs w:val="20"/>
    </w:rPr>
  </w:style>
  <w:style w:type="paragraph" w:customStyle="1" w:styleId="Heading1A">
    <w:name w:val="Heading 1A"/>
    <w:basedOn w:val="Heading1"/>
    <w:next w:val="Normal"/>
    <w:rsid w:val="00DE495D"/>
    <w:pPr>
      <w:tabs>
        <w:tab w:val="clear" w:pos="357"/>
        <w:tab w:val="left" w:pos="924"/>
        <w:tab w:val="num" w:pos="1029"/>
        <w:tab w:val="left" w:pos="1848"/>
        <w:tab w:val="left" w:pos="2773"/>
        <w:tab w:val="left" w:pos="3697"/>
        <w:tab w:val="left" w:pos="4621"/>
        <w:tab w:val="left" w:pos="5545"/>
        <w:tab w:val="left" w:pos="6469"/>
        <w:tab w:val="left" w:pos="7394"/>
        <w:tab w:val="left" w:pos="8318"/>
        <w:tab w:val="right" w:pos="8930"/>
      </w:tabs>
      <w:spacing w:before="400" w:line="276" w:lineRule="auto"/>
      <w:ind w:left="1029" w:hanging="924"/>
    </w:pPr>
    <w:rPr>
      <w:bCs w:val="0"/>
      <w:color w:val="000000"/>
      <w:kern w:val="28"/>
      <w:szCs w:val="20"/>
    </w:rPr>
  </w:style>
  <w:style w:type="paragraph" w:customStyle="1" w:styleId="PFNumLevel6">
    <w:name w:val="PF (Num) Level 6"/>
    <w:basedOn w:val="PFNumLevel4"/>
    <w:rsid w:val="00DE495D"/>
    <w:pPr>
      <w:numPr>
        <w:ilvl w:val="5"/>
      </w:numPr>
      <w:tabs>
        <w:tab w:val="num" w:pos="2773"/>
        <w:tab w:val="num" w:pos="3697"/>
      </w:tabs>
      <w:ind w:left="3697" w:hanging="924"/>
    </w:pPr>
  </w:style>
  <w:style w:type="character" w:customStyle="1" w:styleId="SubtleEmphasis1">
    <w:name w:val="Subtle Emphasis1"/>
    <w:aliases w:val="normal text"/>
    <w:uiPriority w:val="99"/>
    <w:qFormat/>
    <w:rsid w:val="00DE495D"/>
    <w:rPr>
      <w:rFonts w:ascii="Arial" w:hAnsi="Arial"/>
      <w:b w:val="0"/>
      <w:i w:val="0"/>
      <w:iCs/>
      <w:color w:val="auto"/>
      <w:sz w:val="20"/>
    </w:rPr>
  </w:style>
  <w:style w:type="character" w:customStyle="1" w:styleId="citation">
    <w:name w:val="citation"/>
    <w:rsid w:val="00DE495D"/>
  </w:style>
  <w:style w:type="character" w:customStyle="1" w:styleId="ref-journal">
    <w:name w:val="ref-journal"/>
    <w:rsid w:val="00DE495D"/>
  </w:style>
  <w:style w:type="character" w:customStyle="1" w:styleId="ref-vol">
    <w:name w:val="ref-vol"/>
    <w:rsid w:val="00DE495D"/>
  </w:style>
  <w:style w:type="character" w:styleId="Strong">
    <w:name w:val="Strong"/>
    <w:uiPriority w:val="99"/>
    <w:qFormat/>
    <w:rsid w:val="00DE495D"/>
    <w:rPr>
      <w:b/>
      <w:bCs/>
    </w:rPr>
  </w:style>
  <w:style w:type="character" w:styleId="Emphasis">
    <w:name w:val="Emphasis"/>
    <w:uiPriority w:val="99"/>
    <w:qFormat/>
    <w:rsid w:val="00DE495D"/>
    <w:rPr>
      <w:i/>
      <w:iCs/>
    </w:rPr>
  </w:style>
  <w:style w:type="paragraph" w:customStyle="1" w:styleId="TblBullet">
    <w:name w:val="Tbl Bullet"/>
    <w:basedOn w:val="Normal"/>
    <w:link w:val="TblBulletChar"/>
    <w:qFormat/>
    <w:rsid w:val="00DE495D"/>
    <w:pPr>
      <w:spacing w:before="40" w:after="40"/>
    </w:pPr>
    <w:rPr>
      <w:sz w:val="18"/>
      <w:szCs w:val="18"/>
    </w:rPr>
  </w:style>
  <w:style w:type="character" w:customStyle="1" w:styleId="TblBulletChar">
    <w:name w:val="Tbl Bullet Char"/>
    <w:link w:val="TblBullet"/>
    <w:rsid w:val="00DE495D"/>
    <w:rPr>
      <w:rFonts w:ascii="Arial" w:eastAsia="Times New Roman" w:hAnsi="Arial" w:cs="Arial"/>
      <w:sz w:val="18"/>
      <w:szCs w:val="18"/>
    </w:rPr>
  </w:style>
  <w:style w:type="character" w:customStyle="1" w:styleId="A2">
    <w:name w:val="A2"/>
    <w:uiPriority w:val="99"/>
    <w:rsid w:val="00DE495D"/>
    <w:rPr>
      <w:rFonts w:cs="Bliss"/>
      <w:color w:val="000000"/>
      <w:sz w:val="52"/>
      <w:szCs w:val="52"/>
    </w:rPr>
  </w:style>
  <w:style w:type="paragraph" w:styleId="DocumentMap">
    <w:name w:val="Document Map"/>
    <w:basedOn w:val="Normal"/>
    <w:link w:val="DocumentMapChar"/>
    <w:uiPriority w:val="99"/>
    <w:semiHidden/>
    <w:unhideWhenUsed/>
    <w:rsid w:val="00DE495D"/>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495D"/>
    <w:rPr>
      <w:rFonts w:ascii="Tahoma" w:eastAsia="Times New Roman" w:hAnsi="Tahoma" w:cs="Tahoma"/>
      <w:sz w:val="16"/>
      <w:szCs w:val="16"/>
    </w:rPr>
  </w:style>
  <w:style w:type="character" w:customStyle="1" w:styleId="number">
    <w:name w:val="number"/>
    <w:rsid w:val="00DE495D"/>
  </w:style>
  <w:style w:type="character" w:customStyle="1" w:styleId="slug-doi2">
    <w:name w:val="slug-doi2"/>
    <w:rsid w:val="00DE495D"/>
  </w:style>
  <w:style w:type="paragraph" w:customStyle="1" w:styleId="TableNotes">
    <w:name w:val="Table Notes"/>
    <w:basedOn w:val="Normal"/>
    <w:uiPriority w:val="99"/>
    <w:rsid w:val="00DE495D"/>
    <w:pPr>
      <w:spacing w:before="0"/>
    </w:pPr>
    <w:rPr>
      <w:szCs w:val="22"/>
      <w:lang w:val="en-GB"/>
    </w:rPr>
  </w:style>
  <w:style w:type="paragraph" w:customStyle="1" w:styleId="TableHeading">
    <w:name w:val="Table Heading"/>
    <w:basedOn w:val="Normal"/>
    <w:uiPriority w:val="99"/>
    <w:rsid w:val="00DE495D"/>
    <w:pPr>
      <w:spacing w:before="0"/>
    </w:pPr>
    <w:rPr>
      <w:b/>
      <w:szCs w:val="22"/>
      <w:lang w:val="en-GB"/>
    </w:rPr>
  </w:style>
  <w:style w:type="paragraph" w:styleId="Title">
    <w:name w:val="Title"/>
    <w:next w:val="Normal"/>
    <w:link w:val="TitleChar"/>
    <w:uiPriority w:val="99"/>
    <w:qFormat/>
    <w:rsid w:val="00B50287"/>
    <w:pPr>
      <w:spacing w:after="1000" w:line="240" w:lineRule="auto"/>
    </w:pPr>
    <w:rPr>
      <w:rFonts w:ascii="Times New Roman" w:eastAsia="Times New Roman" w:hAnsi="Times New Roman" w:cs="Arial"/>
      <w:b/>
      <w:noProof/>
      <w:color w:val="FFFFFF" w:themeColor="background1"/>
      <w:sz w:val="48"/>
      <w:szCs w:val="24"/>
      <w:lang w:eastAsia="en-AU"/>
    </w:rPr>
  </w:style>
  <w:style w:type="character" w:customStyle="1" w:styleId="TitleChar">
    <w:name w:val="Title Char"/>
    <w:basedOn w:val="DefaultParagraphFont"/>
    <w:link w:val="Title"/>
    <w:uiPriority w:val="99"/>
    <w:rsid w:val="00B50287"/>
    <w:rPr>
      <w:rFonts w:ascii="Times New Roman" w:eastAsia="Times New Roman" w:hAnsi="Times New Roman" w:cs="Arial"/>
      <w:b/>
      <w:noProof/>
      <w:color w:val="FFFFFF" w:themeColor="background1"/>
      <w:sz w:val="48"/>
      <w:szCs w:val="24"/>
      <w:lang w:eastAsia="en-AU"/>
    </w:rPr>
  </w:style>
  <w:style w:type="paragraph" w:styleId="Subtitle">
    <w:name w:val="Subtitle"/>
    <w:basedOn w:val="NoSpacing"/>
    <w:next w:val="Normal"/>
    <w:link w:val="SubtitleChar"/>
    <w:uiPriority w:val="99"/>
    <w:qFormat/>
    <w:rsid w:val="00B50287"/>
    <w:rPr>
      <w:b/>
      <w:bCs/>
      <w:i/>
      <w:color w:val="C00000"/>
      <w:sz w:val="32"/>
      <w:szCs w:val="32"/>
    </w:rPr>
  </w:style>
  <w:style w:type="character" w:customStyle="1" w:styleId="SubtitleChar">
    <w:name w:val="Subtitle Char"/>
    <w:basedOn w:val="DefaultParagraphFont"/>
    <w:link w:val="Subtitle"/>
    <w:uiPriority w:val="99"/>
    <w:rsid w:val="00B50287"/>
    <w:rPr>
      <w:rFonts w:ascii="Times New Roman" w:eastAsia="Times New Roman" w:hAnsi="Times New Roman" w:cs="Times New Roman"/>
      <w:b/>
      <w:bCs/>
      <w:i/>
      <w:color w:val="C00000"/>
      <w:sz w:val="32"/>
      <w:szCs w:val="32"/>
      <w:lang w:eastAsia="en-AU"/>
    </w:rPr>
  </w:style>
  <w:style w:type="character" w:customStyle="1" w:styleId="ColorfulGrid-Accent1Char">
    <w:name w:val="Colorful Grid - Accent 1 Char"/>
    <w:link w:val="ColorfulGrid-Accent1"/>
    <w:uiPriority w:val="29"/>
    <w:rsid w:val="00DE495D"/>
    <w:rPr>
      <w:rFonts w:ascii="Arial" w:hAnsi="Arial" w:cs="Arial"/>
      <w:i/>
      <w:szCs w:val="22"/>
      <w:lang w:val="en-GB"/>
    </w:rPr>
  </w:style>
  <w:style w:type="character" w:customStyle="1" w:styleId="LightShading-Accent2Char">
    <w:name w:val="Light Shading - Accent 2 Char"/>
    <w:link w:val="LightShading-Accent2"/>
    <w:uiPriority w:val="99"/>
    <w:rsid w:val="00DE495D"/>
    <w:rPr>
      <w:rFonts w:ascii="Arial" w:hAnsi="Arial" w:cs="Arial"/>
      <w:b/>
      <w:i/>
      <w:color w:val="FFFFFF"/>
      <w:szCs w:val="22"/>
      <w:shd w:val="clear" w:color="auto" w:fill="C0504D"/>
      <w:lang w:val="en-GB"/>
    </w:rPr>
  </w:style>
  <w:style w:type="character" w:styleId="IntenseEmphasis">
    <w:name w:val="Intense Emphasis"/>
    <w:uiPriority w:val="99"/>
    <w:qFormat/>
    <w:rsid w:val="00DE495D"/>
    <w:rPr>
      <w:rFonts w:cs="Times New Roman"/>
      <w:b/>
      <w:i/>
      <w:color w:val="C0504D"/>
      <w:spacing w:val="10"/>
    </w:rPr>
  </w:style>
  <w:style w:type="character" w:styleId="SubtleReference">
    <w:name w:val="Subtle Reference"/>
    <w:uiPriority w:val="99"/>
    <w:qFormat/>
    <w:rsid w:val="00DE495D"/>
    <w:rPr>
      <w:rFonts w:cs="Times New Roman"/>
      <w:b/>
    </w:rPr>
  </w:style>
  <w:style w:type="character" w:styleId="IntenseReference">
    <w:name w:val="Intense Reference"/>
    <w:uiPriority w:val="99"/>
    <w:qFormat/>
    <w:rsid w:val="00DE495D"/>
    <w:rPr>
      <w:rFonts w:cs="Times New Roman"/>
      <w:b/>
      <w:smallCaps/>
      <w:spacing w:val="5"/>
      <w:sz w:val="22"/>
      <w:u w:val="single"/>
    </w:rPr>
  </w:style>
  <w:style w:type="character" w:styleId="BookTitle">
    <w:name w:val="Book Title"/>
    <w:uiPriority w:val="99"/>
    <w:rsid w:val="00DE495D"/>
    <w:rPr>
      <w:rFonts w:ascii="Cambria" w:hAnsi="Cambria" w:cs="Times New Roman"/>
      <w:i/>
      <w:sz w:val="20"/>
    </w:rPr>
  </w:style>
  <w:style w:type="paragraph" w:customStyle="1" w:styleId="TableNotes0">
    <w:name w:val="TableNotes+0"/>
    <w:basedOn w:val="Normal"/>
    <w:uiPriority w:val="99"/>
    <w:rsid w:val="00DE495D"/>
    <w:pPr>
      <w:keepNext/>
      <w:keepLines/>
      <w:spacing w:before="0"/>
    </w:pPr>
    <w:rPr>
      <w:rFonts w:cs="Calibri"/>
      <w:szCs w:val="18"/>
      <w:lang w:val="en-GB"/>
    </w:rPr>
  </w:style>
  <w:style w:type="table" w:customStyle="1" w:styleId="LightShading1">
    <w:name w:val="Light Shading1"/>
    <w:aliases w:val="Report table"/>
    <w:basedOn w:val="TableNormal"/>
    <w:uiPriority w:val="99"/>
    <w:rsid w:val="00DE495D"/>
    <w:pPr>
      <w:spacing w:after="0" w:line="240" w:lineRule="auto"/>
    </w:pPr>
    <w:rPr>
      <w:rFonts w:ascii="Calibri" w:eastAsia="Times New Roman" w:hAnsi="Calibri" w:cs="Times New Roman"/>
      <w:color w:val="000000"/>
      <w:sz w:val="20"/>
      <w:szCs w:val="20"/>
      <w:lang w:eastAsia="en-AU"/>
    </w:rPr>
    <w:tblPr>
      <w:tblStyleRowBandSize w:val="1"/>
      <w:tblStyleColBandSize w:val="1"/>
      <w:tblBorders>
        <w:top w:val="single" w:sz="8" w:space="0" w:color="000000"/>
        <w:bottom w:val="single" w:sz="8" w:space="0" w:color="000000"/>
      </w:tblBorders>
    </w:tblPr>
    <w:trPr>
      <w:cantSplit/>
    </w:trPr>
    <w:tblStylePr w:type="firstRow">
      <w:pPr>
        <w:spacing w:before="0" w:after="0"/>
      </w:pPr>
      <w:rPr>
        <w:rFonts w:ascii="Gulim" w:hAnsi="Gulim" w:cs="Times New Roman"/>
        <w:b/>
        <w:bCs/>
        <w:sz w:val="20"/>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Notes">
    <w:name w:val="Notes"/>
    <w:basedOn w:val="Normal"/>
    <w:link w:val="NotesChar"/>
    <w:uiPriority w:val="99"/>
    <w:rsid w:val="00DE495D"/>
    <w:pPr>
      <w:spacing w:before="0"/>
    </w:pPr>
    <w:rPr>
      <w:sz w:val="16"/>
      <w:szCs w:val="16"/>
      <w:lang w:val="en-GB"/>
    </w:rPr>
  </w:style>
  <w:style w:type="character" w:customStyle="1" w:styleId="NotesChar">
    <w:name w:val="Notes Char"/>
    <w:link w:val="Notes"/>
    <w:uiPriority w:val="99"/>
    <w:locked/>
    <w:rsid w:val="00DE495D"/>
    <w:rPr>
      <w:rFonts w:ascii="Arial" w:eastAsia="Times New Roman" w:hAnsi="Arial" w:cs="Arial"/>
      <w:sz w:val="16"/>
      <w:szCs w:val="16"/>
      <w:lang w:val="en-GB"/>
    </w:rPr>
  </w:style>
  <w:style w:type="paragraph" w:customStyle="1" w:styleId="Tabletext">
    <w:name w:val="Table text"/>
    <w:basedOn w:val="Normal"/>
    <w:link w:val="TabletextChar"/>
    <w:uiPriority w:val="99"/>
    <w:rsid w:val="00DE495D"/>
    <w:pPr>
      <w:spacing w:before="0"/>
    </w:pPr>
    <w:rPr>
      <w:rFonts w:ascii="Microsoft Sans Serif" w:hAnsi="Microsoft Sans Serif" w:cs="Microsoft Sans Serif"/>
      <w:szCs w:val="20"/>
      <w:lang w:val="en-GB"/>
    </w:rPr>
  </w:style>
  <w:style w:type="character" w:customStyle="1" w:styleId="TabletextChar">
    <w:name w:val="Table text Char"/>
    <w:link w:val="Tabletext"/>
    <w:uiPriority w:val="99"/>
    <w:locked/>
    <w:rsid w:val="00DE495D"/>
    <w:rPr>
      <w:rFonts w:ascii="Microsoft Sans Serif" w:eastAsia="Times New Roman" w:hAnsi="Microsoft Sans Serif" w:cs="Microsoft Sans Serif"/>
      <w:sz w:val="20"/>
      <w:szCs w:val="20"/>
      <w:lang w:val="en-GB"/>
    </w:rPr>
  </w:style>
  <w:style w:type="paragraph" w:styleId="BodyTextIndent">
    <w:name w:val="Body Text Indent"/>
    <w:basedOn w:val="Normal"/>
    <w:link w:val="BodyTextIndentChar"/>
    <w:uiPriority w:val="99"/>
    <w:rsid w:val="00DE495D"/>
    <w:pPr>
      <w:spacing w:before="0"/>
    </w:pPr>
    <w:rPr>
      <w:rFonts w:ascii="Times" w:hAnsi="Times"/>
      <w:szCs w:val="20"/>
      <w:lang w:val="en-US"/>
    </w:rPr>
  </w:style>
  <w:style w:type="character" w:customStyle="1" w:styleId="BodyTextIndentChar">
    <w:name w:val="Body Text Indent Char"/>
    <w:basedOn w:val="DefaultParagraphFont"/>
    <w:link w:val="BodyTextIndent"/>
    <w:uiPriority w:val="99"/>
    <w:rsid w:val="00DE495D"/>
    <w:rPr>
      <w:rFonts w:ascii="Times" w:eastAsia="Times New Roman" w:hAnsi="Times" w:cs="Arial"/>
      <w:sz w:val="20"/>
      <w:szCs w:val="20"/>
      <w:lang w:val="en-US"/>
    </w:rPr>
  </w:style>
  <w:style w:type="paragraph" w:customStyle="1" w:styleId="Tablenotes1">
    <w:name w:val="Table notes"/>
    <w:basedOn w:val="Notes"/>
    <w:link w:val="TablenotesChar"/>
    <w:rsid w:val="00DE495D"/>
    <w:rPr>
      <w:sz w:val="20"/>
      <w:szCs w:val="20"/>
    </w:rPr>
  </w:style>
  <w:style w:type="character" w:customStyle="1" w:styleId="TablenotesChar">
    <w:name w:val="Table notes Char"/>
    <w:link w:val="Tablenotes1"/>
    <w:rsid w:val="00DE495D"/>
    <w:rPr>
      <w:rFonts w:ascii="Arial" w:eastAsia="Times New Roman" w:hAnsi="Arial" w:cs="Arial"/>
      <w:sz w:val="20"/>
      <w:szCs w:val="20"/>
      <w:lang w:val="en-GB"/>
    </w:rPr>
  </w:style>
  <w:style w:type="paragraph" w:customStyle="1" w:styleId="TableNumbers">
    <w:name w:val="Table Numbers"/>
    <w:basedOn w:val="Normal"/>
    <w:rsid w:val="00DE495D"/>
    <w:pPr>
      <w:spacing w:before="0"/>
      <w:jc w:val="center"/>
    </w:pPr>
    <w:rPr>
      <w:rFonts w:cs="Times New Roman"/>
      <w:szCs w:val="22"/>
      <w:lang w:val="en-GB" w:eastAsia="en-AU"/>
    </w:rPr>
  </w:style>
  <w:style w:type="paragraph" w:customStyle="1" w:styleId="tabletext0">
    <w:name w:val="table text"/>
    <w:basedOn w:val="TableNumbers"/>
    <w:qFormat/>
    <w:rsid w:val="003F3ACF"/>
    <w:pPr>
      <w:keepNext/>
      <w:spacing w:after="40"/>
      <w:jc w:val="left"/>
    </w:pPr>
    <w:rPr>
      <w:rFonts w:cs="Arial"/>
      <w:color w:val="000000"/>
      <w:szCs w:val="20"/>
    </w:rPr>
  </w:style>
  <w:style w:type="paragraph" w:customStyle="1" w:styleId="tablenotes2">
    <w:name w:val="table notes"/>
    <w:basedOn w:val="BodyText2"/>
    <w:qFormat/>
    <w:rsid w:val="004D2478"/>
    <w:pPr>
      <w:widowControl w:val="0"/>
      <w:spacing w:after="0" w:line="240" w:lineRule="auto"/>
    </w:pPr>
    <w:rPr>
      <w:rFonts w:cs="Times New Roman"/>
      <w:snapToGrid w:val="0"/>
      <w:sz w:val="20"/>
      <w:szCs w:val="20"/>
    </w:rPr>
  </w:style>
  <w:style w:type="paragraph" w:styleId="BodyText2">
    <w:name w:val="Body Text 2"/>
    <w:basedOn w:val="Normal"/>
    <w:link w:val="BodyText2Char"/>
    <w:uiPriority w:val="99"/>
    <w:semiHidden/>
    <w:unhideWhenUsed/>
    <w:rsid w:val="00DE495D"/>
    <w:pPr>
      <w:spacing w:before="0" w:line="480" w:lineRule="auto"/>
    </w:pPr>
    <w:rPr>
      <w:szCs w:val="22"/>
      <w:lang w:val="en-GB"/>
    </w:rPr>
  </w:style>
  <w:style w:type="character" w:customStyle="1" w:styleId="BodyText2Char">
    <w:name w:val="Body Text 2 Char"/>
    <w:basedOn w:val="DefaultParagraphFont"/>
    <w:link w:val="BodyText2"/>
    <w:uiPriority w:val="99"/>
    <w:semiHidden/>
    <w:rsid w:val="00DE495D"/>
    <w:rPr>
      <w:rFonts w:ascii="Arial" w:eastAsia="Times New Roman" w:hAnsi="Arial" w:cs="Arial"/>
      <w:sz w:val="20"/>
      <w:lang w:val="en-GB"/>
    </w:rPr>
  </w:style>
  <w:style w:type="character" w:customStyle="1" w:styleId="il">
    <w:name w:val="il"/>
    <w:rsid w:val="00DE495D"/>
  </w:style>
  <w:style w:type="paragraph" w:styleId="TOC4">
    <w:name w:val="toc 4"/>
    <w:basedOn w:val="Normal"/>
    <w:next w:val="Normal"/>
    <w:autoRedefine/>
    <w:uiPriority w:val="39"/>
    <w:unhideWhenUsed/>
    <w:rsid w:val="00DE495D"/>
    <w:pPr>
      <w:tabs>
        <w:tab w:val="clear" w:pos="357"/>
      </w:tabs>
      <w:spacing w:before="0" w:after="0"/>
      <w:ind w:left="720"/>
    </w:pPr>
    <w:rPr>
      <w:rFonts w:asciiTheme="minorHAnsi" w:hAnsiTheme="minorHAnsi"/>
      <w:sz w:val="18"/>
      <w:szCs w:val="18"/>
    </w:rPr>
  </w:style>
  <w:style w:type="paragraph" w:styleId="TOC5">
    <w:name w:val="toc 5"/>
    <w:basedOn w:val="Normal"/>
    <w:next w:val="Normal"/>
    <w:autoRedefine/>
    <w:uiPriority w:val="39"/>
    <w:unhideWhenUsed/>
    <w:rsid w:val="00DE495D"/>
    <w:pPr>
      <w:tabs>
        <w:tab w:val="clear" w:pos="357"/>
      </w:tabs>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DE495D"/>
    <w:pPr>
      <w:tabs>
        <w:tab w:val="clear" w:pos="357"/>
      </w:tabs>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DE495D"/>
    <w:pPr>
      <w:tabs>
        <w:tab w:val="clear" w:pos="357"/>
      </w:tabs>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DE495D"/>
    <w:pPr>
      <w:tabs>
        <w:tab w:val="clear" w:pos="357"/>
      </w:tabs>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DE495D"/>
    <w:pPr>
      <w:tabs>
        <w:tab w:val="clear" w:pos="357"/>
      </w:tabs>
      <w:spacing w:before="0" w:after="0"/>
      <w:ind w:left="1920"/>
    </w:pPr>
    <w:rPr>
      <w:rFonts w:asciiTheme="minorHAnsi" w:hAnsiTheme="minorHAnsi"/>
      <w:sz w:val="18"/>
      <w:szCs w:val="18"/>
    </w:rPr>
  </w:style>
  <w:style w:type="character" w:customStyle="1" w:styleId="normalchar">
    <w:name w:val="normal_char"/>
    <w:rsid w:val="00DE495D"/>
    <w:rPr>
      <w:color w:val="auto"/>
    </w:rPr>
  </w:style>
  <w:style w:type="paragraph" w:styleId="ListParagraph">
    <w:name w:val="List Paragraph"/>
    <w:basedOn w:val="Normal"/>
    <w:uiPriority w:val="99"/>
    <w:qFormat/>
    <w:rsid w:val="00DE495D"/>
    <w:pPr>
      <w:tabs>
        <w:tab w:val="clear" w:pos="357"/>
      </w:tabs>
      <w:spacing w:before="0" w:after="0"/>
      <w:ind w:left="720"/>
      <w:contextualSpacing/>
    </w:pPr>
    <w:rPr>
      <w:color w:val="000000"/>
      <w:sz w:val="22"/>
      <w:szCs w:val="22"/>
      <w:lang w:val="en-GB"/>
    </w:rPr>
  </w:style>
  <w:style w:type="table" w:styleId="MediumGrid2">
    <w:name w:val="Medium Grid 2"/>
    <w:basedOn w:val="TableNormal"/>
    <w:link w:val="MediumGrid2Char"/>
    <w:uiPriority w:val="99"/>
    <w:semiHidden/>
    <w:unhideWhenUsed/>
    <w:rsid w:val="00DE49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link w:val="ColorfulList-Accent1Char"/>
    <w:uiPriority w:val="34"/>
    <w:semiHidden/>
    <w:unhideWhenUsed/>
    <w:rsid w:val="00DE495D"/>
    <w:pPr>
      <w:spacing w:after="0" w:line="240" w:lineRule="auto"/>
    </w:pPr>
    <w:rPr>
      <w:rFonts w:eastAsia="Calibri"/>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1">
    <w:name w:val="Colorful Grid Accent 1"/>
    <w:basedOn w:val="TableNormal"/>
    <w:link w:val="ColorfulGrid-Accent1Char"/>
    <w:uiPriority w:val="29"/>
    <w:semiHidden/>
    <w:unhideWhenUsed/>
    <w:rsid w:val="00DE495D"/>
    <w:pPr>
      <w:spacing w:after="0" w:line="240" w:lineRule="auto"/>
    </w:pPr>
    <w:rPr>
      <w:rFonts w:ascii="Arial" w:hAnsi="Arial" w:cs="Arial"/>
      <w:i/>
      <w:lang w:val="en-GB"/>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
    <w:uiPriority w:val="99"/>
    <w:semiHidden/>
    <w:unhideWhenUsed/>
    <w:rsid w:val="00DE495D"/>
    <w:pPr>
      <w:spacing w:after="0" w:line="240" w:lineRule="auto"/>
    </w:pPr>
    <w:rPr>
      <w:rFonts w:ascii="Arial" w:hAnsi="Arial" w:cs="Arial"/>
      <w:b/>
      <w:i/>
      <w:color w:val="FFFFFF"/>
      <w:lang w:val="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aliases w:val="Quotations"/>
    <w:uiPriority w:val="1"/>
    <w:rsid w:val="00DE495D"/>
    <w:pPr>
      <w:spacing w:after="0" w:line="240" w:lineRule="auto"/>
    </w:pPr>
    <w:rPr>
      <w:rFonts w:ascii="Times New Roman" w:eastAsia="Times New Roman" w:hAnsi="Times New Roman" w:cs="Times New Roman"/>
      <w:lang w:eastAsia="en-AU"/>
    </w:rPr>
  </w:style>
  <w:style w:type="paragraph" w:styleId="Revision">
    <w:name w:val="Revision"/>
    <w:hidden/>
    <w:uiPriority w:val="99"/>
    <w:semiHidden/>
    <w:rsid w:val="00AC1DEB"/>
    <w:pPr>
      <w:spacing w:after="0" w:line="240" w:lineRule="auto"/>
    </w:pPr>
    <w:rPr>
      <w:rFonts w:ascii="Arial" w:eastAsia="Times New Roman" w:hAnsi="Arial" w:cs="Arial"/>
      <w:sz w:val="20"/>
      <w:szCs w:val="24"/>
    </w:rPr>
  </w:style>
  <w:style w:type="character" w:customStyle="1" w:styleId="xref-sep">
    <w:name w:val="xref-sep"/>
    <w:basedOn w:val="DefaultParagraphFont"/>
    <w:rsid w:val="00034360"/>
  </w:style>
  <w:style w:type="paragraph" w:styleId="EndnoteText">
    <w:name w:val="endnote text"/>
    <w:basedOn w:val="Normal"/>
    <w:link w:val="EndnoteTextChar"/>
    <w:uiPriority w:val="99"/>
    <w:semiHidden/>
    <w:unhideWhenUsed/>
    <w:rsid w:val="00673E6B"/>
    <w:pPr>
      <w:spacing w:before="0" w:after="0"/>
    </w:pPr>
    <w:rPr>
      <w:sz w:val="20"/>
      <w:szCs w:val="20"/>
    </w:rPr>
  </w:style>
  <w:style w:type="character" w:customStyle="1" w:styleId="EndnoteTextChar">
    <w:name w:val="Endnote Text Char"/>
    <w:basedOn w:val="DefaultParagraphFont"/>
    <w:link w:val="EndnoteText"/>
    <w:uiPriority w:val="99"/>
    <w:semiHidden/>
    <w:rsid w:val="00673E6B"/>
    <w:rPr>
      <w:rFonts w:ascii="Times New Roman" w:eastAsia="Times New Roman" w:hAnsi="Times New Roman" w:cs="Arial"/>
      <w:sz w:val="20"/>
      <w:szCs w:val="20"/>
    </w:rPr>
  </w:style>
  <w:style w:type="character" w:styleId="EndnoteReference">
    <w:name w:val="endnote reference"/>
    <w:basedOn w:val="DefaultParagraphFont"/>
    <w:uiPriority w:val="99"/>
    <w:semiHidden/>
    <w:unhideWhenUsed/>
    <w:rsid w:val="00673E6B"/>
    <w:rPr>
      <w:vertAlign w:val="superscript"/>
    </w:rPr>
  </w:style>
  <w:style w:type="paragraph" w:customStyle="1" w:styleId="EndNoteBibliographyTitle">
    <w:name w:val="EndNote Bibliography Title"/>
    <w:basedOn w:val="Normal"/>
    <w:link w:val="EndNoteBibliographyTitleChar"/>
    <w:rsid w:val="00F64B02"/>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64B02"/>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F64B02"/>
    <w:rPr>
      <w:rFonts w:cs="Times New Roman"/>
      <w:noProof/>
      <w:lang w:val="en-US"/>
    </w:rPr>
  </w:style>
  <w:style w:type="character" w:customStyle="1" w:styleId="EndNoteBibliographyChar">
    <w:name w:val="EndNote Bibliography Char"/>
    <w:basedOn w:val="DefaultParagraphFont"/>
    <w:link w:val="EndNoteBibliography"/>
    <w:rsid w:val="00F64B02"/>
    <w:rPr>
      <w:rFonts w:ascii="Times New Roman" w:eastAsia="Times New Roman" w:hAnsi="Times New Roman" w:cs="Times New Roman"/>
      <w:noProof/>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Message Header" w:uiPriority="0"/>
    <w:lsdException w:name="Subtitle" w:semiHidden="0" w:unhideWhenUsed="0" w:qFormat="1"/>
    <w:lsdException w:name="Note Heading" w:uiPriority="0"/>
    <w:lsdException w:name="Body Text Indent 2" w:uiPriority="0"/>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C426B"/>
    <w:pPr>
      <w:tabs>
        <w:tab w:val="left" w:pos="357"/>
      </w:tabs>
      <w:spacing w:before="120" w:after="120" w:line="240" w:lineRule="auto"/>
    </w:pPr>
    <w:rPr>
      <w:rFonts w:ascii="Times New Roman" w:eastAsia="Times New Roman" w:hAnsi="Times New Roman" w:cs="Arial"/>
      <w:sz w:val="24"/>
      <w:szCs w:val="24"/>
    </w:rPr>
  </w:style>
  <w:style w:type="paragraph" w:styleId="Heading1">
    <w:name w:val="heading 1"/>
    <w:basedOn w:val="Normal"/>
    <w:next w:val="Normal"/>
    <w:link w:val="Heading1Char"/>
    <w:uiPriority w:val="99"/>
    <w:qFormat/>
    <w:rsid w:val="00CA0A6F"/>
    <w:pPr>
      <w:keepNext/>
      <w:outlineLvl w:val="0"/>
    </w:pPr>
    <w:rPr>
      <w:rFonts w:cs="Times New Roman"/>
      <w:b/>
      <w:bCs/>
      <w:kern w:val="32"/>
      <w:sz w:val="36"/>
      <w:szCs w:val="32"/>
    </w:rPr>
  </w:style>
  <w:style w:type="paragraph" w:styleId="Heading2">
    <w:name w:val="heading 2"/>
    <w:basedOn w:val="Normal"/>
    <w:next w:val="Normal"/>
    <w:link w:val="Heading2Char"/>
    <w:uiPriority w:val="99"/>
    <w:qFormat/>
    <w:rsid w:val="008C4E59"/>
    <w:pPr>
      <w:keepNext/>
      <w:outlineLvl w:val="1"/>
    </w:pPr>
    <w:rPr>
      <w:rFonts w:cs="Times New Roman"/>
      <w:b/>
      <w:bCs/>
      <w:i/>
      <w:iCs/>
      <w:sz w:val="32"/>
      <w:szCs w:val="28"/>
    </w:rPr>
  </w:style>
  <w:style w:type="paragraph" w:styleId="Heading3">
    <w:name w:val="heading 3"/>
    <w:basedOn w:val="Normal"/>
    <w:next w:val="Normal"/>
    <w:link w:val="Heading3Char"/>
    <w:uiPriority w:val="99"/>
    <w:qFormat/>
    <w:rsid w:val="00C67440"/>
    <w:pPr>
      <w:keepNext/>
      <w:spacing w:line="276" w:lineRule="auto"/>
      <w:outlineLvl w:val="2"/>
    </w:pPr>
    <w:rPr>
      <w:rFonts w:cs="Times New Roman"/>
      <w:b/>
      <w:bCs/>
      <w:sz w:val="28"/>
      <w:szCs w:val="26"/>
    </w:rPr>
  </w:style>
  <w:style w:type="paragraph" w:styleId="Heading4">
    <w:name w:val="heading 4"/>
    <w:basedOn w:val="Normal"/>
    <w:next w:val="Normal"/>
    <w:link w:val="Heading4Char"/>
    <w:uiPriority w:val="99"/>
    <w:qFormat/>
    <w:rsid w:val="00DE495D"/>
    <w:pPr>
      <w:keepNext/>
      <w:outlineLvl w:val="3"/>
    </w:pPr>
    <w:rPr>
      <w:rFonts w:cs="Times New Roman"/>
      <w:bCs/>
      <w:i/>
      <w:sz w:val="22"/>
      <w:szCs w:val="28"/>
    </w:rPr>
  </w:style>
  <w:style w:type="paragraph" w:styleId="Heading5">
    <w:name w:val="heading 5"/>
    <w:basedOn w:val="Normal"/>
    <w:next w:val="Normal"/>
    <w:link w:val="Heading5Char"/>
    <w:uiPriority w:val="99"/>
    <w:qFormat/>
    <w:rsid w:val="00791A27"/>
    <w:pPr>
      <w:keepNext/>
      <w:outlineLvl w:val="4"/>
    </w:pPr>
    <w:rPr>
      <w:rFonts w:cs="Times New Roman"/>
      <w:bCs/>
      <w:i/>
      <w:iCs/>
      <w:sz w:val="28"/>
      <w:szCs w:val="26"/>
      <w:u w:val="single"/>
    </w:rPr>
  </w:style>
  <w:style w:type="paragraph" w:styleId="Heading6">
    <w:name w:val="heading 6"/>
    <w:basedOn w:val="Heading5"/>
    <w:next w:val="Normal"/>
    <w:link w:val="Heading6Char"/>
    <w:uiPriority w:val="99"/>
    <w:qFormat/>
    <w:rsid w:val="00617E7B"/>
    <w:pPr>
      <w:outlineLvl w:val="5"/>
    </w:pPr>
    <w:rPr>
      <w:u w:val="none"/>
    </w:rPr>
  </w:style>
  <w:style w:type="paragraph" w:styleId="Heading7">
    <w:name w:val="heading 7"/>
    <w:basedOn w:val="Normal"/>
    <w:next w:val="Normal"/>
    <w:link w:val="Heading7Char"/>
    <w:uiPriority w:val="99"/>
    <w:qFormat/>
    <w:rsid w:val="00DE495D"/>
    <w:pPr>
      <w:spacing w:before="0"/>
      <w:outlineLvl w:val="6"/>
    </w:pPr>
    <w:rPr>
      <w:b/>
      <w:smallCaps/>
      <w:color w:val="C0504D"/>
      <w:spacing w:val="10"/>
      <w:szCs w:val="22"/>
      <w:lang w:val="en-GB" w:eastAsia="en-AU"/>
    </w:rPr>
  </w:style>
  <w:style w:type="paragraph" w:styleId="Heading8">
    <w:name w:val="heading 8"/>
    <w:basedOn w:val="Normal"/>
    <w:next w:val="Normal"/>
    <w:link w:val="Heading8Char"/>
    <w:uiPriority w:val="99"/>
    <w:qFormat/>
    <w:rsid w:val="00DE495D"/>
    <w:pPr>
      <w:spacing w:before="0"/>
      <w:outlineLvl w:val="7"/>
    </w:pPr>
    <w:rPr>
      <w:b/>
      <w:i/>
      <w:smallCaps/>
      <w:color w:val="943634"/>
      <w:szCs w:val="22"/>
      <w:lang w:val="en-GB" w:eastAsia="en-AU"/>
    </w:rPr>
  </w:style>
  <w:style w:type="paragraph" w:styleId="Heading9">
    <w:name w:val="heading 9"/>
    <w:basedOn w:val="Normal"/>
    <w:next w:val="Normal"/>
    <w:link w:val="Heading9Char"/>
    <w:uiPriority w:val="99"/>
    <w:qFormat/>
    <w:rsid w:val="00DE495D"/>
    <w:pPr>
      <w:spacing w:before="0"/>
      <w:outlineLvl w:val="8"/>
    </w:pPr>
    <w:rPr>
      <w:b/>
      <w:i/>
      <w:smallCaps/>
      <w:color w:val="622423"/>
      <w:szCs w:val="22"/>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A0A6F"/>
    <w:rPr>
      <w:rFonts w:ascii="Times New Roman" w:eastAsia="Times New Roman" w:hAnsi="Times New Roman" w:cs="Times New Roman"/>
      <w:b/>
      <w:bCs/>
      <w:kern w:val="32"/>
      <w:sz w:val="36"/>
      <w:szCs w:val="32"/>
    </w:rPr>
  </w:style>
  <w:style w:type="character" w:customStyle="1" w:styleId="Heading2Char">
    <w:name w:val="Heading 2 Char"/>
    <w:basedOn w:val="DefaultParagraphFont"/>
    <w:link w:val="Heading2"/>
    <w:uiPriority w:val="99"/>
    <w:rsid w:val="008C4E59"/>
    <w:rPr>
      <w:rFonts w:ascii="Times New Roman" w:eastAsia="Times New Roman" w:hAnsi="Times New Roman" w:cs="Times New Roman"/>
      <w:b/>
      <w:bCs/>
      <w:i/>
      <w:iCs/>
      <w:sz w:val="32"/>
      <w:szCs w:val="28"/>
    </w:rPr>
  </w:style>
  <w:style w:type="character" w:customStyle="1" w:styleId="Heading3Char">
    <w:name w:val="Heading 3 Char"/>
    <w:basedOn w:val="DefaultParagraphFont"/>
    <w:link w:val="Heading3"/>
    <w:uiPriority w:val="99"/>
    <w:rsid w:val="00C67440"/>
    <w:rPr>
      <w:rFonts w:ascii="Times New Roman" w:eastAsia="Times New Roman" w:hAnsi="Times New Roman" w:cs="Times New Roman"/>
      <w:b/>
      <w:bCs/>
      <w:sz w:val="28"/>
      <w:szCs w:val="26"/>
    </w:rPr>
  </w:style>
  <w:style w:type="character" w:customStyle="1" w:styleId="Heading4Char">
    <w:name w:val="Heading 4 Char"/>
    <w:basedOn w:val="DefaultParagraphFont"/>
    <w:link w:val="Heading4"/>
    <w:uiPriority w:val="99"/>
    <w:rsid w:val="00DE495D"/>
    <w:rPr>
      <w:rFonts w:ascii="Arial" w:eastAsia="Times New Roman" w:hAnsi="Arial" w:cs="Times New Roman"/>
      <w:bCs/>
      <w:i/>
      <w:szCs w:val="28"/>
    </w:rPr>
  </w:style>
  <w:style w:type="character" w:customStyle="1" w:styleId="Heading5Char">
    <w:name w:val="Heading 5 Char"/>
    <w:basedOn w:val="DefaultParagraphFont"/>
    <w:link w:val="Heading5"/>
    <w:uiPriority w:val="99"/>
    <w:rsid w:val="00791A27"/>
    <w:rPr>
      <w:rFonts w:ascii="Times New Roman" w:eastAsia="Times New Roman" w:hAnsi="Times New Roman" w:cs="Times New Roman"/>
      <w:bCs/>
      <w:i/>
      <w:iCs/>
      <w:sz w:val="28"/>
      <w:szCs w:val="26"/>
      <w:u w:val="single"/>
    </w:rPr>
  </w:style>
  <w:style w:type="character" w:customStyle="1" w:styleId="Heading6Char">
    <w:name w:val="Heading 6 Char"/>
    <w:basedOn w:val="DefaultParagraphFont"/>
    <w:link w:val="Heading6"/>
    <w:uiPriority w:val="99"/>
    <w:rsid w:val="00617E7B"/>
    <w:rPr>
      <w:rFonts w:ascii="Times New Roman" w:eastAsia="Times New Roman" w:hAnsi="Times New Roman" w:cs="Times New Roman"/>
      <w:bCs/>
      <w:i/>
      <w:iCs/>
      <w:sz w:val="28"/>
      <w:szCs w:val="26"/>
    </w:rPr>
  </w:style>
  <w:style w:type="character" w:customStyle="1" w:styleId="Heading7Char">
    <w:name w:val="Heading 7 Char"/>
    <w:basedOn w:val="DefaultParagraphFont"/>
    <w:link w:val="Heading7"/>
    <w:uiPriority w:val="99"/>
    <w:rsid w:val="00DE495D"/>
    <w:rPr>
      <w:rFonts w:ascii="Arial" w:eastAsia="Times New Roman" w:hAnsi="Arial" w:cs="Arial"/>
      <w:b/>
      <w:smallCaps/>
      <w:color w:val="C0504D"/>
      <w:spacing w:val="10"/>
      <w:sz w:val="20"/>
      <w:lang w:val="en-GB" w:eastAsia="en-AU"/>
    </w:rPr>
  </w:style>
  <w:style w:type="character" w:customStyle="1" w:styleId="Heading8Char">
    <w:name w:val="Heading 8 Char"/>
    <w:basedOn w:val="DefaultParagraphFont"/>
    <w:link w:val="Heading8"/>
    <w:uiPriority w:val="99"/>
    <w:rsid w:val="00DE495D"/>
    <w:rPr>
      <w:rFonts w:ascii="Arial" w:eastAsia="Times New Roman" w:hAnsi="Arial" w:cs="Arial"/>
      <w:b/>
      <w:i/>
      <w:smallCaps/>
      <w:color w:val="943634"/>
      <w:sz w:val="20"/>
      <w:lang w:val="en-GB" w:eastAsia="en-AU"/>
    </w:rPr>
  </w:style>
  <w:style w:type="character" w:customStyle="1" w:styleId="Heading9Char">
    <w:name w:val="Heading 9 Char"/>
    <w:basedOn w:val="DefaultParagraphFont"/>
    <w:link w:val="Heading9"/>
    <w:uiPriority w:val="99"/>
    <w:rsid w:val="00DE495D"/>
    <w:rPr>
      <w:rFonts w:ascii="Arial" w:eastAsia="Times New Roman" w:hAnsi="Arial" w:cs="Arial"/>
      <w:b/>
      <w:i/>
      <w:smallCaps/>
      <w:color w:val="622423"/>
      <w:sz w:val="20"/>
      <w:lang w:val="en-GB" w:eastAsia="en-AU"/>
    </w:rPr>
  </w:style>
  <w:style w:type="paragraph" w:styleId="FootnoteText">
    <w:name w:val="footnote text"/>
    <w:aliases w:val="single space Char,single space,FOOTNOTES,fn,ADB,WB-Fußnotentext,Fußnote,WB-Fuﬂnotentext,Fuﬂnote,Car,Note de bas de page2,Note de basFootnote text,(NECG) Footnote Text"/>
    <w:basedOn w:val="Normal"/>
    <w:link w:val="FootnoteTextChar"/>
    <w:uiPriority w:val="99"/>
    <w:unhideWhenUsed/>
    <w:qFormat/>
    <w:rsid w:val="00DE495D"/>
    <w:pPr>
      <w:spacing w:before="60" w:after="0"/>
      <w:ind w:left="113" w:hanging="113"/>
    </w:pPr>
    <w:rPr>
      <w:sz w:val="18"/>
      <w:szCs w:val="20"/>
    </w:rPr>
  </w:style>
  <w:style w:type="character" w:customStyle="1" w:styleId="FootnoteTextChar">
    <w:name w:val="Footnote Text Char"/>
    <w:aliases w:val="single space Char Char,single space Char1,FOOTNOTES Char,fn Char,ADB Char,WB-Fußnotentext Char,Fußnote Char,WB-Fuﬂnotentext Char,Fuﬂnote Char,Car Char,Note de bas de page2 Char,Note de basFootnote text Char,(NECG) Footnote Text Char"/>
    <w:basedOn w:val="DefaultParagraphFont"/>
    <w:link w:val="FootnoteText"/>
    <w:uiPriority w:val="99"/>
    <w:rsid w:val="00DE495D"/>
    <w:rPr>
      <w:rFonts w:ascii="Arial" w:eastAsia="Times New Roman" w:hAnsi="Arial" w:cs="Arial"/>
      <w:sz w:val="18"/>
      <w:szCs w:val="20"/>
    </w:rPr>
  </w:style>
  <w:style w:type="paragraph" w:customStyle="1" w:styleId="Quotation">
    <w:name w:val="Quotation"/>
    <w:basedOn w:val="Normal"/>
    <w:qFormat/>
    <w:rsid w:val="00DE495D"/>
    <w:pPr>
      <w:tabs>
        <w:tab w:val="left" w:pos="3553"/>
      </w:tabs>
      <w:spacing w:before="60" w:after="60"/>
    </w:pPr>
    <w:rPr>
      <w:i/>
      <w:sz w:val="18"/>
    </w:rPr>
  </w:style>
  <w:style w:type="table" w:styleId="TableGrid">
    <w:name w:val="Table Grid"/>
    <w:basedOn w:val="TableNormal"/>
    <w:uiPriority w:val="59"/>
    <w:rsid w:val="00DE495D"/>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E495D"/>
    <w:pPr>
      <w:tabs>
        <w:tab w:val="clear" w:pos="357"/>
      </w:tabs>
      <w:spacing w:before="100" w:beforeAutospacing="1" w:after="100" w:afterAutospacing="1"/>
    </w:pPr>
    <w:rPr>
      <w:rFonts w:eastAsia="Calibri"/>
    </w:rPr>
  </w:style>
  <w:style w:type="character" w:customStyle="1" w:styleId="MediumGrid2Char">
    <w:name w:val="Medium Grid 2 Char"/>
    <w:aliases w:val="Quotations Char,No Spacing Char"/>
    <w:link w:val="MediumGrid2"/>
    <w:uiPriority w:val="1"/>
    <w:rsid w:val="00DE495D"/>
    <w:rPr>
      <w:sz w:val="22"/>
      <w:szCs w:val="22"/>
    </w:rPr>
  </w:style>
  <w:style w:type="character" w:styleId="CommentReference">
    <w:name w:val="annotation reference"/>
    <w:uiPriority w:val="99"/>
    <w:unhideWhenUsed/>
    <w:rsid w:val="00DE495D"/>
    <w:rPr>
      <w:sz w:val="16"/>
      <w:szCs w:val="16"/>
    </w:rPr>
  </w:style>
  <w:style w:type="paragraph" w:styleId="CommentText">
    <w:name w:val="annotation text"/>
    <w:basedOn w:val="Normal"/>
    <w:link w:val="CommentTextChar"/>
    <w:uiPriority w:val="99"/>
    <w:unhideWhenUsed/>
    <w:rsid w:val="00DE495D"/>
    <w:rPr>
      <w:rFonts w:cs="Times New Roman"/>
      <w:szCs w:val="20"/>
    </w:rPr>
  </w:style>
  <w:style w:type="character" w:customStyle="1" w:styleId="CommentTextChar">
    <w:name w:val="Comment Text Char"/>
    <w:basedOn w:val="DefaultParagraphFont"/>
    <w:link w:val="CommentText"/>
    <w:uiPriority w:val="99"/>
    <w:rsid w:val="00DE495D"/>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DE495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95D"/>
    <w:rPr>
      <w:rFonts w:ascii="Tahoma" w:eastAsia="Times New Roman" w:hAnsi="Tahoma" w:cs="Tahoma"/>
      <w:sz w:val="16"/>
      <w:szCs w:val="16"/>
    </w:rPr>
  </w:style>
  <w:style w:type="paragraph" w:styleId="Header">
    <w:name w:val="header"/>
    <w:basedOn w:val="Normal"/>
    <w:link w:val="HeaderChar"/>
    <w:uiPriority w:val="99"/>
    <w:unhideWhenUsed/>
    <w:rsid w:val="00DE495D"/>
    <w:pPr>
      <w:tabs>
        <w:tab w:val="clear" w:pos="357"/>
        <w:tab w:val="center" w:pos="4513"/>
        <w:tab w:val="right" w:pos="9026"/>
      </w:tabs>
    </w:pPr>
  </w:style>
  <w:style w:type="character" w:customStyle="1" w:styleId="HeaderChar">
    <w:name w:val="Header Char"/>
    <w:basedOn w:val="DefaultParagraphFont"/>
    <w:link w:val="Header"/>
    <w:uiPriority w:val="99"/>
    <w:rsid w:val="00DE495D"/>
    <w:rPr>
      <w:rFonts w:ascii="Arial" w:eastAsia="Times New Roman" w:hAnsi="Arial" w:cs="Arial"/>
      <w:sz w:val="20"/>
      <w:szCs w:val="24"/>
    </w:rPr>
  </w:style>
  <w:style w:type="paragraph" w:styleId="Footer">
    <w:name w:val="footer"/>
    <w:basedOn w:val="Normal"/>
    <w:link w:val="FooterChar"/>
    <w:uiPriority w:val="99"/>
    <w:unhideWhenUsed/>
    <w:rsid w:val="00DE495D"/>
    <w:pPr>
      <w:tabs>
        <w:tab w:val="clear" w:pos="357"/>
        <w:tab w:val="center" w:pos="4513"/>
        <w:tab w:val="right" w:pos="9026"/>
      </w:tabs>
    </w:pPr>
  </w:style>
  <w:style w:type="character" w:customStyle="1" w:styleId="FooterChar">
    <w:name w:val="Footer Char"/>
    <w:basedOn w:val="DefaultParagraphFont"/>
    <w:link w:val="Footer"/>
    <w:uiPriority w:val="99"/>
    <w:rsid w:val="00DE495D"/>
    <w:rPr>
      <w:rFonts w:ascii="Arial" w:eastAsia="Times New Roman" w:hAnsi="Arial" w:cs="Arial"/>
      <w:sz w:val="20"/>
      <w:szCs w:val="24"/>
    </w:rPr>
  </w:style>
  <w:style w:type="character" w:styleId="PageNumber">
    <w:name w:val="page number"/>
    <w:basedOn w:val="DefaultParagraphFont"/>
    <w:uiPriority w:val="99"/>
    <w:rsid w:val="00DE495D"/>
  </w:style>
  <w:style w:type="paragraph" w:styleId="TOC1">
    <w:name w:val="toc 1"/>
    <w:basedOn w:val="Normal"/>
    <w:next w:val="Normal"/>
    <w:autoRedefine/>
    <w:uiPriority w:val="39"/>
    <w:unhideWhenUsed/>
    <w:qFormat/>
    <w:rsid w:val="00DE495D"/>
    <w:pPr>
      <w:tabs>
        <w:tab w:val="clear" w:pos="357"/>
      </w:tabs>
    </w:pPr>
    <w:rPr>
      <w:rFonts w:asciiTheme="minorHAnsi" w:hAnsiTheme="minorHAnsi"/>
      <w:b/>
      <w:bCs/>
      <w:caps/>
      <w:sz w:val="20"/>
      <w:szCs w:val="20"/>
    </w:rPr>
  </w:style>
  <w:style w:type="character" w:styleId="Hyperlink">
    <w:name w:val="Hyperlink"/>
    <w:uiPriority w:val="99"/>
    <w:unhideWhenUsed/>
    <w:qFormat/>
    <w:rsid w:val="00DE495D"/>
    <w:rPr>
      <w:color w:val="0000FF"/>
      <w:u w:val="single"/>
    </w:rPr>
  </w:style>
  <w:style w:type="paragraph" w:styleId="TOC2">
    <w:name w:val="toc 2"/>
    <w:basedOn w:val="Normal"/>
    <w:next w:val="Normal"/>
    <w:autoRedefine/>
    <w:uiPriority w:val="39"/>
    <w:unhideWhenUsed/>
    <w:qFormat/>
    <w:rsid w:val="00DE495D"/>
    <w:pPr>
      <w:tabs>
        <w:tab w:val="clear" w:pos="357"/>
      </w:tabs>
      <w:spacing w:before="0" w:after="0"/>
      <w:ind w:left="240"/>
    </w:pPr>
    <w:rPr>
      <w:rFonts w:asciiTheme="minorHAnsi" w:hAnsiTheme="minorHAnsi"/>
      <w:smallCaps/>
      <w:sz w:val="20"/>
      <w:szCs w:val="20"/>
    </w:rPr>
  </w:style>
  <w:style w:type="paragraph" w:styleId="TOC3">
    <w:name w:val="toc 3"/>
    <w:basedOn w:val="Normal"/>
    <w:next w:val="Normal"/>
    <w:autoRedefine/>
    <w:uiPriority w:val="39"/>
    <w:unhideWhenUsed/>
    <w:qFormat/>
    <w:rsid w:val="00DE495D"/>
    <w:pPr>
      <w:tabs>
        <w:tab w:val="clear" w:pos="357"/>
      </w:tabs>
      <w:spacing w:before="0" w:after="0"/>
      <w:ind w:left="480"/>
    </w:pPr>
    <w:rPr>
      <w:rFonts w:asciiTheme="minorHAnsi" w:hAnsiTheme="minorHAnsi"/>
      <w:i/>
      <w:iCs/>
      <w:sz w:val="20"/>
      <w:szCs w:val="20"/>
    </w:rPr>
  </w:style>
  <w:style w:type="character" w:styleId="FollowedHyperlink">
    <w:name w:val="FollowedHyperlink"/>
    <w:uiPriority w:val="99"/>
    <w:semiHidden/>
    <w:unhideWhenUsed/>
    <w:rsid w:val="00DE495D"/>
    <w:rPr>
      <w:color w:val="800080"/>
      <w:u w:val="single"/>
    </w:rPr>
  </w:style>
  <w:style w:type="paragraph" w:styleId="Caption">
    <w:name w:val="caption"/>
    <w:basedOn w:val="Normal"/>
    <w:next w:val="Normal"/>
    <w:uiPriority w:val="35"/>
    <w:qFormat/>
    <w:rsid w:val="00B04314"/>
    <w:pPr>
      <w:spacing w:after="60"/>
      <w:jc w:val="center"/>
    </w:pPr>
    <w:rPr>
      <w:b/>
      <w:bCs/>
      <w:sz w:val="20"/>
      <w:szCs w:val="20"/>
    </w:rPr>
  </w:style>
  <w:style w:type="paragraph" w:styleId="TableofFigures">
    <w:name w:val="table of figures"/>
    <w:basedOn w:val="Normal"/>
    <w:next w:val="Normal"/>
    <w:uiPriority w:val="99"/>
    <w:unhideWhenUsed/>
    <w:rsid w:val="0078490E"/>
    <w:pPr>
      <w:numPr>
        <w:numId w:val="2"/>
      </w:numPr>
      <w:tabs>
        <w:tab w:val="clear" w:pos="357"/>
      </w:tabs>
      <w:ind w:left="0" w:firstLine="0"/>
    </w:pPr>
    <w:rPr>
      <w:sz w:val="20"/>
    </w:rPr>
  </w:style>
  <w:style w:type="paragraph" w:customStyle="1" w:styleId="BulletPoints">
    <w:name w:val="Bullet Points"/>
    <w:basedOn w:val="Normal"/>
    <w:link w:val="BulletPointsChar"/>
    <w:qFormat/>
    <w:rsid w:val="00E57334"/>
    <w:pPr>
      <w:spacing w:after="60"/>
    </w:pPr>
  </w:style>
  <w:style w:type="character" w:customStyle="1" w:styleId="BulletPointsChar">
    <w:name w:val="Bullet Points Char"/>
    <w:link w:val="BulletPoints"/>
    <w:rsid w:val="00E57334"/>
    <w:rPr>
      <w:rFonts w:ascii="Times New Roman" w:eastAsia="Times New Roman" w:hAnsi="Times New Roman" w:cs="Arial"/>
      <w:sz w:val="24"/>
      <w:szCs w:val="24"/>
    </w:rPr>
  </w:style>
  <w:style w:type="paragraph" w:customStyle="1" w:styleId="Bullet2ndLevel">
    <w:name w:val="Bullet 2nd Level"/>
    <w:basedOn w:val="BulletPoints"/>
    <w:link w:val="Bullet2ndLevelChar"/>
    <w:qFormat/>
    <w:rsid w:val="00DE495D"/>
    <w:pPr>
      <w:numPr>
        <w:ilvl w:val="1"/>
        <w:numId w:val="1"/>
      </w:numPr>
      <w:spacing w:after="120"/>
      <w:ind w:left="717"/>
    </w:pPr>
  </w:style>
  <w:style w:type="character" w:customStyle="1" w:styleId="Bullet2ndLevelChar">
    <w:name w:val="Bullet 2nd Level Char"/>
    <w:link w:val="Bullet2ndLevel"/>
    <w:rsid w:val="00DE495D"/>
    <w:rPr>
      <w:rFonts w:ascii="Times New Roman" w:eastAsia="Times New Roman" w:hAnsi="Times New Roman" w:cs="Arial"/>
      <w:sz w:val="24"/>
      <w:szCs w:val="24"/>
    </w:rPr>
  </w:style>
  <w:style w:type="paragraph" w:customStyle="1" w:styleId="NumberedPoints">
    <w:name w:val="Numbered Points"/>
    <w:basedOn w:val="Normal"/>
    <w:link w:val="NumberedPointsChar"/>
    <w:qFormat/>
    <w:rsid w:val="00DE495D"/>
    <w:pPr>
      <w:ind w:left="360" w:hanging="360"/>
    </w:pPr>
  </w:style>
  <w:style w:type="character" w:customStyle="1" w:styleId="NumberedPointsChar">
    <w:name w:val="Numbered Points Char"/>
    <w:link w:val="NumberedPoints"/>
    <w:rsid w:val="00DE495D"/>
    <w:rPr>
      <w:rFonts w:ascii="Arial" w:eastAsia="Times New Roman" w:hAnsi="Arial" w:cs="Arial"/>
      <w:sz w:val="20"/>
      <w:szCs w:val="24"/>
    </w:rPr>
  </w:style>
  <w:style w:type="paragraph" w:customStyle="1" w:styleId="TblHeading">
    <w:name w:val="Tbl Heading"/>
    <w:basedOn w:val="Normal"/>
    <w:link w:val="TblHeadingChar"/>
    <w:qFormat/>
    <w:rsid w:val="00A1294D"/>
    <w:pPr>
      <w:spacing w:before="40" w:after="40"/>
    </w:pPr>
    <w:rPr>
      <w:b/>
      <w:szCs w:val="22"/>
    </w:rPr>
  </w:style>
  <w:style w:type="character" w:customStyle="1" w:styleId="TblHeadingChar">
    <w:name w:val="Tbl Heading Char"/>
    <w:link w:val="TblHeading"/>
    <w:rsid w:val="00A1294D"/>
    <w:rPr>
      <w:rFonts w:ascii="Times New Roman" w:eastAsia="Times New Roman" w:hAnsi="Times New Roman" w:cs="Arial"/>
      <w:b/>
      <w:sz w:val="24"/>
    </w:rPr>
  </w:style>
  <w:style w:type="paragraph" w:customStyle="1" w:styleId="TblText">
    <w:name w:val="Tbl Text"/>
    <w:basedOn w:val="Normal"/>
    <w:link w:val="TblTextChar"/>
    <w:qFormat/>
    <w:rsid w:val="00DE495D"/>
    <w:pPr>
      <w:spacing w:before="40" w:after="40"/>
    </w:pPr>
    <w:rPr>
      <w:sz w:val="18"/>
      <w:szCs w:val="18"/>
    </w:rPr>
  </w:style>
  <w:style w:type="character" w:customStyle="1" w:styleId="TblTextChar">
    <w:name w:val="Tbl Text Char"/>
    <w:link w:val="TblText"/>
    <w:rsid w:val="00DE495D"/>
    <w:rPr>
      <w:rFonts w:ascii="Arial" w:eastAsia="Times New Roman" w:hAnsi="Arial" w:cs="Arial"/>
      <w:sz w:val="18"/>
      <w:szCs w:val="18"/>
    </w:rPr>
  </w:style>
  <w:style w:type="paragraph" w:customStyle="1" w:styleId="Bullet">
    <w:name w:val="Bullet"/>
    <w:basedOn w:val="BulletPoints"/>
    <w:link w:val="BulletChar"/>
    <w:qFormat/>
    <w:rsid w:val="001A1D27"/>
    <w:pPr>
      <w:numPr>
        <w:numId w:val="3"/>
      </w:numPr>
      <w:tabs>
        <w:tab w:val="clear" w:pos="357"/>
      </w:tabs>
      <w:spacing w:before="40" w:after="40"/>
    </w:pPr>
    <w:rPr>
      <w:szCs w:val="18"/>
    </w:rPr>
  </w:style>
  <w:style w:type="character" w:customStyle="1" w:styleId="BulletChar">
    <w:name w:val="Bullet Char"/>
    <w:link w:val="Bullet"/>
    <w:rsid w:val="001A1D27"/>
    <w:rPr>
      <w:rFonts w:ascii="Times New Roman" w:eastAsia="Times New Roman" w:hAnsi="Times New Roman" w:cs="Arial"/>
      <w:sz w:val="24"/>
      <w:szCs w:val="18"/>
    </w:rPr>
  </w:style>
  <w:style w:type="paragraph" w:styleId="TOCHeading">
    <w:name w:val="TOC Heading"/>
    <w:basedOn w:val="Heading1"/>
    <w:next w:val="Normal"/>
    <w:uiPriority w:val="39"/>
    <w:unhideWhenUsed/>
    <w:qFormat/>
    <w:rsid w:val="00DE495D"/>
    <w:pPr>
      <w:spacing w:before="240" w:after="60"/>
      <w:jc w:val="both"/>
      <w:outlineLvl w:val="9"/>
    </w:pPr>
    <w:rPr>
      <w:rFonts w:ascii="Cambria" w:hAnsi="Cambria"/>
      <w:sz w:val="32"/>
    </w:rPr>
  </w:style>
  <w:style w:type="character" w:styleId="FootnoteReference">
    <w:name w:val="footnote reference"/>
    <w:aliases w:val="Footnote text,ftref,BVI fnr,FNRefe,(NECG) Footnote Reference"/>
    <w:uiPriority w:val="99"/>
    <w:rsid w:val="00DE495D"/>
    <w:rPr>
      <w:vertAlign w:val="superscript"/>
    </w:rPr>
  </w:style>
  <w:style w:type="character" w:customStyle="1" w:styleId="ColorfulList-Accent1Char">
    <w:name w:val="Colorful List - Accent 1 Char"/>
    <w:aliases w:val="List Paragraph1 Char,List Paragraph11 Char,Recommendation Char"/>
    <w:link w:val="ColorfulList-Accent1"/>
    <w:uiPriority w:val="34"/>
    <w:rsid w:val="00DE495D"/>
    <w:rPr>
      <w:rFonts w:eastAsia="Calibri"/>
      <w:sz w:val="22"/>
      <w:szCs w:val="22"/>
      <w:lang w:eastAsia="en-US"/>
    </w:rPr>
  </w:style>
  <w:style w:type="paragraph" w:styleId="MessageHeader">
    <w:name w:val="Message Header"/>
    <w:basedOn w:val="Normal"/>
    <w:link w:val="MessageHeaderChar"/>
    <w:semiHidden/>
    <w:rsid w:val="00DE495D"/>
    <w:pPr>
      <w:numPr>
        <w:numId w:val="4"/>
      </w:numPr>
      <w:pBdr>
        <w:top w:val="single" w:sz="6" w:space="1" w:color="auto"/>
        <w:left w:val="single" w:sz="6" w:space="1" w:color="auto"/>
        <w:bottom w:val="single" w:sz="6" w:space="1" w:color="auto"/>
        <w:right w:val="single" w:sz="6" w:space="1" w:color="auto"/>
      </w:pBdr>
      <w:shd w:val="pct20" w:color="auto" w:fill="auto"/>
      <w:tabs>
        <w:tab w:val="clear" w:pos="357"/>
        <w:tab w:val="clear" w:pos="926"/>
      </w:tabs>
      <w:ind w:left="1134" w:hanging="1134"/>
    </w:pPr>
    <w:rPr>
      <w:snapToGrid w:val="0"/>
      <w:lang w:eastAsia="en-AU"/>
    </w:rPr>
  </w:style>
  <w:style w:type="character" w:customStyle="1" w:styleId="MessageHeaderChar">
    <w:name w:val="Message Header Char"/>
    <w:basedOn w:val="DefaultParagraphFont"/>
    <w:link w:val="MessageHeader"/>
    <w:semiHidden/>
    <w:rsid w:val="00DE495D"/>
    <w:rPr>
      <w:rFonts w:ascii="Times New Roman" w:eastAsia="Times New Roman" w:hAnsi="Times New Roman" w:cs="Arial"/>
      <w:snapToGrid w:val="0"/>
      <w:sz w:val="24"/>
      <w:szCs w:val="24"/>
      <w:shd w:val="pct20" w:color="auto" w:fill="auto"/>
      <w:lang w:eastAsia="en-AU"/>
    </w:rPr>
  </w:style>
  <w:style w:type="paragraph" w:styleId="NoteHeading">
    <w:name w:val="Note Heading"/>
    <w:basedOn w:val="Normal"/>
    <w:next w:val="Normal"/>
    <w:link w:val="NoteHeadingChar"/>
    <w:semiHidden/>
    <w:rsid w:val="00DE495D"/>
    <w:pPr>
      <w:numPr>
        <w:numId w:val="5"/>
      </w:numPr>
      <w:tabs>
        <w:tab w:val="clear" w:pos="357"/>
        <w:tab w:val="clear" w:pos="1492"/>
      </w:tabs>
      <w:ind w:left="0" w:firstLine="0"/>
    </w:pPr>
    <w:rPr>
      <w:rFonts w:cs="Times New Roman"/>
      <w:snapToGrid w:val="0"/>
      <w:szCs w:val="20"/>
      <w:lang w:eastAsia="en-AU"/>
    </w:rPr>
  </w:style>
  <w:style w:type="character" w:customStyle="1" w:styleId="NoteHeadingChar">
    <w:name w:val="Note Heading Char"/>
    <w:basedOn w:val="DefaultParagraphFont"/>
    <w:link w:val="NoteHeading"/>
    <w:semiHidden/>
    <w:rsid w:val="00DE495D"/>
    <w:rPr>
      <w:rFonts w:ascii="Times New Roman" w:eastAsia="Times New Roman" w:hAnsi="Times New Roman" w:cs="Times New Roman"/>
      <w:snapToGrid w:val="0"/>
      <w:sz w:val="24"/>
      <w:szCs w:val="20"/>
      <w:lang w:eastAsia="en-AU"/>
    </w:rPr>
  </w:style>
  <w:style w:type="paragraph" w:customStyle="1" w:styleId="NcondensedChar">
    <w:name w:val="N condensed Char"/>
    <w:basedOn w:val="Normal"/>
    <w:rsid w:val="00DE495D"/>
    <w:pPr>
      <w:numPr>
        <w:numId w:val="6"/>
      </w:numPr>
      <w:tabs>
        <w:tab w:val="clear" w:pos="357"/>
        <w:tab w:val="clear" w:pos="643"/>
      </w:tabs>
      <w:ind w:left="0" w:firstLine="0"/>
    </w:pPr>
    <w:rPr>
      <w:rFonts w:cs="Times New Roman"/>
      <w:snapToGrid w:val="0"/>
      <w:spacing w:val="-2"/>
      <w:sz w:val="22"/>
      <w:szCs w:val="20"/>
    </w:rPr>
  </w:style>
  <w:style w:type="character" w:customStyle="1" w:styleId="apple-converted-space">
    <w:name w:val="apple-converted-space"/>
    <w:rsid w:val="00DE495D"/>
  </w:style>
  <w:style w:type="paragraph" w:styleId="CommentSubject">
    <w:name w:val="annotation subject"/>
    <w:basedOn w:val="CommentText"/>
    <w:next w:val="CommentText"/>
    <w:link w:val="CommentSubjectChar"/>
    <w:uiPriority w:val="99"/>
    <w:semiHidden/>
    <w:unhideWhenUsed/>
    <w:rsid w:val="00DE495D"/>
    <w:rPr>
      <w:rFonts w:cs="Arial"/>
      <w:b/>
      <w:bCs/>
    </w:rPr>
  </w:style>
  <w:style w:type="character" w:customStyle="1" w:styleId="CommentSubjectChar">
    <w:name w:val="Comment Subject Char"/>
    <w:basedOn w:val="CommentTextChar"/>
    <w:link w:val="CommentSubject"/>
    <w:uiPriority w:val="99"/>
    <w:semiHidden/>
    <w:rsid w:val="00DE495D"/>
    <w:rPr>
      <w:rFonts w:ascii="Arial" w:eastAsia="Times New Roman" w:hAnsi="Arial" w:cs="Arial"/>
      <w:b/>
      <w:bCs/>
      <w:sz w:val="20"/>
      <w:szCs w:val="20"/>
    </w:rPr>
  </w:style>
  <w:style w:type="paragraph" w:styleId="BodyTextIndent2">
    <w:name w:val="Body Text Indent 2"/>
    <w:basedOn w:val="Normal"/>
    <w:link w:val="BodyTextIndent2Char"/>
    <w:rsid w:val="00DE495D"/>
    <w:pPr>
      <w:widowControl w:val="0"/>
      <w:pBdr>
        <w:top w:val="single" w:sz="6" w:space="3" w:color="auto" w:shadow="1"/>
        <w:left w:val="single" w:sz="6" w:space="3" w:color="auto" w:shadow="1"/>
        <w:bottom w:val="single" w:sz="6" w:space="3" w:color="auto" w:shadow="1"/>
        <w:right w:val="single" w:sz="6" w:space="3" w:color="auto" w:shadow="1"/>
      </w:pBdr>
      <w:shd w:val="pct5" w:color="auto" w:fill="auto"/>
      <w:tabs>
        <w:tab w:val="clear" w:pos="357"/>
      </w:tabs>
      <w:spacing w:after="0"/>
      <w:ind w:firstLine="567"/>
    </w:pPr>
    <w:rPr>
      <w:rFonts w:ascii="Times" w:hAnsi="Times" w:cs="Times New Roman"/>
      <w:i/>
      <w:color w:val="000000"/>
      <w:sz w:val="26"/>
      <w:szCs w:val="20"/>
      <w:lang w:eastAsia="en-AU"/>
    </w:rPr>
  </w:style>
  <w:style w:type="character" w:customStyle="1" w:styleId="BodyTextIndent2Char">
    <w:name w:val="Body Text Indent 2 Char"/>
    <w:basedOn w:val="DefaultParagraphFont"/>
    <w:link w:val="BodyTextIndent2"/>
    <w:rsid w:val="00DE495D"/>
    <w:rPr>
      <w:rFonts w:ascii="Times" w:eastAsia="Times New Roman" w:hAnsi="Times" w:cs="Times New Roman"/>
      <w:i/>
      <w:color w:val="000000"/>
      <w:sz w:val="26"/>
      <w:szCs w:val="20"/>
      <w:shd w:val="pct5" w:color="auto" w:fill="auto"/>
      <w:lang w:eastAsia="en-AU"/>
    </w:rPr>
  </w:style>
  <w:style w:type="paragraph" w:styleId="ListBullet">
    <w:name w:val="List Bullet"/>
    <w:basedOn w:val="Normal"/>
    <w:uiPriority w:val="99"/>
    <w:rsid w:val="00DE495D"/>
    <w:pPr>
      <w:tabs>
        <w:tab w:val="clear" w:pos="357"/>
        <w:tab w:val="num" w:pos="360"/>
      </w:tabs>
      <w:spacing w:after="0"/>
      <w:ind w:left="360" w:hanging="360"/>
    </w:pPr>
    <w:rPr>
      <w:rFonts w:ascii="Calibri" w:eastAsia="Calibri" w:hAnsi="Calibri" w:cs="Times New Roman"/>
      <w:sz w:val="22"/>
      <w:szCs w:val="22"/>
    </w:rPr>
  </w:style>
  <w:style w:type="paragraph" w:customStyle="1" w:styleId="Default">
    <w:name w:val="Default"/>
    <w:rsid w:val="00DE495D"/>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PFNumLevel2">
    <w:name w:val="PF (Num) Level 2"/>
    <w:basedOn w:val="Normal"/>
    <w:rsid w:val="00DE495D"/>
    <w:pPr>
      <w:tabs>
        <w:tab w:val="clear" w:pos="357"/>
        <w:tab w:val="num" w:pos="924"/>
        <w:tab w:val="left" w:pos="2773"/>
        <w:tab w:val="left" w:pos="3697"/>
        <w:tab w:val="left" w:pos="4621"/>
        <w:tab w:val="left" w:pos="5545"/>
        <w:tab w:val="left" w:pos="6469"/>
        <w:tab w:val="left" w:pos="7394"/>
        <w:tab w:val="left" w:pos="8318"/>
        <w:tab w:val="right" w:pos="8930"/>
      </w:tabs>
      <w:spacing w:line="276" w:lineRule="auto"/>
      <w:ind w:left="924" w:hanging="924"/>
    </w:pPr>
    <w:rPr>
      <w:rFonts w:cs="Times New Roman"/>
      <w:color w:val="000000"/>
      <w:sz w:val="21"/>
      <w:szCs w:val="20"/>
    </w:rPr>
  </w:style>
  <w:style w:type="paragraph" w:customStyle="1" w:styleId="PFNumLevel3">
    <w:name w:val="PF (Num) Level 3"/>
    <w:basedOn w:val="Normal"/>
    <w:rsid w:val="00DE495D"/>
    <w:pPr>
      <w:tabs>
        <w:tab w:val="clear" w:pos="357"/>
        <w:tab w:val="num" w:pos="1848"/>
        <w:tab w:val="left" w:pos="3697"/>
        <w:tab w:val="left" w:pos="4621"/>
        <w:tab w:val="left" w:pos="5545"/>
        <w:tab w:val="left" w:pos="6469"/>
        <w:tab w:val="left" w:pos="7394"/>
        <w:tab w:val="left" w:pos="8318"/>
        <w:tab w:val="right" w:pos="8930"/>
      </w:tabs>
      <w:spacing w:line="276" w:lineRule="auto"/>
      <w:ind w:left="1848" w:hanging="924"/>
    </w:pPr>
    <w:rPr>
      <w:rFonts w:cs="Times New Roman"/>
      <w:color w:val="000000"/>
      <w:sz w:val="21"/>
      <w:szCs w:val="20"/>
    </w:rPr>
  </w:style>
  <w:style w:type="paragraph" w:customStyle="1" w:styleId="PFNumLevel4">
    <w:name w:val="PF (Num) Level 4"/>
    <w:basedOn w:val="Normal"/>
    <w:rsid w:val="00DE495D"/>
    <w:pPr>
      <w:numPr>
        <w:ilvl w:val="3"/>
      </w:numPr>
      <w:tabs>
        <w:tab w:val="clear" w:pos="357"/>
        <w:tab w:val="num" w:pos="2773"/>
        <w:tab w:val="left" w:pos="4621"/>
        <w:tab w:val="left" w:pos="5545"/>
        <w:tab w:val="left" w:pos="6469"/>
        <w:tab w:val="left" w:pos="7394"/>
        <w:tab w:val="left" w:pos="8318"/>
        <w:tab w:val="right" w:pos="8930"/>
      </w:tabs>
      <w:spacing w:line="276" w:lineRule="auto"/>
      <w:ind w:left="2773" w:hanging="925"/>
    </w:pPr>
    <w:rPr>
      <w:rFonts w:cs="Times New Roman"/>
      <w:color w:val="000000"/>
      <w:sz w:val="21"/>
      <w:szCs w:val="20"/>
    </w:rPr>
  </w:style>
  <w:style w:type="paragraph" w:customStyle="1" w:styleId="PFNumLevel5">
    <w:name w:val="PF (Num) Level 5"/>
    <w:basedOn w:val="Normal"/>
    <w:rsid w:val="00DE495D"/>
    <w:pPr>
      <w:numPr>
        <w:ilvl w:val="4"/>
      </w:numPr>
      <w:tabs>
        <w:tab w:val="clear" w:pos="357"/>
        <w:tab w:val="num" w:pos="1848"/>
        <w:tab w:val="left" w:pos="2773"/>
        <w:tab w:val="left" w:pos="3697"/>
        <w:tab w:val="left" w:pos="4621"/>
        <w:tab w:val="left" w:pos="5545"/>
        <w:tab w:val="left" w:pos="6469"/>
        <w:tab w:val="left" w:pos="7394"/>
        <w:tab w:val="left" w:pos="8318"/>
        <w:tab w:val="right" w:pos="8930"/>
      </w:tabs>
      <w:spacing w:line="276" w:lineRule="auto"/>
      <w:ind w:left="1848" w:hanging="924"/>
    </w:pPr>
    <w:rPr>
      <w:rFonts w:cs="Times New Roman"/>
      <w:color w:val="000000"/>
      <w:sz w:val="21"/>
      <w:szCs w:val="20"/>
    </w:rPr>
  </w:style>
  <w:style w:type="paragraph" w:customStyle="1" w:styleId="Heading1A">
    <w:name w:val="Heading 1A"/>
    <w:basedOn w:val="Heading1"/>
    <w:next w:val="Normal"/>
    <w:rsid w:val="00DE495D"/>
    <w:pPr>
      <w:tabs>
        <w:tab w:val="clear" w:pos="357"/>
        <w:tab w:val="left" w:pos="924"/>
        <w:tab w:val="num" w:pos="1029"/>
        <w:tab w:val="left" w:pos="1848"/>
        <w:tab w:val="left" w:pos="2773"/>
        <w:tab w:val="left" w:pos="3697"/>
        <w:tab w:val="left" w:pos="4621"/>
        <w:tab w:val="left" w:pos="5545"/>
        <w:tab w:val="left" w:pos="6469"/>
        <w:tab w:val="left" w:pos="7394"/>
        <w:tab w:val="left" w:pos="8318"/>
        <w:tab w:val="right" w:pos="8930"/>
      </w:tabs>
      <w:spacing w:before="400" w:line="276" w:lineRule="auto"/>
      <w:ind w:left="1029" w:hanging="924"/>
    </w:pPr>
    <w:rPr>
      <w:bCs w:val="0"/>
      <w:color w:val="000000"/>
      <w:kern w:val="28"/>
      <w:szCs w:val="20"/>
    </w:rPr>
  </w:style>
  <w:style w:type="paragraph" w:customStyle="1" w:styleId="PFNumLevel6">
    <w:name w:val="PF (Num) Level 6"/>
    <w:basedOn w:val="PFNumLevel4"/>
    <w:rsid w:val="00DE495D"/>
    <w:pPr>
      <w:numPr>
        <w:ilvl w:val="5"/>
      </w:numPr>
      <w:tabs>
        <w:tab w:val="num" w:pos="2773"/>
        <w:tab w:val="num" w:pos="3697"/>
      </w:tabs>
      <w:ind w:left="3697" w:hanging="924"/>
    </w:pPr>
  </w:style>
  <w:style w:type="character" w:customStyle="1" w:styleId="SubtleEmphasis1">
    <w:name w:val="Subtle Emphasis1"/>
    <w:aliases w:val="normal text"/>
    <w:uiPriority w:val="99"/>
    <w:qFormat/>
    <w:rsid w:val="00DE495D"/>
    <w:rPr>
      <w:rFonts w:ascii="Arial" w:hAnsi="Arial"/>
      <w:b w:val="0"/>
      <w:i w:val="0"/>
      <w:iCs/>
      <w:color w:val="auto"/>
      <w:sz w:val="20"/>
    </w:rPr>
  </w:style>
  <w:style w:type="character" w:customStyle="1" w:styleId="citation">
    <w:name w:val="citation"/>
    <w:rsid w:val="00DE495D"/>
  </w:style>
  <w:style w:type="character" w:customStyle="1" w:styleId="ref-journal">
    <w:name w:val="ref-journal"/>
    <w:rsid w:val="00DE495D"/>
  </w:style>
  <w:style w:type="character" w:customStyle="1" w:styleId="ref-vol">
    <w:name w:val="ref-vol"/>
    <w:rsid w:val="00DE495D"/>
  </w:style>
  <w:style w:type="character" w:styleId="Strong">
    <w:name w:val="Strong"/>
    <w:uiPriority w:val="99"/>
    <w:qFormat/>
    <w:rsid w:val="00DE495D"/>
    <w:rPr>
      <w:b/>
      <w:bCs/>
    </w:rPr>
  </w:style>
  <w:style w:type="character" w:styleId="Emphasis">
    <w:name w:val="Emphasis"/>
    <w:uiPriority w:val="99"/>
    <w:qFormat/>
    <w:rsid w:val="00DE495D"/>
    <w:rPr>
      <w:i/>
      <w:iCs/>
    </w:rPr>
  </w:style>
  <w:style w:type="paragraph" w:customStyle="1" w:styleId="TblBullet">
    <w:name w:val="Tbl Bullet"/>
    <w:basedOn w:val="Normal"/>
    <w:link w:val="TblBulletChar"/>
    <w:qFormat/>
    <w:rsid w:val="00DE495D"/>
    <w:pPr>
      <w:spacing w:before="40" w:after="40"/>
    </w:pPr>
    <w:rPr>
      <w:sz w:val="18"/>
      <w:szCs w:val="18"/>
    </w:rPr>
  </w:style>
  <w:style w:type="character" w:customStyle="1" w:styleId="TblBulletChar">
    <w:name w:val="Tbl Bullet Char"/>
    <w:link w:val="TblBullet"/>
    <w:rsid w:val="00DE495D"/>
    <w:rPr>
      <w:rFonts w:ascii="Arial" w:eastAsia="Times New Roman" w:hAnsi="Arial" w:cs="Arial"/>
      <w:sz w:val="18"/>
      <w:szCs w:val="18"/>
    </w:rPr>
  </w:style>
  <w:style w:type="character" w:customStyle="1" w:styleId="A2">
    <w:name w:val="A2"/>
    <w:uiPriority w:val="99"/>
    <w:rsid w:val="00DE495D"/>
    <w:rPr>
      <w:rFonts w:cs="Bliss"/>
      <w:color w:val="000000"/>
      <w:sz w:val="52"/>
      <w:szCs w:val="52"/>
    </w:rPr>
  </w:style>
  <w:style w:type="paragraph" w:styleId="DocumentMap">
    <w:name w:val="Document Map"/>
    <w:basedOn w:val="Normal"/>
    <w:link w:val="DocumentMapChar"/>
    <w:uiPriority w:val="99"/>
    <w:semiHidden/>
    <w:unhideWhenUsed/>
    <w:rsid w:val="00DE495D"/>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495D"/>
    <w:rPr>
      <w:rFonts w:ascii="Tahoma" w:eastAsia="Times New Roman" w:hAnsi="Tahoma" w:cs="Tahoma"/>
      <w:sz w:val="16"/>
      <w:szCs w:val="16"/>
    </w:rPr>
  </w:style>
  <w:style w:type="character" w:customStyle="1" w:styleId="number">
    <w:name w:val="number"/>
    <w:rsid w:val="00DE495D"/>
  </w:style>
  <w:style w:type="character" w:customStyle="1" w:styleId="slug-doi2">
    <w:name w:val="slug-doi2"/>
    <w:rsid w:val="00DE495D"/>
  </w:style>
  <w:style w:type="paragraph" w:customStyle="1" w:styleId="TableNotes">
    <w:name w:val="Table Notes"/>
    <w:basedOn w:val="Normal"/>
    <w:uiPriority w:val="99"/>
    <w:rsid w:val="00DE495D"/>
    <w:pPr>
      <w:spacing w:before="0"/>
    </w:pPr>
    <w:rPr>
      <w:szCs w:val="22"/>
      <w:lang w:val="en-GB"/>
    </w:rPr>
  </w:style>
  <w:style w:type="paragraph" w:customStyle="1" w:styleId="TableHeading">
    <w:name w:val="Table Heading"/>
    <w:basedOn w:val="Normal"/>
    <w:uiPriority w:val="99"/>
    <w:rsid w:val="00DE495D"/>
    <w:pPr>
      <w:spacing w:before="0"/>
    </w:pPr>
    <w:rPr>
      <w:b/>
      <w:szCs w:val="22"/>
      <w:lang w:val="en-GB"/>
    </w:rPr>
  </w:style>
  <w:style w:type="paragraph" w:styleId="Title">
    <w:name w:val="Title"/>
    <w:next w:val="Normal"/>
    <w:link w:val="TitleChar"/>
    <w:uiPriority w:val="99"/>
    <w:qFormat/>
    <w:rsid w:val="00B50287"/>
    <w:pPr>
      <w:spacing w:after="1000" w:line="240" w:lineRule="auto"/>
    </w:pPr>
    <w:rPr>
      <w:rFonts w:ascii="Times New Roman" w:eastAsia="Times New Roman" w:hAnsi="Times New Roman" w:cs="Arial"/>
      <w:b/>
      <w:noProof/>
      <w:color w:val="FFFFFF" w:themeColor="background1"/>
      <w:sz w:val="48"/>
      <w:szCs w:val="24"/>
      <w:lang w:eastAsia="en-AU"/>
    </w:rPr>
  </w:style>
  <w:style w:type="character" w:customStyle="1" w:styleId="TitleChar">
    <w:name w:val="Title Char"/>
    <w:basedOn w:val="DefaultParagraphFont"/>
    <w:link w:val="Title"/>
    <w:uiPriority w:val="99"/>
    <w:rsid w:val="00B50287"/>
    <w:rPr>
      <w:rFonts w:ascii="Times New Roman" w:eastAsia="Times New Roman" w:hAnsi="Times New Roman" w:cs="Arial"/>
      <w:b/>
      <w:noProof/>
      <w:color w:val="FFFFFF" w:themeColor="background1"/>
      <w:sz w:val="48"/>
      <w:szCs w:val="24"/>
      <w:lang w:eastAsia="en-AU"/>
    </w:rPr>
  </w:style>
  <w:style w:type="paragraph" w:styleId="Subtitle">
    <w:name w:val="Subtitle"/>
    <w:basedOn w:val="NoSpacing"/>
    <w:next w:val="Normal"/>
    <w:link w:val="SubtitleChar"/>
    <w:uiPriority w:val="99"/>
    <w:qFormat/>
    <w:rsid w:val="00B50287"/>
    <w:rPr>
      <w:b/>
      <w:bCs/>
      <w:i/>
      <w:color w:val="C00000"/>
      <w:sz w:val="32"/>
      <w:szCs w:val="32"/>
    </w:rPr>
  </w:style>
  <w:style w:type="character" w:customStyle="1" w:styleId="SubtitleChar">
    <w:name w:val="Subtitle Char"/>
    <w:basedOn w:val="DefaultParagraphFont"/>
    <w:link w:val="Subtitle"/>
    <w:uiPriority w:val="99"/>
    <w:rsid w:val="00B50287"/>
    <w:rPr>
      <w:rFonts w:ascii="Times New Roman" w:eastAsia="Times New Roman" w:hAnsi="Times New Roman" w:cs="Times New Roman"/>
      <w:b/>
      <w:bCs/>
      <w:i/>
      <w:color w:val="C00000"/>
      <w:sz w:val="32"/>
      <w:szCs w:val="32"/>
      <w:lang w:eastAsia="en-AU"/>
    </w:rPr>
  </w:style>
  <w:style w:type="character" w:customStyle="1" w:styleId="ColorfulGrid-Accent1Char">
    <w:name w:val="Colorful Grid - Accent 1 Char"/>
    <w:link w:val="ColorfulGrid-Accent1"/>
    <w:uiPriority w:val="29"/>
    <w:rsid w:val="00DE495D"/>
    <w:rPr>
      <w:rFonts w:ascii="Arial" w:hAnsi="Arial" w:cs="Arial"/>
      <w:i/>
      <w:szCs w:val="22"/>
      <w:lang w:val="en-GB"/>
    </w:rPr>
  </w:style>
  <w:style w:type="character" w:customStyle="1" w:styleId="LightShading-Accent2Char">
    <w:name w:val="Light Shading - Accent 2 Char"/>
    <w:link w:val="LightShading-Accent2"/>
    <w:uiPriority w:val="99"/>
    <w:rsid w:val="00DE495D"/>
    <w:rPr>
      <w:rFonts w:ascii="Arial" w:hAnsi="Arial" w:cs="Arial"/>
      <w:b/>
      <w:i/>
      <w:color w:val="FFFFFF"/>
      <w:szCs w:val="22"/>
      <w:shd w:val="clear" w:color="auto" w:fill="C0504D"/>
      <w:lang w:val="en-GB"/>
    </w:rPr>
  </w:style>
  <w:style w:type="character" w:styleId="IntenseEmphasis">
    <w:name w:val="Intense Emphasis"/>
    <w:uiPriority w:val="99"/>
    <w:qFormat/>
    <w:rsid w:val="00DE495D"/>
    <w:rPr>
      <w:rFonts w:cs="Times New Roman"/>
      <w:b/>
      <w:i/>
      <w:color w:val="C0504D"/>
      <w:spacing w:val="10"/>
    </w:rPr>
  </w:style>
  <w:style w:type="character" w:styleId="SubtleReference">
    <w:name w:val="Subtle Reference"/>
    <w:uiPriority w:val="99"/>
    <w:qFormat/>
    <w:rsid w:val="00DE495D"/>
    <w:rPr>
      <w:rFonts w:cs="Times New Roman"/>
      <w:b/>
    </w:rPr>
  </w:style>
  <w:style w:type="character" w:styleId="IntenseReference">
    <w:name w:val="Intense Reference"/>
    <w:uiPriority w:val="99"/>
    <w:qFormat/>
    <w:rsid w:val="00DE495D"/>
    <w:rPr>
      <w:rFonts w:cs="Times New Roman"/>
      <w:b/>
      <w:smallCaps/>
      <w:spacing w:val="5"/>
      <w:sz w:val="22"/>
      <w:u w:val="single"/>
    </w:rPr>
  </w:style>
  <w:style w:type="character" w:styleId="BookTitle">
    <w:name w:val="Book Title"/>
    <w:uiPriority w:val="99"/>
    <w:rsid w:val="00DE495D"/>
    <w:rPr>
      <w:rFonts w:ascii="Cambria" w:hAnsi="Cambria" w:cs="Times New Roman"/>
      <w:i/>
      <w:sz w:val="20"/>
    </w:rPr>
  </w:style>
  <w:style w:type="paragraph" w:customStyle="1" w:styleId="TableNotes0">
    <w:name w:val="TableNotes+0"/>
    <w:basedOn w:val="Normal"/>
    <w:uiPriority w:val="99"/>
    <w:rsid w:val="00DE495D"/>
    <w:pPr>
      <w:keepNext/>
      <w:keepLines/>
      <w:spacing w:before="0"/>
    </w:pPr>
    <w:rPr>
      <w:rFonts w:cs="Calibri"/>
      <w:szCs w:val="18"/>
      <w:lang w:val="en-GB"/>
    </w:rPr>
  </w:style>
  <w:style w:type="table" w:customStyle="1" w:styleId="LightShading1">
    <w:name w:val="Light Shading1"/>
    <w:aliases w:val="Report table"/>
    <w:basedOn w:val="TableNormal"/>
    <w:uiPriority w:val="99"/>
    <w:rsid w:val="00DE495D"/>
    <w:pPr>
      <w:spacing w:after="0" w:line="240" w:lineRule="auto"/>
    </w:pPr>
    <w:rPr>
      <w:rFonts w:ascii="Calibri" w:eastAsia="Times New Roman" w:hAnsi="Calibri" w:cs="Times New Roman"/>
      <w:color w:val="000000"/>
      <w:sz w:val="20"/>
      <w:szCs w:val="20"/>
      <w:lang w:eastAsia="en-AU"/>
    </w:rPr>
    <w:tblPr>
      <w:tblStyleRowBandSize w:val="1"/>
      <w:tblStyleColBandSize w:val="1"/>
      <w:tblBorders>
        <w:top w:val="single" w:sz="8" w:space="0" w:color="000000"/>
        <w:bottom w:val="single" w:sz="8" w:space="0" w:color="000000"/>
      </w:tblBorders>
    </w:tblPr>
    <w:trPr>
      <w:cantSplit/>
    </w:trPr>
    <w:tblStylePr w:type="firstRow">
      <w:pPr>
        <w:spacing w:before="0" w:after="0"/>
      </w:pPr>
      <w:rPr>
        <w:rFonts w:ascii="Gulim" w:hAnsi="Gulim" w:cs="Times New Roman"/>
        <w:b/>
        <w:bCs/>
        <w:sz w:val="20"/>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Notes">
    <w:name w:val="Notes"/>
    <w:basedOn w:val="Normal"/>
    <w:link w:val="NotesChar"/>
    <w:uiPriority w:val="99"/>
    <w:rsid w:val="00DE495D"/>
    <w:pPr>
      <w:spacing w:before="0"/>
    </w:pPr>
    <w:rPr>
      <w:sz w:val="16"/>
      <w:szCs w:val="16"/>
      <w:lang w:val="en-GB"/>
    </w:rPr>
  </w:style>
  <w:style w:type="character" w:customStyle="1" w:styleId="NotesChar">
    <w:name w:val="Notes Char"/>
    <w:link w:val="Notes"/>
    <w:uiPriority w:val="99"/>
    <w:locked/>
    <w:rsid w:val="00DE495D"/>
    <w:rPr>
      <w:rFonts w:ascii="Arial" w:eastAsia="Times New Roman" w:hAnsi="Arial" w:cs="Arial"/>
      <w:sz w:val="16"/>
      <w:szCs w:val="16"/>
      <w:lang w:val="en-GB"/>
    </w:rPr>
  </w:style>
  <w:style w:type="paragraph" w:customStyle="1" w:styleId="Tabletext">
    <w:name w:val="Table text"/>
    <w:basedOn w:val="Normal"/>
    <w:link w:val="TabletextChar"/>
    <w:uiPriority w:val="99"/>
    <w:rsid w:val="00DE495D"/>
    <w:pPr>
      <w:spacing w:before="0"/>
    </w:pPr>
    <w:rPr>
      <w:rFonts w:ascii="Microsoft Sans Serif" w:hAnsi="Microsoft Sans Serif" w:cs="Microsoft Sans Serif"/>
      <w:szCs w:val="20"/>
      <w:lang w:val="en-GB"/>
    </w:rPr>
  </w:style>
  <w:style w:type="character" w:customStyle="1" w:styleId="TabletextChar">
    <w:name w:val="Table text Char"/>
    <w:link w:val="Tabletext"/>
    <w:uiPriority w:val="99"/>
    <w:locked/>
    <w:rsid w:val="00DE495D"/>
    <w:rPr>
      <w:rFonts w:ascii="Microsoft Sans Serif" w:eastAsia="Times New Roman" w:hAnsi="Microsoft Sans Serif" w:cs="Microsoft Sans Serif"/>
      <w:sz w:val="20"/>
      <w:szCs w:val="20"/>
      <w:lang w:val="en-GB"/>
    </w:rPr>
  </w:style>
  <w:style w:type="paragraph" w:styleId="BodyTextIndent">
    <w:name w:val="Body Text Indent"/>
    <w:basedOn w:val="Normal"/>
    <w:link w:val="BodyTextIndentChar"/>
    <w:uiPriority w:val="99"/>
    <w:rsid w:val="00DE495D"/>
    <w:pPr>
      <w:spacing w:before="0"/>
    </w:pPr>
    <w:rPr>
      <w:rFonts w:ascii="Times" w:hAnsi="Times"/>
      <w:szCs w:val="20"/>
      <w:lang w:val="en-US"/>
    </w:rPr>
  </w:style>
  <w:style w:type="character" w:customStyle="1" w:styleId="BodyTextIndentChar">
    <w:name w:val="Body Text Indent Char"/>
    <w:basedOn w:val="DefaultParagraphFont"/>
    <w:link w:val="BodyTextIndent"/>
    <w:uiPriority w:val="99"/>
    <w:rsid w:val="00DE495D"/>
    <w:rPr>
      <w:rFonts w:ascii="Times" w:eastAsia="Times New Roman" w:hAnsi="Times" w:cs="Arial"/>
      <w:sz w:val="20"/>
      <w:szCs w:val="20"/>
      <w:lang w:val="en-US"/>
    </w:rPr>
  </w:style>
  <w:style w:type="paragraph" w:customStyle="1" w:styleId="Tablenotes1">
    <w:name w:val="Table notes"/>
    <w:basedOn w:val="Notes"/>
    <w:link w:val="TablenotesChar"/>
    <w:rsid w:val="00DE495D"/>
    <w:rPr>
      <w:sz w:val="20"/>
      <w:szCs w:val="20"/>
    </w:rPr>
  </w:style>
  <w:style w:type="character" w:customStyle="1" w:styleId="TablenotesChar">
    <w:name w:val="Table notes Char"/>
    <w:link w:val="Tablenotes1"/>
    <w:rsid w:val="00DE495D"/>
    <w:rPr>
      <w:rFonts w:ascii="Arial" w:eastAsia="Times New Roman" w:hAnsi="Arial" w:cs="Arial"/>
      <w:sz w:val="20"/>
      <w:szCs w:val="20"/>
      <w:lang w:val="en-GB"/>
    </w:rPr>
  </w:style>
  <w:style w:type="paragraph" w:customStyle="1" w:styleId="TableNumbers">
    <w:name w:val="Table Numbers"/>
    <w:basedOn w:val="Normal"/>
    <w:rsid w:val="00DE495D"/>
    <w:pPr>
      <w:spacing w:before="0"/>
      <w:jc w:val="center"/>
    </w:pPr>
    <w:rPr>
      <w:rFonts w:cs="Times New Roman"/>
      <w:szCs w:val="22"/>
      <w:lang w:val="en-GB" w:eastAsia="en-AU"/>
    </w:rPr>
  </w:style>
  <w:style w:type="paragraph" w:customStyle="1" w:styleId="tabletext0">
    <w:name w:val="table text"/>
    <w:basedOn w:val="TableNumbers"/>
    <w:qFormat/>
    <w:rsid w:val="003F3ACF"/>
    <w:pPr>
      <w:keepNext/>
      <w:spacing w:after="40"/>
      <w:jc w:val="left"/>
    </w:pPr>
    <w:rPr>
      <w:rFonts w:cs="Arial"/>
      <w:color w:val="000000"/>
      <w:szCs w:val="20"/>
    </w:rPr>
  </w:style>
  <w:style w:type="paragraph" w:customStyle="1" w:styleId="tablenotes2">
    <w:name w:val="table notes"/>
    <w:basedOn w:val="BodyText2"/>
    <w:qFormat/>
    <w:rsid w:val="004D2478"/>
    <w:pPr>
      <w:widowControl w:val="0"/>
      <w:spacing w:after="0" w:line="240" w:lineRule="auto"/>
    </w:pPr>
    <w:rPr>
      <w:rFonts w:cs="Times New Roman"/>
      <w:snapToGrid w:val="0"/>
      <w:sz w:val="20"/>
      <w:szCs w:val="20"/>
    </w:rPr>
  </w:style>
  <w:style w:type="paragraph" w:styleId="BodyText2">
    <w:name w:val="Body Text 2"/>
    <w:basedOn w:val="Normal"/>
    <w:link w:val="BodyText2Char"/>
    <w:uiPriority w:val="99"/>
    <w:semiHidden/>
    <w:unhideWhenUsed/>
    <w:rsid w:val="00DE495D"/>
    <w:pPr>
      <w:spacing w:before="0" w:line="480" w:lineRule="auto"/>
    </w:pPr>
    <w:rPr>
      <w:szCs w:val="22"/>
      <w:lang w:val="en-GB"/>
    </w:rPr>
  </w:style>
  <w:style w:type="character" w:customStyle="1" w:styleId="BodyText2Char">
    <w:name w:val="Body Text 2 Char"/>
    <w:basedOn w:val="DefaultParagraphFont"/>
    <w:link w:val="BodyText2"/>
    <w:uiPriority w:val="99"/>
    <w:semiHidden/>
    <w:rsid w:val="00DE495D"/>
    <w:rPr>
      <w:rFonts w:ascii="Arial" w:eastAsia="Times New Roman" w:hAnsi="Arial" w:cs="Arial"/>
      <w:sz w:val="20"/>
      <w:lang w:val="en-GB"/>
    </w:rPr>
  </w:style>
  <w:style w:type="character" w:customStyle="1" w:styleId="il">
    <w:name w:val="il"/>
    <w:rsid w:val="00DE495D"/>
  </w:style>
  <w:style w:type="paragraph" w:styleId="TOC4">
    <w:name w:val="toc 4"/>
    <w:basedOn w:val="Normal"/>
    <w:next w:val="Normal"/>
    <w:autoRedefine/>
    <w:uiPriority w:val="39"/>
    <w:unhideWhenUsed/>
    <w:rsid w:val="00DE495D"/>
    <w:pPr>
      <w:tabs>
        <w:tab w:val="clear" w:pos="357"/>
      </w:tabs>
      <w:spacing w:before="0" w:after="0"/>
      <w:ind w:left="720"/>
    </w:pPr>
    <w:rPr>
      <w:rFonts w:asciiTheme="minorHAnsi" w:hAnsiTheme="minorHAnsi"/>
      <w:sz w:val="18"/>
      <w:szCs w:val="18"/>
    </w:rPr>
  </w:style>
  <w:style w:type="paragraph" w:styleId="TOC5">
    <w:name w:val="toc 5"/>
    <w:basedOn w:val="Normal"/>
    <w:next w:val="Normal"/>
    <w:autoRedefine/>
    <w:uiPriority w:val="39"/>
    <w:unhideWhenUsed/>
    <w:rsid w:val="00DE495D"/>
    <w:pPr>
      <w:tabs>
        <w:tab w:val="clear" w:pos="357"/>
      </w:tabs>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DE495D"/>
    <w:pPr>
      <w:tabs>
        <w:tab w:val="clear" w:pos="357"/>
      </w:tabs>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DE495D"/>
    <w:pPr>
      <w:tabs>
        <w:tab w:val="clear" w:pos="357"/>
      </w:tabs>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DE495D"/>
    <w:pPr>
      <w:tabs>
        <w:tab w:val="clear" w:pos="357"/>
      </w:tabs>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DE495D"/>
    <w:pPr>
      <w:tabs>
        <w:tab w:val="clear" w:pos="357"/>
      </w:tabs>
      <w:spacing w:before="0" w:after="0"/>
      <w:ind w:left="1920"/>
    </w:pPr>
    <w:rPr>
      <w:rFonts w:asciiTheme="minorHAnsi" w:hAnsiTheme="minorHAnsi"/>
      <w:sz w:val="18"/>
      <w:szCs w:val="18"/>
    </w:rPr>
  </w:style>
  <w:style w:type="character" w:customStyle="1" w:styleId="normalchar">
    <w:name w:val="normal_char"/>
    <w:rsid w:val="00DE495D"/>
    <w:rPr>
      <w:color w:val="auto"/>
    </w:rPr>
  </w:style>
  <w:style w:type="paragraph" w:styleId="ListParagraph">
    <w:name w:val="List Paragraph"/>
    <w:basedOn w:val="Normal"/>
    <w:uiPriority w:val="99"/>
    <w:qFormat/>
    <w:rsid w:val="00DE495D"/>
    <w:pPr>
      <w:tabs>
        <w:tab w:val="clear" w:pos="357"/>
      </w:tabs>
      <w:spacing w:before="0" w:after="0"/>
      <w:ind w:left="720"/>
      <w:contextualSpacing/>
    </w:pPr>
    <w:rPr>
      <w:color w:val="000000"/>
      <w:sz w:val="22"/>
      <w:szCs w:val="22"/>
      <w:lang w:val="en-GB"/>
    </w:rPr>
  </w:style>
  <w:style w:type="table" w:styleId="MediumGrid2">
    <w:name w:val="Medium Grid 2"/>
    <w:basedOn w:val="TableNormal"/>
    <w:link w:val="MediumGrid2Char"/>
    <w:uiPriority w:val="99"/>
    <w:semiHidden/>
    <w:unhideWhenUsed/>
    <w:rsid w:val="00DE49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link w:val="ColorfulList-Accent1Char"/>
    <w:uiPriority w:val="34"/>
    <w:semiHidden/>
    <w:unhideWhenUsed/>
    <w:rsid w:val="00DE495D"/>
    <w:pPr>
      <w:spacing w:after="0" w:line="240" w:lineRule="auto"/>
    </w:pPr>
    <w:rPr>
      <w:rFonts w:eastAsia="Calibri"/>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1">
    <w:name w:val="Colorful Grid Accent 1"/>
    <w:basedOn w:val="TableNormal"/>
    <w:link w:val="ColorfulGrid-Accent1Char"/>
    <w:uiPriority w:val="29"/>
    <w:semiHidden/>
    <w:unhideWhenUsed/>
    <w:rsid w:val="00DE495D"/>
    <w:pPr>
      <w:spacing w:after="0" w:line="240" w:lineRule="auto"/>
    </w:pPr>
    <w:rPr>
      <w:rFonts w:ascii="Arial" w:hAnsi="Arial" w:cs="Arial"/>
      <w:i/>
      <w:lang w:val="en-GB"/>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
    <w:uiPriority w:val="99"/>
    <w:semiHidden/>
    <w:unhideWhenUsed/>
    <w:rsid w:val="00DE495D"/>
    <w:pPr>
      <w:spacing w:after="0" w:line="240" w:lineRule="auto"/>
    </w:pPr>
    <w:rPr>
      <w:rFonts w:ascii="Arial" w:hAnsi="Arial" w:cs="Arial"/>
      <w:b/>
      <w:i/>
      <w:color w:val="FFFFFF"/>
      <w:lang w:val="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aliases w:val="Quotations"/>
    <w:uiPriority w:val="1"/>
    <w:rsid w:val="00DE495D"/>
    <w:pPr>
      <w:spacing w:after="0" w:line="240" w:lineRule="auto"/>
    </w:pPr>
    <w:rPr>
      <w:rFonts w:ascii="Times New Roman" w:eastAsia="Times New Roman" w:hAnsi="Times New Roman" w:cs="Times New Roman"/>
      <w:lang w:eastAsia="en-AU"/>
    </w:rPr>
  </w:style>
  <w:style w:type="paragraph" w:styleId="Revision">
    <w:name w:val="Revision"/>
    <w:hidden/>
    <w:uiPriority w:val="99"/>
    <w:semiHidden/>
    <w:rsid w:val="00AC1DEB"/>
    <w:pPr>
      <w:spacing w:after="0" w:line="240" w:lineRule="auto"/>
    </w:pPr>
    <w:rPr>
      <w:rFonts w:ascii="Arial" w:eastAsia="Times New Roman" w:hAnsi="Arial" w:cs="Arial"/>
      <w:sz w:val="20"/>
      <w:szCs w:val="24"/>
    </w:rPr>
  </w:style>
  <w:style w:type="character" w:customStyle="1" w:styleId="xref-sep">
    <w:name w:val="xref-sep"/>
    <w:basedOn w:val="DefaultParagraphFont"/>
    <w:rsid w:val="00034360"/>
  </w:style>
  <w:style w:type="paragraph" w:styleId="EndnoteText">
    <w:name w:val="endnote text"/>
    <w:basedOn w:val="Normal"/>
    <w:link w:val="EndnoteTextChar"/>
    <w:uiPriority w:val="99"/>
    <w:semiHidden/>
    <w:unhideWhenUsed/>
    <w:rsid w:val="00673E6B"/>
    <w:pPr>
      <w:spacing w:before="0" w:after="0"/>
    </w:pPr>
    <w:rPr>
      <w:sz w:val="20"/>
      <w:szCs w:val="20"/>
    </w:rPr>
  </w:style>
  <w:style w:type="character" w:customStyle="1" w:styleId="EndnoteTextChar">
    <w:name w:val="Endnote Text Char"/>
    <w:basedOn w:val="DefaultParagraphFont"/>
    <w:link w:val="EndnoteText"/>
    <w:uiPriority w:val="99"/>
    <w:semiHidden/>
    <w:rsid w:val="00673E6B"/>
    <w:rPr>
      <w:rFonts w:ascii="Times New Roman" w:eastAsia="Times New Roman" w:hAnsi="Times New Roman" w:cs="Arial"/>
      <w:sz w:val="20"/>
      <w:szCs w:val="20"/>
    </w:rPr>
  </w:style>
  <w:style w:type="character" w:styleId="EndnoteReference">
    <w:name w:val="endnote reference"/>
    <w:basedOn w:val="DefaultParagraphFont"/>
    <w:uiPriority w:val="99"/>
    <w:semiHidden/>
    <w:unhideWhenUsed/>
    <w:rsid w:val="00673E6B"/>
    <w:rPr>
      <w:vertAlign w:val="superscript"/>
    </w:rPr>
  </w:style>
  <w:style w:type="paragraph" w:customStyle="1" w:styleId="EndNoteBibliographyTitle">
    <w:name w:val="EndNote Bibliography Title"/>
    <w:basedOn w:val="Normal"/>
    <w:link w:val="EndNoteBibliographyTitleChar"/>
    <w:rsid w:val="00F64B02"/>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64B02"/>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F64B02"/>
    <w:rPr>
      <w:rFonts w:cs="Times New Roman"/>
      <w:noProof/>
      <w:lang w:val="en-US"/>
    </w:rPr>
  </w:style>
  <w:style w:type="character" w:customStyle="1" w:styleId="EndNoteBibliographyChar">
    <w:name w:val="EndNote Bibliography Char"/>
    <w:basedOn w:val="DefaultParagraphFont"/>
    <w:link w:val="EndNoteBibliography"/>
    <w:rsid w:val="00F64B02"/>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891">
      <w:bodyDiv w:val="1"/>
      <w:marLeft w:val="0"/>
      <w:marRight w:val="0"/>
      <w:marTop w:val="0"/>
      <w:marBottom w:val="0"/>
      <w:divBdr>
        <w:top w:val="none" w:sz="0" w:space="0" w:color="auto"/>
        <w:left w:val="none" w:sz="0" w:space="0" w:color="auto"/>
        <w:bottom w:val="none" w:sz="0" w:space="0" w:color="auto"/>
        <w:right w:val="none" w:sz="0" w:space="0" w:color="auto"/>
      </w:divBdr>
    </w:div>
    <w:div w:id="3632299">
      <w:bodyDiv w:val="1"/>
      <w:marLeft w:val="0"/>
      <w:marRight w:val="0"/>
      <w:marTop w:val="0"/>
      <w:marBottom w:val="0"/>
      <w:divBdr>
        <w:top w:val="none" w:sz="0" w:space="0" w:color="auto"/>
        <w:left w:val="none" w:sz="0" w:space="0" w:color="auto"/>
        <w:bottom w:val="none" w:sz="0" w:space="0" w:color="auto"/>
        <w:right w:val="none" w:sz="0" w:space="0" w:color="auto"/>
      </w:divBdr>
    </w:div>
    <w:div w:id="169149995">
      <w:bodyDiv w:val="1"/>
      <w:marLeft w:val="0"/>
      <w:marRight w:val="0"/>
      <w:marTop w:val="0"/>
      <w:marBottom w:val="0"/>
      <w:divBdr>
        <w:top w:val="none" w:sz="0" w:space="0" w:color="auto"/>
        <w:left w:val="none" w:sz="0" w:space="0" w:color="auto"/>
        <w:bottom w:val="none" w:sz="0" w:space="0" w:color="auto"/>
        <w:right w:val="none" w:sz="0" w:space="0" w:color="auto"/>
      </w:divBdr>
    </w:div>
    <w:div w:id="546844312">
      <w:bodyDiv w:val="1"/>
      <w:marLeft w:val="0"/>
      <w:marRight w:val="0"/>
      <w:marTop w:val="0"/>
      <w:marBottom w:val="0"/>
      <w:divBdr>
        <w:top w:val="none" w:sz="0" w:space="0" w:color="auto"/>
        <w:left w:val="none" w:sz="0" w:space="0" w:color="auto"/>
        <w:bottom w:val="none" w:sz="0" w:space="0" w:color="auto"/>
        <w:right w:val="none" w:sz="0" w:space="0" w:color="auto"/>
      </w:divBdr>
    </w:div>
    <w:div w:id="1184906516">
      <w:bodyDiv w:val="1"/>
      <w:marLeft w:val="0"/>
      <w:marRight w:val="0"/>
      <w:marTop w:val="0"/>
      <w:marBottom w:val="0"/>
      <w:divBdr>
        <w:top w:val="none" w:sz="0" w:space="0" w:color="auto"/>
        <w:left w:val="none" w:sz="0" w:space="0" w:color="auto"/>
        <w:bottom w:val="none" w:sz="0" w:space="0" w:color="auto"/>
        <w:right w:val="none" w:sz="0" w:space="0" w:color="auto"/>
      </w:divBdr>
    </w:div>
    <w:div w:id="1478260271">
      <w:bodyDiv w:val="1"/>
      <w:marLeft w:val="0"/>
      <w:marRight w:val="0"/>
      <w:marTop w:val="0"/>
      <w:marBottom w:val="0"/>
      <w:divBdr>
        <w:top w:val="none" w:sz="0" w:space="0" w:color="auto"/>
        <w:left w:val="none" w:sz="0" w:space="0" w:color="auto"/>
        <w:bottom w:val="none" w:sz="0" w:space="0" w:color="auto"/>
        <w:right w:val="none" w:sz="0" w:space="0" w:color="auto"/>
      </w:divBdr>
    </w:div>
    <w:div w:id="1868173975">
      <w:bodyDiv w:val="1"/>
      <w:marLeft w:val="0"/>
      <w:marRight w:val="0"/>
      <w:marTop w:val="0"/>
      <w:marBottom w:val="0"/>
      <w:divBdr>
        <w:top w:val="none" w:sz="0" w:space="0" w:color="auto"/>
        <w:left w:val="none" w:sz="0" w:space="0" w:color="auto"/>
        <w:bottom w:val="none" w:sz="0" w:space="0" w:color="auto"/>
        <w:right w:val="none" w:sz="0" w:space="0" w:color="auto"/>
      </w:divBdr>
    </w:div>
    <w:div w:id="1954902046">
      <w:bodyDiv w:val="1"/>
      <w:marLeft w:val="0"/>
      <w:marRight w:val="0"/>
      <w:marTop w:val="0"/>
      <w:marBottom w:val="0"/>
      <w:divBdr>
        <w:top w:val="none" w:sz="0" w:space="0" w:color="auto"/>
        <w:left w:val="none" w:sz="0" w:space="0" w:color="auto"/>
        <w:bottom w:val="none" w:sz="0" w:space="0" w:color="auto"/>
        <w:right w:val="none" w:sz="0" w:space="0" w:color="auto"/>
      </w:divBdr>
    </w:div>
    <w:div w:id="1998533123">
      <w:bodyDiv w:val="1"/>
      <w:marLeft w:val="0"/>
      <w:marRight w:val="0"/>
      <w:marTop w:val="0"/>
      <w:marBottom w:val="0"/>
      <w:divBdr>
        <w:top w:val="none" w:sz="0" w:space="0" w:color="auto"/>
        <w:left w:val="none" w:sz="0" w:space="0" w:color="auto"/>
        <w:bottom w:val="none" w:sz="0" w:space="0" w:color="auto"/>
        <w:right w:val="none" w:sz="0" w:space="0" w:color="auto"/>
      </w:divBdr>
    </w:div>
    <w:div w:id="207600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yperlink" Target="https://www.australianretailers.com.au/downloads/pdf/deloitte/2011_01_31_AAR_Plain_Packaging2.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oem.bmj.com/content/66/12/840.abstract"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www.bata.com.au/group/sites/bat_7wykg8.nsf/vwPagesWebLive/DO7WZEX6/$FILE/medMD8EHAM5.pdf?openelement:" TargetMode="External"/><Relationship Id="rId33" Type="http://schemas.openxmlformats.org/officeDocument/2006/relationships/hyperlink" Target="http://www.bata.com.au/group/sites/BAT_7WYKG8.nsf/vwPagesWebLive/DO9T9289?opendocumen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hyperlink" Target="http://www.keepqueenslandbeautiful.org.au/resources/fact%20sheets/Cigarette%20Butt%20Litt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tobaccocontrol.bmj.com/content/24/e1/e108.short" TargetMode="External"/><Relationship Id="rId32" Type="http://schemas.openxmlformats.org/officeDocument/2006/relationships/hyperlink" Target="http://www.bata.com.au/group/sites/BAT_7WYKG8.nsf/vwPagesWebLive/DO9FC38M?opendocument&amp;SKN=1:" TargetMode="External"/><Relationship Id="rId37" Type="http://schemas.openxmlformats.org/officeDocument/2006/relationships/hyperlink" Target="http://www.who.int/fctc/guidelines/adopted/article_11/en/:"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appliedeconomics.com.au/pubs/reports/rep03_health_notfinish.htm" TargetMode="External"/><Relationship Id="rId28" Type="http://schemas.openxmlformats.org/officeDocument/2006/relationships/hyperlink" Target="http://www.keepqueenslandbeautiful.org.au/Default.aspx?PageID=6461734&amp;A=SearchResult&amp;SearchID=8260523&amp;ObjectID=6461734&amp;ObjectType=1" TargetMode="External"/><Relationship Id="rId36" Type="http://schemas.openxmlformats.org/officeDocument/2006/relationships/hyperlink" Target="https://www.gov.uk/government/publications/impact-assessment-opinion-standardised-packaging-of-tobacco-products-final"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www.bata.com.au/group/sites/BAT_7WYKG8.nsf/vwPagesWebLive/DO9FC38M?opendocument&amp;SKN=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www.health.gov.au/internet/main/publishing.nsf/content/tobacco-kff" TargetMode="External"/><Relationship Id="rId30" Type="http://schemas.openxmlformats.org/officeDocument/2006/relationships/hyperlink" Target="http://www.bata.com.au/group/sites/BAT_7WYKG8.nsf/vwPagesWebLive/DO9879X3?opendocument&amp;SKN=1:" TargetMode="External"/><Relationship Id="rId35" Type="http://schemas.openxmlformats.org/officeDocument/2006/relationships/hyperlink" Target="http://www.quitnow.gov.au/internet/quitnow/publishing.nsf/Content/benefits-of-quitt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0E8AA-6CB6-46DA-B7D2-AC3CDD6C6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511A81CA</Template>
  <TotalTime>0</TotalTime>
  <Pages>45</Pages>
  <Words>31870</Words>
  <Characters>181663</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Plain Packaging PIR – Appendix C</dc:title>
  <dc:creator/>
  <cp:lastModifiedBy/>
  <cp:revision>1</cp:revision>
  <dcterms:created xsi:type="dcterms:W3CDTF">2016-02-26T00:31:00Z</dcterms:created>
  <dcterms:modified xsi:type="dcterms:W3CDTF">2016-02-26T00:49:00Z</dcterms:modified>
  <cp:contentStatus/>
</cp:coreProperties>
</file>