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FEB9" w14:textId="77777777" w:rsidR="004E6DF3" w:rsidRPr="000E1CBE" w:rsidRDefault="000D5DA2" w:rsidP="000E1CBE">
      <w:pPr>
        <w:pStyle w:val="Title"/>
      </w:pPr>
      <w:bookmarkStart w:id="0" w:name="_GoBack"/>
      <w:bookmarkEnd w:id="0"/>
      <w:r w:rsidRPr="000E1CBE">
        <w:t>Study of the Impact of the Tobacco Plain Packaging Measure</w:t>
      </w:r>
      <w:permStart w:id="355220797" w:edGrp="everyone"/>
      <w:permEnd w:id="355220797"/>
      <w:r w:rsidRPr="000E1CBE">
        <w:br/>
        <w:t>on Smoking Prevalence in Australia</w:t>
      </w:r>
    </w:p>
    <w:p w14:paraId="0C210209" w14:textId="77777777" w:rsidR="00026D46" w:rsidRPr="00590474" w:rsidRDefault="00026D46" w:rsidP="00660570">
      <w:pPr>
        <w:tabs>
          <w:tab w:val="center" w:pos="4680"/>
        </w:tabs>
        <w:suppressAutoHyphens/>
        <w:spacing w:line="240" w:lineRule="atLeast"/>
        <w:ind w:left="0" w:firstLine="0"/>
        <w:jc w:val="center"/>
        <w:rPr>
          <w:b/>
        </w:rPr>
      </w:pPr>
      <w:r w:rsidRPr="00590474">
        <w:t>R</w:t>
      </w:r>
      <w:r w:rsidR="000D5DA2">
        <w:t>eport of Dr. Tasneem Chipty</w:t>
      </w:r>
    </w:p>
    <w:p w14:paraId="6957D7FA" w14:textId="1DB56BFB" w:rsidR="00026D46" w:rsidRPr="00F66944" w:rsidRDefault="00B86273" w:rsidP="00660570">
      <w:pPr>
        <w:tabs>
          <w:tab w:val="center" w:pos="4680"/>
        </w:tabs>
        <w:suppressAutoHyphens/>
        <w:spacing w:line="240" w:lineRule="atLeast"/>
        <w:ind w:left="0" w:firstLine="0"/>
        <w:jc w:val="center"/>
        <w:rPr>
          <w:u w:val="single"/>
        </w:rPr>
      </w:pPr>
      <w:r>
        <w:t xml:space="preserve">January </w:t>
      </w:r>
      <w:r w:rsidR="004222A7">
        <w:t xml:space="preserve">24, </w:t>
      </w:r>
      <w:r w:rsidR="000D5DA2">
        <w:t>201</w:t>
      </w:r>
      <w:r>
        <w:t>6</w:t>
      </w:r>
    </w:p>
    <w:p w14:paraId="703EBEB0" w14:textId="77777777" w:rsidR="004E6DF3" w:rsidRDefault="004E6DF3" w:rsidP="00660570">
      <w:pPr>
        <w:tabs>
          <w:tab w:val="left" w:pos="-1440"/>
          <w:tab w:val="left" w:pos="-720"/>
        </w:tabs>
        <w:suppressAutoHyphens/>
        <w:spacing w:line="480" w:lineRule="auto"/>
        <w:ind w:left="0" w:firstLine="0"/>
      </w:pPr>
    </w:p>
    <w:p w14:paraId="05D5E8A7" w14:textId="2190CA73" w:rsidR="004E6DF3" w:rsidRPr="00384728" w:rsidRDefault="004E6DF3" w:rsidP="00660570">
      <w:pPr>
        <w:tabs>
          <w:tab w:val="left" w:pos="-1440"/>
          <w:tab w:val="left" w:pos="-720"/>
        </w:tabs>
        <w:suppressAutoHyphens/>
        <w:spacing w:line="480" w:lineRule="auto"/>
        <w:ind w:left="0" w:firstLine="0"/>
        <w:jc w:val="center"/>
        <w:rPr>
          <w:b/>
          <w:color w:val="FF0000"/>
        </w:rPr>
        <w:sectPr w:rsidR="004E6DF3" w:rsidRPr="00384728" w:rsidSect="003856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sdt>
      <w:sdtPr>
        <w:rPr>
          <w:rFonts w:ascii="Times New Roman" w:eastAsia="Calibri" w:hAnsi="Times New Roman" w:cs="Times New Roman"/>
          <w:b w:val="0"/>
          <w:bCs w:val="0"/>
          <w:color w:val="auto"/>
          <w:sz w:val="24"/>
          <w:szCs w:val="22"/>
          <w:lang w:eastAsia="en-US"/>
        </w:rPr>
        <w:id w:val="-1821106346"/>
        <w:docPartObj>
          <w:docPartGallery w:val="Table of Contents"/>
          <w:docPartUnique/>
        </w:docPartObj>
      </w:sdtPr>
      <w:sdtEndPr>
        <w:rPr>
          <w:rFonts w:eastAsia="PMingLiU"/>
          <w:noProof/>
        </w:rPr>
      </w:sdtEndPr>
      <w:sdtContent>
        <w:p w14:paraId="7A4B140C" w14:textId="77777777" w:rsidR="008721AC" w:rsidRPr="001F1070" w:rsidRDefault="008721AC" w:rsidP="00660570">
          <w:pPr>
            <w:pStyle w:val="TOCHeading"/>
            <w:rPr>
              <w:rFonts w:ascii="Times New Roman" w:hAnsi="Times New Roman" w:cs="Times New Roman"/>
              <w:color w:val="auto"/>
              <w:sz w:val="24"/>
              <w:szCs w:val="24"/>
            </w:rPr>
          </w:pPr>
          <w:r w:rsidRPr="001F1070">
            <w:rPr>
              <w:rFonts w:ascii="Times New Roman" w:hAnsi="Times New Roman" w:cs="Times New Roman"/>
              <w:color w:val="auto"/>
              <w:sz w:val="24"/>
              <w:szCs w:val="24"/>
            </w:rPr>
            <w:t>Contents</w:t>
          </w:r>
        </w:p>
        <w:p w14:paraId="3DBA9DCD" w14:textId="6F316FF6" w:rsidR="0099419B" w:rsidRDefault="008721AC">
          <w:pPr>
            <w:pStyle w:val="TOC1"/>
            <w:rPr>
              <w:rFonts w:asciiTheme="minorHAnsi" w:eastAsiaTheme="minorEastAsia" w:hAnsiTheme="minorHAnsi" w:cstheme="minorBidi"/>
              <w:noProof/>
              <w:sz w:val="22"/>
              <w:lang w:eastAsia="zh-TW"/>
            </w:rPr>
          </w:pPr>
          <w:r w:rsidRPr="009D7833">
            <w:rPr>
              <w:sz w:val="22"/>
            </w:rPr>
            <w:fldChar w:fldCharType="begin"/>
          </w:r>
          <w:r w:rsidRPr="009D7833">
            <w:rPr>
              <w:sz w:val="22"/>
            </w:rPr>
            <w:instrText xml:space="preserve"> TOC \o "1-3" \h \z \u </w:instrText>
          </w:r>
          <w:r w:rsidRPr="009D7833">
            <w:rPr>
              <w:sz w:val="22"/>
            </w:rPr>
            <w:fldChar w:fldCharType="separate"/>
          </w:r>
          <w:hyperlink w:anchor="_Toc441421147" w:history="1">
            <w:r w:rsidR="0099419B" w:rsidRPr="00FB54E4">
              <w:rPr>
                <w:rStyle w:val="Hyperlink"/>
                <w:noProof/>
              </w:rPr>
              <w:t>I.</w:t>
            </w:r>
            <w:r w:rsidR="0099419B">
              <w:rPr>
                <w:rFonts w:asciiTheme="minorHAnsi" w:eastAsiaTheme="minorEastAsia" w:hAnsiTheme="minorHAnsi" w:cstheme="minorBidi"/>
                <w:noProof/>
                <w:sz w:val="22"/>
                <w:lang w:eastAsia="zh-TW"/>
              </w:rPr>
              <w:tab/>
            </w:r>
            <w:r w:rsidR="0099419B" w:rsidRPr="00FB54E4">
              <w:rPr>
                <w:rStyle w:val="Hyperlink"/>
                <w:noProof/>
              </w:rPr>
              <w:t>Introduction</w:t>
            </w:r>
            <w:r w:rsidR="0099419B">
              <w:rPr>
                <w:noProof/>
                <w:webHidden/>
              </w:rPr>
              <w:tab/>
            </w:r>
            <w:r w:rsidR="0099419B">
              <w:rPr>
                <w:noProof/>
                <w:webHidden/>
              </w:rPr>
              <w:fldChar w:fldCharType="begin"/>
            </w:r>
            <w:r w:rsidR="0099419B">
              <w:rPr>
                <w:noProof/>
                <w:webHidden/>
              </w:rPr>
              <w:instrText xml:space="preserve"> PAGEREF _Toc441421147 \h </w:instrText>
            </w:r>
            <w:r w:rsidR="0099419B">
              <w:rPr>
                <w:noProof/>
                <w:webHidden/>
              </w:rPr>
            </w:r>
            <w:r w:rsidR="0099419B">
              <w:rPr>
                <w:noProof/>
                <w:webHidden/>
              </w:rPr>
              <w:fldChar w:fldCharType="separate"/>
            </w:r>
            <w:r w:rsidR="00C62F5C">
              <w:rPr>
                <w:noProof/>
                <w:webHidden/>
              </w:rPr>
              <w:t>2</w:t>
            </w:r>
            <w:r w:rsidR="0099419B">
              <w:rPr>
                <w:noProof/>
                <w:webHidden/>
              </w:rPr>
              <w:fldChar w:fldCharType="end"/>
            </w:r>
          </w:hyperlink>
        </w:p>
        <w:p w14:paraId="3B44A308" w14:textId="56A117D8" w:rsidR="0099419B" w:rsidRDefault="004D5480">
          <w:pPr>
            <w:pStyle w:val="TOC1"/>
            <w:rPr>
              <w:rFonts w:asciiTheme="minorHAnsi" w:eastAsiaTheme="minorEastAsia" w:hAnsiTheme="minorHAnsi" w:cstheme="minorBidi"/>
              <w:noProof/>
              <w:sz w:val="22"/>
              <w:lang w:eastAsia="zh-TW"/>
            </w:rPr>
          </w:pPr>
          <w:hyperlink w:anchor="_Toc441421148" w:history="1">
            <w:r w:rsidR="0099419B" w:rsidRPr="00FB54E4">
              <w:rPr>
                <w:rStyle w:val="Hyperlink"/>
                <w:noProof/>
              </w:rPr>
              <w:t>II.</w:t>
            </w:r>
            <w:r w:rsidR="0099419B">
              <w:rPr>
                <w:rFonts w:asciiTheme="minorHAnsi" w:eastAsiaTheme="minorEastAsia" w:hAnsiTheme="minorHAnsi" w:cstheme="minorBidi"/>
                <w:noProof/>
                <w:sz w:val="22"/>
                <w:lang w:eastAsia="zh-TW"/>
              </w:rPr>
              <w:tab/>
            </w:r>
            <w:r w:rsidR="0099419B" w:rsidRPr="00FB54E4">
              <w:rPr>
                <w:rStyle w:val="Hyperlink"/>
                <w:noProof/>
              </w:rPr>
              <w:t>Summary of Opinions</w:t>
            </w:r>
            <w:r w:rsidR="0099419B">
              <w:rPr>
                <w:noProof/>
                <w:webHidden/>
              </w:rPr>
              <w:tab/>
            </w:r>
            <w:r w:rsidR="0099419B">
              <w:rPr>
                <w:noProof/>
                <w:webHidden/>
              </w:rPr>
              <w:fldChar w:fldCharType="begin"/>
            </w:r>
            <w:r w:rsidR="0099419B">
              <w:rPr>
                <w:noProof/>
                <w:webHidden/>
              </w:rPr>
              <w:instrText xml:space="preserve"> PAGEREF _Toc441421148 \h </w:instrText>
            </w:r>
            <w:r w:rsidR="0099419B">
              <w:rPr>
                <w:noProof/>
                <w:webHidden/>
              </w:rPr>
            </w:r>
            <w:r w:rsidR="0099419B">
              <w:rPr>
                <w:noProof/>
                <w:webHidden/>
              </w:rPr>
              <w:fldChar w:fldCharType="separate"/>
            </w:r>
            <w:r w:rsidR="00C62F5C">
              <w:rPr>
                <w:noProof/>
                <w:webHidden/>
              </w:rPr>
              <w:t>3</w:t>
            </w:r>
            <w:r w:rsidR="0099419B">
              <w:rPr>
                <w:noProof/>
                <w:webHidden/>
              </w:rPr>
              <w:fldChar w:fldCharType="end"/>
            </w:r>
          </w:hyperlink>
        </w:p>
        <w:p w14:paraId="532F306A" w14:textId="7D1C8D76" w:rsidR="0099419B" w:rsidRDefault="004D5480">
          <w:pPr>
            <w:pStyle w:val="TOC1"/>
            <w:rPr>
              <w:rFonts w:asciiTheme="minorHAnsi" w:eastAsiaTheme="minorEastAsia" w:hAnsiTheme="minorHAnsi" w:cstheme="minorBidi"/>
              <w:noProof/>
              <w:sz w:val="22"/>
              <w:lang w:eastAsia="zh-TW"/>
            </w:rPr>
          </w:pPr>
          <w:hyperlink w:anchor="_Toc441421149" w:history="1">
            <w:r w:rsidR="0099419B" w:rsidRPr="00FB54E4">
              <w:rPr>
                <w:rStyle w:val="Hyperlink"/>
                <w:noProof/>
              </w:rPr>
              <w:t>III.</w:t>
            </w:r>
            <w:r w:rsidR="0099419B">
              <w:rPr>
                <w:rFonts w:asciiTheme="minorHAnsi" w:eastAsiaTheme="minorEastAsia" w:hAnsiTheme="minorHAnsi" w:cstheme="minorBidi"/>
                <w:noProof/>
                <w:sz w:val="22"/>
                <w:lang w:eastAsia="zh-TW"/>
              </w:rPr>
              <w:tab/>
            </w:r>
            <w:r w:rsidR="0099419B" w:rsidRPr="00FB54E4">
              <w:rPr>
                <w:rStyle w:val="Hyperlink"/>
                <w:noProof/>
              </w:rPr>
              <w:t>Timing and Objectives of Plain Packaging</w:t>
            </w:r>
            <w:r w:rsidR="0099419B">
              <w:rPr>
                <w:noProof/>
                <w:webHidden/>
              </w:rPr>
              <w:tab/>
            </w:r>
            <w:r w:rsidR="0099419B">
              <w:rPr>
                <w:noProof/>
                <w:webHidden/>
              </w:rPr>
              <w:fldChar w:fldCharType="begin"/>
            </w:r>
            <w:r w:rsidR="0099419B">
              <w:rPr>
                <w:noProof/>
                <w:webHidden/>
              </w:rPr>
              <w:instrText xml:space="preserve"> PAGEREF _Toc441421149 \h </w:instrText>
            </w:r>
            <w:r w:rsidR="0099419B">
              <w:rPr>
                <w:noProof/>
                <w:webHidden/>
              </w:rPr>
            </w:r>
            <w:r w:rsidR="0099419B">
              <w:rPr>
                <w:noProof/>
                <w:webHidden/>
              </w:rPr>
              <w:fldChar w:fldCharType="separate"/>
            </w:r>
            <w:r w:rsidR="00C62F5C">
              <w:rPr>
                <w:noProof/>
                <w:webHidden/>
              </w:rPr>
              <w:t>4</w:t>
            </w:r>
            <w:r w:rsidR="0099419B">
              <w:rPr>
                <w:noProof/>
                <w:webHidden/>
              </w:rPr>
              <w:fldChar w:fldCharType="end"/>
            </w:r>
          </w:hyperlink>
        </w:p>
        <w:p w14:paraId="5461296C" w14:textId="4B6BD975" w:rsidR="0099419B" w:rsidRDefault="004D5480">
          <w:pPr>
            <w:pStyle w:val="TOC1"/>
            <w:rPr>
              <w:rFonts w:asciiTheme="minorHAnsi" w:eastAsiaTheme="minorEastAsia" w:hAnsiTheme="minorHAnsi" w:cstheme="minorBidi"/>
              <w:noProof/>
              <w:sz w:val="22"/>
              <w:lang w:eastAsia="zh-TW"/>
            </w:rPr>
          </w:pPr>
          <w:hyperlink w:anchor="_Toc441421150" w:history="1">
            <w:r w:rsidR="0099419B" w:rsidRPr="00FB54E4">
              <w:rPr>
                <w:rStyle w:val="Hyperlink"/>
                <w:noProof/>
              </w:rPr>
              <w:t>IV.</w:t>
            </w:r>
            <w:r w:rsidR="0099419B">
              <w:rPr>
                <w:rFonts w:asciiTheme="minorHAnsi" w:eastAsiaTheme="minorEastAsia" w:hAnsiTheme="minorHAnsi" w:cstheme="minorBidi"/>
                <w:noProof/>
                <w:sz w:val="22"/>
                <w:lang w:eastAsia="zh-TW"/>
              </w:rPr>
              <w:tab/>
            </w:r>
            <w:r w:rsidR="0099419B" w:rsidRPr="00FB54E4">
              <w:rPr>
                <w:rStyle w:val="Hyperlink"/>
                <w:noProof/>
              </w:rPr>
              <w:t>Methodology: Before-After Regression Analysis of Smoking Prevalence</w:t>
            </w:r>
            <w:r w:rsidR="0099419B">
              <w:rPr>
                <w:noProof/>
                <w:webHidden/>
              </w:rPr>
              <w:tab/>
            </w:r>
            <w:r w:rsidR="0099419B">
              <w:rPr>
                <w:noProof/>
                <w:webHidden/>
              </w:rPr>
              <w:fldChar w:fldCharType="begin"/>
            </w:r>
            <w:r w:rsidR="0099419B">
              <w:rPr>
                <w:noProof/>
                <w:webHidden/>
              </w:rPr>
              <w:instrText xml:space="preserve"> PAGEREF _Toc441421150 \h </w:instrText>
            </w:r>
            <w:r w:rsidR="0099419B">
              <w:rPr>
                <w:noProof/>
                <w:webHidden/>
              </w:rPr>
            </w:r>
            <w:r w:rsidR="0099419B">
              <w:rPr>
                <w:noProof/>
                <w:webHidden/>
              </w:rPr>
              <w:fldChar w:fldCharType="separate"/>
            </w:r>
            <w:r w:rsidR="00C62F5C">
              <w:rPr>
                <w:noProof/>
                <w:webHidden/>
              </w:rPr>
              <w:t>5</w:t>
            </w:r>
            <w:r w:rsidR="0099419B">
              <w:rPr>
                <w:noProof/>
                <w:webHidden/>
              </w:rPr>
              <w:fldChar w:fldCharType="end"/>
            </w:r>
          </w:hyperlink>
        </w:p>
        <w:p w14:paraId="2E7F090D" w14:textId="0382456F" w:rsidR="0099419B" w:rsidRDefault="004D5480">
          <w:pPr>
            <w:pStyle w:val="TOC1"/>
            <w:rPr>
              <w:rFonts w:asciiTheme="minorHAnsi" w:eastAsiaTheme="minorEastAsia" w:hAnsiTheme="minorHAnsi" w:cstheme="minorBidi"/>
              <w:noProof/>
              <w:sz w:val="22"/>
              <w:lang w:eastAsia="zh-TW"/>
            </w:rPr>
          </w:pPr>
          <w:hyperlink w:anchor="_Toc441421151" w:history="1">
            <w:r w:rsidR="0099419B" w:rsidRPr="00FB54E4">
              <w:rPr>
                <w:rStyle w:val="Hyperlink"/>
                <w:noProof/>
              </w:rPr>
              <w:t>V.</w:t>
            </w:r>
            <w:r w:rsidR="0099419B">
              <w:rPr>
                <w:rFonts w:asciiTheme="minorHAnsi" w:eastAsiaTheme="minorEastAsia" w:hAnsiTheme="minorHAnsi" w:cstheme="minorBidi"/>
                <w:noProof/>
                <w:sz w:val="22"/>
                <w:lang w:eastAsia="zh-TW"/>
              </w:rPr>
              <w:tab/>
            </w:r>
            <w:r w:rsidR="0099419B" w:rsidRPr="00FB54E4">
              <w:rPr>
                <w:rStyle w:val="Hyperlink"/>
                <w:noProof/>
              </w:rPr>
              <w:t>Roy Morgan Data</w:t>
            </w:r>
            <w:r w:rsidR="0099419B">
              <w:rPr>
                <w:noProof/>
                <w:webHidden/>
              </w:rPr>
              <w:tab/>
            </w:r>
            <w:r w:rsidR="0099419B">
              <w:rPr>
                <w:noProof/>
                <w:webHidden/>
              </w:rPr>
              <w:fldChar w:fldCharType="begin"/>
            </w:r>
            <w:r w:rsidR="0099419B">
              <w:rPr>
                <w:noProof/>
                <w:webHidden/>
              </w:rPr>
              <w:instrText xml:space="preserve"> PAGEREF _Toc441421151 \h </w:instrText>
            </w:r>
            <w:r w:rsidR="0099419B">
              <w:rPr>
                <w:noProof/>
                <w:webHidden/>
              </w:rPr>
            </w:r>
            <w:r w:rsidR="0099419B">
              <w:rPr>
                <w:noProof/>
                <w:webHidden/>
              </w:rPr>
              <w:fldChar w:fldCharType="separate"/>
            </w:r>
            <w:r w:rsidR="00C62F5C">
              <w:rPr>
                <w:noProof/>
                <w:webHidden/>
              </w:rPr>
              <w:t>6</w:t>
            </w:r>
            <w:r w:rsidR="0099419B">
              <w:rPr>
                <w:noProof/>
                <w:webHidden/>
              </w:rPr>
              <w:fldChar w:fldCharType="end"/>
            </w:r>
          </w:hyperlink>
        </w:p>
        <w:p w14:paraId="5A8AF204" w14:textId="37AE6454" w:rsidR="0099419B" w:rsidRDefault="004D5480">
          <w:pPr>
            <w:pStyle w:val="TOC1"/>
            <w:rPr>
              <w:rFonts w:asciiTheme="minorHAnsi" w:eastAsiaTheme="minorEastAsia" w:hAnsiTheme="minorHAnsi" w:cstheme="minorBidi"/>
              <w:noProof/>
              <w:sz w:val="22"/>
              <w:lang w:eastAsia="zh-TW"/>
            </w:rPr>
          </w:pPr>
          <w:hyperlink w:anchor="_Toc441421152" w:history="1">
            <w:r w:rsidR="0099419B" w:rsidRPr="00FB54E4">
              <w:rPr>
                <w:rStyle w:val="Hyperlink"/>
                <w:noProof/>
              </w:rPr>
              <w:t>VI.</w:t>
            </w:r>
            <w:r w:rsidR="0099419B">
              <w:rPr>
                <w:rFonts w:asciiTheme="minorHAnsi" w:eastAsiaTheme="minorEastAsia" w:hAnsiTheme="minorHAnsi" w:cstheme="minorBidi"/>
                <w:noProof/>
                <w:sz w:val="22"/>
                <w:lang w:eastAsia="zh-TW"/>
              </w:rPr>
              <w:tab/>
            </w:r>
            <w:r w:rsidR="0099419B" w:rsidRPr="00FB54E4">
              <w:rPr>
                <w:rStyle w:val="Hyperlink"/>
                <w:noProof/>
              </w:rPr>
              <w:t>Empirical Model</w:t>
            </w:r>
            <w:r w:rsidR="0099419B">
              <w:rPr>
                <w:noProof/>
                <w:webHidden/>
              </w:rPr>
              <w:tab/>
            </w:r>
            <w:r w:rsidR="0099419B">
              <w:rPr>
                <w:noProof/>
                <w:webHidden/>
              </w:rPr>
              <w:fldChar w:fldCharType="begin"/>
            </w:r>
            <w:r w:rsidR="0099419B">
              <w:rPr>
                <w:noProof/>
                <w:webHidden/>
              </w:rPr>
              <w:instrText xml:space="preserve"> PAGEREF _Toc441421152 \h </w:instrText>
            </w:r>
            <w:r w:rsidR="0099419B">
              <w:rPr>
                <w:noProof/>
                <w:webHidden/>
              </w:rPr>
            </w:r>
            <w:r w:rsidR="0099419B">
              <w:rPr>
                <w:noProof/>
                <w:webHidden/>
              </w:rPr>
              <w:fldChar w:fldCharType="separate"/>
            </w:r>
            <w:r w:rsidR="00C62F5C">
              <w:rPr>
                <w:noProof/>
                <w:webHidden/>
              </w:rPr>
              <w:t>7</w:t>
            </w:r>
            <w:r w:rsidR="0099419B">
              <w:rPr>
                <w:noProof/>
                <w:webHidden/>
              </w:rPr>
              <w:fldChar w:fldCharType="end"/>
            </w:r>
          </w:hyperlink>
        </w:p>
        <w:p w14:paraId="1F73696F" w14:textId="384BBC6A" w:rsidR="0099419B" w:rsidRDefault="004D5480">
          <w:pPr>
            <w:pStyle w:val="TOC2"/>
            <w:tabs>
              <w:tab w:val="left" w:pos="810"/>
            </w:tabs>
            <w:rPr>
              <w:rFonts w:asciiTheme="minorHAnsi" w:eastAsiaTheme="minorEastAsia" w:hAnsiTheme="minorHAnsi" w:cstheme="minorBidi"/>
              <w:noProof/>
              <w:sz w:val="22"/>
              <w:lang w:eastAsia="zh-TW"/>
            </w:rPr>
          </w:pPr>
          <w:hyperlink w:anchor="_Toc441421153" w:history="1">
            <w:r w:rsidR="0099419B" w:rsidRPr="00FB54E4">
              <w:rPr>
                <w:rStyle w:val="Hyperlink"/>
                <w:noProof/>
              </w:rPr>
              <w:t>A.</w:t>
            </w:r>
            <w:r w:rsidR="0099419B">
              <w:rPr>
                <w:rFonts w:asciiTheme="minorHAnsi" w:eastAsiaTheme="minorEastAsia" w:hAnsiTheme="minorHAnsi" w:cstheme="minorBidi"/>
                <w:noProof/>
                <w:sz w:val="22"/>
                <w:lang w:eastAsia="zh-TW"/>
              </w:rPr>
              <w:tab/>
            </w:r>
            <w:r w:rsidR="0099419B" w:rsidRPr="00FB54E4">
              <w:rPr>
                <w:rStyle w:val="Hyperlink"/>
                <w:noProof/>
              </w:rPr>
              <w:t>Smoking Status</w:t>
            </w:r>
            <w:r w:rsidR="0099419B">
              <w:rPr>
                <w:noProof/>
                <w:webHidden/>
              </w:rPr>
              <w:tab/>
            </w:r>
            <w:r w:rsidR="0099419B">
              <w:rPr>
                <w:noProof/>
                <w:webHidden/>
              </w:rPr>
              <w:fldChar w:fldCharType="begin"/>
            </w:r>
            <w:r w:rsidR="0099419B">
              <w:rPr>
                <w:noProof/>
                <w:webHidden/>
              </w:rPr>
              <w:instrText xml:space="preserve"> PAGEREF _Toc441421153 \h </w:instrText>
            </w:r>
            <w:r w:rsidR="0099419B">
              <w:rPr>
                <w:noProof/>
                <w:webHidden/>
              </w:rPr>
            </w:r>
            <w:r w:rsidR="0099419B">
              <w:rPr>
                <w:noProof/>
                <w:webHidden/>
              </w:rPr>
              <w:fldChar w:fldCharType="separate"/>
            </w:r>
            <w:r w:rsidR="00C62F5C">
              <w:rPr>
                <w:noProof/>
                <w:webHidden/>
              </w:rPr>
              <w:t>8</w:t>
            </w:r>
            <w:r w:rsidR="0099419B">
              <w:rPr>
                <w:noProof/>
                <w:webHidden/>
              </w:rPr>
              <w:fldChar w:fldCharType="end"/>
            </w:r>
          </w:hyperlink>
        </w:p>
        <w:p w14:paraId="29A082F8" w14:textId="4C87F670" w:rsidR="0099419B" w:rsidRDefault="004D5480">
          <w:pPr>
            <w:pStyle w:val="TOC2"/>
            <w:tabs>
              <w:tab w:val="left" w:pos="810"/>
            </w:tabs>
            <w:rPr>
              <w:rFonts w:asciiTheme="minorHAnsi" w:eastAsiaTheme="minorEastAsia" w:hAnsiTheme="minorHAnsi" w:cstheme="minorBidi"/>
              <w:noProof/>
              <w:sz w:val="22"/>
              <w:lang w:eastAsia="zh-TW"/>
            </w:rPr>
          </w:pPr>
          <w:hyperlink w:anchor="_Toc441421154" w:history="1">
            <w:r w:rsidR="0099419B" w:rsidRPr="00FB54E4">
              <w:rPr>
                <w:rStyle w:val="Hyperlink"/>
                <w:noProof/>
              </w:rPr>
              <w:t>B.</w:t>
            </w:r>
            <w:r w:rsidR="0099419B">
              <w:rPr>
                <w:rFonts w:asciiTheme="minorHAnsi" w:eastAsiaTheme="minorEastAsia" w:hAnsiTheme="minorHAnsi" w:cstheme="minorBidi"/>
                <w:noProof/>
                <w:sz w:val="22"/>
                <w:lang w:eastAsia="zh-TW"/>
              </w:rPr>
              <w:tab/>
            </w:r>
            <w:r w:rsidR="0099419B" w:rsidRPr="00FB54E4">
              <w:rPr>
                <w:rStyle w:val="Hyperlink"/>
                <w:noProof/>
              </w:rPr>
              <w:t>Policy Variables</w:t>
            </w:r>
            <w:r w:rsidR="0099419B">
              <w:rPr>
                <w:noProof/>
                <w:webHidden/>
              </w:rPr>
              <w:tab/>
            </w:r>
            <w:r w:rsidR="0099419B">
              <w:rPr>
                <w:noProof/>
                <w:webHidden/>
              </w:rPr>
              <w:fldChar w:fldCharType="begin"/>
            </w:r>
            <w:r w:rsidR="0099419B">
              <w:rPr>
                <w:noProof/>
                <w:webHidden/>
              </w:rPr>
              <w:instrText xml:space="preserve"> PAGEREF _Toc441421154 \h </w:instrText>
            </w:r>
            <w:r w:rsidR="0099419B">
              <w:rPr>
                <w:noProof/>
                <w:webHidden/>
              </w:rPr>
            </w:r>
            <w:r w:rsidR="0099419B">
              <w:rPr>
                <w:noProof/>
                <w:webHidden/>
              </w:rPr>
              <w:fldChar w:fldCharType="separate"/>
            </w:r>
            <w:r w:rsidR="00C62F5C">
              <w:rPr>
                <w:noProof/>
                <w:webHidden/>
              </w:rPr>
              <w:t>8</w:t>
            </w:r>
            <w:r w:rsidR="0099419B">
              <w:rPr>
                <w:noProof/>
                <w:webHidden/>
              </w:rPr>
              <w:fldChar w:fldCharType="end"/>
            </w:r>
          </w:hyperlink>
        </w:p>
        <w:p w14:paraId="0DCD2E0D" w14:textId="17060EEA" w:rsidR="0099419B" w:rsidRDefault="004D5480">
          <w:pPr>
            <w:pStyle w:val="TOC2"/>
            <w:tabs>
              <w:tab w:val="left" w:pos="810"/>
            </w:tabs>
            <w:rPr>
              <w:rFonts w:asciiTheme="minorHAnsi" w:eastAsiaTheme="minorEastAsia" w:hAnsiTheme="minorHAnsi" w:cstheme="minorBidi"/>
              <w:noProof/>
              <w:sz w:val="22"/>
              <w:lang w:eastAsia="zh-TW"/>
            </w:rPr>
          </w:pPr>
          <w:hyperlink w:anchor="_Toc441421155" w:history="1">
            <w:r w:rsidR="0099419B" w:rsidRPr="00FB54E4">
              <w:rPr>
                <w:rStyle w:val="Hyperlink"/>
                <w:noProof/>
              </w:rPr>
              <w:t>C.</w:t>
            </w:r>
            <w:r w:rsidR="0099419B">
              <w:rPr>
                <w:rFonts w:asciiTheme="minorHAnsi" w:eastAsiaTheme="minorEastAsia" w:hAnsiTheme="minorHAnsi" w:cstheme="minorBidi"/>
                <w:noProof/>
                <w:sz w:val="22"/>
                <w:lang w:eastAsia="zh-TW"/>
              </w:rPr>
              <w:tab/>
            </w:r>
            <w:r w:rsidR="0099419B" w:rsidRPr="00FB54E4">
              <w:rPr>
                <w:rStyle w:val="Hyperlink"/>
                <w:noProof/>
              </w:rPr>
              <w:t>Sociodemographic Characteristics</w:t>
            </w:r>
            <w:r w:rsidR="0099419B">
              <w:rPr>
                <w:noProof/>
                <w:webHidden/>
              </w:rPr>
              <w:tab/>
            </w:r>
            <w:r w:rsidR="0099419B">
              <w:rPr>
                <w:noProof/>
                <w:webHidden/>
              </w:rPr>
              <w:fldChar w:fldCharType="begin"/>
            </w:r>
            <w:r w:rsidR="0099419B">
              <w:rPr>
                <w:noProof/>
                <w:webHidden/>
              </w:rPr>
              <w:instrText xml:space="preserve"> PAGEREF _Toc441421155 \h </w:instrText>
            </w:r>
            <w:r w:rsidR="0099419B">
              <w:rPr>
                <w:noProof/>
                <w:webHidden/>
              </w:rPr>
            </w:r>
            <w:r w:rsidR="0099419B">
              <w:rPr>
                <w:noProof/>
                <w:webHidden/>
              </w:rPr>
              <w:fldChar w:fldCharType="separate"/>
            </w:r>
            <w:r w:rsidR="00C62F5C">
              <w:rPr>
                <w:noProof/>
                <w:webHidden/>
              </w:rPr>
              <w:t>10</w:t>
            </w:r>
            <w:r w:rsidR="0099419B">
              <w:rPr>
                <w:noProof/>
                <w:webHidden/>
              </w:rPr>
              <w:fldChar w:fldCharType="end"/>
            </w:r>
          </w:hyperlink>
        </w:p>
        <w:p w14:paraId="136C66EB" w14:textId="5E76F3E2" w:rsidR="0099419B" w:rsidRDefault="004D5480">
          <w:pPr>
            <w:pStyle w:val="TOC2"/>
            <w:tabs>
              <w:tab w:val="left" w:pos="810"/>
            </w:tabs>
            <w:rPr>
              <w:rFonts w:asciiTheme="minorHAnsi" w:eastAsiaTheme="minorEastAsia" w:hAnsiTheme="minorHAnsi" w:cstheme="minorBidi"/>
              <w:noProof/>
              <w:sz w:val="22"/>
              <w:lang w:eastAsia="zh-TW"/>
            </w:rPr>
          </w:pPr>
          <w:hyperlink w:anchor="_Toc441421156" w:history="1">
            <w:r w:rsidR="0099419B" w:rsidRPr="00FB54E4">
              <w:rPr>
                <w:rStyle w:val="Hyperlink"/>
                <w:noProof/>
              </w:rPr>
              <w:t>D.</w:t>
            </w:r>
            <w:r w:rsidR="0099419B">
              <w:rPr>
                <w:rFonts w:asciiTheme="minorHAnsi" w:eastAsiaTheme="minorEastAsia" w:hAnsiTheme="minorHAnsi" w:cstheme="minorBidi"/>
                <w:noProof/>
                <w:sz w:val="22"/>
                <w:lang w:eastAsia="zh-TW"/>
              </w:rPr>
              <w:tab/>
            </w:r>
            <w:r w:rsidR="0099419B" w:rsidRPr="00FB54E4">
              <w:rPr>
                <w:rStyle w:val="Hyperlink"/>
                <w:noProof/>
              </w:rPr>
              <w:t>Time Trend</w:t>
            </w:r>
            <w:r w:rsidR="0099419B">
              <w:rPr>
                <w:noProof/>
                <w:webHidden/>
              </w:rPr>
              <w:tab/>
            </w:r>
            <w:r w:rsidR="0099419B">
              <w:rPr>
                <w:noProof/>
                <w:webHidden/>
              </w:rPr>
              <w:fldChar w:fldCharType="begin"/>
            </w:r>
            <w:r w:rsidR="0099419B">
              <w:rPr>
                <w:noProof/>
                <w:webHidden/>
              </w:rPr>
              <w:instrText xml:space="preserve"> PAGEREF _Toc441421156 \h </w:instrText>
            </w:r>
            <w:r w:rsidR="0099419B">
              <w:rPr>
                <w:noProof/>
                <w:webHidden/>
              </w:rPr>
            </w:r>
            <w:r w:rsidR="0099419B">
              <w:rPr>
                <w:noProof/>
                <w:webHidden/>
              </w:rPr>
              <w:fldChar w:fldCharType="separate"/>
            </w:r>
            <w:r w:rsidR="00C62F5C">
              <w:rPr>
                <w:noProof/>
                <w:webHidden/>
              </w:rPr>
              <w:t>11</w:t>
            </w:r>
            <w:r w:rsidR="0099419B">
              <w:rPr>
                <w:noProof/>
                <w:webHidden/>
              </w:rPr>
              <w:fldChar w:fldCharType="end"/>
            </w:r>
          </w:hyperlink>
        </w:p>
        <w:p w14:paraId="40B4EFB5" w14:textId="14770CE1" w:rsidR="0099419B" w:rsidRDefault="004D5480">
          <w:pPr>
            <w:pStyle w:val="TOC1"/>
            <w:rPr>
              <w:rFonts w:asciiTheme="minorHAnsi" w:eastAsiaTheme="minorEastAsia" w:hAnsiTheme="minorHAnsi" w:cstheme="minorBidi"/>
              <w:noProof/>
              <w:sz w:val="22"/>
              <w:lang w:eastAsia="zh-TW"/>
            </w:rPr>
          </w:pPr>
          <w:hyperlink w:anchor="_Toc441421157" w:history="1">
            <w:r w:rsidR="0099419B" w:rsidRPr="00FB54E4">
              <w:rPr>
                <w:rStyle w:val="Hyperlink"/>
                <w:noProof/>
              </w:rPr>
              <w:t>VII.</w:t>
            </w:r>
            <w:r w:rsidR="0099419B">
              <w:rPr>
                <w:rFonts w:asciiTheme="minorHAnsi" w:eastAsiaTheme="minorEastAsia" w:hAnsiTheme="minorHAnsi" w:cstheme="minorBidi"/>
                <w:noProof/>
                <w:sz w:val="22"/>
                <w:lang w:eastAsia="zh-TW"/>
              </w:rPr>
              <w:tab/>
            </w:r>
            <w:r w:rsidR="0099419B" w:rsidRPr="00FB54E4">
              <w:rPr>
                <w:rStyle w:val="Hyperlink"/>
                <w:noProof/>
              </w:rPr>
              <w:t>Descriptive Statistics</w:t>
            </w:r>
            <w:r w:rsidR="0099419B">
              <w:rPr>
                <w:noProof/>
                <w:webHidden/>
              </w:rPr>
              <w:tab/>
            </w:r>
            <w:r w:rsidR="0099419B">
              <w:rPr>
                <w:noProof/>
                <w:webHidden/>
              </w:rPr>
              <w:fldChar w:fldCharType="begin"/>
            </w:r>
            <w:r w:rsidR="0099419B">
              <w:rPr>
                <w:noProof/>
                <w:webHidden/>
              </w:rPr>
              <w:instrText xml:space="preserve"> PAGEREF _Toc441421157 \h </w:instrText>
            </w:r>
            <w:r w:rsidR="0099419B">
              <w:rPr>
                <w:noProof/>
                <w:webHidden/>
              </w:rPr>
            </w:r>
            <w:r w:rsidR="0099419B">
              <w:rPr>
                <w:noProof/>
                <w:webHidden/>
              </w:rPr>
              <w:fldChar w:fldCharType="separate"/>
            </w:r>
            <w:r w:rsidR="00C62F5C">
              <w:rPr>
                <w:noProof/>
                <w:webHidden/>
              </w:rPr>
              <w:t>12</w:t>
            </w:r>
            <w:r w:rsidR="0099419B">
              <w:rPr>
                <w:noProof/>
                <w:webHidden/>
              </w:rPr>
              <w:fldChar w:fldCharType="end"/>
            </w:r>
          </w:hyperlink>
        </w:p>
        <w:p w14:paraId="785CBE47" w14:textId="3635DD2B" w:rsidR="0099419B" w:rsidRDefault="004D5480">
          <w:pPr>
            <w:pStyle w:val="TOC1"/>
            <w:rPr>
              <w:rFonts w:asciiTheme="minorHAnsi" w:eastAsiaTheme="minorEastAsia" w:hAnsiTheme="minorHAnsi" w:cstheme="minorBidi"/>
              <w:noProof/>
              <w:sz w:val="22"/>
              <w:lang w:eastAsia="zh-TW"/>
            </w:rPr>
          </w:pPr>
          <w:hyperlink w:anchor="_Toc441421158" w:history="1">
            <w:r w:rsidR="0099419B" w:rsidRPr="00FB54E4">
              <w:rPr>
                <w:rStyle w:val="Hyperlink"/>
                <w:noProof/>
              </w:rPr>
              <w:t>VIII.</w:t>
            </w:r>
            <w:r w:rsidR="0099419B">
              <w:rPr>
                <w:rFonts w:asciiTheme="minorHAnsi" w:eastAsiaTheme="minorEastAsia" w:hAnsiTheme="minorHAnsi" w:cstheme="minorBidi"/>
                <w:noProof/>
                <w:sz w:val="22"/>
                <w:lang w:eastAsia="zh-TW"/>
              </w:rPr>
              <w:tab/>
            </w:r>
            <w:r w:rsidR="0099419B" w:rsidRPr="00FB54E4">
              <w:rPr>
                <w:rStyle w:val="Hyperlink"/>
                <w:noProof/>
              </w:rPr>
              <w:t>Regression Results</w:t>
            </w:r>
            <w:r w:rsidR="0099419B">
              <w:rPr>
                <w:noProof/>
                <w:webHidden/>
              </w:rPr>
              <w:tab/>
            </w:r>
            <w:r w:rsidR="0099419B">
              <w:rPr>
                <w:noProof/>
                <w:webHidden/>
              </w:rPr>
              <w:fldChar w:fldCharType="begin"/>
            </w:r>
            <w:r w:rsidR="0099419B">
              <w:rPr>
                <w:noProof/>
                <w:webHidden/>
              </w:rPr>
              <w:instrText xml:space="preserve"> PAGEREF _Toc441421158 \h </w:instrText>
            </w:r>
            <w:r w:rsidR="0099419B">
              <w:rPr>
                <w:noProof/>
                <w:webHidden/>
              </w:rPr>
            </w:r>
            <w:r w:rsidR="0099419B">
              <w:rPr>
                <w:noProof/>
                <w:webHidden/>
              </w:rPr>
              <w:fldChar w:fldCharType="separate"/>
            </w:r>
            <w:r w:rsidR="00C62F5C">
              <w:rPr>
                <w:noProof/>
                <w:webHidden/>
              </w:rPr>
              <w:t>14</w:t>
            </w:r>
            <w:r w:rsidR="0099419B">
              <w:rPr>
                <w:noProof/>
                <w:webHidden/>
              </w:rPr>
              <w:fldChar w:fldCharType="end"/>
            </w:r>
          </w:hyperlink>
        </w:p>
        <w:p w14:paraId="18FCAD98" w14:textId="4B7294C2" w:rsidR="0099419B" w:rsidRDefault="004D5480">
          <w:pPr>
            <w:pStyle w:val="TOC1"/>
            <w:rPr>
              <w:rFonts w:asciiTheme="minorHAnsi" w:eastAsiaTheme="minorEastAsia" w:hAnsiTheme="minorHAnsi" w:cstheme="minorBidi"/>
              <w:noProof/>
              <w:sz w:val="22"/>
              <w:lang w:eastAsia="zh-TW"/>
            </w:rPr>
          </w:pPr>
          <w:hyperlink w:anchor="_Toc441421159" w:history="1">
            <w:r w:rsidR="0099419B" w:rsidRPr="00FB54E4">
              <w:rPr>
                <w:rStyle w:val="Hyperlink"/>
                <w:noProof/>
              </w:rPr>
              <w:t>IX.</w:t>
            </w:r>
            <w:r w:rsidR="0099419B">
              <w:rPr>
                <w:rFonts w:asciiTheme="minorHAnsi" w:eastAsiaTheme="minorEastAsia" w:hAnsiTheme="minorHAnsi" w:cstheme="minorBidi"/>
                <w:noProof/>
                <w:sz w:val="22"/>
                <w:lang w:eastAsia="zh-TW"/>
              </w:rPr>
              <w:tab/>
            </w:r>
            <w:r w:rsidR="0099419B" w:rsidRPr="00FB54E4">
              <w:rPr>
                <w:rStyle w:val="Hyperlink"/>
                <w:noProof/>
              </w:rPr>
              <w:t>Conclusion</w:t>
            </w:r>
            <w:r w:rsidR="0099419B">
              <w:rPr>
                <w:noProof/>
                <w:webHidden/>
              </w:rPr>
              <w:tab/>
            </w:r>
            <w:r w:rsidR="0099419B">
              <w:rPr>
                <w:noProof/>
                <w:webHidden/>
              </w:rPr>
              <w:fldChar w:fldCharType="begin"/>
            </w:r>
            <w:r w:rsidR="0099419B">
              <w:rPr>
                <w:noProof/>
                <w:webHidden/>
              </w:rPr>
              <w:instrText xml:space="preserve"> PAGEREF _Toc441421159 \h </w:instrText>
            </w:r>
            <w:r w:rsidR="0099419B">
              <w:rPr>
                <w:noProof/>
                <w:webHidden/>
              </w:rPr>
            </w:r>
            <w:r w:rsidR="0099419B">
              <w:rPr>
                <w:noProof/>
                <w:webHidden/>
              </w:rPr>
              <w:fldChar w:fldCharType="separate"/>
            </w:r>
            <w:r w:rsidR="00C62F5C">
              <w:rPr>
                <w:noProof/>
                <w:webHidden/>
              </w:rPr>
              <w:t>20</w:t>
            </w:r>
            <w:r w:rsidR="0099419B">
              <w:rPr>
                <w:noProof/>
                <w:webHidden/>
              </w:rPr>
              <w:fldChar w:fldCharType="end"/>
            </w:r>
          </w:hyperlink>
        </w:p>
        <w:p w14:paraId="309C672D" w14:textId="05C1C407" w:rsidR="0099419B" w:rsidRDefault="004D5480">
          <w:pPr>
            <w:pStyle w:val="TOC1"/>
            <w:rPr>
              <w:rFonts w:asciiTheme="minorHAnsi" w:eastAsiaTheme="minorEastAsia" w:hAnsiTheme="minorHAnsi" w:cstheme="minorBidi"/>
              <w:noProof/>
              <w:sz w:val="22"/>
              <w:lang w:eastAsia="zh-TW"/>
            </w:rPr>
          </w:pPr>
          <w:hyperlink w:anchor="_Toc441421160" w:history="1">
            <w:r w:rsidR="0099419B" w:rsidRPr="00FB54E4">
              <w:rPr>
                <w:rStyle w:val="Hyperlink"/>
                <w:noProof/>
              </w:rPr>
              <w:t>Appendix A – Curriculum Vitae</w:t>
            </w:r>
            <w:r w:rsidR="0099419B">
              <w:rPr>
                <w:noProof/>
                <w:webHidden/>
              </w:rPr>
              <w:tab/>
            </w:r>
            <w:r w:rsidR="0099419B">
              <w:rPr>
                <w:noProof/>
                <w:webHidden/>
              </w:rPr>
              <w:fldChar w:fldCharType="begin"/>
            </w:r>
            <w:r w:rsidR="0099419B">
              <w:rPr>
                <w:noProof/>
                <w:webHidden/>
              </w:rPr>
              <w:instrText xml:space="preserve"> PAGEREF _Toc441421160 \h </w:instrText>
            </w:r>
            <w:r w:rsidR="0099419B">
              <w:rPr>
                <w:noProof/>
                <w:webHidden/>
              </w:rPr>
            </w:r>
            <w:r w:rsidR="0099419B">
              <w:rPr>
                <w:noProof/>
                <w:webHidden/>
              </w:rPr>
              <w:fldChar w:fldCharType="separate"/>
            </w:r>
            <w:r w:rsidR="00C62F5C">
              <w:rPr>
                <w:noProof/>
                <w:webHidden/>
              </w:rPr>
              <w:t>21</w:t>
            </w:r>
            <w:r w:rsidR="0099419B">
              <w:rPr>
                <w:noProof/>
                <w:webHidden/>
              </w:rPr>
              <w:fldChar w:fldCharType="end"/>
            </w:r>
          </w:hyperlink>
        </w:p>
        <w:p w14:paraId="7B2F03B5" w14:textId="7589E315" w:rsidR="0099419B" w:rsidRDefault="004D5480">
          <w:pPr>
            <w:pStyle w:val="TOC1"/>
            <w:rPr>
              <w:rFonts w:asciiTheme="minorHAnsi" w:eastAsiaTheme="minorEastAsia" w:hAnsiTheme="minorHAnsi" w:cstheme="minorBidi"/>
              <w:noProof/>
              <w:sz w:val="22"/>
              <w:lang w:eastAsia="zh-TW"/>
            </w:rPr>
          </w:pPr>
          <w:hyperlink w:anchor="_Toc441421161" w:history="1">
            <w:r w:rsidR="0099419B" w:rsidRPr="00FB54E4">
              <w:rPr>
                <w:rStyle w:val="Hyperlink"/>
                <w:noProof/>
              </w:rPr>
              <w:t>Appendix B – Masking of Root Behavior Changes in Smoking Prevalence</w:t>
            </w:r>
            <w:r w:rsidR="0099419B">
              <w:rPr>
                <w:noProof/>
                <w:webHidden/>
              </w:rPr>
              <w:tab/>
            </w:r>
            <w:r w:rsidR="0099419B">
              <w:rPr>
                <w:noProof/>
                <w:webHidden/>
              </w:rPr>
              <w:fldChar w:fldCharType="begin"/>
            </w:r>
            <w:r w:rsidR="0099419B">
              <w:rPr>
                <w:noProof/>
                <w:webHidden/>
              </w:rPr>
              <w:instrText xml:space="preserve"> PAGEREF _Toc441421161 \h </w:instrText>
            </w:r>
            <w:r w:rsidR="0099419B">
              <w:rPr>
                <w:noProof/>
                <w:webHidden/>
              </w:rPr>
            </w:r>
            <w:r w:rsidR="0099419B">
              <w:rPr>
                <w:noProof/>
                <w:webHidden/>
              </w:rPr>
              <w:fldChar w:fldCharType="separate"/>
            </w:r>
            <w:r w:rsidR="00C62F5C">
              <w:rPr>
                <w:noProof/>
                <w:webHidden/>
              </w:rPr>
              <w:t>29</w:t>
            </w:r>
            <w:r w:rsidR="0099419B">
              <w:rPr>
                <w:noProof/>
                <w:webHidden/>
              </w:rPr>
              <w:fldChar w:fldCharType="end"/>
            </w:r>
          </w:hyperlink>
        </w:p>
        <w:p w14:paraId="55AE3934" w14:textId="77777777" w:rsidR="0099419B" w:rsidRDefault="004D5480">
          <w:pPr>
            <w:pStyle w:val="TOC1"/>
            <w:rPr>
              <w:rFonts w:asciiTheme="minorHAnsi" w:eastAsiaTheme="minorEastAsia" w:hAnsiTheme="minorHAnsi" w:cstheme="minorBidi"/>
              <w:noProof/>
              <w:sz w:val="22"/>
              <w:lang w:eastAsia="zh-TW"/>
            </w:rPr>
          </w:pPr>
          <w:hyperlink w:anchor="_Toc441421162" w:history="1">
            <w:r w:rsidR="0099419B" w:rsidRPr="00FB54E4">
              <w:rPr>
                <w:rStyle w:val="Hyperlink"/>
                <w:noProof/>
              </w:rPr>
              <w:t>Appendix C – Multiple Regression Model</w:t>
            </w:r>
            <w:r w:rsidR="0099419B">
              <w:rPr>
                <w:noProof/>
                <w:webHidden/>
              </w:rPr>
              <w:tab/>
            </w:r>
            <w:r w:rsidR="0099419B">
              <w:rPr>
                <w:noProof/>
                <w:webHidden/>
              </w:rPr>
              <w:fldChar w:fldCharType="begin"/>
            </w:r>
            <w:r w:rsidR="0099419B">
              <w:rPr>
                <w:noProof/>
                <w:webHidden/>
              </w:rPr>
              <w:instrText xml:space="preserve"> PAGEREF _Toc441421162 \h </w:instrText>
            </w:r>
            <w:r w:rsidR="0099419B">
              <w:rPr>
                <w:noProof/>
                <w:webHidden/>
              </w:rPr>
            </w:r>
            <w:r w:rsidR="0099419B">
              <w:rPr>
                <w:noProof/>
                <w:webHidden/>
              </w:rPr>
              <w:fldChar w:fldCharType="separate"/>
            </w:r>
            <w:r w:rsidR="00C62F5C">
              <w:rPr>
                <w:noProof/>
                <w:webHidden/>
              </w:rPr>
              <w:t>31</w:t>
            </w:r>
            <w:r w:rsidR="0099419B">
              <w:rPr>
                <w:noProof/>
                <w:webHidden/>
              </w:rPr>
              <w:fldChar w:fldCharType="end"/>
            </w:r>
          </w:hyperlink>
        </w:p>
        <w:p w14:paraId="17D562E0" w14:textId="77777777" w:rsidR="0099419B" w:rsidRDefault="004D5480">
          <w:pPr>
            <w:pStyle w:val="TOC1"/>
            <w:rPr>
              <w:rFonts w:asciiTheme="minorHAnsi" w:eastAsiaTheme="minorEastAsia" w:hAnsiTheme="minorHAnsi" w:cstheme="minorBidi"/>
              <w:noProof/>
              <w:sz w:val="22"/>
              <w:lang w:eastAsia="zh-TW"/>
            </w:rPr>
          </w:pPr>
          <w:hyperlink w:anchor="_Toc441421163" w:history="1">
            <w:r w:rsidR="0099419B" w:rsidRPr="00FB54E4">
              <w:rPr>
                <w:rStyle w:val="Hyperlink"/>
                <w:noProof/>
              </w:rPr>
              <w:t>Appendix D – Full Estimation Results</w:t>
            </w:r>
            <w:r w:rsidR="0099419B">
              <w:rPr>
                <w:noProof/>
                <w:webHidden/>
              </w:rPr>
              <w:tab/>
            </w:r>
            <w:r w:rsidR="0099419B">
              <w:rPr>
                <w:noProof/>
                <w:webHidden/>
              </w:rPr>
              <w:fldChar w:fldCharType="begin"/>
            </w:r>
            <w:r w:rsidR="0099419B">
              <w:rPr>
                <w:noProof/>
                <w:webHidden/>
              </w:rPr>
              <w:instrText xml:space="preserve"> PAGEREF _Toc441421163 \h </w:instrText>
            </w:r>
            <w:r w:rsidR="0099419B">
              <w:rPr>
                <w:noProof/>
                <w:webHidden/>
              </w:rPr>
            </w:r>
            <w:r w:rsidR="0099419B">
              <w:rPr>
                <w:noProof/>
                <w:webHidden/>
              </w:rPr>
              <w:fldChar w:fldCharType="separate"/>
            </w:r>
            <w:r w:rsidR="00C62F5C">
              <w:rPr>
                <w:noProof/>
                <w:webHidden/>
              </w:rPr>
              <w:t>33</w:t>
            </w:r>
            <w:r w:rsidR="0099419B">
              <w:rPr>
                <w:noProof/>
                <w:webHidden/>
              </w:rPr>
              <w:fldChar w:fldCharType="end"/>
            </w:r>
          </w:hyperlink>
        </w:p>
        <w:p w14:paraId="2BB2CA18" w14:textId="77777777" w:rsidR="008721AC" w:rsidRPr="00590474" w:rsidRDefault="008721AC">
          <w:pPr>
            <w:ind w:left="0" w:firstLine="0"/>
          </w:pPr>
          <w:r w:rsidRPr="009D7833">
            <w:rPr>
              <w:b/>
              <w:bCs/>
              <w:noProof/>
              <w:sz w:val="22"/>
            </w:rPr>
            <w:fldChar w:fldCharType="end"/>
          </w:r>
        </w:p>
      </w:sdtContent>
    </w:sdt>
    <w:p w14:paraId="610C775A" w14:textId="06F13477" w:rsidR="00BD2688" w:rsidRDefault="00BD2688" w:rsidP="000E1CBE">
      <w:pPr>
        <w:ind w:left="0" w:firstLine="0"/>
        <w:jc w:val="center"/>
        <w:rPr>
          <w:b/>
          <w:szCs w:val="24"/>
        </w:rPr>
      </w:pPr>
      <w:bookmarkStart w:id="1" w:name="_Toc374024778"/>
      <w:bookmarkStart w:id="2" w:name="_Toc374482305"/>
      <w:bookmarkStart w:id="3" w:name="_Toc374482315"/>
      <w:r>
        <w:rPr>
          <w:b/>
          <w:szCs w:val="24"/>
        </w:rPr>
        <w:br w:type="page"/>
      </w:r>
    </w:p>
    <w:p w14:paraId="364B8FE3" w14:textId="77777777" w:rsidR="00961C32" w:rsidRPr="000E1CBE" w:rsidRDefault="00CF3DD3" w:rsidP="00611648">
      <w:pPr>
        <w:ind w:left="0" w:firstLine="0"/>
        <w:jc w:val="center"/>
        <w:rPr>
          <w:rStyle w:val="Strong"/>
        </w:rPr>
      </w:pPr>
      <w:r w:rsidRPr="000E1CBE">
        <w:rPr>
          <w:rStyle w:val="Strong"/>
        </w:rPr>
        <w:lastRenderedPageBreak/>
        <w:t>Report of Dr. Tasneem Chipty</w:t>
      </w:r>
    </w:p>
    <w:p w14:paraId="0BDBC94A" w14:textId="62A18994" w:rsidR="00CF3DD3" w:rsidRPr="000E1CBE" w:rsidRDefault="00B86273">
      <w:pPr>
        <w:ind w:left="0" w:firstLine="0"/>
        <w:jc w:val="center"/>
        <w:rPr>
          <w:rStyle w:val="Strong"/>
        </w:rPr>
      </w:pPr>
      <w:r w:rsidRPr="000E1CBE">
        <w:rPr>
          <w:rStyle w:val="Strong"/>
        </w:rPr>
        <w:t xml:space="preserve">January </w:t>
      </w:r>
      <w:r w:rsidR="00ED5989" w:rsidRPr="000E1CBE">
        <w:rPr>
          <w:rStyle w:val="Strong"/>
        </w:rPr>
        <w:t xml:space="preserve">24, </w:t>
      </w:r>
      <w:r w:rsidR="00631BD0" w:rsidRPr="000E1CBE">
        <w:rPr>
          <w:rStyle w:val="Strong"/>
        </w:rPr>
        <w:t>201</w:t>
      </w:r>
      <w:r w:rsidRPr="000E1CBE">
        <w:rPr>
          <w:rStyle w:val="Strong"/>
        </w:rPr>
        <w:t>6</w:t>
      </w:r>
    </w:p>
    <w:p w14:paraId="09C5DCD9" w14:textId="77777777" w:rsidR="00AC6443" w:rsidRPr="00590474" w:rsidRDefault="00AC6443">
      <w:pPr>
        <w:ind w:left="0" w:firstLine="0"/>
        <w:jc w:val="center"/>
        <w:rPr>
          <w:b/>
          <w:szCs w:val="24"/>
        </w:rPr>
      </w:pPr>
    </w:p>
    <w:p w14:paraId="06B636D2" w14:textId="77777777" w:rsidR="00733B5B" w:rsidRPr="00590474" w:rsidRDefault="00733B5B" w:rsidP="000D5DA2">
      <w:pPr>
        <w:pStyle w:val="Heading1"/>
        <w:rPr>
          <w:szCs w:val="24"/>
        </w:rPr>
      </w:pPr>
      <w:bookmarkStart w:id="4" w:name="_Toc375331989"/>
      <w:bookmarkStart w:id="5" w:name="_Toc441421147"/>
      <w:bookmarkEnd w:id="4"/>
      <w:r w:rsidRPr="00590474">
        <w:t>Introduction</w:t>
      </w:r>
      <w:bookmarkEnd w:id="1"/>
      <w:bookmarkEnd w:id="2"/>
      <w:bookmarkEnd w:id="5"/>
    </w:p>
    <w:p w14:paraId="1761BC6E" w14:textId="77777777" w:rsidR="00C97BF9" w:rsidRDefault="00733B5B" w:rsidP="00A40EA9">
      <w:pPr>
        <w:pStyle w:val="BodyText"/>
        <w:numPr>
          <w:ilvl w:val="3"/>
          <w:numId w:val="2"/>
        </w:numPr>
        <w:tabs>
          <w:tab w:val="clear" w:pos="1260"/>
          <w:tab w:val="num" w:pos="0"/>
          <w:tab w:val="num" w:pos="720"/>
        </w:tabs>
        <w:spacing w:before="120" w:after="0" w:line="360" w:lineRule="auto"/>
        <w:ind w:left="0" w:firstLine="720"/>
      </w:pPr>
      <w:r w:rsidRPr="00590474">
        <w:t xml:space="preserve">My name is Tasneem Chipty.  I am a Managing Principal of Analysis Group, Inc., an economic and business consulting firm headquartered in </w:t>
      </w:r>
      <w:r w:rsidR="000D5DA2">
        <w:t>the United States</w:t>
      </w:r>
      <w:r w:rsidR="00650564">
        <w:t xml:space="preserve">.  I specialize in </w:t>
      </w:r>
      <w:r w:rsidR="00A40EA9">
        <w:t xml:space="preserve">industrial organization </w:t>
      </w:r>
      <w:r w:rsidR="00B73F5E">
        <w:t xml:space="preserve">– </w:t>
      </w:r>
      <w:r w:rsidR="00A40EA9" w:rsidRPr="00590474">
        <w:t xml:space="preserve">the study of how markets function, including </w:t>
      </w:r>
      <w:r w:rsidR="00A40EA9">
        <w:t xml:space="preserve">the choices consumers make, the </w:t>
      </w:r>
      <w:r w:rsidR="00A40EA9" w:rsidRPr="00590474">
        <w:t>competitive interactions among firms</w:t>
      </w:r>
      <w:r w:rsidR="00A40EA9">
        <w:t>, and the effect of regulation on marketplace behaviors.</w:t>
      </w:r>
      <w:r w:rsidR="00A40EA9" w:rsidRPr="00590474">
        <w:t xml:space="preserve"> </w:t>
      </w:r>
      <w:r w:rsidR="00A40EA9">
        <w:t xml:space="preserve"> </w:t>
      </w:r>
      <w:r w:rsidR="00B73F5E">
        <w:t>I also specialize in e</w:t>
      </w:r>
      <w:r w:rsidR="00C428FD">
        <w:t xml:space="preserve">conometrics </w:t>
      </w:r>
      <w:r w:rsidR="00B73F5E">
        <w:t xml:space="preserve">– </w:t>
      </w:r>
      <w:r w:rsidR="00C428FD">
        <w:t>the application of statistical methods, including regression models,</w:t>
      </w:r>
      <w:r w:rsidR="00945B3B">
        <w:t xml:space="preserve"> to study empirically marketplace behaviors</w:t>
      </w:r>
      <w:r w:rsidR="00C428FD">
        <w:t xml:space="preserve">.  </w:t>
      </w:r>
      <w:r w:rsidRPr="00590474">
        <w:t xml:space="preserve">I have served on the faculties of The Ohio State University, Brandeis University, and the Massachusetts Institute of Technology, where I taught courses in </w:t>
      </w:r>
      <w:r w:rsidR="00A40EA9">
        <w:t xml:space="preserve">industrial organization, regulatory policy, and </w:t>
      </w:r>
      <w:r w:rsidR="00C428FD">
        <w:t>econometrics</w:t>
      </w:r>
      <w:r w:rsidRPr="00590474">
        <w:t>.  I am the author or coauthor of several academic articles</w:t>
      </w:r>
      <w:r w:rsidR="006C2B88">
        <w:t xml:space="preserve">, </w:t>
      </w:r>
      <w:r w:rsidR="006C2B88" w:rsidRPr="00590474">
        <w:t xml:space="preserve">published in peer-reviewed journals including the </w:t>
      </w:r>
      <w:r w:rsidR="006C2B88" w:rsidRPr="000E1CBE">
        <w:rPr>
          <w:rStyle w:val="Emphasis"/>
        </w:rPr>
        <w:t xml:space="preserve">American Economic Review </w:t>
      </w:r>
      <w:r w:rsidR="006C2B88" w:rsidRPr="00636D03">
        <w:t>and the</w:t>
      </w:r>
      <w:r w:rsidR="006C2B88" w:rsidRPr="00973478">
        <w:rPr>
          <w:rStyle w:val="Emphasis"/>
          <w:i w:val="0"/>
        </w:rPr>
        <w:t xml:space="preserve"> </w:t>
      </w:r>
      <w:r w:rsidR="006C2B88" w:rsidRPr="000E1CBE">
        <w:rPr>
          <w:rStyle w:val="Emphasis"/>
        </w:rPr>
        <w:t>Re</w:t>
      </w:r>
      <w:r w:rsidR="00945B3B" w:rsidRPr="000E1CBE">
        <w:rPr>
          <w:rStyle w:val="Emphasis"/>
        </w:rPr>
        <w:t xml:space="preserve">view of Economics and </w:t>
      </w:r>
      <w:r w:rsidR="000246B6" w:rsidRPr="000E1CBE">
        <w:rPr>
          <w:rStyle w:val="Emphasis"/>
        </w:rPr>
        <w:t>Statistics</w:t>
      </w:r>
      <w:r w:rsidR="00CA2C3A">
        <w:t>,</w:t>
      </w:r>
      <w:r w:rsidR="000246B6">
        <w:t xml:space="preserve"> </w:t>
      </w:r>
      <w:r w:rsidR="008B7544">
        <w:t>all of which use</w:t>
      </w:r>
      <w:r w:rsidR="00F303FA">
        <w:t xml:space="preserve"> empirical methods to </w:t>
      </w:r>
      <w:r w:rsidR="006C2B88">
        <w:t>study consumer choice</w:t>
      </w:r>
      <w:r w:rsidR="00C428FD">
        <w:t xml:space="preserve"> and firms</w:t>
      </w:r>
      <w:r w:rsidR="003C6B20">
        <w:t>’</w:t>
      </w:r>
      <w:r w:rsidR="00C428FD">
        <w:t xml:space="preserve"> pricing decisions</w:t>
      </w:r>
      <w:r w:rsidR="008B7544">
        <w:t>.</w:t>
      </w:r>
    </w:p>
    <w:p w14:paraId="1B868CE6" w14:textId="77777777" w:rsidR="00733B5B" w:rsidRPr="00590474" w:rsidRDefault="00C97BF9" w:rsidP="00A40EA9">
      <w:pPr>
        <w:pStyle w:val="BodyText"/>
        <w:numPr>
          <w:ilvl w:val="3"/>
          <w:numId w:val="2"/>
        </w:numPr>
        <w:tabs>
          <w:tab w:val="clear" w:pos="1260"/>
          <w:tab w:val="num" w:pos="0"/>
          <w:tab w:val="num" w:pos="720"/>
        </w:tabs>
        <w:spacing w:before="120" w:after="0" w:line="360" w:lineRule="auto"/>
        <w:ind w:left="0" w:firstLine="720"/>
      </w:pPr>
      <w:r>
        <w:t xml:space="preserve">I </w:t>
      </w:r>
      <w:r w:rsidR="0091374B">
        <w:t>have been a</w:t>
      </w:r>
      <w:r w:rsidR="00C428FD">
        <w:t xml:space="preserve"> co</w:t>
      </w:r>
      <w:r w:rsidR="00733B5B" w:rsidRPr="00590474">
        <w:t>nsultant to a variety of businesses</w:t>
      </w:r>
      <w:r w:rsidR="00D65284">
        <w:t xml:space="preserve"> and government agencies, including </w:t>
      </w:r>
      <w:r w:rsidR="00A40EA9">
        <w:t xml:space="preserve">the </w:t>
      </w:r>
      <w:r w:rsidR="00663B69">
        <w:t>G</w:t>
      </w:r>
      <w:r>
        <w:t xml:space="preserve">overnment of Australia, the </w:t>
      </w:r>
      <w:r w:rsidR="00D65284">
        <w:t xml:space="preserve">United States </w:t>
      </w:r>
      <w:r w:rsidR="00733B5B" w:rsidRPr="00590474">
        <w:t>Department of Justice</w:t>
      </w:r>
      <w:r w:rsidR="00D65284">
        <w:t xml:space="preserve">, </w:t>
      </w:r>
      <w:r w:rsidR="00733B5B" w:rsidRPr="00590474">
        <w:t xml:space="preserve">the </w:t>
      </w:r>
      <w:r w:rsidR="00A40EA9">
        <w:t xml:space="preserve">United States </w:t>
      </w:r>
      <w:r w:rsidR="00733B5B" w:rsidRPr="00590474">
        <w:t>Federal Communications Commission</w:t>
      </w:r>
      <w:r w:rsidR="00D65284">
        <w:t xml:space="preserve">, </w:t>
      </w:r>
      <w:r w:rsidR="00B73F5E">
        <w:t xml:space="preserve">and </w:t>
      </w:r>
      <w:r w:rsidR="00D65284">
        <w:t xml:space="preserve">the Massachusetts Health Policy Commission.  </w:t>
      </w:r>
      <w:r>
        <w:t>I have previously submitted testimony to the World Trade Organization, on behalf of Australia, in a series of trade disputes involving Australia’s Tobacco Plain Packaging Act</w:t>
      </w:r>
      <w:r w:rsidR="00650564">
        <w:t xml:space="preserve"> (“</w:t>
      </w:r>
      <w:r w:rsidR="00DA523C">
        <w:t>TPP Act</w:t>
      </w:r>
      <w:r w:rsidR="00650564">
        <w:t>”)</w:t>
      </w:r>
      <w:r>
        <w:t xml:space="preserve">.  </w:t>
      </w:r>
      <w:r w:rsidR="00B73F5E">
        <w:t>As part of this work, I have studied the effects of tobacco control policies</w:t>
      </w:r>
      <w:r w:rsidR="00663B69">
        <w:t xml:space="preserve"> in Australia</w:t>
      </w:r>
      <w:r w:rsidR="00B73F5E">
        <w:t xml:space="preserve">, including </w:t>
      </w:r>
      <w:r w:rsidR="00DA523C">
        <w:t>tobacco plain</w:t>
      </w:r>
      <w:r w:rsidR="00D2069A">
        <w:t xml:space="preserve"> </w:t>
      </w:r>
      <w:r w:rsidR="004E1A02">
        <w:t>packaging</w:t>
      </w:r>
      <w:r w:rsidR="00B73F5E">
        <w:t>, on smoking prevalence and consumption.</w:t>
      </w:r>
    </w:p>
    <w:p w14:paraId="13D80B3B" w14:textId="20B19277" w:rsidR="00733B5B" w:rsidRPr="00590474" w:rsidRDefault="00733B5B" w:rsidP="000D5DA2">
      <w:pPr>
        <w:pStyle w:val="BodyText"/>
        <w:numPr>
          <w:ilvl w:val="3"/>
          <w:numId w:val="2"/>
        </w:numPr>
        <w:tabs>
          <w:tab w:val="clear" w:pos="1260"/>
          <w:tab w:val="num" w:pos="0"/>
          <w:tab w:val="num" w:pos="720"/>
        </w:tabs>
        <w:spacing w:before="120" w:after="0" w:line="360" w:lineRule="auto"/>
        <w:ind w:left="0" w:firstLine="720"/>
      </w:pPr>
      <w:r w:rsidRPr="00590474">
        <w:t xml:space="preserve">I received my Ph.D. in Economics from the Massachusetts Institute of Technology in 1993 and my B.A. degree in Economics and Mathematics from Wellesley College in 1989.  A copy of my resume is attached as </w:t>
      </w:r>
      <w:hyperlink w:anchor="_Appendix_A_–" w:history="1">
        <w:r w:rsidRPr="000E1CBE">
          <w:rPr>
            <w:rStyle w:val="Hyperlink"/>
          </w:rPr>
          <w:t>Appendix A</w:t>
        </w:r>
      </w:hyperlink>
      <w:r w:rsidRPr="00590474">
        <w:t xml:space="preserve">.  It describes my background, including education, publications, and testimony experience.  </w:t>
      </w:r>
    </w:p>
    <w:p w14:paraId="62338856" w14:textId="264789F1" w:rsidR="000327BE" w:rsidRDefault="00A940B9" w:rsidP="00B23B57">
      <w:pPr>
        <w:pStyle w:val="BodyText"/>
        <w:numPr>
          <w:ilvl w:val="3"/>
          <w:numId w:val="2"/>
        </w:numPr>
        <w:tabs>
          <w:tab w:val="clear" w:pos="1260"/>
          <w:tab w:val="num" w:pos="0"/>
          <w:tab w:val="num" w:pos="720"/>
        </w:tabs>
        <w:spacing w:before="120" w:after="0" w:line="360" w:lineRule="auto"/>
        <w:ind w:left="0" w:firstLine="720"/>
      </w:pPr>
      <w:r>
        <w:t>I have been retain</w:t>
      </w:r>
      <w:r w:rsidR="00C26247">
        <w:t>ed by Australia’s Department of Health</w:t>
      </w:r>
      <w:r>
        <w:t xml:space="preserve"> to </w:t>
      </w:r>
      <w:r w:rsidR="00B86273">
        <w:t>assess</w:t>
      </w:r>
      <w:r w:rsidR="00F8169A">
        <w:t>, in my capacity as an independent expert,</w:t>
      </w:r>
      <w:r>
        <w:t xml:space="preserve"> </w:t>
      </w:r>
      <w:r w:rsidR="00C26247">
        <w:t>the post</w:t>
      </w:r>
      <w:r w:rsidR="00176F15">
        <w:t>-</w:t>
      </w:r>
      <w:r w:rsidR="00C26247">
        <w:t xml:space="preserve">implementation evidence of the impact of </w:t>
      </w:r>
      <w:r w:rsidR="00DA523C">
        <w:t>p</w:t>
      </w:r>
      <w:r>
        <w:t xml:space="preserve">lain </w:t>
      </w:r>
      <w:r w:rsidR="00DA523C">
        <w:t>p</w:t>
      </w:r>
      <w:r w:rsidR="00650564">
        <w:t>ackaging</w:t>
      </w:r>
      <w:r>
        <w:t xml:space="preserve"> </w:t>
      </w:r>
      <w:r w:rsidR="00C26247">
        <w:t>on smoking prevalence</w:t>
      </w:r>
      <w:r w:rsidR="00650564">
        <w:t xml:space="preserve"> in Australia</w:t>
      </w:r>
      <w:r w:rsidR="00C26247">
        <w:t>.</w:t>
      </w:r>
      <w:r w:rsidR="008A1F48">
        <w:t xml:space="preserve">  For this purpose,</w:t>
      </w:r>
      <w:r w:rsidR="00CA0DEC">
        <w:t xml:space="preserve"> </w:t>
      </w:r>
      <w:r w:rsidR="002B00DA">
        <w:t xml:space="preserve">I have been asked to </w:t>
      </w:r>
      <w:r w:rsidR="00164602">
        <w:t>analyze</w:t>
      </w:r>
      <w:r w:rsidR="00663B69">
        <w:t xml:space="preserve"> </w:t>
      </w:r>
      <w:r w:rsidR="00707B78">
        <w:t xml:space="preserve">individual-level </w:t>
      </w:r>
      <w:r w:rsidR="008A3AA4">
        <w:t>survey dat</w:t>
      </w:r>
      <w:r w:rsidR="00707B78">
        <w:t>a</w:t>
      </w:r>
      <w:r w:rsidR="00D3136D">
        <w:t>,</w:t>
      </w:r>
      <w:r w:rsidR="00707B78">
        <w:t xml:space="preserve"> over the period January 2001 to September 2015</w:t>
      </w:r>
      <w:r w:rsidR="00D3136D">
        <w:t>,</w:t>
      </w:r>
      <w:r w:rsidR="008A3AA4">
        <w:t xml:space="preserve"> from </w:t>
      </w:r>
      <w:r w:rsidR="00CA1DB0">
        <w:t>Roy Morgan</w:t>
      </w:r>
      <w:r w:rsidR="008A3AA4">
        <w:t xml:space="preserve"> </w:t>
      </w:r>
      <w:r w:rsidR="008A3AA4">
        <w:lastRenderedPageBreak/>
        <w:t>Research</w:t>
      </w:r>
      <w:r w:rsidR="008A1F48">
        <w:t>,</w:t>
      </w:r>
      <w:r w:rsidR="008A3AA4">
        <w:t xml:space="preserve"> an independent entity that collects nationally representati</w:t>
      </w:r>
      <w:r w:rsidR="00707B78">
        <w:t xml:space="preserve">ve information on </w:t>
      </w:r>
      <w:r w:rsidR="009C0953">
        <w:t xml:space="preserve">the </w:t>
      </w:r>
      <w:r w:rsidR="00707B78">
        <w:t xml:space="preserve">smoking </w:t>
      </w:r>
      <w:r w:rsidR="009C0953">
        <w:t xml:space="preserve">behavior of Australians aged 14 and </w:t>
      </w:r>
      <w:r w:rsidR="00765768">
        <w:t>above</w:t>
      </w:r>
      <w:r w:rsidR="00707B78">
        <w:t>.</w:t>
      </w:r>
      <w:r w:rsidR="00707B78">
        <w:rPr>
          <w:rStyle w:val="FootnoteReference"/>
        </w:rPr>
        <w:footnoteReference w:id="1"/>
      </w:r>
      <w:r w:rsidR="00765768">
        <w:t xml:space="preserve">  These data, which span</w:t>
      </w:r>
      <w:r w:rsidR="00CA0DEC">
        <w:t xml:space="preserve"> time periods </w:t>
      </w:r>
      <w:r w:rsidR="008A3AA4">
        <w:t xml:space="preserve">both </w:t>
      </w:r>
      <w:r w:rsidR="00CA0DEC">
        <w:t xml:space="preserve">before and after </w:t>
      </w:r>
      <w:r w:rsidR="00DA523C">
        <w:t>p</w:t>
      </w:r>
      <w:r w:rsidR="00CA0DEC">
        <w:t xml:space="preserve">lain </w:t>
      </w:r>
      <w:r w:rsidR="00DA523C">
        <w:t>p</w:t>
      </w:r>
      <w:r w:rsidR="00D3136D">
        <w:t xml:space="preserve">ackaging, </w:t>
      </w:r>
      <w:r w:rsidR="00417D24">
        <w:t xml:space="preserve">enable me to study </w:t>
      </w:r>
      <w:r w:rsidR="00CA0DEC">
        <w:t xml:space="preserve">the </w:t>
      </w:r>
      <w:r w:rsidR="00417D24">
        <w:t xml:space="preserve">early </w:t>
      </w:r>
      <w:r w:rsidR="00CA0DEC">
        <w:t>effect</w:t>
      </w:r>
      <w:r w:rsidR="00417D24">
        <w:t>s</w:t>
      </w:r>
      <w:r w:rsidR="00CA0DEC">
        <w:t xml:space="preserve"> of </w:t>
      </w:r>
      <w:r w:rsidR="00DA523C">
        <w:t>p</w:t>
      </w:r>
      <w:r w:rsidR="00CA0DEC">
        <w:t xml:space="preserve">lain </w:t>
      </w:r>
      <w:r w:rsidR="00DA523C">
        <w:t>p</w:t>
      </w:r>
      <w:r w:rsidR="00CA0DEC">
        <w:t>ackaging on smoking prevalence in Australia.</w:t>
      </w:r>
      <w:r w:rsidR="00164602">
        <w:rPr>
          <w:rStyle w:val="FootnoteReference"/>
        </w:rPr>
        <w:footnoteReference w:id="2"/>
      </w:r>
      <w:r w:rsidR="00CA0DEC">
        <w:t xml:space="preserve">  </w:t>
      </w:r>
    </w:p>
    <w:p w14:paraId="6E022408" w14:textId="2734B33E" w:rsidR="00C97BF9" w:rsidRDefault="00B23B57" w:rsidP="00B23B57">
      <w:pPr>
        <w:pStyle w:val="BodyText"/>
        <w:numPr>
          <w:ilvl w:val="3"/>
          <w:numId w:val="2"/>
        </w:numPr>
        <w:tabs>
          <w:tab w:val="clear" w:pos="1260"/>
          <w:tab w:val="num" w:pos="0"/>
          <w:tab w:val="num" w:pos="720"/>
        </w:tabs>
        <w:spacing w:before="120" w:after="0" w:line="360" w:lineRule="auto"/>
        <w:ind w:left="0" w:firstLine="720"/>
      </w:pPr>
      <w:r w:rsidRPr="00B23B57">
        <w:t xml:space="preserve">I understand that </w:t>
      </w:r>
      <w:r w:rsidR="00DA523C">
        <w:t>the TPP Act</w:t>
      </w:r>
      <w:r w:rsidRPr="00B23B57">
        <w:t xml:space="preserve"> </w:t>
      </w:r>
      <w:r>
        <w:t>involved replacing branded tobacco packaging with plain packaging</w:t>
      </w:r>
      <w:r w:rsidR="00DA523C">
        <w:t xml:space="preserve">.  At the same time, Australia introduced </w:t>
      </w:r>
      <w:r w:rsidR="00CA1B19">
        <w:t xml:space="preserve">updated </w:t>
      </w:r>
      <w:r>
        <w:t xml:space="preserve">and </w:t>
      </w:r>
      <w:r w:rsidR="0003736D">
        <w:t xml:space="preserve">enlarged </w:t>
      </w:r>
      <w:r w:rsidRPr="00B23B57">
        <w:t>graphic health warnings</w:t>
      </w:r>
      <w:r w:rsidR="00DA523C">
        <w:t xml:space="preserve"> on tobacco product packaging</w:t>
      </w:r>
      <w:r w:rsidRPr="00B23B57">
        <w:t>.</w:t>
      </w:r>
      <w:r w:rsidR="00DA523C">
        <w:rPr>
          <w:rStyle w:val="FootnoteReference"/>
        </w:rPr>
        <w:footnoteReference w:id="3"/>
      </w:r>
      <w:r w:rsidRPr="00B23B57">
        <w:t xml:space="preserve">  </w:t>
      </w:r>
      <w:r w:rsidR="00D2069A">
        <w:t xml:space="preserve">Given the timing of these changes, it is not possible to </w:t>
      </w:r>
      <w:r w:rsidR="00402912">
        <w:t xml:space="preserve">separately identify the </w:t>
      </w:r>
      <w:r w:rsidR="004E1A02">
        <w:t xml:space="preserve">effects of </w:t>
      </w:r>
      <w:r w:rsidR="00DA523C">
        <w:t xml:space="preserve">tobacco </w:t>
      </w:r>
      <w:r w:rsidR="00402912">
        <w:t>plain packaging from</w:t>
      </w:r>
      <w:r w:rsidR="0030077B">
        <w:t xml:space="preserve"> those of</w:t>
      </w:r>
      <w:r w:rsidR="00402912">
        <w:t xml:space="preserve"> </w:t>
      </w:r>
      <w:r w:rsidR="00CA1B19">
        <w:t xml:space="preserve">updated and </w:t>
      </w:r>
      <w:r w:rsidR="00402912">
        <w:t>enlarged graphic health warnings without making restrictive assumptions</w:t>
      </w:r>
      <w:r w:rsidR="004E1A02">
        <w:t>.</w:t>
      </w:r>
      <w:r w:rsidR="004E1A02">
        <w:rPr>
          <w:rStyle w:val="FootnoteReference"/>
        </w:rPr>
        <w:footnoteReference w:id="4"/>
      </w:r>
      <w:r w:rsidR="004E1A02">
        <w:t xml:space="preserve">  </w:t>
      </w:r>
      <w:r w:rsidR="0003736D">
        <w:t>As such, m</w:t>
      </w:r>
      <w:r w:rsidRPr="00B23B57">
        <w:t xml:space="preserve">y discussion of the effects of </w:t>
      </w:r>
      <w:r w:rsidR="0098405C">
        <w:t xml:space="preserve">the TPP Act </w:t>
      </w:r>
      <w:r w:rsidRPr="00B23B57">
        <w:t xml:space="preserve">encompasses effects from both </w:t>
      </w:r>
      <w:r w:rsidR="004A3EFE">
        <w:t>of these changes, to which I refer collectively as the 2012 packaging changes.</w:t>
      </w:r>
    </w:p>
    <w:p w14:paraId="632D2A1C" w14:textId="77777777" w:rsidR="001A3152" w:rsidRPr="00A211E2" w:rsidRDefault="001A3152" w:rsidP="000D5DA2">
      <w:pPr>
        <w:pStyle w:val="Heading1"/>
      </w:pPr>
      <w:bookmarkStart w:id="6" w:name="_Toc441421148"/>
      <w:bookmarkStart w:id="7" w:name="_Toc374024779"/>
      <w:bookmarkStart w:id="8" w:name="_Toc374482306"/>
      <w:r w:rsidRPr="00590474">
        <w:t>Summary of Opinions</w:t>
      </w:r>
      <w:bookmarkEnd w:id="6"/>
    </w:p>
    <w:p w14:paraId="56B560E4" w14:textId="10A1A49F" w:rsidR="00421348" w:rsidRDefault="008A1F48" w:rsidP="000D5DA2">
      <w:pPr>
        <w:pStyle w:val="BodyText"/>
        <w:numPr>
          <w:ilvl w:val="3"/>
          <w:numId w:val="2"/>
        </w:numPr>
        <w:tabs>
          <w:tab w:val="clear" w:pos="1260"/>
          <w:tab w:val="num" w:pos="0"/>
          <w:tab w:val="num" w:pos="720"/>
        </w:tabs>
        <w:spacing w:before="120" w:after="0" w:line="360" w:lineRule="auto"/>
        <w:ind w:left="0" w:firstLine="720"/>
      </w:pPr>
      <w:bookmarkStart w:id="9" w:name="_Toc374024780"/>
      <w:bookmarkEnd w:id="7"/>
      <w:bookmarkEnd w:id="8"/>
      <w:r>
        <w:t xml:space="preserve">Drawing on my training and experience as an economist and my </w:t>
      </w:r>
      <w:r w:rsidR="00171D24">
        <w:t xml:space="preserve">statistical </w:t>
      </w:r>
      <w:r>
        <w:t xml:space="preserve">analysis of the Roy Morgan </w:t>
      </w:r>
      <w:r w:rsidR="00176F15">
        <w:t xml:space="preserve">survey </w:t>
      </w:r>
      <w:r>
        <w:t>data, it is my opini</w:t>
      </w:r>
      <w:r w:rsidR="005225BA">
        <w:t xml:space="preserve">on that </w:t>
      </w:r>
      <w:r w:rsidR="008B7544">
        <w:t xml:space="preserve">the evidence is consistent with the conclusion that the </w:t>
      </w:r>
      <w:r w:rsidR="0098405C">
        <w:t>TPP Act</w:t>
      </w:r>
      <w:r w:rsidR="005225BA">
        <w:t xml:space="preserve"> </w:t>
      </w:r>
      <w:r w:rsidR="008B7544">
        <w:t xml:space="preserve">is </w:t>
      </w:r>
      <w:r w:rsidR="005225BA">
        <w:t xml:space="preserve">having its intended effect.  </w:t>
      </w:r>
      <w:r w:rsidR="0092089F">
        <w:t>T</w:t>
      </w:r>
      <w:r w:rsidR="005225BA">
        <w:t xml:space="preserve">he evidence indicates clearly that the </w:t>
      </w:r>
      <w:r w:rsidR="008B7544">
        <w:t xml:space="preserve">combination of plain packaging and </w:t>
      </w:r>
      <w:r w:rsidR="00CA1B19">
        <w:t xml:space="preserve">updated and </w:t>
      </w:r>
      <w:r w:rsidR="008B7544">
        <w:t xml:space="preserve">enlarged graphic health warnings </w:t>
      </w:r>
      <w:r w:rsidR="005225BA">
        <w:t>is succeeding in reducing smoking prevalence.</w:t>
      </w:r>
      <w:r w:rsidR="008A3AA4">
        <w:t xml:space="preserve"> </w:t>
      </w:r>
      <w:r w:rsidR="0023466E">
        <w:t xml:space="preserve"> </w:t>
      </w:r>
      <w:r w:rsidR="008A3AA4">
        <w:t xml:space="preserve">Specifically, I estimate </w:t>
      </w:r>
      <w:r w:rsidR="009C0953">
        <w:t xml:space="preserve">a statistically significant decline in smoking </w:t>
      </w:r>
      <w:r w:rsidR="005225BA">
        <w:t>prevalence</w:t>
      </w:r>
      <w:r w:rsidR="0092089F">
        <w:t xml:space="preserve"> </w:t>
      </w:r>
      <w:r w:rsidR="00765768">
        <w:t>of 0.55 percentage points over the post-implementation</w:t>
      </w:r>
      <w:r w:rsidR="002B00DA">
        <w:t xml:space="preserve"> period</w:t>
      </w:r>
      <w:r w:rsidR="00765768">
        <w:t xml:space="preserve">, </w:t>
      </w:r>
      <w:r w:rsidR="003E322D">
        <w:t>relative to what the prevalence would have been without</w:t>
      </w:r>
      <w:r w:rsidR="008B7544">
        <w:t xml:space="preserve"> the packaging changes.  The </w:t>
      </w:r>
      <w:r w:rsidR="00822914">
        <w:t>95 percent</w:t>
      </w:r>
      <w:r w:rsidR="008B7544">
        <w:t xml:space="preserve"> confidence interval around the estimated reduction </w:t>
      </w:r>
      <w:r w:rsidR="004A3EFE">
        <w:t xml:space="preserve">in smoking prevalence </w:t>
      </w:r>
      <w:r w:rsidR="008B7544">
        <w:t xml:space="preserve">is </w:t>
      </w:r>
      <w:r w:rsidR="00626EB3" w:rsidRPr="00792546">
        <w:t>-0.</w:t>
      </w:r>
      <w:r w:rsidR="00792546" w:rsidRPr="00792546">
        <w:t>0</w:t>
      </w:r>
      <w:r w:rsidR="00DC25A5">
        <w:t>95</w:t>
      </w:r>
      <w:r w:rsidR="00792546" w:rsidRPr="00792546">
        <w:t xml:space="preserve"> </w:t>
      </w:r>
      <w:r w:rsidR="00822914" w:rsidRPr="00792546">
        <w:t xml:space="preserve">to </w:t>
      </w:r>
      <w:r w:rsidR="00626EB3" w:rsidRPr="00792546">
        <w:t>-1.0</w:t>
      </w:r>
      <w:r w:rsidR="00DC25A5">
        <w:t>1</w:t>
      </w:r>
      <w:r w:rsidR="00626EB3">
        <w:t xml:space="preserve"> percentage points</w:t>
      </w:r>
      <w:r w:rsidR="00822914">
        <w:t xml:space="preserve">.  </w:t>
      </w:r>
      <w:r w:rsidR="003B76A1">
        <w:t xml:space="preserve">Because </w:t>
      </w:r>
      <w:r w:rsidR="008B7544">
        <w:t>p</w:t>
      </w:r>
      <w:r w:rsidR="003B76A1">
        <w:t xml:space="preserve">lain packaging is intended </w:t>
      </w:r>
      <w:r w:rsidR="001069EE">
        <w:t xml:space="preserve">to </w:t>
      </w:r>
      <w:r w:rsidR="003B76A1">
        <w:t>deter smoking initiation, promote</w:t>
      </w:r>
      <w:r w:rsidR="008B7544">
        <w:t xml:space="preserve"> cessation</w:t>
      </w:r>
      <w:r w:rsidR="005225BA">
        <w:t>,</w:t>
      </w:r>
      <w:r w:rsidR="003B76A1">
        <w:t xml:space="preserve"> and deter relapse, </w:t>
      </w:r>
      <w:r w:rsidR="005225BA">
        <w:t xml:space="preserve">the </w:t>
      </w:r>
      <w:r w:rsidR="008B7544">
        <w:t>benefits of the packaging changes</w:t>
      </w:r>
      <w:r w:rsidR="005225BA">
        <w:t xml:space="preserve"> </w:t>
      </w:r>
      <w:r w:rsidR="008A3AA4">
        <w:t xml:space="preserve">will </w:t>
      </w:r>
      <w:r w:rsidR="003B76A1">
        <w:t>likely</w:t>
      </w:r>
      <w:r w:rsidR="008A3AA4">
        <w:t xml:space="preserve"> </w:t>
      </w:r>
      <w:r w:rsidR="00765768">
        <w:t>grow over time</w:t>
      </w:r>
      <w:r w:rsidR="005225BA">
        <w:t xml:space="preserve">.  </w:t>
      </w:r>
    </w:p>
    <w:p w14:paraId="0752FA2D" w14:textId="77777777" w:rsidR="00421348" w:rsidRDefault="00147C44" w:rsidP="00421348">
      <w:pPr>
        <w:pStyle w:val="Heading1"/>
      </w:pPr>
      <w:bookmarkStart w:id="10" w:name="_Toc441421149"/>
      <w:r>
        <w:lastRenderedPageBreak/>
        <w:t xml:space="preserve">Timing and </w:t>
      </w:r>
      <w:r w:rsidR="005251EF">
        <w:t xml:space="preserve">Objectives </w:t>
      </w:r>
      <w:r w:rsidR="00AA49F3">
        <w:t xml:space="preserve">of </w:t>
      </w:r>
      <w:r w:rsidR="00421348">
        <w:t>Plain Packaging</w:t>
      </w:r>
      <w:bookmarkEnd w:id="10"/>
    </w:p>
    <w:p w14:paraId="155440AE" w14:textId="77777777" w:rsidR="00147C44" w:rsidRPr="00BD2688" w:rsidRDefault="00DA523C" w:rsidP="00147C44">
      <w:pPr>
        <w:pStyle w:val="BodyText"/>
        <w:numPr>
          <w:ilvl w:val="3"/>
          <w:numId w:val="2"/>
        </w:numPr>
        <w:tabs>
          <w:tab w:val="clear" w:pos="1260"/>
          <w:tab w:val="num" w:pos="0"/>
          <w:tab w:val="num" w:pos="720"/>
        </w:tabs>
        <w:spacing w:before="120" w:after="0" w:line="360" w:lineRule="auto"/>
        <w:ind w:left="0" w:firstLine="720"/>
      </w:pPr>
      <w:r>
        <w:t>The TPP Act</w:t>
      </w:r>
      <w:r w:rsidR="00147C44">
        <w:t xml:space="preserve"> went into effect nationally between October and December 2012.  M</w:t>
      </w:r>
      <w:r w:rsidR="00147C44" w:rsidRPr="005251EF">
        <w:t xml:space="preserve">anufacturers were required to manufacture </w:t>
      </w:r>
      <w:r w:rsidR="00147C44">
        <w:t>only products in plain packaging</w:t>
      </w:r>
      <w:r w:rsidR="00147C44" w:rsidRPr="005251EF">
        <w:t xml:space="preserve"> by October 1, 2012, and retailers were required to sell only products in plain packaging by December 1, 2012.</w:t>
      </w:r>
      <w:r w:rsidR="003D5C71">
        <w:rPr>
          <w:rStyle w:val="FootnoteReference"/>
        </w:rPr>
        <w:footnoteReference w:id="5"/>
      </w:r>
      <w:r w:rsidR="00147C44" w:rsidRPr="005251EF">
        <w:t xml:space="preserve"> </w:t>
      </w:r>
      <w:r w:rsidR="00147C44">
        <w:t xml:space="preserve"> </w:t>
      </w:r>
      <w:r w:rsidR="00147C44" w:rsidRPr="005251EF">
        <w:t>Given the manufacturer mandate, many retailers were already stocking plai</w:t>
      </w:r>
      <w:r w:rsidR="00147C44">
        <w:t xml:space="preserve">n packs </w:t>
      </w:r>
      <w:r w:rsidR="00147C44" w:rsidRPr="005251EF">
        <w:t>before December 1</w:t>
      </w:r>
      <w:r w:rsidR="00DF05D5">
        <w:t>, 2012</w:t>
      </w:r>
      <w:r w:rsidR="00147C44" w:rsidRPr="005251EF">
        <w:t>.</w:t>
      </w:r>
      <w:r w:rsidR="00147C44">
        <w:rPr>
          <w:rStyle w:val="FootnoteReference"/>
        </w:rPr>
        <w:footnoteReference w:id="6"/>
      </w:r>
      <w:r w:rsidR="00147C44">
        <w:t xml:space="preserve">  Thus, October and November 2012 were transition months, and the Australian market was fully converted to plain packs by December 2012.</w:t>
      </w:r>
    </w:p>
    <w:p w14:paraId="5C420CC1" w14:textId="77777777" w:rsidR="00DA4DE3" w:rsidRPr="00DA4DE3" w:rsidRDefault="00421348" w:rsidP="002A1494">
      <w:pPr>
        <w:pStyle w:val="BodyText"/>
        <w:numPr>
          <w:ilvl w:val="3"/>
          <w:numId w:val="2"/>
        </w:numPr>
        <w:tabs>
          <w:tab w:val="clear" w:pos="1260"/>
          <w:tab w:val="num" w:pos="0"/>
          <w:tab w:val="num" w:pos="720"/>
        </w:tabs>
        <w:spacing w:before="120" w:after="0" w:line="360" w:lineRule="auto"/>
        <w:ind w:left="0" w:firstLine="720"/>
      </w:pPr>
      <w:r>
        <w:t>A</w:t>
      </w:r>
      <w:r>
        <w:rPr>
          <w:bCs/>
          <w:iCs/>
        </w:rPr>
        <w:t xml:space="preserve">s set </w:t>
      </w:r>
      <w:r w:rsidRPr="0003423F">
        <w:rPr>
          <w:bCs/>
          <w:iCs/>
        </w:rPr>
        <w:t>forth in the T</w:t>
      </w:r>
      <w:r w:rsidR="005E587A">
        <w:rPr>
          <w:bCs/>
          <w:iCs/>
        </w:rPr>
        <w:t>PP</w:t>
      </w:r>
      <w:r w:rsidRPr="0003423F">
        <w:rPr>
          <w:bCs/>
          <w:iCs/>
        </w:rPr>
        <w:t xml:space="preserve"> Act, </w:t>
      </w:r>
      <w:r w:rsidR="0098405C">
        <w:rPr>
          <w:bCs/>
          <w:iCs/>
        </w:rPr>
        <w:t xml:space="preserve">its </w:t>
      </w:r>
      <w:r w:rsidRPr="0003423F">
        <w:rPr>
          <w:bCs/>
          <w:iCs/>
        </w:rPr>
        <w:t xml:space="preserve">purpose was </w:t>
      </w:r>
      <w:r>
        <w:rPr>
          <w:bCs/>
          <w:iCs/>
        </w:rPr>
        <w:t xml:space="preserve">to </w:t>
      </w:r>
      <w:r w:rsidR="00DF05D5" w:rsidRPr="0003423F">
        <w:rPr>
          <w:bCs/>
          <w:iCs/>
        </w:rPr>
        <w:t>improv</w:t>
      </w:r>
      <w:r w:rsidR="00DF05D5">
        <w:rPr>
          <w:bCs/>
          <w:iCs/>
        </w:rPr>
        <w:t>e</w:t>
      </w:r>
      <w:r w:rsidR="00DF05D5" w:rsidRPr="0003423F">
        <w:rPr>
          <w:bCs/>
          <w:iCs/>
        </w:rPr>
        <w:t xml:space="preserve"> </w:t>
      </w:r>
      <w:r w:rsidRPr="0003423F">
        <w:rPr>
          <w:bCs/>
          <w:iCs/>
        </w:rPr>
        <w:t>public health</w:t>
      </w:r>
      <w:r>
        <w:rPr>
          <w:bCs/>
          <w:iCs/>
        </w:rPr>
        <w:t xml:space="preserve"> by:</w:t>
      </w:r>
      <w:r w:rsidRPr="0003423F">
        <w:rPr>
          <w:bCs/>
          <w:iCs/>
        </w:rPr>
        <w:t xml:space="preserve"> (a) </w:t>
      </w:r>
      <w:r>
        <w:rPr>
          <w:bCs/>
          <w:iCs/>
        </w:rPr>
        <w:t>“</w:t>
      </w:r>
      <w:r w:rsidRPr="0003423F">
        <w:rPr>
          <w:bCs/>
          <w:iCs/>
        </w:rPr>
        <w:t>discouraging people from taking up smoking</w:t>
      </w:r>
      <w:r>
        <w:rPr>
          <w:bCs/>
          <w:iCs/>
        </w:rPr>
        <w:t>, or using tobacco products”</w:t>
      </w:r>
      <w:r w:rsidRPr="0003423F">
        <w:rPr>
          <w:bCs/>
          <w:iCs/>
        </w:rPr>
        <w:t xml:space="preserve"> (“initiation”); (b) </w:t>
      </w:r>
      <w:r>
        <w:rPr>
          <w:bCs/>
          <w:iCs/>
        </w:rPr>
        <w:t>“</w:t>
      </w:r>
      <w:r w:rsidRPr="0003423F">
        <w:rPr>
          <w:bCs/>
          <w:iCs/>
        </w:rPr>
        <w:t>encouraging people to give up smoking</w:t>
      </w:r>
      <w:r>
        <w:rPr>
          <w:bCs/>
          <w:iCs/>
        </w:rPr>
        <w:t>, and to stop using tobacco products”</w:t>
      </w:r>
      <w:r w:rsidRPr="0003423F">
        <w:rPr>
          <w:bCs/>
          <w:iCs/>
        </w:rPr>
        <w:t xml:space="preserve"> (“cessation”); (c) </w:t>
      </w:r>
      <w:r>
        <w:rPr>
          <w:bCs/>
          <w:iCs/>
        </w:rPr>
        <w:t>“</w:t>
      </w:r>
      <w:r w:rsidRPr="0003423F">
        <w:rPr>
          <w:bCs/>
          <w:iCs/>
        </w:rPr>
        <w:t>discouraging people who have given up smoking</w:t>
      </w:r>
      <w:r>
        <w:rPr>
          <w:bCs/>
          <w:iCs/>
        </w:rPr>
        <w:t>, or who have stopped using tobacco products,</w:t>
      </w:r>
      <w:r w:rsidRPr="0003423F">
        <w:rPr>
          <w:bCs/>
          <w:iCs/>
        </w:rPr>
        <w:t xml:space="preserve"> from relapsing</w:t>
      </w:r>
      <w:r>
        <w:rPr>
          <w:bCs/>
          <w:iCs/>
        </w:rPr>
        <w:t>”</w:t>
      </w:r>
      <w:r w:rsidRPr="0003423F">
        <w:rPr>
          <w:bCs/>
          <w:iCs/>
        </w:rPr>
        <w:t xml:space="preserve"> (“relapse”)</w:t>
      </w:r>
      <w:r>
        <w:rPr>
          <w:bCs/>
          <w:iCs/>
        </w:rPr>
        <w:t>; and (d) “reducing people’s exposure to smoke from tobacco products</w:t>
      </w:r>
      <w:r w:rsidRPr="0003423F">
        <w:rPr>
          <w:bCs/>
          <w:iCs/>
        </w:rPr>
        <w:t>.</w:t>
      </w:r>
      <w:r>
        <w:rPr>
          <w:bCs/>
          <w:iCs/>
        </w:rPr>
        <w:t>”</w:t>
      </w:r>
      <w:r>
        <w:rPr>
          <w:rStyle w:val="FootnoteReference"/>
          <w:bCs/>
          <w:iCs/>
        </w:rPr>
        <w:footnoteReference w:id="7"/>
      </w:r>
      <w:r>
        <w:rPr>
          <w:bCs/>
          <w:iCs/>
        </w:rPr>
        <w:t xml:space="preserve">  </w:t>
      </w:r>
      <w:bookmarkEnd w:id="3"/>
      <w:bookmarkEnd w:id="9"/>
      <w:r w:rsidR="00DC0C9A">
        <w:rPr>
          <w:bCs/>
          <w:iCs/>
        </w:rPr>
        <w:t>Each of these</w:t>
      </w:r>
      <w:r w:rsidR="00C17DEB">
        <w:rPr>
          <w:bCs/>
          <w:iCs/>
        </w:rPr>
        <w:t xml:space="preserve"> targeted </w:t>
      </w:r>
      <w:r w:rsidR="00DC0C9A">
        <w:rPr>
          <w:bCs/>
          <w:iCs/>
        </w:rPr>
        <w:t>behaviors affects individuals’</w:t>
      </w:r>
      <w:r w:rsidR="00965E45">
        <w:rPr>
          <w:bCs/>
          <w:iCs/>
        </w:rPr>
        <w:t xml:space="preserve"> decision to smoke</w:t>
      </w:r>
      <w:r w:rsidR="00A14531">
        <w:rPr>
          <w:bCs/>
          <w:iCs/>
        </w:rPr>
        <w:t>, and the benefits of prevent</w:t>
      </w:r>
      <w:r w:rsidR="002F03A6">
        <w:rPr>
          <w:bCs/>
          <w:iCs/>
        </w:rPr>
        <w:t>ing</w:t>
      </w:r>
      <w:r w:rsidR="00A14531">
        <w:rPr>
          <w:bCs/>
          <w:iCs/>
        </w:rPr>
        <w:t xml:space="preserve"> a person from smoking (or getting them to stop smoking) will be realized over the decades of that person’s life.  </w:t>
      </w:r>
    </w:p>
    <w:p w14:paraId="6CF03522" w14:textId="77777777" w:rsidR="004F13F8" w:rsidRPr="005251EF" w:rsidRDefault="002A1494" w:rsidP="002A1494">
      <w:pPr>
        <w:pStyle w:val="BodyText"/>
        <w:numPr>
          <w:ilvl w:val="3"/>
          <w:numId w:val="2"/>
        </w:numPr>
        <w:tabs>
          <w:tab w:val="clear" w:pos="1260"/>
          <w:tab w:val="num" w:pos="0"/>
          <w:tab w:val="num" w:pos="720"/>
        </w:tabs>
        <w:spacing w:before="120" w:after="0" w:line="360" w:lineRule="auto"/>
        <w:ind w:left="0" w:firstLine="720"/>
      </w:pPr>
      <w:r>
        <w:rPr>
          <w:bCs/>
          <w:iCs/>
        </w:rPr>
        <w:t>Moreover, given the way</w:t>
      </w:r>
      <w:r w:rsidR="00EF4C2B">
        <w:rPr>
          <w:bCs/>
          <w:iCs/>
        </w:rPr>
        <w:t>s</w:t>
      </w:r>
      <w:r>
        <w:rPr>
          <w:bCs/>
          <w:iCs/>
        </w:rPr>
        <w:t xml:space="preserve"> in which </w:t>
      </w:r>
      <w:r w:rsidR="0098405C">
        <w:rPr>
          <w:bCs/>
          <w:iCs/>
        </w:rPr>
        <w:t xml:space="preserve">the TPP Act </w:t>
      </w:r>
      <w:r w:rsidR="00EF4C2B">
        <w:rPr>
          <w:bCs/>
          <w:iCs/>
        </w:rPr>
        <w:t>was intended to</w:t>
      </w:r>
      <w:r w:rsidR="00DA4DE3">
        <w:rPr>
          <w:bCs/>
          <w:iCs/>
        </w:rPr>
        <w:t xml:space="preserve"> </w:t>
      </w:r>
      <w:r>
        <w:rPr>
          <w:bCs/>
          <w:iCs/>
        </w:rPr>
        <w:t xml:space="preserve">work, </w:t>
      </w:r>
      <w:r w:rsidR="00DA4DE3">
        <w:rPr>
          <w:bCs/>
          <w:iCs/>
        </w:rPr>
        <w:t xml:space="preserve">the policy’s </w:t>
      </w:r>
      <w:r>
        <w:rPr>
          <w:bCs/>
          <w:iCs/>
        </w:rPr>
        <w:t>effects on overall smoking prevalence and tobacco consumption are likely to grow over time.</w:t>
      </w:r>
      <w:r>
        <w:t xml:space="preserve">  </w:t>
      </w:r>
      <w:r w:rsidR="002556F2">
        <w:t xml:space="preserve">This is because changes in </w:t>
      </w:r>
      <w:r w:rsidR="00DA4DE3">
        <w:t>initiation</w:t>
      </w:r>
      <w:r w:rsidR="002556F2">
        <w:t>, cessation, and relapse affect only a subset of current and future smokers</w:t>
      </w:r>
      <w:r w:rsidR="00076B91">
        <w:t xml:space="preserve">, and </w:t>
      </w:r>
      <w:r w:rsidR="00DD132F">
        <w:t xml:space="preserve">as such, </w:t>
      </w:r>
      <w:r w:rsidR="00076B91">
        <w:t>the</w:t>
      </w:r>
      <w:r w:rsidR="00DD132F">
        <w:t>ir effects are slower to appear in population measures of smoking prevalence</w:t>
      </w:r>
      <w:r w:rsidR="002556F2">
        <w:t xml:space="preserve">.  </w:t>
      </w:r>
      <w:r>
        <w:t xml:space="preserve">To see this, </w:t>
      </w:r>
      <w:r w:rsidR="002F03A6" w:rsidRPr="002A1494">
        <w:rPr>
          <w:bCs/>
          <w:iCs/>
        </w:rPr>
        <w:t>consider a simple illustrative example in which</w:t>
      </w:r>
      <w:r w:rsidR="00C86571">
        <w:rPr>
          <w:bCs/>
          <w:iCs/>
        </w:rPr>
        <w:t xml:space="preserve"> immediately upon implementation,</w:t>
      </w:r>
      <w:r w:rsidR="002F03A6" w:rsidRPr="002A1494">
        <w:rPr>
          <w:bCs/>
          <w:iCs/>
        </w:rPr>
        <w:t xml:space="preserve"> the policy both </w:t>
      </w:r>
      <w:r w:rsidR="005E587A" w:rsidRPr="002A1494">
        <w:rPr>
          <w:bCs/>
          <w:iCs/>
        </w:rPr>
        <w:t xml:space="preserve">reduces </w:t>
      </w:r>
      <w:r w:rsidR="002F03A6" w:rsidRPr="002A1494">
        <w:rPr>
          <w:bCs/>
          <w:iCs/>
        </w:rPr>
        <w:t xml:space="preserve">youth initiation and </w:t>
      </w:r>
      <w:r w:rsidR="005E587A">
        <w:rPr>
          <w:bCs/>
          <w:iCs/>
        </w:rPr>
        <w:t xml:space="preserve">increases </w:t>
      </w:r>
      <w:r w:rsidR="002F03A6" w:rsidRPr="002A1494">
        <w:rPr>
          <w:bCs/>
          <w:iCs/>
        </w:rPr>
        <w:t>youth cessation by 20 percent</w:t>
      </w:r>
      <w:r w:rsidR="005A6AFD">
        <w:rPr>
          <w:bCs/>
          <w:iCs/>
        </w:rPr>
        <w:t>, holding everything else constant</w:t>
      </w:r>
      <w:r w:rsidR="002F03A6" w:rsidRPr="002A1494">
        <w:rPr>
          <w:bCs/>
          <w:iCs/>
        </w:rPr>
        <w:t>.</w:t>
      </w:r>
      <w:r w:rsidR="00712336">
        <w:rPr>
          <w:rStyle w:val="FootnoteReference"/>
          <w:bCs/>
          <w:iCs/>
        </w:rPr>
        <w:footnoteReference w:id="8"/>
      </w:r>
      <w:r w:rsidR="00712336" w:rsidRPr="002A1494">
        <w:rPr>
          <w:bCs/>
          <w:iCs/>
        </w:rPr>
        <w:t xml:space="preserve"> </w:t>
      </w:r>
      <w:r w:rsidR="00712336">
        <w:rPr>
          <w:bCs/>
          <w:iCs/>
        </w:rPr>
        <w:t xml:space="preserve"> </w:t>
      </w:r>
      <w:r w:rsidR="002F03A6" w:rsidRPr="002A1494">
        <w:rPr>
          <w:bCs/>
          <w:iCs/>
        </w:rPr>
        <w:t xml:space="preserve">Given </w:t>
      </w:r>
      <w:r w:rsidR="00DB4CC0">
        <w:rPr>
          <w:bCs/>
          <w:iCs/>
        </w:rPr>
        <w:t>estimated</w:t>
      </w:r>
      <w:r w:rsidR="002F03A6" w:rsidRPr="002A1494">
        <w:rPr>
          <w:bCs/>
          <w:iCs/>
        </w:rPr>
        <w:t xml:space="preserve"> rates of </w:t>
      </w:r>
      <w:r w:rsidRPr="002A1494">
        <w:rPr>
          <w:bCs/>
          <w:iCs/>
        </w:rPr>
        <w:t>initi</w:t>
      </w:r>
      <w:r w:rsidR="002F03A6" w:rsidRPr="002A1494">
        <w:rPr>
          <w:bCs/>
          <w:iCs/>
        </w:rPr>
        <w:t>ation and cessation</w:t>
      </w:r>
      <w:r w:rsidR="00DB4CC0">
        <w:rPr>
          <w:bCs/>
          <w:iCs/>
        </w:rPr>
        <w:t xml:space="preserve"> based on actual data</w:t>
      </w:r>
      <w:r w:rsidR="002F03A6" w:rsidRPr="002A1494">
        <w:rPr>
          <w:bCs/>
          <w:iCs/>
        </w:rPr>
        <w:t xml:space="preserve">, </w:t>
      </w:r>
      <w:r w:rsidRPr="002A1494">
        <w:rPr>
          <w:bCs/>
          <w:iCs/>
        </w:rPr>
        <w:t xml:space="preserve">these effects would </w:t>
      </w:r>
      <w:r w:rsidR="001B22CA">
        <w:rPr>
          <w:bCs/>
          <w:iCs/>
        </w:rPr>
        <w:t xml:space="preserve">only </w:t>
      </w:r>
      <w:r w:rsidRPr="002A1494">
        <w:rPr>
          <w:bCs/>
          <w:iCs/>
        </w:rPr>
        <w:t xml:space="preserve">lead to a </w:t>
      </w:r>
      <w:r w:rsidR="00DA4DE3">
        <w:rPr>
          <w:bCs/>
          <w:iCs/>
        </w:rPr>
        <w:t>0.07</w:t>
      </w:r>
      <w:r w:rsidRPr="002A1494">
        <w:rPr>
          <w:bCs/>
          <w:iCs/>
        </w:rPr>
        <w:t xml:space="preserve"> percent</w:t>
      </w:r>
      <w:r w:rsidR="00DA4DE3">
        <w:rPr>
          <w:bCs/>
          <w:iCs/>
        </w:rPr>
        <w:t>age point</w:t>
      </w:r>
      <w:r w:rsidRPr="002A1494">
        <w:rPr>
          <w:bCs/>
          <w:iCs/>
        </w:rPr>
        <w:t xml:space="preserve"> decline in overall </w:t>
      </w:r>
      <w:r w:rsidRPr="002A1494">
        <w:rPr>
          <w:bCs/>
          <w:iCs/>
        </w:rPr>
        <w:lastRenderedPageBreak/>
        <w:t>smoking prevalence one year after implementation and a</w:t>
      </w:r>
      <w:r w:rsidR="004A3EFE">
        <w:rPr>
          <w:bCs/>
          <w:iCs/>
        </w:rPr>
        <w:t xml:space="preserve"> larger decline of</w:t>
      </w:r>
      <w:r w:rsidRPr="002A1494">
        <w:rPr>
          <w:bCs/>
          <w:iCs/>
        </w:rPr>
        <w:t xml:space="preserve"> </w:t>
      </w:r>
      <w:r w:rsidR="00DA4DE3">
        <w:rPr>
          <w:bCs/>
          <w:iCs/>
        </w:rPr>
        <w:t>0.18</w:t>
      </w:r>
      <w:r w:rsidRPr="002A1494">
        <w:rPr>
          <w:bCs/>
          <w:iCs/>
        </w:rPr>
        <w:t xml:space="preserve"> percent</w:t>
      </w:r>
      <w:r w:rsidR="00DA4DE3">
        <w:rPr>
          <w:bCs/>
          <w:iCs/>
        </w:rPr>
        <w:t>age</w:t>
      </w:r>
      <w:r w:rsidRPr="002A1494">
        <w:rPr>
          <w:bCs/>
          <w:iCs/>
        </w:rPr>
        <w:t xml:space="preserve"> </w:t>
      </w:r>
      <w:r w:rsidR="00F81BC1">
        <w:rPr>
          <w:bCs/>
          <w:iCs/>
        </w:rPr>
        <w:t>point</w:t>
      </w:r>
      <w:r w:rsidRPr="002A1494">
        <w:rPr>
          <w:bCs/>
          <w:iCs/>
        </w:rPr>
        <w:t xml:space="preserve"> in overall smoking prevalence three years out.</w:t>
      </w:r>
      <w:r w:rsidR="00822914">
        <w:rPr>
          <w:bCs/>
          <w:iCs/>
        </w:rPr>
        <w:t xml:space="preserve"> </w:t>
      </w:r>
      <w:r w:rsidR="00712336">
        <w:rPr>
          <w:bCs/>
          <w:iCs/>
        </w:rPr>
        <w:t xml:space="preserve"> </w:t>
      </w:r>
      <w:r w:rsidR="00C86571">
        <w:rPr>
          <w:bCs/>
          <w:iCs/>
        </w:rPr>
        <w:t xml:space="preserve">These </w:t>
      </w:r>
      <w:r w:rsidR="00822914">
        <w:rPr>
          <w:bCs/>
          <w:iCs/>
        </w:rPr>
        <w:t>effects would be larger</w:t>
      </w:r>
      <w:r w:rsidR="0098405C">
        <w:rPr>
          <w:bCs/>
          <w:iCs/>
        </w:rPr>
        <w:t xml:space="preserve"> if the policy led to other changes like increases in adult cessation</w:t>
      </w:r>
      <w:r w:rsidR="00712336">
        <w:rPr>
          <w:bCs/>
          <w:iCs/>
        </w:rPr>
        <w:t xml:space="preserve"> or increases in cigarette prices.</w:t>
      </w:r>
    </w:p>
    <w:p w14:paraId="56333E34" w14:textId="77777777" w:rsidR="00A278EF" w:rsidRDefault="00A278EF" w:rsidP="00A278EF">
      <w:pPr>
        <w:pStyle w:val="Heading1"/>
        <w:keepLines/>
        <w:tabs>
          <w:tab w:val="num" w:pos="0"/>
        </w:tabs>
        <w:spacing w:before="240"/>
        <w:ind w:left="720" w:hanging="720"/>
      </w:pPr>
      <w:bookmarkStart w:id="11" w:name="_Toc441421150"/>
      <w:r>
        <w:t>Methodology: Before-After Regression Analysis of Smoking Prevalence</w:t>
      </w:r>
      <w:bookmarkEnd w:id="11"/>
    </w:p>
    <w:p w14:paraId="06E63D9E" w14:textId="77777777" w:rsidR="00A278EF" w:rsidRDefault="00A278EF" w:rsidP="00A278EF">
      <w:pPr>
        <w:pStyle w:val="BodyText"/>
        <w:numPr>
          <w:ilvl w:val="3"/>
          <w:numId w:val="2"/>
        </w:numPr>
        <w:tabs>
          <w:tab w:val="clear" w:pos="1260"/>
          <w:tab w:val="num" w:pos="0"/>
          <w:tab w:val="num" w:pos="720"/>
        </w:tabs>
        <w:spacing w:before="120" w:after="0" w:line="360" w:lineRule="auto"/>
        <w:ind w:left="0" w:firstLine="720"/>
      </w:pPr>
      <w:r>
        <w:t xml:space="preserve">Smoking prevalence </w:t>
      </w:r>
      <w:r w:rsidR="00076B91">
        <w:t>is the proportion of</w:t>
      </w:r>
      <w:r>
        <w:t xml:space="preserve"> individuals in a population </w:t>
      </w:r>
      <w:r w:rsidR="00076B91">
        <w:t xml:space="preserve">that </w:t>
      </w:r>
      <w:r>
        <w:t xml:space="preserve">smoke.  If, for example, 17 people out of a group of 100 people smoke, smoking prevalence in the group </w:t>
      </w:r>
      <w:r w:rsidR="000327BE">
        <w:t>is</w:t>
      </w:r>
      <w:r>
        <w:t xml:space="preserve"> 17 percent (=17/100).  </w:t>
      </w:r>
      <w:r>
        <w:rPr>
          <w:szCs w:val="24"/>
        </w:rPr>
        <w:t xml:space="preserve">In this case, </w:t>
      </w:r>
      <w:r w:rsidR="00D043D4">
        <w:rPr>
          <w:szCs w:val="24"/>
        </w:rPr>
        <w:t xml:space="preserve">one could say that </w:t>
      </w:r>
      <w:r>
        <w:rPr>
          <w:szCs w:val="24"/>
        </w:rPr>
        <w:t>there is a 17 percent probability that a person selected at random from th</w:t>
      </w:r>
      <w:r w:rsidR="00D043D4">
        <w:rPr>
          <w:szCs w:val="24"/>
        </w:rPr>
        <w:t>e</w:t>
      </w:r>
      <w:r>
        <w:rPr>
          <w:szCs w:val="24"/>
        </w:rPr>
        <w:t xml:space="preserve"> group of 100 people would be a smoker.  </w:t>
      </w:r>
      <w:r>
        <w:t>A policy that discourages people from smoking would reduce smoking prevalence.  A poli</w:t>
      </w:r>
      <w:r w:rsidR="00CC7A11">
        <w:t>cy that reduces</w:t>
      </w:r>
      <w:r>
        <w:t xml:space="preserve"> the number of smokers from 17 to 16 out of a group of 100 people could be described as </w:t>
      </w:r>
      <w:r w:rsidR="00CC7A11">
        <w:t>reducing</w:t>
      </w:r>
      <w:r>
        <w:t xml:space="preserve"> smoking prevalence </w:t>
      </w:r>
      <w:r w:rsidR="00D043D4">
        <w:t xml:space="preserve">(or equivalently as </w:t>
      </w:r>
      <w:r w:rsidR="00CC7A11">
        <w:t>reducing</w:t>
      </w:r>
      <w:r w:rsidR="00D043D4">
        <w:t xml:space="preserve"> the probability that</w:t>
      </w:r>
      <w:r w:rsidR="000327BE">
        <w:t xml:space="preserve"> a randomly selected</w:t>
      </w:r>
      <w:r w:rsidR="00D043D4">
        <w:t xml:space="preserve"> individual </w:t>
      </w:r>
      <w:r w:rsidR="000327BE">
        <w:t>from</w:t>
      </w:r>
      <w:r w:rsidR="00D043D4">
        <w:t xml:space="preserve"> the group </w:t>
      </w:r>
      <w:r w:rsidR="000327BE">
        <w:t xml:space="preserve">is a </w:t>
      </w:r>
      <w:r w:rsidR="00D043D4">
        <w:t>smoke</w:t>
      </w:r>
      <w:r w:rsidR="000327BE">
        <w:t>r</w:t>
      </w:r>
      <w:r w:rsidR="00D043D4">
        <w:t xml:space="preserve">) </w:t>
      </w:r>
      <w:r>
        <w:t xml:space="preserve">by one percentage point, from 17 percent to 16 percent.  </w:t>
      </w:r>
    </w:p>
    <w:p w14:paraId="49D67904" w14:textId="77777777" w:rsidR="00A278EF" w:rsidRDefault="00A278EF" w:rsidP="00A278EF">
      <w:pPr>
        <w:pStyle w:val="BodyText"/>
        <w:numPr>
          <w:ilvl w:val="3"/>
          <w:numId w:val="2"/>
        </w:numPr>
        <w:tabs>
          <w:tab w:val="clear" w:pos="1260"/>
          <w:tab w:val="num" w:pos="0"/>
          <w:tab w:val="num" w:pos="720"/>
        </w:tabs>
        <w:spacing w:before="120" w:after="0" w:line="360" w:lineRule="auto"/>
        <w:ind w:left="0" w:firstLine="720"/>
      </w:pPr>
      <w:r w:rsidRPr="000417ED">
        <w:t xml:space="preserve">To </w:t>
      </w:r>
      <w:r>
        <w:t xml:space="preserve">measure the effect of the </w:t>
      </w:r>
      <w:r w:rsidR="002D0907">
        <w:t>packaging changes</w:t>
      </w:r>
      <w:r w:rsidRPr="000417ED">
        <w:t xml:space="preserve"> </w:t>
      </w:r>
      <w:r>
        <w:t>on smoking prevalence</w:t>
      </w:r>
      <w:r w:rsidRPr="000417ED">
        <w:t>, I adopt a widely</w:t>
      </w:r>
      <w:r w:rsidR="0030077B">
        <w:t>-</w:t>
      </w:r>
      <w:r w:rsidRPr="000417ED">
        <w:t xml:space="preserve">used approach in policy analysis often referred to as “before-after” </w:t>
      </w:r>
      <w:r>
        <w:t xml:space="preserve">regression </w:t>
      </w:r>
      <w:r w:rsidRPr="000417ED">
        <w:t>analysis</w:t>
      </w:r>
      <w:r>
        <w:t xml:space="preserve">.  </w:t>
      </w:r>
      <w:r w:rsidR="000327BE">
        <w:t>My</w:t>
      </w:r>
      <w:r>
        <w:t xml:space="preserve"> analysis relates an individual’s decision to smoke to </w:t>
      </w:r>
      <w:r w:rsidR="001069EE">
        <w:t xml:space="preserve">a </w:t>
      </w:r>
      <w:r>
        <w:t>set of explanatory variables</w:t>
      </w:r>
      <w:r w:rsidR="00625E38">
        <w:t xml:space="preserve">, including sociodemographic factors and controls for tobacco control policies (including the policies governing plain packaging and enlarged graphic health warnings) </w:t>
      </w:r>
      <w:r w:rsidR="00DE53C0">
        <w:t>that are widely believed to influence individuals’ decisions to smoke</w:t>
      </w:r>
      <w:r w:rsidR="00625E38">
        <w:t xml:space="preserve">.  </w:t>
      </w:r>
      <w:r>
        <w:t xml:space="preserve">There are two important features of this analysis.  </w:t>
      </w:r>
      <w:r w:rsidR="00B77CF3">
        <w:t>First, it disentangles the effects of multiple factors that may simultaneously be influencing the observed outcome.  Second</w:t>
      </w:r>
      <w:r>
        <w:t xml:space="preserve">, it identifies the effect of </w:t>
      </w:r>
      <w:r w:rsidRPr="000417ED">
        <w:t xml:space="preserve">the </w:t>
      </w:r>
      <w:r w:rsidR="00CC7A11">
        <w:t>packaging changes</w:t>
      </w:r>
      <w:r>
        <w:t xml:space="preserve"> by</w:t>
      </w:r>
      <w:r w:rsidRPr="000417ED">
        <w:t xml:space="preserve"> </w:t>
      </w:r>
      <w:r>
        <w:t>comparing smoking behavior before the pol</w:t>
      </w:r>
      <w:r w:rsidR="006D1985">
        <w:t>icy to smoking behavior after.</w:t>
      </w:r>
      <w:r>
        <w:t xml:space="preserve">  A finding that the </w:t>
      </w:r>
      <w:r w:rsidR="00CC7A11">
        <w:t>packaging changes</w:t>
      </w:r>
      <w:r>
        <w:t xml:space="preserve"> had a negative and statistically significant effect on smoking prevalence, controlling for changes in other factors, would provide support for the conclusion that the </w:t>
      </w:r>
      <w:r w:rsidR="00CC7A11">
        <w:t>packaging changes are</w:t>
      </w:r>
      <w:r>
        <w:t xml:space="preserve"> having </w:t>
      </w:r>
      <w:r w:rsidR="00CC7A11">
        <w:t>their</w:t>
      </w:r>
      <w:r>
        <w:t xml:space="preserve"> intended effect.  </w:t>
      </w:r>
      <w:r w:rsidR="00B77CF3">
        <w:t>Moreover, the estimation results can be used to determine what smoking prevalence would have been absent the packaging changes.</w:t>
      </w:r>
    </w:p>
    <w:p w14:paraId="43ED6525" w14:textId="4833EA96" w:rsidR="00A278EF" w:rsidRPr="000417ED" w:rsidRDefault="00A278EF" w:rsidP="00A278EF">
      <w:pPr>
        <w:pStyle w:val="BodyText"/>
        <w:numPr>
          <w:ilvl w:val="3"/>
          <w:numId w:val="2"/>
        </w:numPr>
        <w:tabs>
          <w:tab w:val="clear" w:pos="1260"/>
          <w:tab w:val="num" w:pos="0"/>
          <w:tab w:val="num" w:pos="720"/>
        </w:tabs>
        <w:spacing w:before="120" w:after="0" w:line="360" w:lineRule="auto"/>
        <w:ind w:left="0" w:firstLine="720"/>
      </w:pPr>
      <w:r>
        <w:lastRenderedPageBreak/>
        <w:t>Regression analysis is well</w:t>
      </w:r>
      <w:r w:rsidR="0030077B">
        <w:t xml:space="preserve"> </w:t>
      </w:r>
      <w:r w:rsidRPr="000417ED">
        <w:t>establi</w:t>
      </w:r>
      <w:r>
        <w:t>shed in the academic literature and</w:t>
      </w:r>
      <w:r w:rsidRPr="000417ED">
        <w:t xml:space="preserve"> </w:t>
      </w:r>
      <w:r>
        <w:t>widely used by policy</w:t>
      </w:r>
      <w:r w:rsidRPr="000417ED">
        <w:t>makers around the world</w:t>
      </w:r>
      <w:r>
        <w:t xml:space="preserve"> to evaluate policy effects.</w:t>
      </w:r>
      <w:r w:rsidRPr="000417ED">
        <w:rPr>
          <w:rStyle w:val="FootnoteReference"/>
        </w:rPr>
        <w:footnoteReference w:id="9"/>
      </w:r>
      <w:r>
        <w:t xml:space="preserve">  See </w:t>
      </w:r>
      <w:hyperlink w:anchor="_Appendix_C_–" w:history="1">
        <w:r w:rsidRPr="00B87FC4">
          <w:rPr>
            <w:rStyle w:val="Hyperlink"/>
          </w:rPr>
          <w:t>Appendix C</w:t>
        </w:r>
      </w:hyperlink>
      <w:r>
        <w:t xml:space="preserve"> for a more detailed discussion of the multiple regression model and statistical inference.</w:t>
      </w:r>
    </w:p>
    <w:p w14:paraId="054E1C5B" w14:textId="77777777" w:rsidR="006C4EEF" w:rsidRDefault="006C4EEF" w:rsidP="0023613C">
      <w:pPr>
        <w:pStyle w:val="Heading1"/>
        <w:keepLines/>
        <w:tabs>
          <w:tab w:val="num" w:pos="0"/>
        </w:tabs>
        <w:spacing w:before="240"/>
        <w:ind w:left="720" w:hanging="720"/>
      </w:pPr>
      <w:bookmarkStart w:id="12" w:name="_Toc441421151"/>
      <w:bookmarkStart w:id="13" w:name="_Toc363077219"/>
      <w:bookmarkStart w:id="14" w:name="_Toc363428844"/>
      <w:bookmarkStart w:id="15" w:name="_Toc363486205"/>
      <w:r>
        <w:t>Roy Morgan Data</w:t>
      </w:r>
      <w:bookmarkEnd w:id="12"/>
    </w:p>
    <w:p w14:paraId="20A26F5B" w14:textId="3F869502" w:rsidR="006C4EEF" w:rsidRDefault="006C4EEF" w:rsidP="006C4EEF">
      <w:pPr>
        <w:pStyle w:val="BodyText"/>
        <w:numPr>
          <w:ilvl w:val="3"/>
          <w:numId w:val="2"/>
        </w:numPr>
        <w:tabs>
          <w:tab w:val="clear" w:pos="1260"/>
          <w:tab w:val="num" w:pos="0"/>
          <w:tab w:val="num" w:pos="720"/>
        </w:tabs>
        <w:spacing w:before="120" w:after="0" w:line="360" w:lineRule="auto"/>
        <w:ind w:left="0" w:firstLine="720"/>
      </w:pPr>
      <w:r>
        <w:t xml:space="preserve">My analysis relies on </w:t>
      </w:r>
      <w:r w:rsidR="00A553B3">
        <w:t xml:space="preserve">data from </w:t>
      </w:r>
      <w:r>
        <w:t>the Roy Morgan Single Source Survey (“RMSS”)</w:t>
      </w:r>
      <w:r w:rsidR="008640C5">
        <w:t xml:space="preserve"> </w:t>
      </w:r>
      <w:r w:rsidR="002B00DA">
        <w:t>for the</w:t>
      </w:r>
      <w:r w:rsidR="008640C5">
        <w:t xml:space="preserve"> period January 2001 to September 2015.  RMSS is a nationally representative, </w:t>
      </w:r>
      <w:r>
        <w:t xml:space="preserve">repeated cross-sectional survey that </w:t>
      </w:r>
      <w:r w:rsidRPr="00505712">
        <w:t xml:space="preserve">asks </w:t>
      </w:r>
      <w:r w:rsidR="00006302">
        <w:t xml:space="preserve">every month </w:t>
      </w:r>
      <w:r w:rsidR="004A3EFE">
        <w:t xml:space="preserve">each of about 4,500 </w:t>
      </w:r>
      <w:r w:rsidRPr="00505712">
        <w:t>participants</w:t>
      </w:r>
      <w:r w:rsidR="004A3EFE">
        <w:t xml:space="preserve"> </w:t>
      </w:r>
      <w:r w:rsidR="00006302">
        <w:t xml:space="preserve">aged 14 and above </w:t>
      </w:r>
      <w:r w:rsidRPr="00505712">
        <w:t xml:space="preserve">a series of smoking-related questions, including whether the respondent smokes </w:t>
      </w:r>
      <w:r>
        <w:t>each of various different</w:t>
      </w:r>
      <w:r w:rsidRPr="00505712">
        <w:t xml:space="preserve"> tobacco products </w:t>
      </w:r>
      <w:r>
        <w:t>(e.g.,</w:t>
      </w:r>
      <w:r w:rsidRPr="00505712">
        <w:t xml:space="preserve"> factory-made cigarettes, roll-your-own cigarettes, pipe, and cigars</w:t>
      </w:r>
      <w:r>
        <w:t>).</w:t>
      </w:r>
      <w:r w:rsidR="008640C5" w:rsidRPr="008640C5">
        <w:rPr>
          <w:rStyle w:val="FootnoteReference"/>
        </w:rPr>
        <w:t xml:space="preserve"> </w:t>
      </w:r>
      <w:r w:rsidR="008640C5">
        <w:rPr>
          <w:rStyle w:val="FootnoteReference"/>
        </w:rPr>
        <w:footnoteReference w:id="10"/>
      </w:r>
      <w:r>
        <w:t xml:space="preserve">  The</w:t>
      </w:r>
      <w:r w:rsidR="009F41E3">
        <w:t>se</w:t>
      </w:r>
      <w:r>
        <w:t xml:space="preserve"> data also contain </w:t>
      </w:r>
      <w:r w:rsidRPr="00505712">
        <w:t>a variety of demographic and socioeconomic information</w:t>
      </w:r>
      <w:r>
        <w:t>,</w:t>
      </w:r>
      <w:r w:rsidRPr="00505712">
        <w:t xml:space="preserve"> including</w:t>
      </w:r>
      <w:r>
        <w:t xml:space="preserve"> the</w:t>
      </w:r>
      <w:r w:rsidRPr="00505712">
        <w:t xml:space="preserve"> respondent’s age, gender, marital status, immigration status, educational level, employment status, income level, and </w:t>
      </w:r>
      <w:r>
        <w:t>state or territory</w:t>
      </w:r>
      <w:r w:rsidRPr="00505712">
        <w:t xml:space="preserve"> of residence</w:t>
      </w:r>
      <w:r>
        <w:t>.</w:t>
      </w:r>
      <w:r w:rsidRPr="00505712">
        <w:t xml:space="preserve"> </w:t>
      </w:r>
      <w:r>
        <w:t xml:space="preserve"> </w:t>
      </w:r>
    </w:p>
    <w:p w14:paraId="1296B48D" w14:textId="77777777" w:rsidR="000327BE" w:rsidRPr="009F41E3" w:rsidRDefault="009F41E3" w:rsidP="006C4EEF">
      <w:pPr>
        <w:pStyle w:val="BodyText"/>
        <w:numPr>
          <w:ilvl w:val="3"/>
          <w:numId w:val="2"/>
        </w:numPr>
        <w:tabs>
          <w:tab w:val="clear" w:pos="1260"/>
          <w:tab w:val="num" w:pos="0"/>
          <w:tab w:val="num" w:pos="720"/>
        </w:tabs>
        <w:spacing w:before="120" w:after="0" w:line="360" w:lineRule="auto"/>
        <w:ind w:left="0" w:firstLine="720"/>
        <w:rPr>
          <w:b/>
        </w:rPr>
      </w:pPr>
      <w:r>
        <w:t xml:space="preserve">In selecting the time period to study, </w:t>
      </w:r>
      <w:r w:rsidR="006C4EEF">
        <w:t>my analysis is guided by the basic principle that more data is better, unless there is good reason to exclude available data.</w:t>
      </w:r>
      <w:r w:rsidR="006C4EEF">
        <w:rPr>
          <w:rStyle w:val="FootnoteReference"/>
        </w:rPr>
        <w:footnoteReference w:id="11"/>
      </w:r>
      <w:r w:rsidR="006C4EEF">
        <w:t xml:space="preserve">  The sample design needs to satisfy two basic requirements.  First, the before-period must be capable of serving as the basis for predicting what smoking prevalence would have been without the policy intervention.  Second, the after-period must be capable of reflecting the impact of the policy intervention, if there is one.  </w:t>
      </w:r>
    </w:p>
    <w:p w14:paraId="3A994B6E" w14:textId="6C0AF169" w:rsidR="007215A3" w:rsidRPr="007215A3" w:rsidRDefault="006C4EEF" w:rsidP="006C4EEF">
      <w:pPr>
        <w:pStyle w:val="BodyText"/>
        <w:numPr>
          <w:ilvl w:val="3"/>
          <w:numId w:val="2"/>
        </w:numPr>
        <w:tabs>
          <w:tab w:val="clear" w:pos="1260"/>
          <w:tab w:val="num" w:pos="0"/>
          <w:tab w:val="num" w:pos="720"/>
        </w:tabs>
        <w:spacing w:before="120" w:after="0" w:line="360" w:lineRule="auto"/>
        <w:ind w:left="0" w:firstLine="720"/>
        <w:rPr>
          <w:b/>
        </w:rPr>
      </w:pPr>
      <w:r>
        <w:t xml:space="preserve">With regard to the before-period, there are good reasons to rely on </w:t>
      </w:r>
      <w:r w:rsidR="0024121D">
        <w:t>data beginning in J</w:t>
      </w:r>
      <w:r w:rsidR="00AC2B60">
        <w:t>anuary 2001.  Over the first ten years</w:t>
      </w:r>
      <w:r w:rsidR="0024121D">
        <w:t xml:space="preserve"> of th</w:t>
      </w:r>
      <w:r w:rsidR="00421488">
        <w:t>e</w:t>
      </w:r>
      <w:r w:rsidR="0024121D">
        <w:t xml:space="preserve"> sample period</w:t>
      </w:r>
      <w:r w:rsidR="00AC2B60">
        <w:t>,</w:t>
      </w:r>
      <w:r>
        <w:t xml:space="preserve"> the Australian market experienced a range of tobacco control policies, including the absence of the introduction of substantial </w:t>
      </w:r>
      <w:r>
        <w:lastRenderedPageBreak/>
        <w:t xml:space="preserve">national tobacco control policies from January 2001 to </w:t>
      </w:r>
      <w:r w:rsidR="001069EE">
        <w:t xml:space="preserve">February </w:t>
      </w:r>
      <w:r>
        <w:t>2006,</w:t>
      </w:r>
      <w:r w:rsidR="00590B0D">
        <w:rPr>
          <w:rStyle w:val="FootnoteReference"/>
        </w:rPr>
        <w:footnoteReference w:id="12"/>
      </w:r>
      <w:r>
        <w:t xml:space="preserve"> the introduction of graphic health warnings on tobacco packaging in March 2006, and the 25 percent increase in the tobacco excise tax in April 2010.  The mix of these experiences provides a reasonable basis </w:t>
      </w:r>
      <w:r w:rsidR="009D1605">
        <w:t>for</w:t>
      </w:r>
      <w:r>
        <w:t xml:space="preserve"> estimat</w:t>
      </w:r>
      <w:r w:rsidR="009D1605">
        <w:t>ing</w:t>
      </w:r>
      <w:r>
        <w:t xml:space="preserve"> what smoking prevalence would have been </w:t>
      </w:r>
      <w:r w:rsidR="0023067F">
        <w:t xml:space="preserve">after </w:t>
      </w:r>
      <w:r>
        <w:t xml:space="preserve">December 2012 without </w:t>
      </w:r>
      <w:r w:rsidR="0016709A">
        <w:t>the 2012 packaging changes</w:t>
      </w:r>
      <w:r>
        <w:t>.</w:t>
      </w:r>
      <w:r>
        <w:rPr>
          <w:rStyle w:val="FootnoteReference"/>
        </w:rPr>
        <w:footnoteReference w:id="13"/>
      </w:r>
      <w:r>
        <w:t xml:space="preserve">  With regard to the after-period, it is preferable to use </w:t>
      </w:r>
      <w:r w:rsidR="00A80528">
        <w:t>the</w:t>
      </w:r>
      <w:r w:rsidR="00B840AA">
        <w:t xml:space="preserve"> </w:t>
      </w:r>
      <w:r>
        <w:t>sample period</w:t>
      </w:r>
      <w:r w:rsidR="0016709A">
        <w:t xml:space="preserve"> </w:t>
      </w:r>
      <w:r w:rsidR="00B840AA">
        <w:t xml:space="preserve">ending in September 2015, </w:t>
      </w:r>
      <w:r w:rsidR="0016709A">
        <w:t>especially given the mechanism</w:t>
      </w:r>
      <w:r w:rsidR="0023067F">
        <w:t>s</w:t>
      </w:r>
      <w:r w:rsidR="0016709A">
        <w:t xml:space="preserve"> through which plain packaging is likely to work</w:t>
      </w:r>
      <w:r>
        <w:t xml:space="preserve">.  </w:t>
      </w:r>
    </w:p>
    <w:p w14:paraId="25EF9C5F" w14:textId="77777777" w:rsidR="00A5469C" w:rsidRPr="007215A3" w:rsidRDefault="006C4EEF" w:rsidP="007215A3">
      <w:pPr>
        <w:pStyle w:val="BodyText"/>
        <w:numPr>
          <w:ilvl w:val="3"/>
          <w:numId w:val="2"/>
        </w:numPr>
        <w:tabs>
          <w:tab w:val="clear" w:pos="1260"/>
          <w:tab w:val="num" w:pos="0"/>
          <w:tab w:val="num" w:pos="720"/>
        </w:tabs>
        <w:spacing w:before="120" w:after="0" w:line="360" w:lineRule="auto"/>
        <w:ind w:left="0" w:firstLine="720"/>
      </w:pPr>
      <w:r w:rsidRPr="00D8182D">
        <w:t>Th</w:t>
      </w:r>
      <w:r w:rsidR="008640C5" w:rsidRPr="00D8182D">
        <w:t>ere are about</w:t>
      </w:r>
      <w:r w:rsidR="008640C5">
        <w:t xml:space="preserve"> 4,500</w:t>
      </w:r>
      <w:r w:rsidR="008640C5" w:rsidRPr="00650564">
        <w:t xml:space="preserve"> </w:t>
      </w:r>
      <w:r w:rsidR="008640C5">
        <w:t>respondents</w:t>
      </w:r>
      <w:r w:rsidR="008640C5" w:rsidRPr="00650564">
        <w:t xml:space="preserve"> each month, o</w:t>
      </w:r>
      <w:r w:rsidR="008640C5">
        <w:t>r</w:t>
      </w:r>
      <w:r w:rsidR="008640C5" w:rsidRPr="00650564">
        <w:t xml:space="preserve"> </w:t>
      </w:r>
      <w:r w:rsidR="008640C5" w:rsidRPr="005779D0">
        <w:t>794,750</w:t>
      </w:r>
      <w:r w:rsidR="008640C5" w:rsidRPr="00650564">
        <w:t xml:space="preserve"> respondents </w:t>
      </w:r>
      <w:r w:rsidR="008640C5">
        <w:t>in total</w:t>
      </w:r>
      <w:r w:rsidR="00AC2B60">
        <w:t>, over the</w:t>
      </w:r>
      <w:r w:rsidR="00A553B3">
        <w:t xml:space="preserve"> </w:t>
      </w:r>
      <w:r w:rsidR="00421488">
        <w:t xml:space="preserve">177-month period </w:t>
      </w:r>
      <w:r w:rsidR="008640C5">
        <w:t xml:space="preserve">from January 2001 to September </w:t>
      </w:r>
      <w:r w:rsidR="008640C5" w:rsidRPr="00650564">
        <w:t>2015.</w:t>
      </w:r>
      <w:r w:rsidR="007215A3">
        <w:t xml:space="preserve">  There are 143 months of observational data </w:t>
      </w:r>
      <w:r w:rsidR="007215A3" w:rsidRPr="00973478">
        <w:rPr>
          <w:rStyle w:val="Emphasis"/>
        </w:rPr>
        <w:t>before</w:t>
      </w:r>
      <w:r w:rsidR="007215A3">
        <w:t xml:space="preserve"> and 34 months of observational data </w:t>
      </w:r>
      <w:r w:rsidR="007215A3" w:rsidRPr="008640C5">
        <w:rPr>
          <w:i/>
        </w:rPr>
        <w:t>after</w:t>
      </w:r>
      <w:r w:rsidR="007215A3">
        <w:t xml:space="preserve"> </w:t>
      </w:r>
      <w:r w:rsidR="00FB2A6B">
        <w:t xml:space="preserve">December </w:t>
      </w:r>
      <w:r w:rsidR="007215A3">
        <w:t>2012</w:t>
      </w:r>
      <w:r w:rsidR="00FB2A6B">
        <w:t>, when the</w:t>
      </w:r>
      <w:r w:rsidR="007215A3">
        <w:t xml:space="preserve"> packaging changes</w:t>
      </w:r>
      <w:r w:rsidR="00FB2A6B">
        <w:t xml:space="preserve"> are fully implemented</w:t>
      </w:r>
      <w:r w:rsidR="007215A3">
        <w:t xml:space="preserve">.  </w:t>
      </w:r>
    </w:p>
    <w:p w14:paraId="744EA114" w14:textId="77777777" w:rsidR="0023613C" w:rsidRDefault="0023613C" w:rsidP="004A3EFE">
      <w:pPr>
        <w:pStyle w:val="Heading1"/>
      </w:pPr>
      <w:bookmarkStart w:id="16" w:name="_Toc441421152"/>
      <w:r>
        <w:t>Empirical Model</w:t>
      </w:r>
      <w:bookmarkEnd w:id="16"/>
    </w:p>
    <w:p w14:paraId="078681CB" w14:textId="77777777" w:rsidR="00783CA3" w:rsidRDefault="001B1DDD" w:rsidP="0023613C">
      <w:pPr>
        <w:pStyle w:val="BodyText"/>
        <w:numPr>
          <w:ilvl w:val="3"/>
          <w:numId w:val="2"/>
        </w:numPr>
        <w:tabs>
          <w:tab w:val="clear" w:pos="1260"/>
          <w:tab w:val="num" w:pos="0"/>
          <w:tab w:val="num" w:pos="720"/>
        </w:tabs>
        <w:spacing w:before="120" w:line="360" w:lineRule="auto"/>
        <w:ind w:left="0" w:firstLine="720"/>
      </w:pPr>
      <w:r>
        <w:t xml:space="preserve">The </w:t>
      </w:r>
      <w:r w:rsidR="00210D0C">
        <w:t>empirical model is designed to identify the effect of the</w:t>
      </w:r>
      <w:r w:rsidR="00F5362C">
        <w:t xml:space="preserve"> </w:t>
      </w:r>
      <w:r w:rsidR="004A3EFE">
        <w:t xml:space="preserve">2012 </w:t>
      </w:r>
      <w:r w:rsidR="00F5362C">
        <w:t xml:space="preserve">packaging changes </w:t>
      </w:r>
      <w:r w:rsidR="00210D0C">
        <w:t>on smoking prevalence.</w:t>
      </w:r>
      <w:r w:rsidR="0023613C">
        <w:t xml:space="preserve">  T</w:t>
      </w:r>
      <w:r w:rsidR="0023613C" w:rsidRPr="000417ED">
        <w:t xml:space="preserve">he dependent variable is </w:t>
      </w:r>
      <w:r w:rsidR="0023613C">
        <w:t>the smoking status of each individual: i</w:t>
      </w:r>
      <w:r w:rsidR="0023613C" w:rsidRPr="000417ED">
        <w:t xml:space="preserve">t is an indicator variable that equals one if the individual is a smoker, and zero otherwise.  </w:t>
      </w:r>
      <w:r w:rsidR="0023613C">
        <w:t>The average of this variable across all individuals</w:t>
      </w:r>
      <w:r w:rsidR="00783CA3">
        <w:t xml:space="preserve"> in a </w:t>
      </w:r>
      <w:r w:rsidR="00422EE3">
        <w:t>given</w:t>
      </w:r>
      <w:r w:rsidR="00783CA3">
        <w:t xml:space="preserve"> month</w:t>
      </w:r>
      <w:r w:rsidR="0023613C">
        <w:t xml:space="preserve"> is </w:t>
      </w:r>
      <w:r w:rsidR="00783CA3">
        <w:t xml:space="preserve">an estimate of the </w:t>
      </w:r>
      <w:r w:rsidR="0023613C">
        <w:t>smoking prevalence of the population</w:t>
      </w:r>
      <w:r w:rsidR="00783CA3">
        <w:t xml:space="preserve"> in that month</w:t>
      </w:r>
      <w:r w:rsidR="0023613C">
        <w:t xml:space="preserve">.  </w:t>
      </w:r>
    </w:p>
    <w:p w14:paraId="4E2DF03C" w14:textId="77777777" w:rsidR="0023613C" w:rsidRPr="0023613C" w:rsidRDefault="00BB54B4" w:rsidP="0023613C">
      <w:pPr>
        <w:pStyle w:val="BodyText"/>
        <w:numPr>
          <w:ilvl w:val="3"/>
          <w:numId w:val="2"/>
        </w:numPr>
        <w:tabs>
          <w:tab w:val="clear" w:pos="1260"/>
          <w:tab w:val="num" w:pos="0"/>
          <w:tab w:val="num" w:pos="720"/>
        </w:tabs>
        <w:spacing w:before="120" w:line="360" w:lineRule="auto"/>
        <w:ind w:left="0" w:firstLine="720"/>
      </w:pPr>
      <w:r w:rsidRPr="00770D77">
        <w:t>Smoking prevalence in Australia is determined by a complex array of factors, including a suite of tobacco control measures, the sociodemographic composition of the population, and cu</w:t>
      </w:r>
      <w:r>
        <w:t>ltural attitudes toward smoking</w:t>
      </w:r>
      <w:r w:rsidR="009D1605">
        <w:t>.</w:t>
      </w:r>
      <w:r>
        <w:rPr>
          <w:rStyle w:val="FootnoteReference"/>
        </w:rPr>
        <w:footnoteReference w:id="14"/>
      </w:r>
      <w:r>
        <w:t xml:space="preserve">  </w:t>
      </w:r>
      <w:r w:rsidR="00765768">
        <w:t>To capture these effects, t</w:t>
      </w:r>
      <w:r w:rsidR="0023613C">
        <w:t xml:space="preserve">he explanatory variables include: (a) </w:t>
      </w:r>
      <w:r w:rsidR="00422EE3">
        <w:t xml:space="preserve">an indicator variable for </w:t>
      </w:r>
      <w:r w:rsidR="0023613C">
        <w:t xml:space="preserve">the </w:t>
      </w:r>
      <w:r w:rsidR="00F5362C">
        <w:t>2012 packaging changes</w:t>
      </w:r>
      <w:r w:rsidR="0023613C">
        <w:t>;</w:t>
      </w:r>
      <w:r w:rsidR="0023613C" w:rsidRPr="000417ED">
        <w:t xml:space="preserve"> </w:t>
      </w:r>
      <w:r w:rsidR="0023613C">
        <w:t xml:space="preserve">(b) </w:t>
      </w:r>
      <w:r w:rsidR="0023613C" w:rsidRPr="000417ED">
        <w:t>indicator variables for other tobacco control policies</w:t>
      </w:r>
      <w:r w:rsidR="00422EE3">
        <w:t xml:space="preserve">; </w:t>
      </w:r>
      <w:r w:rsidR="0023613C">
        <w:t>(c) a set of sociodemographic factors; and (d) a time</w:t>
      </w:r>
      <w:r w:rsidR="0023613C" w:rsidRPr="000417ED">
        <w:t xml:space="preserve"> </w:t>
      </w:r>
      <w:r w:rsidR="0023613C" w:rsidRPr="000417ED">
        <w:lastRenderedPageBreak/>
        <w:t xml:space="preserve">trend.  </w:t>
      </w:r>
      <w:r w:rsidR="00C70550">
        <w:t xml:space="preserve">To the extent economic theory and </w:t>
      </w:r>
      <w:r w:rsidR="001E0A24">
        <w:t>prior research have</w:t>
      </w:r>
      <w:r w:rsidR="00C70550">
        <w:t xml:space="preserve"> established relationships between these explanatory factors and smoking prevalence, they can be used to assess the reasonableness of my estimation results.</w:t>
      </w:r>
      <w:r w:rsidR="00422EE3">
        <w:t xml:space="preserve">  </w:t>
      </w:r>
      <w:r w:rsidR="006A7D91">
        <w:t>In practice, one should have greater confidence in relying on predictions from a model that produces r</w:t>
      </w:r>
      <w:r w:rsidR="00422EE3">
        <w:t xml:space="preserve">esults that </w:t>
      </w:r>
      <w:r w:rsidR="006A7D91">
        <w:t xml:space="preserve">are consistent with </w:t>
      </w:r>
      <w:r w:rsidR="00783CA3">
        <w:t>theory and prior research.</w:t>
      </w:r>
      <w:r w:rsidR="00C70550">
        <w:t xml:space="preserve"> </w:t>
      </w:r>
      <w:r w:rsidR="006A7D91">
        <w:t xml:space="preserve"> </w:t>
      </w:r>
      <w:r w:rsidR="0023613C">
        <w:t>I describe each of these variables</w:t>
      </w:r>
      <w:r w:rsidR="00C70550">
        <w:t xml:space="preserve">, including </w:t>
      </w:r>
      <w:r w:rsidR="00783CA3">
        <w:t>findings</w:t>
      </w:r>
      <w:r w:rsidR="00C70550">
        <w:t xml:space="preserve"> from prior research,</w:t>
      </w:r>
      <w:r w:rsidR="0023613C">
        <w:t xml:space="preserve"> in greater detail here.</w:t>
      </w:r>
    </w:p>
    <w:p w14:paraId="5365FD12" w14:textId="77777777" w:rsidR="006C4EEF" w:rsidRPr="00D77D0C" w:rsidRDefault="006C4EEF" w:rsidP="006C4EEF">
      <w:pPr>
        <w:pStyle w:val="Heading2"/>
        <w:keepLines/>
        <w:tabs>
          <w:tab w:val="num" w:pos="0"/>
        </w:tabs>
        <w:spacing w:before="120"/>
        <w:ind w:left="1440" w:hanging="720"/>
        <w:rPr>
          <w:bCs/>
          <w:iCs w:val="0"/>
        </w:rPr>
      </w:pPr>
      <w:bookmarkStart w:id="17" w:name="_Toc441421153"/>
      <w:r w:rsidRPr="00D77D0C">
        <w:t xml:space="preserve">Smoking </w:t>
      </w:r>
      <w:bookmarkEnd w:id="13"/>
      <w:bookmarkEnd w:id="14"/>
      <w:bookmarkEnd w:id="15"/>
      <w:r>
        <w:t>Status</w:t>
      </w:r>
      <w:bookmarkEnd w:id="17"/>
    </w:p>
    <w:p w14:paraId="0AAA7C20" w14:textId="77777777" w:rsidR="006C4EEF" w:rsidRPr="00BD2688" w:rsidRDefault="006C4EEF" w:rsidP="006C4EEF">
      <w:pPr>
        <w:pStyle w:val="BodyText"/>
        <w:numPr>
          <w:ilvl w:val="3"/>
          <w:numId w:val="2"/>
        </w:numPr>
        <w:tabs>
          <w:tab w:val="clear" w:pos="1260"/>
          <w:tab w:val="num" w:pos="0"/>
          <w:tab w:val="num" w:pos="720"/>
        </w:tabs>
        <w:spacing w:before="120" w:line="360" w:lineRule="auto"/>
        <w:ind w:left="0" w:firstLine="720"/>
      </w:pPr>
      <w:r>
        <w:t>An individual’s smoking status is determined</w:t>
      </w:r>
      <w:r w:rsidRPr="00BD2688">
        <w:t xml:space="preserve"> using</w:t>
      </w:r>
      <w:r>
        <w:t xml:space="preserve"> his or her response to a series of questions asking whether they now smoke or have smoked different tobacco products in the last month.</w:t>
      </w:r>
      <w:r w:rsidRPr="00BD2688">
        <w:t xml:space="preserve"> </w:t>
      </w:r>
      <w:r>
        <w:t xml:space="preserve"> Specifically, r</w:t>
      </w:r>
      <w:r w:rsidRPr="00005364">
        <w:t>espondents are asked: “Do you now smoke factory-made cigarettes?” “I</w:t>
      </w:r>
      <w:proofErr w:type="spellStart"/>
      <w:r w:rsidRPr="00005364">
        <w:rPr>
          <w:lang w:val="en-AU"/>
        </w:rPr>
        <w:t>n</w:t>
      </w:r>
      <w:proofErr w:type="spellEnd"/>
      <w:r w:rsidRPr="00005364">
        <w:rPr>
          <w:lang w:val="en-AU"/>
        </w:rPr>
        <w:t xml:space="preserve"> the last month have you smoked any </w:t>
      </w:r>
      <w:r w:rsidRPr="00005364">
        <w:rPr>
          <w:bCs/>
          <w:lang w:val="en-AU"/>
        </w:rPr>
        <w:t>roll-your-own cigarettes</w:t>
      </w:r>
      <w:r w:rsidRPr="00005364">
        <w:rPr>
          <w:lang w:val="en-AU"/>
        </w:rPr>
        <w:t xml:space="preserve">?” </w:t>
      </w:r>
      <w:r w:rsidRPr="00005364">
        <w:rPr>
          <w:bCs/>
          <w:lang w:val="en-AU"/>
        </w:rPr>
        <w:t>“In the last month have you smoked any cigars?”</w:t>
      </w:r>
      <w:r w:rsidRPr="00005364">
        <w:rPr>
          <w:lang w:val="en-AU"/>
        </w:rPr>
        <w:t xml:space="preserve"> </w:t>
      </w:r>
      <w:r>
        <w:rPr>
          <w:lang w:val="en-AU"/>
        </w:rPr>
        <w:t xml:space="preserve">and </w:t>
      </w:r>
      <w:r w:rsidRPr="00005364">
        <w:rPr>
          <w:lang w:val="en-AU"/>
        </w:rPr>
        <w:t xml:space="preserve">“In the last month have you smoked a </w:t>
      </w:r>
      <w:r w:rsidRPr="00005364">
        <w:rPr>
          <w:bCs/>
          <w:lang w:val="en-AU"/>
        </w:rPr>
        <w:t>pipe?”</w:t>
      </w:r>
      <w:r>
        <w:rPr>
          <w:rStyle w:val="FootnoteReference"/>
        </w:rPr>
        <w:footnoteReference w:id="15"/>
      </w:r>
      <w:r w:rsidRPr="00BD2688" w:rsidDel="00005364">
        <w:t xml:space="preserve"> </w:t>
      </w:r>
      <w:r>
        <w:t xml:space="preserve"> A respondent is described as a “smoker” if he or she gives an affirmative answer to any of these questions,</w:t>
      </w:r>
      <w:r w:rsidRPr="00BD2688">
        <w:t xml:space="preserve"> and </w:t>
      </w:r>
      <w:r w:rsidR="0030077B">
        <w:t>as a “non-smoker”</w:t>
      </w:r>
      <w:r w:rsidRPr="00BD2688">
        <w:t xml:space="preserve"> otherwise (i.e., respondents who respond ‘No’ </w:t>
      </w:r>
      <w:r>
        <w:t xml:space="preserve">to all tobacco products </w:t>
      </w:r>
      <w:r w:rsidRPr="00BD2688">
        <w:t>are treated as non-smokers).</w:t>
      </w:r>
      <w:r>
        <w:t xml:space="preserve">  </w:t>
      </w:r>
    </w:p>
    <w:p w14:paraId="49689045" w14:textId="77777777" w:rsidR="00BD2688" w:rsidRPr="005553C0" w:rsidRDefault="00BD2688" w:rsidP="005553C0">
      <w:pPr>
        <w:pStyle w:val="Heading2"/>
        <w:keepLines/>
        <w:tabs>
          <w:tab w:val="num" w:pos="0"/>
        </w:tabs>
        <w:spacing w:before="120"/>
        <w:ind w:left="1440" w:hanging="720"/>
      </w:pPr>
      <w:bookmarkStart w:id="18" w:name="_Toc363077220"/>
      <w:bookmarkStart w:id="19" w:name="_Toc363428845"/>
      <w:bookmarkStart w:id="20" w:name="_Toc363486206"/>
      <w:bookmarkStart w:id="21" w:name="_Toc441421154"/>
      <w:r w:rsidRPr="00D77D0C">
        <w:t>Policy Variables</w:t>
      </w:r>
      <w:bookmarkEnd w:id="18"/>
      <w:bookmarkEnd w:id="19"/>
      <w:bookmarkEnd w:id="20"/>
      <w:bookmarkEnd w:id="21"/>
    </w:p>
    <w:p w14:paraId="4B738D31" w14:textId="77777777" w:rsidR="00214943" w:rsidRDefault="00FF7DD7" w:rsidP="00BD2688">
      <w:pPr>
        <w:pStyle w:val="BodyText"/>
        <w:numPr>
          <w:ilvl w:val="3"/>
          <w:numId w:val="2"/>
        </w:numPr>
        <w:tabs>
          <w:tab w:val="clear" w:pos="1260"/>
          <w:tab w:val="num" w:pos="0"/>
          <w:tab w:val="num" w:pos="720"/>
        </w:tabs>
        <w:spacing w:before="120" w:line="360" w:lineRule="auto"/>
        <w:ind w:left="0" w:firstLine="720"/>
      </w:pPr>
      <w:r>
        <w:t xml:space="preserve">The regression model controls for the introduction of various </w:t>
      </w:r>
      <w:r w:rsidR="00005364">
        <w:t xml:space="preserve">national </w:t>
      </w:r>
      <w:r w:rsidR="00BD2688" w:rsidRPr="00BD2688">
        <w:t>tobacco control policies implemented by Australia over the time period studied</w:t>
      </w:r>
      <w:r w:rsidR="00B749CA">
        <w:t xml:space="preserve">. </w:t>
      </w:r>
      <w:r w:rsidR="00214943">
        <w:t xml:space="preserve"> </w:t>
      </w:r>
      <w:r w:rsidR="00D23FEE">
        <w:t xml:space="preserve">In principle, these policies should be associated with declines in smoking prevalence because they make smoking less desirable, by changing the attractiveness of the packaging and raising the price of smoking.  </w:t>
      </w:r>
      <w:r w:rsidR="00D90934">
        <w:t>There are five policy variables</w:t>
      </w:r>
      <w:r w:rsidR="00D23FEE">
        <w:t>:</w:t>
      </w:r>
    </w:p>
    <w:p w14:paraId="2AFC80BF" w14:textId="77777777" w:rsidR="00214943" w:rsidRDefault="00D23FEE" w:rsidP="006A602D">
      <w:pPr>
        <w:pStyle w:val="BulletedList"/>
      </w:pPr>
      <w:r>
        <w:t>An indicator variable for t</w:t>
      </w:r>
      <w:r w:rsidR="00214943">
        <w:t xml:space="preserve">he introduction of </w:t>
      </w:r>
      <w:r w:rsidR="00005364">
        <w:t>graphic health warnings</w:t>
      </w:r>
      <w:r w:rsidR="00214943">
        <w:t xml:space="preserve"> on cigarette packs</w:t>
      </w:r>
      <w:r w:rsidR="006A7BAC">
        <w:t xml:space="preserve"> in March 2006</w:t>
      </w:r>
      <w:r w:rsidR="00214943">
        <w:t xml:space="preserve">.  </w:t>
      </w:r>
      <w:r w:rsidR="00BD2688" w:rsidRPr="00BD2688">
        <w:t xml:space="preserve">The warnings consisted of a written message (e.g., </w:t>
      </w:r>
      <w:r>
        <w:t>“</w:t>
      </w:r>
      <w:r w:rsidR="00BD2688" w:rsidRPr="00BD2688">
        <w:t>smoking causes lung cancer</w:t>
      </w:r>
      <w:r>
        <w:t>”</w:t>
      </w:r>
      <w:r w:rsidR="00BD2688" w:rsidRPr="00BD2688">
        <w:t>) and one of fourteen accompanying color images</w:t>
      </w:r>
      <w:r w:rsidR="007215A3">
        <w:t xml:space="preserve"> that were </w:t>
      </w:r>
      <w:r w:rsidR="00BD2688" w:rsidRPr="00BD2688">
        <w:t>required to cover 30 percent of the front and 90 percent of the back of cigarette pack</w:t>
      </w:r>
      <w:r w:rsidR="00C6369D">
        <w:t>ag</w:t>
      </w:r>
      <w:r w:rsidR="00BD2688" w:rsidRPr="00BD2688">
        <w:t xml:space="preserve">ing, and 30 percent of the front and 50 percent of the back of pipe and loose tobacco packaging. These warnings replaced a smaller, text-based set of warnings dating </w:t>
      </w:r>
      <w:r w:rsidR="006A7BAC">
        <w:t xml:space="preserve">back </w:t>
      </w:r>
      <w:r w:rsidR="00BD2688" w:rsidRPr="00BD2688">
        <w:t>to 1995.</w:t>
      </w:r>
      <w:r w:rsidR="00AC49BD">
        <w:rPr>
          <w:rStyle w:val="FootnoteReference"/>
        </w:rPr>
        <w:footnoteReference w:id="16"/>
      </w:r>
      <w:r w:rsidR="00BD2688" w:rsidRPr="00BD2688">
        <w:t xml:space="preserve"> </w:t>
      </w:r>
    </w:p>
    <w:p w14:paraId="33E3E11A" w14:textId="5EF8A2BB" w:rsidR="00D23FEE" w:rsidRDefault="00D23FEE" w:rsidP="006A602D">
      <w:pPr>
        <w:pStyle w:val="BulletedList"/>
      </w:pPr>
      <w:r>
        <w:lastRenderedPageBreak/>
        <w:t xml:space="preserve">A </w:t>
      </w:r>
      <w:r w:rsidR="00D90934">
        <w:t xml:space="preserve">set of three </w:t>
      </w:r>
      <w:r>
        <w:t>indicator variables, one for each of the excise tax increases:</w:t>
      </w:r>
      <w:r>
        <w:rPr>
          <w:rStyle w:val="FootnoteReference"/>
        </w:rPr>
        <w:footnoteReference w:id="17"/>
      </w:r>
      <w:r>
        <w:t xml:space="preserve"> (a) t</w:t>
      </w:r>
      <w:r w:rsidR="00214943">
        <w:t xml:space="preserve">he 25 percent increase in tobacco excise tax implemented on </w:t>
      </w:r>
      <w:r>
        <w:t xml:space="preserve">April </w:t>
      </w:r>
      <w:r w:rsidR="00CA1B19">
        <w:t>30</w:t>
      </w:r>
      <w:r>
        <w:t>, 2010; (b) the 12.5 percent increase in tobacco excise tax implemented on December 1, 2013; and (c) the 12.5 percent increase in tobacco excise tax implemented on September 1, 2014.</w:t>
      </w:r>
      <w:r>
        <w:rPr>
          <w:rStyle w:val="FootnoteReference"/>
        </w:rPr>
        <w:footnoteReference w:id="18"/>
      </w:r>
      <w:r>
        <w:t xml:space="preserve">  </w:t>
      </w:r>
    </w:p>
    <w:p w14:paraId="483F6163" w14:textId="77777777" w:rsidR="00BB54B4" w:rsidRDefault="00D23FEE" w:rsidP="006A602D">
      <w:pPr>
        <w:pStyle w:val="BulletedList"/>
      </w:pPr>
      <w:r>
        <w:t>A</w:t>
      </w:r>
      <w:r w:rsidR="002250C2">
        <w:t>n</w:t>
      </w:r>
      <w:r>
        <w:t xml:space="preserve"> indicator variable </w:t>
      </w:r>
      <w:r w:rsidR="006F35BB">
        <w:t xml:space="preserve">for the simultaneous introduction of both plain packaging and </w:t>
      </w:r>
      <w:r w:rsidR="00CA1B19">
        <w:t xml:space="preserve">updated and </w:t>
      </w:r>
      <w:r w:rsidR="006F35BB">
        <w:t>enlarged graphic health warnings</w:t>
      </w:r>
      <w:r w:rsidR="002250C2">
        <w:t xml:space="preserve"> in 2012</w:t>
      </w:r>
      <w:r w:rsidR="006F35BB">
        <w:t>.</w:t>
      </w:r>
      <w:r w:rsidR="00F7346E">
        <w:rPr>
          <w:rStyle w:val="FootnoteReference"/>
        </w:rPr>
        <w:footnoteReference w:id="19"/>
      </w:r>
      <w:r w:rsidR="000114F7">
        <w:rPr>
          <w:vertAlign w:val="superscript"/>
        </w:rPr>
        <w:t xml:space="preserve"> </w:t>
      </w:r>
      <w:r w:rsidR="000114F7">
        <w:t xml:space="preserve"> </w:t>
      </w:r>
      <w:r w:rsidR="007215A3">
        <w:t>As I have explained</w:t>
      </w:r>
      <w:r w:rsidR="00E12FA4">
        <w:t xml:space="preserve"> above</w:t>
      </w:r>
      <w:r w:rsidR="007215A3">
        <w:t>, m</w:t>
      </w:r>
      <w:r w:rsidR="007215A3" w:rsidRPr="005251EF">
        <w:t>anufacturers were required to</w:t>
      </w:r>
      <w:r w:rsidR="007215A3">
        <w:t xml:space="preserve"> switch to plain packages beginning </w:t>
      </w:r>
      <w:r w:rsidR="007215A3" w:rsidRPr="005251EF">
        <w:t xml:space="preserve">October 1, 2012, and retailers were required to sell only products in plain packaging </w:t>
      </w:r>
      <w:r w:rsidR="007215A3">
        <w:t>beginning</w:t>
      </w:r>
      <w:r w:rsidR="007215A3" w:rsidRPr="005251EF">
        <w:t xml:space="preserve"> December 1, 2012. </w:t>
      </w:r>
      <w:r w:rsidR="007215A3">
        <w:t xml:space="preserve"> </w:t>
      </w:r>
      <w:r w:rsidR="007215A3" w:rsidRPr="005251EF">
        <w:t>Given the manufacturer mandate, many retailers were already stocking plai</w:t>
      </w:r>
      <w:r w:rsidR="007215A3">
        <w:t xml:space="preserve">n packs </w:t>
      </w:r>
      <w:r w:rsidR="007215A3" w:rsidRPr="005251EF">
        <w:t>before December 1</w:t>
      </w:r>
      <w:r w:rsidR="007215A3">
        <w:t>, 2012</w:t>
      </w:r>
      <w:r w:rsidR="007215A3" w:rsidRPr="005251EF">
        <w:t>.</w:t>
      </w:r>
      <w:r w:rsidR="007215A3">
        <w:t xml:space="preserve">  Thus, October and November 2012 were transition months, and they belong neither in the before or after period.  Thus, my preferred </w:t>
      </w:r>
      <w:r w:rsidR="000114F7">
        <w:t>approach excludes</w:t>
      </w:r>
      <w:r w:rsidR="007215A3">
        <w:t xml:space="preserve"> the two months</w:t>
      </w:r>
      <w:r w:rsidR="000114F7">
        <w:t xml:space="preserve"> </w:t>
      </w:r>
      <w:r w:rsidR="00704AB4">
        <w:t>and measures</w:t>
      </w:r>
      <w:r w:rsidR="000114F7">
        <w:t xml:space="preserve"> the effect of the 2012 packaging changes using a December 2012 indicator variable.  In other specifications, I retain </w:t>
      </w:r>
      <w:r w:rsidR="007215A3">
        <w:t>October and November 2012</w:t>
      </w:r>
      <w:r w:rsidR="000114F7">
        <w:t xml:space="preserve"> and explore alternative policy start dates.  </w:t>
      </w:r>
    </w:p>
    <w:p w14:paraId="4287DC9F" w14:textId="0387DA12" w:rsidR="008E1E96" w:rsidRPr="00214943" w:rsidRDefault="00D90934" w:rsidP="00D90934">
      <w:pPr>
        <w:pStyle w:val="BodyText"/>
        <w:numPr>
          <w:ilvl w:val="3"/>
          <w:numId w:val="2"/>
        </w:numPr>
        <w:tabs>
          <w:tab w:val="clear" w:pos="1260"/>
          <w:tab w:val="num" w:pos="0"/>
          <w:tab w:val="num" w:pos="720"/>
        </w:tabs>
        <w:spacing w:before="120" w:line="360" w:lineRule="auto"/>
        <w:ind w:left="0" w:firstLine="720"/>
      </w:pPr>
      <w:r>
        <w:t>Each</w:t>
      </w:r>
      <w:r w:rsidR="0083439E">
        <w:t xml:space="preserve"> </w:t>
      </w:r>
      <w:r w:rsidR="006163C8">
        <w:t xml:space="preserve">indicator variable </w:t>
      </w:r>
      <w:r w:rsidR="0083439E">
        <w:t xml:space="preserve">takes the </w:t>
      </w:r>
      <w:r w:rsidR="006163C8">
        <w:t xml:space="preserve">value one for the </w:t>
      </w:r>
      <w:r>
        <w:t>months</w:t>
      </w:r>
      <w:r w:rsidR="006163C8">
        <w:t xml:space="preserve"> during which the policy </w:t>
      </w:r>
      <w:r w:rsidR="006A7BAC">
        <w:t xml:space="preserve">was </w:t>
      </w:r>
      <w:r w:rsidR="006163C8">
        <w:t>effective</w:t>
      </w:r>
      <w:r w:rsidR="006A7BAC">
        <w:t>,</w:t>
      </w:r>
      <w:r w:rsidR="006163C8">
        <w:t xml:space="preserve"> and </w:t>
      </w:r>
      <w:r w:rsidR="006A7BAC">
        <w:t xml:space="preserve">the </w:t>
      </w:r>
      <w:r w:rsidR="006163C8">
        <w:t xml:space="preserve">value zero otherwise.  The use of indicator variables </w:t>
      </w:r>
      <w:r w:rsidR="00AA4808">
        <w:t xml:space="preserve">to </w:t>
      </w:r>
      <w:r w:rsidR="000F61AD">
        <w:t>estimate policy effects is a methodology commonly adopted in the literature.</w:t>
      </w:r>
      <w:r w:rsidR="000F61AD">
        <w:rPr>
          <w:rStyle w:val="FootnoteReference"/>
        </w:rPr>
        <w:footnoteReference w:id="20"/>
      </w:r>
      <w:r w:rsidR="000F61AD">
        <w:t xml:space="preserve">  </w:t>
      </w:r>
      <w:r w:rsidR="00054657">
        <w:t xml:space="preserve">It allows the model to </w:t>
      </w:r>
      <w:r w:rsidR="00AA4808">
        <w:t xml:space="preserve">account for </w:t>
      </w:r>
      <w:r w:rsidR="00054657">
        <w:t>policy effects in a</w:t>
      </w:r>
      <w:r w:rsidR="00AA4808">
        <w:t xml:space="preserve"> flexible </w:t>
      </w:r>
      <w:r w:rsidR="00054657">
        <w:t>way without imposing assumptions on how the effect of one policy compares with another policy.  For example, the use of excise tax</w:t>
      </w:r>
      <w:r w:rsidR="000F61F2">
        <w:t xml:space="preserve"> levels</w:t>
      </w:r>
      <w:r w:rsidR="00054657">
        <w:t xml:space="preserve">, instead of a series of excise tax indicator variables, </w:t>
      </w:r>
      <w:r w:rsidR="00AA4808">
        <w:t xml:space="preserve">imposes the </w:t>
      </w:r>
      <w:r w:rsidR="006F19C2">
        <w:rPr>
          <w:szCs w:val="24"/>
        </w:rPr>
        <w:t xml:space="preserve">assumption that the effect of tax increases on </w:t>
      </w:r>
      <w:r w:rsidR="00FD191D">
        <w:rPr>
          <w:szCs w:val="24"/>
        </w:rPr>
        <w:t>individuals</w:t>
      </w:r>
      <w:r w:rsidR="00CA1B19">
        <w:rPr>
          <w:szCs w:val="24"/>
        </w:rPr>
        <w:t>’</w:t>
      </w:r>
      <w:r w:rsidR="00FD191D">
        <w:rPr>
          <w:szCs w:val="24"/>
        </w:rPr>
        <w:t xml:space="preserve"> decision to smoke </w:t>
      </w:r>
      <w:r w:rsidR="006F19C2">
        <w:rPr>
          <w:szCs w:val="24"/>
        </w:rPr>
        <w:t>is proportional to the size of the tax increase.</w:t>
      </w:r>
      <w:r>
        <w:rPr>
          <w:rStyle w:val="FootnoteReference"/>
          <w:szCs w:val="24"/>
        </w:rPr>
        <w:footnoteReference w:id="21"/>
      </w:r>
      <w:r w:rsidR="00AA4808">
        <w:rPr>
          <w:szCs w:val="24"/>
        </w:rPr>
        <w:t xml:space="preserve">  </w:t>
      </w:r>
      <w:r w:rsidR="00BB54B4" w:rsidRPr="00D90934">
        <w:rPr>
          <w:szCs w:val="24"/>
        </w:rPr>
        <w:t>T</w:t>
      </w:r>
      <w:r w:rsidR="008E1E96" w:rsidRPr="00D90934">
        <w:rPr>
          <w:szCs w:val="24"/>
        </w:rPr>
        <w:t xml:space="preserve">o the extent that a particular tobacco control measure was effective, it should have </w:t>
      </w:r>
      <w:r w:rsidR="001069EE">
        <w:rPr>
          <w:szCs w:val="24"/>
        </w:rPr>
        <w:t>reduced</w:t>
      </w:r>
      <w:r w:rsidR="008E1E96" w:rsidRPr="00D90934">
        <w:rPr>
          <w:szCs w:val="24"/>
        </w:rPr>
        <w:t xml:space="preserve"> </w:t>
      </w:r>
      <w:r w:rsidR="006A3077" w:rsidRPr="00D90934">
        <w:rPr>
          <w:szCs w:val="24"/>
        </w:rPr>
        <w:t xml:space="preserve">the </w:t>
      </w:r>
      <w:r w:rsidR="00763F3E" w:rsidRPr="00D90934">
        <w:rPr>
          <w:szCs w:val="24"/>
        </w:rPr>
        <w:t xml:space="preserve">probability </w:t>
      </w:r>
      <w:r w:rsidR="006A3077" w:rsidRPr="00D90934">
        <w:rPr>
          <w:szCs w:val="24"/>
        </w:rPr>
        <w:t xml:space="preserve">that an </w:t>
      </w:r>
      <w:r w:rsidR="006A3077" w:rsidRPr="00D90934">
        <w:rPr>
          <w:szCs w:val="24"/>
        </w:rPr>
        <w:lastRenderedPageBreak/>
        <w:t xml:space="preserve">individual smokes or, </w:t>
      </w:r>
      <w:r w:rsidR="00EB7899">
        <w:rPr>
          <w:szCs w:val="24"/>
        </w:rPr>
        <w:t>equivalently</w:t>
      </w:r>
      <w:r w:rsidR="006A3077" w:rsidRPr="00D90934">
        <w:rPr>
          <w:szCs w:val="24"/>
        </w:rPr>
        <w:t xml:space="preserve">, </w:t>
      </w:r>
      <w:r w:rsidR="001069EE">
        <w:rPr>
          <w:szCs w:val="24"/>
        </w:rPr>
        <w:t>reduced</w:t>
      </w:r>
      <w:r w:rsidR="006A3077" w:rsidRPr="00D90934">
        <w:rPr>
          <w:szCs w:val="24"/>
        </w:rPr>
        <w:t xml:space="preserve"> </w:t>
      </w:r>
      <w:r w:rsidR="008E1E96" w:rsidRPr="00D90934">
        <w:rPr>
          <w:szCs w:val="24"/>
        </w:rPr>
        <w:t>smoking prevalence</w:t>
      </w:r>
      <w:r w:rsidR="00EB7899">
        <w:rPr>
          <w:szCs w:val="24"/>
        </w:rPr>
        <w:t>.</w:t>
      </w:r>
      <w:r w:rsidR="00151CDF" w:rsidRPr="00D90934">
        <w:rPr>
          <w:szCs w:val="24"/>
        </w:rPr>
        <w:t xml:space="preserve"> </w:t>
      </w:r>
      <w:r w:rsidR="008E1E96" w:rsidRPr="00D90934">
        <w:rPr>
          <w:szCs w:val="24"/>
        </w:rPr>
        <w:t xml:space="preserve">A finding that the estimated </w:t>
      </w:r>
      <w:r w:rsidR="001069EE">
        <w:rPr>
          <w:szCs w:val="24"/>
        </w:rPr>
        <w:t>effect</w:t>
      </w:r>
      <w:r w:rsidR="001069EE" w:rsidRPr="00D90934">
        <w:rPr>
          <w:szCs w:val="24"/>
        </w:rPr>
        <w:t xml:space="preserve"> </w:t>
      </w:r>
      <w:r w:rsidR="008E1E96" w:rsidRPr="00D90934">
        <w:rPr>
          <w:szCs w:val="24"/>
        </w:rPr>
        <w:t xml:space="preserve">associated with </w:t>
      </w:r>
      <w:r w:rsidR="00EB7899">
        <w:rPr>
          <w:szCs w:val="24"/>
        </w:rPr>
        <w:t>a particular</w:t>
      </w:r>
      <w:r w:rsidR="008E1E96" w:rsidRPr="00D90934">
        <w:rPr>
          <w:szCs w:val="24"/>
        </w:rPr>
        <w:t xml:space="preserve"> tobacco control measure was negative and statistically different from zero would support that view.  </w:t>
      </w:r>
    </w:p>
    <w:p w14:paraId="71278871" w14:textId="77777777" w:rsidR="00BD2688" w:rsidRPr="00D77D0C" w:rsidRDefault="00BD2688" w:rsidP="005553C0">
      <w:pPr>
        <w:pStyle w:val="Heading2"/>
        <w:keepLines/>
        <w:tabs>
          <w:tab w:val="num" w:pos="0"/>
        </w:tabs>
        <w:spacing w:before="120"/>
        <w:ind w:left="1440" w:hanging="720"/>
        <w:rPr>
          <w:iCs w:val="0"/>
        </w:rPr>
      </w:pPr>
      <w:bookmarkStart w:id="22" w:name="_Toc363428847"/>
      <w:bookmarkStart w:id="23" w:name="_Toc363486208"/>
      <w:bookmarkStart w:id="24" w:name="_Toc441421155"/>
      <w:r w:rsidRPr="00D77D0C">
        <w:t>Sociodemographic Characteristics</w:t>
      </w:r>
      <w:bookmarkEnd w:id="22"/>
      <w:bookmarkEnd w:id="23"/>
      <w:bookmarkEnd w:id="24"/>
    </w:p>
    <w:p w14:paraId="14AA383C" w14:textId="77777777" w:rsidR="008735BC" w:rsidRDefault="008735BC" w:rsidP="00BD2688">
      <w:pPr>
        <w:pStyle w:val="BodyText"/>
        <w:numPr>
          <w:ilvl w:val="3"/>
          <w:numId w:val="2"/>
        </w:numPr>
        <w:tabs>
          <w:tab w:val="clear" w:pos="1260"/>
          <w:tab w:val="num" w:pos="0"/>
          <w:tab w:val="num" w:pos="720"/>
        </w:tabs>
        <w:spacing w:before="120" w:line="360" w:lineRule="auto"/>
        <w:ind w:left="0" w:firstLine="720"/>
      </w:pPr>
      <w:r>
        <w:t xml:space="preserve">The regression model also controls for a set of </w:t>
      </w:r>
      <w:r w:rsidR="008E5C2D">
        <w:t xml:space="preserve">demographic and </w:t>
      </w:r>
      <w:r w:rsidR="00BD2688" w:rsidRPr="00BD2688">
        <w:t xml:space="preserve">socioeconomic characteristics available in the </w:t>
      </w:r>
      <w:r w:rsidR="008E5C2D">
        <w:t>RMSS</w:t>
      </w:r>
      <w:r w:rsidR="008E5C2D" w:rsidRPr="00BD2688">
        <w:t xml:space="preserve"> </w:t>
      </w:r>
      <w:r w:rsidR="00BD2688" w:rsidRPr="00BD2688">
        <w:t>data</w:t>
      </w:r>
      <w:r w:rsidR="00ED4CC4">
        <w:t xml:space="preserve"> that are believed to be predictive of whether or not Australians smoke</w:t>
      </w:r>
      <w:r w:rsidR="00BD2688" w:rsidRPr="00BD2688">
        <w:t xml:space="preserve">.  </w:t>
      </w:r>
      <w:r w:rsidR="001E0A24">
        <w:t>These variables include controls for:</w:t>
      </w:r>
    </w:p>
    <w:p w14:paraId="613C1FE6" w14:textId="77777777" w:rsidR="008735BC" w:rsidRDefault="006A7BAC" w:rsidP="006A602D">
      <w:pPr>
        <w:pStyle w:val="BulletedList"/>
      </w:pPr>
      <w:r w:rsidRPr="00636D03">
        <w:rPr>
          <w:rStyle w:val="Emphasis"/>
        </w:rPr>
        <w:t>Gender</w:t>
      </w:r>
      <w:r w:rsidR="00CD4E28" w:rsidRPr="00184D81">
        <w:rPr>
          <w:rStyle w:val="Emphasis"/>
          <w:i w:val="0"/>
        </w:rPr>
        <w:t>.</w:t>
      </w:r>
      <w:r w:rsidR="00CD4E28" w:rsidRPr="00636D03">
        <w:t xml:space="preserve">  </w:t>
      </w:r>
      <w:r w:rsidRPr="00636D03">
        <w:t xml:space="preserve">An </w:t>
      </w:r>
      <w:r w:rsidR="00CD4E28" w:rsidRPr="00636D03">
        <w:t xml:space="preserve">indicator variable that equals one if the respondent is female, </w:t>
      </w:r>
      <w:r w:rsidR="00BA77D2" w:rsidRPr="00636D03">
        <w:t xml:space="preserve">and </w:t>
      </w:r>
      <w:r w:rsidR="00CD4E28" w:rsidRPr="00636D03">
        <w:t xml:space="preserve">zero otherwise.  </w:t>
      </w:r>
      <w:r w:rsidR="00FB674B" w:rsidRPr="00636D03">
        <w:t>P</w:t>
      </w:r>
      <w:r w:rsidR="00CD4E28" w:rsidRPr="00636D03">
        <w:t xml:space="preserve">rior </w:t>
      </w:r>
      <w:r w:rsidR="00FB674B" w:rsidRPr="00636D03">
        <w:t xml:space="preserve">research has shown </w:t>
      </w:r>
      <w:r w:rsidR="00CD4E28" w:rsidRPr="00636D03">
        <w:t xml:space="preserve">that women are less likely to smoke </w:t>
      </w:r>
      <w:r w:rsidRPr="00636D03">
        <w:t xml:space="preserve">than </w:t>
      </w:r>
      <w:r w:rsidR="00CD4E28" w:rsidRPr="00636D03">
        <w:t>men.</w:t>
      </w:r>
      <w:r w:rsidR="0042261B">
        <w:rPr>
          <w:rStyle w:val="FootnoteReference"/>
        </w:rPr>
        <w:footnoteReference w:id="22"/>
      </w:r>
    </w:p>
    <w:p w14:paraId="5AA0AD0B" w14:textId="77777777" w:rsidR="00CD4E28" w:rsidRDefault="006A7BAC" w:rsidP="006A602D">
      <w:pPr>
        <w:pStyle w:val="BulletedList"/>
      </w:pPr>
      <w:r w:rsidRPr="00973478">
        <w:rPr>
          <w:rStyle w:val="Emphasis"/>
        </w:rPr>
        <w:t xml:space="preserve">Marital </w:t>
      </w:r>
      <w:r w:rsidR="00CD4E28" w:rsidRPr="00973478">
        <w:rPr>
          <w:rStyle w:val="Emphasis"/>
        </w:rPr>
        <w:t>status</w:t>
      </w:r>
      <w:r w:rsidR="00CD4E28">
        <w:t xml:space="preserve">.  </w:t>
      </w:r>
      <w:r>
        <w:t xml:space="preserve">An </w:t>
      </w:r>
      <w:r w:rsidR="00CD4E28">
        <w:t>indicator variable that equals one if the respondent is married</w:t>
      </w:r>
      <w:r w:rsidR="003A37FE">
        <w:t>,</w:t>
      </w:r>
      <w:r w:rsidR="00CD4E28">
        <w:t xml:space="preserve"> </w:t>
      </w:r>
      <w:r w:rsidR="0080496A">
        <w:t xml:space="preserve">and </w:t>
      </w:r>
      <w:r w:rsidR="00CD4E28">
        <w:t xml:space="preserve">zero otherwise.  </w:t>
      </w:r>
      <w:r w:rsidR="00FB674B">
        <w:t>P</w:t>
      </w:r>
      <w:r w:rsidR="00CD4E28">
        <w:t xml:space="preserve">rior </w:t>
      </w:r>
      <w:r w:rsidR="00FB674B">
        <w:t xml:space="preserve">research has shown </w:t>
      </w:r>
      <w:r w:rsidR="00CD4E28">
        <w:t>that married people smoke less than unmarried people.</w:t>
      </w:r>
      <w:r w:rsidR="0042261B">
        <w:rPr>
          <w:rStyle w:val="FootnoteReference"/>
        </w:rPr>
        <w:footnoteReference w:id="23"/>
      </w:r>
    </w:p>
    <w:p w14:paraId="611B6DD0" w14:textId="77777777" w:rsidR="003A37FE" w:rsidRDefault="003A37FE" w:rsidP="006A602D">
      <w:pPr>
        <w:pStyle w:val="BulletedList"/>
      </w:pPr>
      <w:r w:rsidRPr="00973478">
        <w:rPr>
          <w:rStyle w:val="Emphasis"/>
        </w:rPr>
        <w:t>Foreign</w:t>
      </w:r>
      <w:r w:rsidR="00EB7899" w:rsidRPr="00973478">
        <w:rPr>
          <w:rStyle w:val="Emphasis"/>
        </w:rPr>
        <w:t>-born</w:t>
      </w:r>
      <w:r w:rsidRPr="00973478">
        <w:rPr>
          <w:rStyle w:val="Emphasis"/>
        </w:rPr>
        <w:t xml:space="preserve"> status</w:t>
      </w:r>
      <w:r w:rsidRPr="003A37FE">
        <w:t>.</w:t>
      </w:r>
      <w:r>
        <w:t xml:space="preserve">  This is an indicator variable that equals one if the respondent is foreign</w:t>
      </w:r>
      <w:r w:rsidR="00C6369D">
        <w:t>-</w:t>
      </w:r>
      <w:r>
        <w:t xml:space="preserve">born, </w:t>
      </w:r>
      <w:r w:rsidR="00EB7899">
        <w:t xml:space="preserve">and </w:t>
      </w:r>
      <w:r>
        <w:t xml:space="preserve">zero otherwise.  </w:t>
      </w:r>
      <w:r w:rsidR="00FB674B">
        <w:t xml:space="preserve">Prior research has shown that </w:t>
      </w:r>
      <w:r w:rsidR="00EB7899">
        <w:t>peop</w:t>
      </w:r>
      <w:r w:rsidR="00FB2A6B">
        <w:t>l</w:t>
      </w:r>
      <w:r w:rsidR="00EB7899">
        <w:t>e born in countries other than Australia</w:t>
      </w:r>
      <w:r>
        <w:t xml:space="preserve"> have different propensities to smoke than</w:t>
      </w:r>
      <w:r w:rsidR="00EB7899">
        <w:t xml:space="preserve"> people born in</w:t>
      </w:r>
      <w:r>
        <w:t xml:space="preserve"> Australia</w:t>
      </w:r>
      <w:r w:rsidR="00E76432">
        <w:t>, possibly</w:t>
      </w:r>
      <w:r w:rsidR="00FB674B">
        <w:t xml:space="preserve"> because of different attitudes towards smoking</w:t>
      </w:r>
      <w:r>
        <w:t>.</w:t>
      </w:r>
      <w:r w:rsidR="00ED4CC4">
        <w:rPr>
          <w:rStyle w:val="FootnoteReference"/>
        </w:rPr>
        <w:footnoteReference w:id="24"/>
      </w:r>
    </w:p>
    <w:p w14:paraId="7450B733" w14:textId="77777777" w:rsidR="003A37FE" w:rsidRDefault="003A37FE" w:rsidP="006A602D">
      <w:pPr>
        <w:pStyle w:val="BulletedList"/>
      </w:pPr>
      <w:r w:rsidRPr="00973478">
        <w:rPr>
          <w:rStyle w:val="Emphasis"/>
        </w:rPr>
        <w:t>Age</w:t>
      </w:r>
      <w:r w:rsidRPr="003A37FE">
        <w:t>.</w:t>
      </w:r>
      <w:r>
        <w:t xml:space="preserve">  </w:t>
      </w:r>
      <w:r w:rsidR="003267DE">
        <w:t xml:space="preserve">A </w:t>
      </w:r>
      <w:r>
        <w:t xml:space="preserve">set of indicator variables reflecting the age group to which the respondent belongs.  </w:t>
      </w:r>
      <w:r w:rsidR="00E76432">
        <w:t xml:space="preserve">Prior research has indicated </w:t>
      </w:r>
      <w:r w:rsidR="00DE3E41">
        <w:t xml:space="preserve">that </w:t>
      </w:r>
      <w:r w:rsidR="00337555">
        <w:t xml:space="preserve">older people smoke more than younger </w:t>
      </w:r>
      <w:proofErr w:type="gramStart"/>
      <w:r w:rsidR="00337555">
        <w:t>people</w:t>
      </w:r>
      <w:r w:rsidR="00A413A6">
        <w:t>,</w:t>
      </w:r>
      <w:proofErr w:type="gramEnd"/>
      <w:r w:rsidR="00A413A6">
        <w:t xml:space="preserve"> and </w:t>
      </w:r>
      <w:r w:rsidR="00DE3E41">
        <w:t xml:space="preserve">that </w:t>
      </w:r>
      <w:r w:rsidR="00A413A6">
        <w:t>at some point, for sufficient</w:t>
      </w:r>
      <w:r w:rsidR="00A553B3">
        <w:t>ly</w:t>
      </w:r>
      <w:r w:rsidR="00A413A6">
        <w:t xml:space="preserve"> old people, </w:t>
      </w:r>
      <w:r w:rsidR="000D4C9A">
        <w:t>the</w:t>
      </w:r>
      <w:r w:rsidR="00337555">
        <w:t xml:space="preserve"> trend reverses</w:t>
      </w:r>
      <w:r w:rsidR="003B2439">
        <w:t>.</w:t>
      </w:r>
      <w:r w:rsidR="0042261B">
        <w:rPr>
          <w:rStyle w:val="FootnoteReference"/>
        </w:rPr>
        <w:footnoteReference w:id="25"/>
      </w:r>
    </w:p>
    <w:p w14:paraId="57911C48" w14:textId="77777777" w:rsidR="00627E16" w:rsidRPr="00184D81" w:rsidRDefault="00627E16" w:rsidP="006A602D">
      <w:pPr>
        <w:pStyle w:val="BulletedList"/>
      </w:pPr>
      <w:r w:rsidRPr="00184D81">
        <w:rPr>
          <w:rStyle w:val="Emphasis"/>
        </w:rPr>
        <w:lastRenderedPageBreak/>
        <w:t>Education</w:t>
      </w:r>
      <w:r w:rsidRPr="006A602D">
        <w:rPr>
          <w:rStyle w:val="Emphasis"/>
        </w:rPr>
        <w:t>.</w:t>
      </w:r>
      <w:r w:rsidRPr="00184D81">
        <w:t xml:space="preserve">  </w:t>
      </w:r>
      <w:r w:rsidR="002C7A31" w:rsidRPr="00184D81">
        <w:t xml:space="preserve">A </w:t>
      </w:r>
      <w:r w:rsidRPr="00184D81">
        <w:t xml:space="preserve">set of indicator variables reflecting the education level of the respondent.  </w:t>
      </w:r>
      <w:r w:rsidR="00E76432" w:rsidRPr="00184D81">
        <w:t>P</w:t>
      </w:r>
      <w:r w:rsidRPr="00184D81">
        <w:t xml:space="preserve">rior </w:t>
      </w:r>
      <w:r w:rsidR="00E76432" w:rsidRPr="00184D81">
        <w:t>research has shown</w:t>
      </w:r>
      <w:r w:rsidRPr="00184D81">
        <w:t xml:space="preserve"> that</w:t>
      </w:r>
      <w:r w:rsidR="0042261B" w:rsidRPr="00184D81">
        <w:t xml:space="preserve"> more educated people smoke less.</w:t>
      </w:r>
      <w:r w:rsidR="0042261B" w:rsidRPr="00DD0150">
        <w:rPr>
          <w:rStyle w:val="FootnoteReference"/>
        </w:rPr>
        <w:footnoteReference w:id="26"/>
      </w:r>
      <w:r w:rsidR="0042261B" w:rsidRPr="00DD0150">
        <w:rPr>
          <w:vertAlign w:val="superscript"/>
        </w:rPr>
        <w:t xml:space="preserve"> </w:t>
      </w:r>
    </w:p>
    <w:p w14:paraId="74F6E0A0" w14:textId="77777777" w:rsidR="0042261B" w:rsidRPr="00184D81" w:rsidRDefault="0042261B" w:rsidP="006A602D">
      <w:pPr>
        <w:pStyle w:val="BulletedList"/>
      </w:pPr>
      <w:r w:rsidRPr="00184D81">
        <w:rPr>
          <w:rStyle w:val="Emphasis"/>
        </w:rPr>
        <w:t>Work Status</w:t>
      </w:r>
      <w:r w:rsidRPr="00184D81">
        <w:t xml:space="preserve">.  </w:t>
      </w:r>
      <w:r w:rsidR="002C7A31" w:rsidRPr="00184D81">
        <w:t xml:space="preserve">A </w:t>
      </w:r>
      <w:r w:rsidRPr="00184D81">
        <w:t xml:space="preserve">set of </w:t>
      </w:r>
      <w:r w:rsidR="002C7A31" w:rsidRPr="00184D81">
        <w:t xml:space="preserve">indicator </w:t>
      </w:r>
      <w:r w:rsidRPr="00184D81">
        <w:t xml:space="preserve">variables </w:t>
      </w:r>
      <w:r w:rsidR="002C7A31" w:rsidRPr="00184D81">
        <w:t xml:space="preserve">reflecting </w:t>
      </w:r>
      <w:r w:rsidRPr="00184D81">
        <w:t xml:space="preserve">whether the respondent works full time, works part time, is unemployed, has home duties, or does not work.  </w:t>
      </w:r>
      <w:r w:rsidR="00E76432" w:rsidRPr="00184D81">
        <w:t>P</w:t>
      </w:r>
      <w:r w:rsidRPr="00184D81">
        <w:t>rior</w:t>
      </w:r>
      <w:r w:rsidR="00E76432" w:rsidRPr="00184D81">
        <w:t xml:space="preserve"> research has indicated</w:t>
      </w:r>
      <w:r w:rsidRPr="00184D81">
        <w:t xml:space="preserve"> that employed people smoke less than people who are not employed.</w:t>
      </w:r>
      <w:r w:rsidRPr="00DD0150">
        <w:rPr>
          <w:rStyle w:val="FootnoteReference"/>
        </w:rPr>
        <w:footnoteReference w:id="27"/>
      </w:r>
      <w:r w:rsidRPr="00DD0150">
        <w:rPr>
          <w:vertAlign w:val="superscript"/>
        </w:rPr>
        <w:t xml:space="preserve"> </w:t>
      </w:r>
      <w:r w:rsidRPr="00184D81">
        <w:t xml:space="preserve"> </w:t>
      </w:r>
    </w:p>
    <w:p w14:paraId="3E145E99" w14:textId="77777777" w:rsidR="00CD4E28" w:rsidRPr="00184D81" w:rsidRDefault="00462DB8" w:rsidP="006A602D">
      <w:pPr>
        <w:pStyle w:val="BulletedList"/>
      </w:pPr>
      <w:r w:rsidRPr="00184D81">
        <w:rPr>
          <w:rStyle w:val="Emphasis"/>
        </w:rPr>
        <w:t>Income.</w:t>
      </w:r>
      <w:r w:rsidRPr="00184D81">
        <w:t xml:space="preserve">  </w:t>
      </w:r>
      <w:r w:rsidR="002C7A31" w:rsidRPr="00184D81">
        <w:t xml:space="preserve">A </w:t>
      </w:r>
      <w:r w:rsidRPr="00184D81">
        <w:t>set of indicator variables reflecting the income bracket of the respondent.</w:t>
      </w:r>
      <w:r w:rsidR="00904A8F" w:rsidRPr="00184D81">
        <w:t xml:space="preserve">  </w:t>
      </w:r>
      <w:r w:rsidR="00BB54B4" w:rsidRPr="00184D81">
        <w:t>Prior research has shown that economically disadvantaged</w:t>
      </w:r>
      <w:r w:rsidR="005E24DC" w:rsidRPr="00184D81">
        <w:t xml:space="preserve"> smoke more</w:t>
      </w:r>
      <w:r w:rsidR="00BB54B4" w:rsidRPr="00184D81">
        <w:t xml:space="preserve">, meaning that </w:t>
      </w:r>
      <w:r w:rsidR="00904A8F" w:rsidRPr="00184D81">
        <w:t>high</w:t>
      </w:r>
      <w:r w:rsidR="00BB54B4" w:rsidRPr="00184D81">
        <w:t>er</w:t>
      </w:r>
      <w:r w:rsidR="005E24DC" w:rsidRPr="00184D81">
        <w:t xml:space="preserve"> income people</w:t>
      </w:r>
      <w:r w:rsidR="00BB54B4" w:rsidRPr="00184D81">
        <w:t xml:space="preserve"> smoke less</w:t>
      </w:r>
      <w:r w:rsidR="002C7A31" w:rsidRPr="00184D81">
        <w:t>.</w:t>
      </w:r>
      <w:r w:rsidR="00E76432" w:rsidRPr="00DD0150">
        <w:rPr>
          <w:rStyle w:val="FootnoteReference"/>
        </w:rPr>
        <w:footnoteReference w:id="28"/>
      </w:r>
    </w:p>
    <w:p w14:paraId="2E7DF2D1" w14:textId="77777777" w:rsidR="00BD2688" w:rsidRPr="00184D81" w:rsidRDefault="00165712" w:rsidP="006A602D">
      <w:pPr>
        <w:pStyle w:val="BulletedList"/>
      </w:pPr>
      <w:r w:rsidRPr="00184D81">
        <w:rPr>
          <w:rStyle w:val="Emphasis"/>
        </w:rPr>
        <w:t>State/</w:t>
      </w:r>
      <w:r w:rsidR="00904A8F" w:rsidRPr="00184D81">
        <w:rPr>
          <w:rStyle w:val="Emphasis"/>
        </w:rPr>
        <w:t>Territory.</w:t>
      </w:r>
      <w:r w:rsidR="00904A8F" w:rsidRPr="00184D81">
        <w:t xml:space="preserve"> </w:t>
      </w:r>
      <w:r w:rsidR="00E76432" w:rsidRPr="00184D81">
        <w:t xml:space="preserve"> </w:t>
      </w:r>
      <w:r w:rsidR="00624D4F" w:rsidRPr="00184D81">
        <w:t xml:space="preserve">A </w:t>
      </w:r>
      <w:r w:rsidR="00904A8F" w:rsidRPr="00184D81">
        <w:t xml:space="preserve">set of indicator variables reflecting the </w:t>
      </w:r>
      <w:r w:rsidRPr="00184D81">
        <w:t xml:space="preserve">state or </w:t>
      </w:r>
      <w:r w:rsidR="00904A8F" w:rsidRPr="00184D81">
        <w:t xml:space="preserve">territory in which the respondent lived at the time of the survey.  These variables control for the possibility that different norms </w:t>
      </w:r>
      <w:r w:rsidR="00624D4F" w:rsidRPr="00184D81">
        <w:t xml:space="preserve">and </w:t>
      </w:r>
      <w:r w:rsidR="00904A8F" w:rsidRPr="00184D81">
        <w:t xml:space="preserve">influences, </w:t>
      </w:r>
      <w:r w:rsidR="00EB7899" w:rsidRPr="00184D81">
        <w:t>including</w:t>
      </w:r>
      <w:r w:rsidR="00904A8F" w:rsidRPr="00184D81">
        <w:t xml:space="preserve"> regional tobacco control policies, </w:t>
      </w:r>
      <w:r w:rsidR="000B37DF" w:rsidRPr="00184D81">
        <w:t>lead to different</w:t>
      </w:r>
      <w:r w:rsidR="00624D4F" w:rsidRPr="00184D81">
        <w:t xml:space="preserve"> smoking prevalence </w:t>
      </w:r>
      <w:r w:rsidR="000B37DF" w:rsidRPr="00184D81">
        <w:t xml:space="preserve">across </w:t>
      </w:r>
      <w:r w:rsidR="00904A8F" w:rsidRPr="00184D81">
        <w:t>regions.</w:t>
      </w:r>
    </w:p>
    <w:p w14:paraId="30D91099" w14:textId="77777777" w:rsidR="00BD2688" w:rsidRPr="00D77D0C" w:rsidRDefault="00BD2688" w:rsidP="005553C0">
      <w:pPr>
        <w:pStyle w:val="Heading2"/>
        <w:keepLines/>
        <w:tabs>
          <w:tab w:val="num" w:pos="0"/>
        </w:tabs>
        <w:spacing w:before="120"/>
        <w:ind w:left="1440" w:hanging="720"/>
      </w:pPr>
      <w:bookmarkStart w:id="25" w:name="_Toc363428850"/>
      <w:bookmarkStart w:id="26" w:name="_Toc363486211"/>
      <w:bookmarkStart w:id="27" w:name="_Toc441421156"/>
      <w:r w:rsidRPr="00BD2688">
        <w:t>Time Trend</w:t>
      </w:r>
      <w:bookmarkEnd w:id="25"/>
      <w:bookmarkEnd w:id="26"/>
      <w:bookmarkEnd w:id="27"/>
    </w:p>
    <w:p w14:paraId="125E7ACD" w14:textId="77777777" w:rsidR="00BF0082" w:rsidRDefault="00EC3699" w:rsidP="00FD0EA2">
      <w:pPr>
        <w:pStyle w:val="BodyText"/>
        <w:numPr>
          <w:ilvl w:val="3"/>
          <w:numId w:val="2"/>
        </w:numPr>
        <w:tabs>
          <w:tab w:val="clear" w:pos="1260"/>
          <w:tab w:val="num" w:pos="0"/>
          <w:tab w:val="num" w:pos="720"/>
        </w:tabs>
        <w:spacing w:before="120" w:line="360" w:lineRule="auto"/>
        <w:ind w:left="0" w:firstLine="720"/>
      </w:pPr>
      <w:r>
        <w:t xml:space="preserve">The regression </w:t>
      </w:r>
      <w:r w:rsidR="00BD2688" w:rsidRPr="00BD2688">
        <w:t xml:space="preserve">model </w:t>
      </w:r>
      <w:r>
        <w:t xml:space="preserve">also includes </w:t>
      </w:r>
      <w:r w:rsidR="00BD2688" w:rsidRPr="00BD2688">
        <w:t xml:space="preserve">a </w:t>
      </w:r>
      <w:r w:rsidR="000A01BB">
        <w:t>linear time trend</w:t>
      </w:r>
      <w:r w:rsidR="00C7142D">
        <w:t xml:space="preserve"> that </w:t>
      </w:r>
      <w:r w:rsidR="00D855EF">
        <w:t xml:space="preserve">captures the effects of both </w:t>
      </w:r>
      <w:r w:rsidR="0021187C">
        <w:t>a</w:t>
      </w:r>
      <w:r w:rsidR="00BD2688" w:rsidRPr="00BD2688">
        <w:t xml:space="preserve"> societal trend</w:t>
      </w:r>
      <w:r w:rsidR="00D855EF">
        <w:t xml:space="preserve">, created in part by </w:t>
      </w:r>
      <w:r w:rsidR="00C7142D">
        <w:t xml:space="preserve">the influence of </w:t>
      </w:r>
      <w:r w:rsidR="00474B62">
        <w:t xml:space="preserve">historical </w:t>
      </w:r>
      <w:r w:rsidR="00C7142D">
        <w:t>tobacco control policies</w:t>
      </w:r>
      <w:r w:rsidR="00D855EF">
        <w:t xml:space="preserve">, and </w:t>
      </w:r>
      <w:r w:rsidR="00C7142D">
        <w:t>other factors that are otherwise unmeasured.  T</w:t>
      </w:r>
      <w:r w:rsidR="00D855EF">
        <w:t xml:space="preserve">o the extent there is a </w:t>
      </w:r>
      <w:r w:rsidR="00C7142D">
        <w:t xml:space="preserve">societal trend causing a </w:t>
      </w:r>
      <w:r w:rsidR="00BD2688" w:rsidRPr="00BD2688">
        <w:t>decline in smoking prevalence</w:t>
      </w:r>
      <w:r w:rsidR="00D855EF">
        <w:t xml:space="preserve"> or important omitted factors that vary over time</w:t>
      </w:r>
      <w:r w:rsidR="00BD2688" w:rsidRPr="00BD2688">
        <w:t xml:space="preserve">, failure to include </w:t>
      </w:r>
      <w:r w:rsidR="00FD0EA2">
        <w:t>a time trend</w:t>
      </w:r>
      <w:r w:rsidR="00BD2688" w:rsidRPr="00BD2688">
        <w:t xml:space="preserve"> will falsely credit</w:t>
      </w:r>
      <w:r w:rsidR="000E2248">
        <w:t xml:space="preserve"> the packaging changes </w:t>
      </w:r>
      <w:r w:rsidR="00BD2688" w:rsidRPr="00BD2688">
        <w:t>for the decline in prevalence that would have otherwise occurred anyway.</w:t>
      </w:r>
      <w:r>
        <w:t xml:space="preserve">  </w:t>
      </w:r>
      <w:r w:rsidR="00EB7899">
        <w:t>I</w:t>
      </w:r>
      <w:r w:rsidR="00593E96">
        <w:t>t is important to recognize</w:t>
      </w:r>
      <w:r w:rsidR="00EB7899">
        <w:t>, however,</w:t>
      </w:r>
      <w:r w:rsidR="00593E96">
        <w:t xml:space="preserve"> that if </w:t>
      </w:r>
      <w:r w:rsidR="00D855EF">
        <w:t xml:space="preserve">they are </w:t>
      </w:r>
      <w:r w:rsidR="00593E96">
        <w:t xml:space="preserve">working, </w:t>
      </w:r>
      <w:r w:rsidR="000E2248">
        <w:t xml:space="preserve">the </w:t>
      </w:r>
      <w:r w:rsidR="00D855EF">
        <w:t xml:space="preserve">2012 </w:t>
      </w:r>
      <w:r w:rsidR="000E2248">
        <w:t>packaging changes themselves</w:t>
      </w:r>
      <w:r w:rsidR="00593E96">
        <w:t xml:space="preserve"> will influence the trend line.  In this case, some of the policy effect will be credited to the time trend</w:t>
      </w:r>
      <w:r w:rsidR="00E43C8F">
        <w:t>,</w:t>
      </w:r>
      <w:r w:rsidR="00593E96">
        <w:t xml:space="preserve"> and the estimated effect of the </w:t>
      </w:r>
      <w:r w:rsidR="000E2248">
        <w:t>packaging changes</w:t>
      </w:r>
      <w:r w:rsidR="00593E96">
        <w:t xml:space="preserve"> </w:t>
      </w:r>
      <w:r w:rsidR="004276B0">
        <w:t>beyond</w:t>
      </w:r>
      <w:r w:rsidR="00593E96">
        <w:t xml:space="preserve"> trend will tend to understate the policy effect.</w:t>
      </w:r>
    </w:p>
    <w:p w14:paraId="4D99CD4F" w14:textId="77777777" w:rsidR="00162D3C" w:rsidRDefault="00162D3C" w:rsidP="00162D3C">
      <w:pPr>
        <w:pStyle w:val="BodyText"/>
        <w:numPr>
          <w:ilvl w:val="0"/>
          <w:numId w:val="0"/>
        </w:numPr>
        <w:tabs>
          <w:tab w:val="num" w:pos="0"/>
        </w:tabs>
        <w:spacing w:before="120" w:line="360" w:lineRule="auto"/>
        <w:jc w:val="center"/>
      </w:pPr>
      <w:r>
        <w:lastRenderedPageBreak/>
        <w:t>****</w:t>
      </w:r>
    </w:p>
    <w:p w14:paraId="20662A71" w14:textId="77777777" w:rsidR="00162D3C" w:rsidRDefault="00162D3C" w:rsidP="00FD0EA2">
      <w:pPr>
        <w:pStyle w:val="BodyText"/>
        <w:numPr>
          <w:ilvl w:val="3"/>
          <w:numId w:val="2"/>
        </w:numPr>
        <w:tabs>
          <w:tab w:val="clear" w:pos="1260"/>
          <w:tab w:val="num" w:pos="0"/>
          <w:tab w:val="num" w:pos="720"/>
        </w:tabs>
        <w:spacing w:before="120" w:line="360" w:lineRule="auto"/>
        <w:ind w:left="0" w:firstLine="720"/>
      </w:pPr>
      <w:r>
        <w:t xml:space="preserve">The regression model allows </w:t>
      </w:r>
      <w:r w:rsidR="000E2248">
        <w:t xml:space="preserve">the estimation of the impact of each of the factors on </w:t>
      </w:r>
      <w:r w:rsidR="004276B0">
        <w:t xml:space="preserve">an individual’s </w:t>
      </w:r>
      <w:r>
        <w:t>probability of smoking</w:t>
      </w:r>
      <w:r w:rsidR="000E2248">
        <w:t xml:space="preserve"> and</w:t>
      </w:r>
      <w:r w:rsidR="0021187C">
        <w:t>,</w:t>
      </w:r>
      <w:r w:rsidR="000E2248">
        <w:t xml:space="preserve"> as such</w:t>
      </w:r>
      <w:r w:rsidR="0021187C">
        <w:t>,</w:t>
      </w:r>
      <w:r w:rsidR="000E2248">
        <w:t xml:space="preserve"> on </w:t>
      </w:r>
      <w:r w:rsidR="004276B0">
        <w:t xml:space="preserve">population-wide </w:t>
      </w:r>
      <w:r>
        <w:t>smoking prevalence</w:t>
      </w:r>
      <w:r w:rsidR="000E2248">
        <w:t>.  The regression estimates can be used to predict what smoking prevalence would have been without the 2012 packaging changes</w:t>
      </w:r>
      <w:r w:rsidR="003F4F44">
        <w:t>.  In this way, the analysis can shed light on whether and the extent to which the</w:t>
      </w:r>
      <w:r w:rsidR="0021187C">
        <w:t xml:space="preserve"> policies </w:t>
      </w:r>
      <w:r w:rsidR="004276B0">
        <w:t xml:space="preserve">have </w:t>
      </w:r>
      <w:r w:rsidR="003F4F44">
        <w:t>had their intended effect.</w:t>
      </w:r>
    </w:p>
    <w:p w14:paraId="0A76E342" w14:textId="77777777" w:rsidR="006C4EEF" w:rsidRDefault="006C4EEF" w:rsidP="00D77D0C">
      <w:pPr>
        <w:pStyle w:val="Heading1"/>
        <w:rPr>
          <w:bCs w:val="0"/>
        </w:rPr>
      </w:pPr>
      <w:bookmarkStart w:id="28" w:name="_Toc441421157"/>
      <w:bookmarkStart w:id="29" w:name="_Toc363077225"/>
      <w:bookmarkStart w:id="30" w:name="_Toc363428851"/>
      <w:bookmarkStart w:id="31" w:name="_Toc363486212"/>
      <w:r>
        <w:rPr>
          <w:bCs w:val="0"/>
        </w:rPr>
        <w:t>Descriptive Statistics</w:t>
      </w:r>
      <w:bookmarkEnd w:id="28"/>
    </w:p>
    <w:p w14:paraId="0DF902EB" w14:textId="77777777" w:rsidR="006C4EEF" w:rsidRPr="00A35E91" w:rsidRDefault="006C4EEF" w:rsidP="006C4EEF">
      <w:pPr>
        <w:pStyle w:val="BodyText"/>
        <w:numPr>
          <w:ilvl w:val="3"/>
          <w:numId w:val="2"/>
        </w:numPr>
        <w:tabs>
          <w:tab w:val="clear" w:pos="1260"/>
          <w:tab w:val="num" w:pos="0"/>
          <w:tab w:val="num" w:pos="720"/>
        </w:tabs>
        <w:spacing w:before="120" w:after="0" w:line="360" w:lineRule="auto"/>
        <w:ind w:left="0" w:firstLine="720"/>
        <w:rPr>
          <w:b/>
        </w:rPr>
      </w:pPr>
      <w:r>
        <w:t xml:space="preserve">Figure 1 below presents a plot of the monthly overall smoking prevalence rate observed in the </w:t>
      </w:r>
      <w:r w:rsidR="003F4F44">
        <w:t>RMSS</w:t>
      </w:r>
      <w:r w:rsidR="004276B0">
        <w:t xml:space="preserve"> </w:t>
      </w:r>
      <w:r>
        <w:t>data, with two separate trend lines for the before and after periods.  As seen in this chart, there has been an overall decline in smoking prevalence in Australia for the past fifteen years.  There is also some indication that this decline in prevalence has accelerated in recent years.</w:t>
      </w:r>
    </w:p>
    <w:p w14:paraId="24F19DBB" w14:textId="77777777" w:rsidR="006C4EEF" w:rsidRDefault="006C4EEF" w:rsidP="006C4EEF">
      <w:pPr>
        <w:pStyle w:val="BodyText"/>
        <w:keepNext/>
        <w:numPr>
          <w:ilvl w:val="0"/>
          <w:numId w:val="0"/>
        </w:numPr>
        <w:spacing w:before="240" w:after="0" w:line="360" w:lineRule="auto"/>
        <w:jc w:val="center"/>
        <w:rPr>
          <w:b/>
        </w:rPr>
      </w:pPr>
      <w:r>
        <w:rPr>
          <w:b/>
        </w:rPr>
        <w:t>Figure 1</w:t>
      </w:r>
      <w:r w:rsidRPr="008D1F64">
        <w:rPr>
          <w:b/>
        </w:rPr>
        <w:t>:</w:t>
      </w:r>
      <w:r w:rsidRPr="001D21C1">
        <w:rPr>
          <w:b/>
        </w:rPr>
        <w:t xml:space="preserve"> </w:t>
      </w:r>
      <w:r>
        <w:rPr>
          <w:b/>
        </w:rPr>
        <w:t xml:space="preserve">Overall Smoking Prevalence </w:t>
      </w:r>
    </w:p>
    <w:p w14:paraId="20FC97F9" w14:textId="155EEFF2" w:rsidR="002D47E9" w:rsidRDefault="002D47E9" w:rsidP="006C4EEF">
      <w:pPr>
        <w:pStyle w:val="BodyText"/>
        <w:keepNext/>
        <w:numPr>
          <w:ilvl w:val="0"/>
          <w:numId w:val="0"/>
        </w:numPr>
        <w:spacing w:before="240" w:after="0" w:line="360" w:lineRule="auto"/>
        <w:jc w:val="center"/>
        <w:rPr>
          <w:b/>
        </w:rPr>
      </w:pPr>
      <w:r>
        <w:rPr>
          <w:noProof/>
          <w:lang w:val="en-AU" w:eastAsia="en-AU"/>
        </w:rPr>
        <w:drawing>
          <wp:inline distT="0" distB="0" distL="0" distR="0" wp14:anchorId="7627CB23" wp14:editId="27CD8E13">
            <wp:extent cx="5274734" cy="3622999"/>
            <wp:effectExtent l="0" t="0" r="2540" b="0"/>
            <wp:docPr id="3" name="Picture 3" descr="Figure 1 is a plot graph of the monthly overall smoking prevalence rates observed in the Roy Morgan Single Source Survey.  There are two separate trend lines showing the trend before and after the 2012 packaging changes, illustrating an overall decline in Australian smoking prevalence over 15 years.  The trend line after the 2012 packaging changes is steeper, showing some indication that the decline in prevalence has accelerated in recent years. The graph also marks the introduction of the 2012 packaging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7911" cy="3625181"/>
                    </a:xfrm>
                    <a:prstGeom prst="rect">
                      <a:avLst/>
                    </a:prstGeom>
                  </pic:spPr>
                </pic:pic>
              </a:graphicData>
            </a:graphic>
          </wp:inline>
        </w:drawing>
      </w:r>
    </w:p>
    <w:p w14:paraId="0D08E4A5" w14:textId="77777777" w:rsidR="006C4EEF" w:rsidRPr="00865818" w:rsidRDefault="001E0A24" w:rsidP="00636D03">
      <w:pPr>
        <w:pStyle w:val="Footer"/>
        <w:spacing w:after="120"/>
        <w:ind w:left="763" w:hanging="360"/>
      </w:pPr>
      <w:r>
        <w:rPr>
          <w:i/>
        </w:rPr>
        <w:t>Note</w:t>
      </w:r>
      <w:r w:rsidR="006C4EEF" w:rsidRPr="00865818">
        <w:t xml:space="preserve">: Data are weighted using the population weights in the RMSS data. </w:t>
      </w:r>
    </w:p>
    <w:p w14:paraId="29383894" w14:textId="77777777" w:rsidR="006C4EEF" w:rsidRDefault="006C4EEF" w:rsidP="00743011">
      <w:pPr>
        <w:pStyle w:val="Footer"/>
      </w:pPr>
      <w:r w:rsidRPr="00865818">
        <w:rPr>
          <w:i/>
        </w:rPr>
        <w:t>Source</w:t>
      </w:r>
      <w:r w:rsidRPr="00865818">
        <w:t>: RMSS data (January 200</w:t>
      </w:r>
      <w:r>
        <w:t>1</w:t>
      </w:r>
      <w:r w:rsidRPr="00865818">
        <w:t xml:space="preserve"> – </w:t>
      </w:r>
      <w:r w:rsidRPr="00743011">
        <w:t>September</w:t>
      </w:r>
      <w:r w:rsidRPr="00865818">
        <w:t xml:space="preserve"> 2015).</w:t>
      </w:r>
    </w:p>
    <w:p w14:paraId="6CDF46CD" w14:textId="45CFA32F" w:rsidR="006C4EEF" w:rsidRPr="006A1597" w:rsidRDefault="00B157B2" w:rsidP="006C4EEF">
      <w:pPr>
        <w:pStyle w:val="BodyText"/>
        <w:numPr>
          <w:ilvl w:val="3"/>
          <w:numId w:val="2"/>
        </w:numPr>
        <w:tabs>
          <w:tab w:val="clear" w:pos="1260"/>
          <w:tab w:val="num" w:pos="0"/>
          <w:tab w:val="num" w:pos="720"/>
        </w:tabs>
        <w:spacing w:before="120" w:after="0" w:line="360" w:lineRule="auto"/>
        <w:ind w:left="0" w:firstLine="720"/>
      </w:pPr>
      <w:r w:rsidRPr="00B157B2">
        <w:lastRenderedPageBreak/>
        <w:fldChar w:fldCharType="begin"/>
      </w:r>
      <w:r w:rsidRPr="00B157B2">
        <w:instrText xml:space="preserve"> REF _Ref444092908 \h </w:instrText>
      </w:r>
      <w:r w:rsidRPr="00973478">
        <w:instrText xml:space="preserve"> \* MERGEFORMAT </w:instrText>
      </w:r>
      <w:r w:rsidRPr="00B157B2">
        <w:fldChar w:fldCharType="separate"/>
      </w:r>
      <w:r w:rsidR="00C62F5C" w:rsidRPr="00973478">
        <w:rPr>
          <w:szCs w:val="24"/>
        </w:rPr>
        <w:t xml:space="preserve">Table </w:t>
      </w:r>
      <w:r w:rsidR="00C62F5C">
        <w:rPr>
          <w:noProof/>
          <w:szCs w:val="24"/>
        </w:rPr>
        <w:t>1</w:t>
      </w:r>
      <w:r w:rsidRPr="00B157B2">
        <w:fldChar w:fldCharType="end"/>
      </w:r>
      <w:r w:rsidR="00743011" w:rsidRPr="00B157B2">
        <w:t xml:space="preserve"> </w:t>
      </w:r>
      <w:r w:rsidR="006C4EEF" w:rsidRPr="00B157B2">
        <w:t>presents</w:t>
      </w:r>
      <w:r w:rsidR="006C4EEF">
        <w:t xml:space="preserve"> the same information through a different lens.  Specifically, </w:t>
      </w:r>
      <w:r w:rsidR="00194591">
        <w:t xml:space="preserve">Column </w:t>
      </w:r>
      <w:r w:rsidR="00C529AF">
        <w:t>(1)</w:t>
      </w:r>
      <w:r w:rsidR="006C4EEF">
        <w:t xml:space="preserve"> shows average smoking prevalence in the full sample, from January 2001 to September 2015. </w:t>
      </w:r>
      <w:r w:rsidR="006A1597">
        <w:t xml:space="preserve"> To provide more recent context,</w:t>
      </w:r>
      <w:r w:rsidR="00194591">
        <w:t xml:space="preserve"> Columns </w:t>
      </w:r>
      <w:r w:rsidR="00C529AF">
        <w:t>(2)</w:t>
      </w:r>
      <w:r w:rsidR="00194591">
        <w:t xml:space="preserve"> and </w:t>
      </w:r>
      <w:r w:rsidR="00C529AF">
        <w:t>(3)</w:t>
      </w:r>
      <w:r w:rsidR="00194591">
        <w:t xml:space="preserve"> show</w:t>
      </w:r>
      <w:r w:rsidR="006C4EEF">
        <w:t xml:space="preserve"> average smoking prevalence in </w:t>
      </w:r>
      <w:r w:rsidR="00194591">
        <w:t xml:space="preserve">a </w:t>
      </w:r>
      <w:r w:rsidR="00417F82">
        <w:t xml:space="preserve">symmetric 34-month </w:t>
      </w:r>
      <w:r w:rsidR="00F27599">
        <w:t xml:space="preserve">period </w:t>
      </w:r>
      <w:r w:rsidR="00194591">
        <w:t xml:space="preserve">before and </w:t>
      </w:r>
      <w:r w:rsidR="00F27599">
        <w:t>after the 2012 packaging changes</w:t>
      </w:r>
      <w:r w:rsidR="00417F82">
        <w:t xml:space="preserve">, excluding October and November 2012, for reasons I explain above.  </w:t>
      </w:r>
      <w:r w:rsidR="006C4EEF">
        <w:t>As seen in this table, smoking prevalence declined by 2.2</w:t>
      </w:r>
      <w:r w:rsidR="00964C1E">
        <w:t xml:space="preserve"> </w:t>
      </w:r>
      <w:r w:rsidR="006C4EEF">
        <w:t>percentage points, from an average of 19.4 percent in the 3</w:t>
      </w:r>
      <w:r w:rsidR="00954FBF">
        <w:t>4</w:t>
      </w:r>
      <w:r w:rsidR="006C4EEF">
        <w:t xml:space="preserve"> months before </w:t>
      </w:r>
      <w:r w:rsidR="00E43C8F">
        <w:t xml:space="preserve">September </w:t>
      </w:r>
      <w:r w:rsidR="001E0A24">
        <w:t>2012</w:t>
      </w:r>
      <w:r w:rsidR="006C4EEF">
        <w:t xml:space="preserve"> to 17.2 percent in the 3</w:t>
      </w:r>
      <w:r w:rsidR="005075CB">
        <w:t>4</w:t>
      </w:r>
      <w:r w:rsidR="006C4EEF">
        <w:t xml:space="preserve"> months after</w:t>
      </w:r>
      <w:r w:rsidR="00E43C8F">
        <w:t xml:space="preserve"> December 2012</w:t>
      </w:r>
      <w:r w:rsidR="006C4EEF">
        <w:t>.</w:t>
      </w:r>
      <w:r w:rsidR="006A1597">
        <w:t xml:space="preserve">  One can use the predictions of the regression model to evaluate how much of this decline is due to the 2012 packaging changes.  </w:t>
      </w:r>
    </w:p>
    <w:p w14:paraId="016622D8" w14:textId="0D33147B" w:rsidR="006C4EEF" w:rsidRPr="00973478" w:rsidRDefault="00743011" w:rsidP="005962DA">
      <w:pPr>
        <w:pStyle w:val="Caption"/>
        <w:spacing w:before="240" w:after="120"/>
        <w:ind w:left="0" w:firstLine="0"/>
        <w:jc w:val="center"/>
        <w:rPr>
          <w:color w:val="auto"/>
          <w:szCs w:val="24"/>
        </w:rPr>
      </w:pPr>
      <w:bookmarkStart w:id="32" w:name="_Ref444092908"/>
      <w:r w:rsidRPr="00973478">
        <w:rPr>
          <w:color w:val="auto"/>
          <w:szCs w:val="24"/>
        </w:rPr>
        <w:t xml:space="preserve">Table </w:t>
      </w:r>
      <w:r w:rsidR="0025500B">
        <w:rPr>
          <w:color w:val="auto"/>
          <w:szCs w:val="24"/>
        </w:rPr>
        <w:fldChar w:fldCharType="begin"/>
      </w:r>
      <w:r w:rsidR="0025500B">
        <w:rPr>
          <w:color w:val="auto"/>
          <w:szCs w:val="24"/>
        </w:rPr>
        <w:instrText xml:space="preserve"> SEQ Table \* ARABIC </w:instrText>
      </w:r>
      <w:r w:rsidR="0025500B">
        <w:rPr>
          <w:color w:val="auto"/>
          <w:szCs w:val="24"/>
        </w:rPr>
        <w:fldChar w:fldCharType="separate"/>
      </w:r>
      <w:r w:rsidR="00C62F5C">
        <w:rPr>
          <w:noProof/>
          <w:color w:val="auto"/>
          <w:szCs w:val="24"/>
        </w:rPr>
        <w:t>1</w:t>
      </w:r>
      <w:r w:rsidR="0025500B">
        <w:rPr>
          <w:color w:val="auto"/>
          <w:szCs w:val="24"/>
        </w:rPr>
        <w:fldChar w:fldCharType="end"/>
      </w:r>
      <w:bookmarkEnd w:id="32"/>
      <w:r w:rsidR="006D4B65">
        <w:rPr>
          <w:color w:val="auto"/>
          <w:szCs w:val="24"/>
        </w:rPr>
        <w:t>:</w:t>
      </w:r>
      <w:r w:rsidRPr="00973478">
        <w:rPr>
          <w:color w:val="auto"/>
          <w:szCs w:val="24"/>
        </w:rPr>
        <w:t xml:space="preserve"> Average Smoking Prevalence, Before and After the Packaging Changes</w:t>
      </w:r>
    </w:p>
    <w:tbl>
      <w:tblPr>
        <w:tblStyle w:val="TableGrid"/>
        <w:tblW w:w="0" w:type="auto"/>
        <w:jc w:val="center"/>
        <w:tblLook w:val="04A0" w:firstRow="1" w:lastRow="0" w:firstColumn="1" w:lastColumn="0" w:noHBand="0" w:noVBand="1"/>
        <w:tblDescription w:val="Table 1 describes average smoking prevalence rates from the Roy Morgan Single Source Survey data over three different time periods.  The table contains five columns.  The first column reports that the variable described in this table is smoking. The second column, labeled (1), reports an average smoking prevalence of 20.6% over the full sample period from January 2001 to September 2015.  The third column, labeled (2), reports an average smoking prevalence of 19.4% over the thirty-four months before the 2012 packaging changes (from December 2009 to September 2012).  The fourth column, labeled (3), reports an average smoking prevalence of 17.2% over the thirty-four months after the 2012 packaging changes (from December 2012 to September 2015).  The final column, labeled (3) - (2), reports the percentage point change of -2.2 percentage points between the before period and after period."/>
      </w:tblPr>
      <w:tblGrid>
        <w:gridCol w:w="2542"/>
        <w:gridCol w:w="1620"/>
        <w:gridCol w:w="1620"/>
        <w:gridCol w:w="1620"/>
        <w:gridCol w:w="1338"/>
      </w:tblGrid>
      <w:tr w:rsidR="006C4EEF" w:rsidRPr="0030129E" w14:paraId="12FD09A1" w14:textId="77777777" w:rsidTr="00636D03">
        <w:trPr>
          <w:trHeight w:val="747"/>
          <w:tblHeader/>
          <w:jc w:val="center"/>
        </w:trPr>
        <w:tc>
          <w:tcPr>
            <w:tcW w:w="2542" w:type="dxa"/>
            <w:tcBorders>
              <w:top w:val="single" w:sz="12" w:space="0" w:color="auto"/>
              <w:left w:val="single" w:sz="12" w:space="0" w:color="auto"/>
              <w:bottom w:val="single" w:sz="4" w:space="0" w:color="FFFFFF" w:themeColor="background1"/>
              <w:right w:val="single" w:sz="4" w:space="0" w:color="auto"/>
            </w:tcBorders>
            <w:vAlign w:val="center"/>
          </w:tcPr>
          <w:p w14:paraId="46535E62" w14:textId="77777777" w:rsidR="006C4EEF" w:rsidRPr="00743011" w:rsidRDefault="006C4EEF" w:rsidP="00743011">
            <w:pPr>
              <w:rPr>
                <w:rStyle w:val="Strong"/>
              </w:rPr>
            </w:pPr>
            <w:r w:rsidRPr="00743011">
              <w:rPr>
                <w:rStyle w:val="Strong"/>
              </w:rPr>
              <w:t>Variable</w:t>
            </w:r>
          </w:p>
        </w:tc>
        <w:tc>
          <w:tcPr>
            <w:tcW w:w="1620" w:type="dxa"/>
            <w:tcBorders>
              <w:top w:val="single" w:sz="12" w:space="0" w:color="auto"/>
              <w:left w:val="single" w:sz="4" w:space="0" w:color="auto"/>
              <w:bottom w:val="single" w:sz="4" w:space="0" w:color="auto"/>
              <w:right w:val="nil"/>
            </w:tcBorders>
            <w:vAlign w:val="center"/>
          </w:tcPr>
          <w:p w14:paraId="0758AC0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Full Period</w:t>
            </w:r>
          </w:p>
          <w:p w14:paraId="6FCB2522"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Jan</w:t>
            </w:r>
            <w:r>
              <w:rPr>
                <w:b/>
                <w:sz w:val="22"/>
              </w:rPr>
              <w:t xml:space="preserve"> 01-Sept </w:t>
            </w:r>
            <w:r w:rsidRPr="0030129E">
              <w:rPr>
                <w:b/>
                <w:sz w:val="22"/>
              </w:rPr>
              <w:t>15</w:t>
            </w:r>
          </w:p>
        </w:tc>
        <w:tc>
          <w:tcPr>
            <w:tcW w:w="1620" w:type="dxa"/>
            <w:tcBorders>
              <w:top w:val="single" w:sz="12" w:space="0" w:color="auto"/>
              <w:left w:val="nil"/>
              <w:bottom w:val="single" w:sz="4" w:space="0" w:color="auto"/>
              <w:right w:val="nil"/>
            </w:tcBorders>
            <w:vAlign w:val="center"/>
          </w:tcPr>
          <w:p w14:paraId="5F5C7ED6"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Before</w:t>
            </w:r>
            <w:r>
              <w:rPr>
                <w:b/>
                <w:sz w:val="22"/>
              </w:rPr>
              <w:t>:</w:t>
            </w:r>
          </w:p>
          <w:p w14:paraId="7A7AD0C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Pr>
                <w:b/>
                <w:sz w:val="22"/>
              </w:rPr>
              <w:t xml:space="preserve">Dec </w:t>
            </w:r>
            <w:r w:rsidRPr="0030129E">
              <w:rPr>
                <w:b/>
                <w:sz w:val="22"/>
              </w:rPr>
              <w:t>0</w:t>
            </w:r>
            <w:r>
              <w:rPr>
                <w:b/>
                <w:sz w:val="22"/>
              </w:rPr>
              <w:t>9</w:t>
            </w:r>
            <w:r w:rsidRPr="0030129E">
              <w:rPr>
                <w:b/>
                <w:sz w:val="22"/>
              </w:rPr>
              <w:t>-</w:t>
            </w:r>
            <w:r>
              <w:rPr>
                <w:b/>
                <w:sz w:val="22"/>
              </w:rPr>
              <w:t xml:space="preserve">Sept </w:t>
            </w:r>
            <w:r w:rsidRPr="0030129E">
              <w:rPr>
                <w:b/>
                <w:sz w:val="22"/>
              </w:rPr>
              <w:t>12</w:t>
            </w:r>
          </w:p>
        </w:tc>
        <w:tc>
          <w:tcPr>
            <w:tcW w:w="1620" w:type="dxa"/>
            <w:tcBorders>
              <w:top w:val="single" w:sz="12" w:space="0" w:color="auto"/>
              <w:left w:val="nil"/>
              <w:bottom w:val="single" w:sz="4" w:space="0" w:color="auto"/>
              <w:right w:val="nil"/>
            </w:tcBorders>
            <w:vAlign w:val="center"/>
          </w:tcPr>
          <w:p w14:paraId="54A73D0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After</w:t>
            </w:r>
            <w:r>
              <w:rPr>
                <w:b/>
                <w:sz w:val="22"/>
              </w:rPr>
              <w:t>:</w:t>
            </w:r>
          </w:p>
          <w:p w14:paraId="2EDC0E87"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Dec</w:t>
            </w:r>
            <w:r>
              <w:rPr>
                <w:b/>
                <w:sz w:val="22"/>
              </w:rPr>
              <w:t xml:space="preserve"> 12-Sept </w:t>
            </w:r>
            <w:r w:rsidRPr="0030129E">
              <w:rPr>
                <w:b/>
                <w:sz w:val="22"/>
              </w:rPr>
              <w:t>15</w:t>
            </w:r>
          </w:p>
        </w:tc>
        <w:tc>
          <w:tcPr>
            <w:tcW w:w="1338" w:type="dxa"/>
            <w:tcBorders>
              <w:top w:val="single" w:sz="12" w:space="0" w:color="auto"/>
              <w:left w:val="nil"/>
              <w:bottom w:val="single" w:sz="4" w:space="0" w:color="auto"/>
              <w:right w:val="single" w:sz="12" w:space="0" w:color="auto"/>
            </w:tcBorders>
            <w:vAlign w:val="center"/>
          </w:tcPr>
          <w:p w14:paraId="4B262F9A" w14:textId="7248B0A4" w:rsidR="006C4EEF" w:rsidRPr="0030129E" w:rsidRDefault="006C4EEF" w:rsidP="00743011">
            <w:pPr>
              <w:pStyle w:val="BodyText"/>
              <w:keepNext/>
              <w:keepLines/>
              <w:numPr>
                <w:ilvl w:val="0"/>
                <w:numId w:val="0"/>
              </w:numPr>
              <w:tabs>
                <w:tab w:val="num" w:pos="1080"/>
              </w:tabs>
              <w:spacing w:line="240" w:lineRule="auto"/>
              <w:jc w:val="center"/>
              <w:rPr>
                <w:b/>
                <w:sz w:val="22"/>
              </w:rPr>
            </w:pPr>
            <w:r>
              <w:rPr>
                <w:b/>
                <w:sz w:val="22"/>
              </w:rPr>
              <w:t>Percentage Point</w:t>
            </w:r>
            <w:r w:rsidR="00743011">
              <w:rPr>
                <w:b/>
                <w:sz w:val="22"/>
              </w:rPr>
              <w:t xml:space="preserve"> </w:t>
            </w:r>
            <w:r>
              <w:rPr>
                <w:b/>
                <w:sz w:val="22"/>
              </w:rPr>
              <w:t>Change</w:t>
            </w:r>
          </w:p>
        </w:tc>
      </w:tr>
      <w:tr w:rsidR="006C4EEF" w:rsidRPr="0030129E" w14:paraId="672BDDF8" w14:textId="77777777" w:rsidTr="00636D03">
        <w:trPr>
          <w:trHeight w:val="141"/>
          <w:tblHeader/>
          <w:jc w:val="center"/>
        </w:trPr>
        <w:tc>
          <w:tcPr>
            <w:tcW w:w="2542" w:type="dxa"/>
            <w:tcBorders>
              <w:top w:val="single" w:sz="4" w:space="0" w:color="FFFFFF" w:themeColor="background1"/>
              <w:left w:val="single" w:sz="12" w:space="0" w:color="auto"/>
              <w:bottom w:val="single" w:sz="4" w:space="0" w:color="auto"/>
              <w:right w:val="single" w:sz="4" w:space="0" w:color="auto"/>
            </w:tcBorders>
            <w:vAlign w:val="center"/>
          </w:tcPr>
          <w:p w14:paraId="1067216F" w14:textId="77777777" w:rsidR="006C4EEF" w:rsidRPr="00743011" w:rsidRDefault="006C4EEF" w:rsidP="00743011"/>
        </w:tc>
        <w:tc>
          <w:tcPr>
            <w:tcW w:w="1620" w:type="dxa"/>
            <w:tcBorders>
              <w:top w:val="single" w:sz="4" w:space="0" w:color="auto"/>
              <w:left w:val="single" w:sz="4" w:space="0" w:color="auto"/>
              <w:bottom w:val="single" w:sz="4" w:space="0" w:color="auto"/>
              <w:right w:val="nil"/>
            </w:tcBorders>
            <w:vAlign w:val="center"/>
          </w:tcPr>
          <w:p w14:paraId="5F7A5EC9"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(1)</w:t>
            </w:r>
          </w:p>
        </w:tc>
        <w:tc>
          <w:tcPr>
            <w:tcW w:w="1620" w:type="dxa"/>
            <w:tcBorders>
              <w:top w:val="single" w:sz="4" w:space="0" w:color="auto"/>
              <w:left w:val="nil"/>
              <w:bottom w:val="single" w:sz="4" w:space="0" w:color="auto"/>
              <w:right w:val="nil"/>
            </w:tcBorders>
            <w:vAlign w:val="center"/>
          </w:tcPr>
          <w:p w14:paraId="74933F73"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(2)</w:t>
            </w:r>
          </w:p>
        </w:tc>
        <w:tc>
          <w:tcPr>
            <w:tcW w:w="1620" w:type="dxa"/>
            <w:tcBorders>
              <w:top w:val="single" w:sz="4" w:space="0" w:color="auto"/>
              <w:left w:val="nil"/>
              <w:bottom w:val="single" w:sz="4" w:space="0" w:color="auto"/>
              <w:right w:val="nil"/>
            </w:tcBorders>
            <w:vAlign w:val="center"/>
          </w:tcPr>
          <w:p w14:paraId="4FF61756"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(3)</w:t>
            </w:r>
          </w:p>
        </w:tc>
        <w:tc>
          <w:tcPr>
            <w:tcW w:w="1338" w:type="dxa"/>
            <w:tcBorders>
              <w:top w:val="single" w:sz="4" w:space="0" w:color="auto"/>
              <w:left w:val="nil"/>
              <w:bottom w:val="single" w:sz="4" w:space="0" w:color="auto"/>
              <w:right w:val="single" w:sz="12" w:space="0" w:color="auto"/>
            </w:tcBorders>
            <w:vAlign w:val="center"/>
          </w:tcPr>
          <w:p w14:paraId="2EEA221F" w14:textId="77777777" w:rsidR="006C4EEF" w:rsidRDefault="00C529AF" w:rsidP="00C529AF">
            <w:pPr>
              <w:pStyle w:val="BodyText"/>
              <w:keepNext/>
              <w:keepLines/>
              <w:numPr>
                <w:ilvl w:val="0"/>
                <w:numId w:val="0"/>
              </w:numPr>
              <w:tabs>
                <w:tab w:val="num" w:pos="1080"/>
              </w:tabs>
              <w:spacing w:line="240" w:lineRule="auto"/>
              <w:jc w:val="center"/>
              <w:rPr>
                <w:b/>
                <w:sz w:val="22"/>
              </w:rPr>
            </w:pPr>
            <w:r>
              <w:rPr>
                <w:b/>
                <w:sz w:val="22"/>
              </w:rPr>
              <w:t>(3)</w:t>
            </w:r>
            <w:r w:rsidR="006C4EEF">
              <w:rPr>
                <w:b/>
                <w:sz w:val="22"/>
              </w:rPr>
              <w:t xml:space="preserve"> – </w:t>
            </w:r>
            <w:r>
              <w:rPr>
                <w:b/>
                <w:sz w:val="22"/>
              </w:rPr>
              <w:t>(2)</w:t>
            </w:r>
          </w:p>
        </w:tc>
      </w:tr>
      <w:tr w:rsidR="006C4EEF" w:rsidRPr="0030129E" w14:paraId="67424F57" w14:textId="77777777" w:rsidTr="00636D03">
        <w:trPr>
          <w:trHeight w:val="282"/>
          <w:jc w:val="center"/>
        </w:trPr>
        <w:tc>
          <w:tcPr>
            <w:tcW w:w="2542" w:type="dxa"/>
            <w:tcBorders>
              <w:top w:val="single" w:sz="4" w:space="0" w:color="auto"/>
              <w:left w:val="single" w:sz="12" w:space="0" w:color="auto"/>
              <w:bottom w:val="single" w:sz="12" w:space="0" w:color="auto"/>
              <w:right w:val="single" w:sz="4" w:space="0" w:color="auto"/>
            </w:tcBorders>
            <w:vAlign w:val="center"/>
          </w:tcPr>
          <w:p w14:paraId="1E82EA8B" w14:textId="77777777" w:rsidR="006C4EEF" w:rsidRPr="00743011" w:rsidRDefault="006C4EEF" w:rsidP="00743011">
            <w:r w:rsidRPr="00DA42E6">
              <w:t>Smoking</w:t>
            </w:r>
          </w:p>
        </w:tc>
        <w:tc>
          <w:tcPr>
            <w:tcW w:w="1620" w:type="dxa"/>
            <w:tcBorders>
              <w:top w:val="single" w:sz="4" w:space="0" w:color="auto"/>
              <w:left w:val="single" w:sz="4" w:space="0" w:color="auto"/>
              <w:bottom w:val="single" w:sz="12" w:space="0" w:color="auto"/>
              <w:right w:val="nil"/>
            </w:tcBorders>
            <w:vAlign w:val="center"/>
          </w:tcPr>
          <w:p w14:paraId="1F6C96A3"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20.6 %</w:t>
            </w:r>
          </w:p>
        </w:tc>
        <w:tc>
          <w:tcPr>
            <w:tcW w:w="1620" w:type="dxa"/>
            <w:tcBorders>
              <w:top w:val="single" w:sz="4" w:space="0" w:color="auto"/>
              <w:left w:val="nil"/>
              <w:bottom w:val="single" w:sz="12" w:space="0" w:color="auto"/>
              <w:right w:val="nil"/>
            </w:tcBorders>
            <w:vAlign w:val="center"/>
          </w:tcPr>
          <w:p w14:paraId="23DBB146"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Pr>
                <w:sz w:val="22"/>
              </w:rPr>
              <w:t>19</w:t>
            </w:r>
            <w:r w:rsidRPr="00DA42E6">
              <w:rPr>
                <w:sz w:val="22"/>
              </w:rPr>
              <w:t>.</w:t>
            </w:r>
            <w:r>
              <w:rPr>
                <w:sz w:val="22"/>
              </w:rPr>
              <w:t>4</w:t>
            </w:r>
            <w:r w:rsidRPr="00DA42E6">
              <w:rPr>
                <w:sz w:val="22"/>
              </w:rPr>
              <w:t xml:space="preserve"> %</w:t>
            </w:r>
          </w:p>
        </w:tc>
        <w:tc>
          <w:tcPr>
            <w:tcW w:w="1620" w:type="dxa"/>
            <w:tcBorders>
              <w:top w:val="single" w:sz="4" w:space="0" w:color="auto"/>
              <w:left w:val="nil"/>
              <w:bottom w:val="single" w:sz="12" w:space="0" w:color="auto"/>
              <w:right w:val="nil"/>
            </w:tcBorders>
            <w:vAlign w:val="center"/>
          </w:tcPr>
          <w:p w14:paraId="3E2C9DE6"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17.2 %</w:t>
            </w:r>
          </w:p>
        </w:tc>
        <w:tc>
          <w:tcPr>
            <w:tcW w:w="1338" w:type="dxa"/>
            <w:tcBorders>
              <w:top w:val="single" w:sz="4" w:space="0" w:color="auto"/>
              <w:left w:val="nil"/>
              <w:bottom w:val="single" w:sz="12" w:space="0" w:color="auto"/>
              <w:right w:val="single" w:sz="12" w:space="0" w:color="auto"/>
            </w:tcBorders>
            <w:vAlign w:val="center"/>
          </w:tcPr>
          <w:p w14:paraId="50B267BB"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w:t>
            </w:r>
            <w:r>
              <w:rPr>
                <w:sz w:val="22"/>
              </w:rPr>
              <w:t>2</w:t>
            </w:r>
            <w:r w:rsidRPr="00DA42E6">
              <w:rPr>
                <w:sz w:val="22"/>
              </w:rPr>
              <w:t>.</w:t>
            </w:r>
            <w:r>
              <w:rPr>
                <w:sz w:val="22"/>
              </w:rPr>
              <w:t>2</w:t>
            </w:r>
            <w:r w:rsidRPr="00DA42E6">
              <w:rPr>
                <w:sz w:val="22"/>
              </w:rPr>
              <w:t>***</w:t>
            </w:r>
          </w:p>
        </w:tc>
      </w:tr>
    </w:tbl>
    <w:p w14:paraId="13DE8C52" w14:textId="49B41A44" w:rsidR="006C4EEF" w:rsidRDefault="006C4EEF" w:rsidP="00636D03">
      <w:pPr>
        <w:pStyle w:val="Footer"/>
        <w:spacing w:before="120" w:after="120"/>
        <w:ind w:left="274" w:firstLine="0"/>
      </w:pPr>
      <w:r w:rsidRPr="00CF4587">
        <w:rPr>
          <w:i/>
        </w:rPr>
        <w:t>Note</w:t>
      </w:r>
      <w:r w:rsidRPr="00CF4587">
        <w:t>:</w:t>
      </w:r>
      <w:r w:rsidR="00C816B4">
        <w:t xml:space="preserve"> </w:t>
      </w:r>
      <w:r w:rsidR="00FA4795">
        <w:t>A</w:t>
      </w:r>
      <w:r>
        <w:t xml:space="preserve">verage calculated using the sample weights provided by RMSS.  </w:t>
      </w:r>
      <w:r w:rsidRPr="00CF4587">
        <w:t>Asterisks ***</w:t>
      </w:r>
      <w:r w:rsidR="0060096D">
        <w:t>, **, and *</w:t>
      </w:r>
      <w:r>
        <w:t xml:space="preserve"> </w:t>
      </w:r>
      <w:r w:rsidRPr="00CF4587">
        <w:t>indicate</w:t>
      </w:r>
      <w:r>
        <w:t xml:space="preserve"> that the difference between the before and after periods is</w:t>
      </w:r>
      <w:r w:rsidRPr="00CF4587">
        <w:t xml:space="preserve"> statistical</w:t>
      </w:r>
      <w:r>
        <w:t>ly</w:t>
      </w:r>
      <w:r w:rsidRPr="00CF4587">
        <w:t xml:space="preserve"> significan</w:t>
      </w:r>
      <w:r>
        <w:t>t</w:t>
      </w:r>
      <w:r w:rsidRPr="00CF4587">
        <w:t xml:space="preserve"> at </w:t>
      </w:r>
      <w:r>
        <w:t>the 1</w:t>
      </w:r>
      <w:r w:rsidR="0060096D">
        <w:t>, 5, and 10</w:t>
      </w:r>
      <w:r w:rsidRPr="00CF4587">
        <w:t xml:space="preserve"> percent level</w:t>
      </w:r>
      <w:r w:rsidR="0060096D">
        <w:t>, respectively</w:t>
      </w:r>
      <w:r w:rsidRPr="00CF4587">
        <w:t>.</w:t>
      </w:r>
    </w:p>
    <w:p w14:paraId="5BB9F0DE" w14:textId="77777777" w:rsidR="006C4EEF" w:rsidRDefault="006C4EEF" w:rsidP="00636D03">
      <w:pPr>
        <w:pStyle w:val="Footer"/>
        <w:ind w:left="270" w:firstLine="0"/>
      </w:pPr>
      <w:r w:rsidRPr="00CF4587">
        <w:rPr>
          <w:i/>
        </w:rPr>
        <w:t>Source</w:t>
      </w:r>
      <w:r w:rsidRPr="00CF4587">
        <w:t xml:space="preserve">: RMSS Data (January 2001 – </w:t>
      </w:r>
      <w:r>
        <w:t>September</w:t>
      </w:r>
      <w:r w:rsidRPr="00CF4587">
        <w:t xml:space="preserve"> 2015)</w:t>
      </w:r>
      <w:r>
        <w:t>.</w:t>
      </w:r>
    </w:p>
    <w:p w14:paraId="5C088085" w14:textId="77777777" w:rsidR="00C62F5C" w:rsidRDefault="00B87FC4" w:rsidP="00973478">
      <w:pPr>
        <w:pStyle w:val="Caption"/>
        <w:ind w:left="0" w:firstLine="0"/>
        <w:jc w:val="center"/>
      </w:pPr>
      <w:r>
        <w:fldChar w:fldCharType="begin"/>
      </w:r>
      <w:r>
        <w:instrText xml:space="preserve"> REF _Ref444097290 \h </w:instrText>
      </w:r>
      <w:r>
        <w:fldChar w:fldCharType="separate"/>
      </w:r>
    </w:p>
    <w:p w14:paraId="075A4EA4" w14:textId="18632002" w:rsidR="006C4EEF" w:rsidRDefault="00B87FC4" w:rsidP="006C4EEF">
      <w:pPr>
        <w:pStyle w:val="BodyText"/>
        <w:numPr>
          <w:ilvl w:val="3"/>
          <w:numId w:val="2"/>
        </w:numPr>
        <w:tabs>
          <w:tab w:val="clear" w:pos="1260"/>
          <w:tab w:val="num" w:pos="0"/>
          <w:tab w:val="num" w:pos="720"/>
        </w:tabs>
        <w:spacing w:before="120" w:after="0" w:line="360" w:lineRule="auto"/>
        <w:ind w:left="0" w:firstLine="720"/>
      </w:pPr>
      <w:r>
        <w:fldChar w:fldCharType="end"/>
      </w:r>
      <w:r w:rsidR="00DB0034">
        <w:fldChar w:fldCharType="begin"/>
      </w:r>
      <w:r w:rsidR="00DB0034">
        <w:instrText xml:space="preserve"> REF _Ref444086556 \h </w:instrText>
      </w:r>
      <w:r w:rsidR="00DB0034">
        <w:fldChar w:fldCharType="separate"/>
      </w:r>
      <w:r w:rsidR="00C62F5C" w:rsidRPr="00B157B2">
        <w:t xml:space="preserve">Table </w:t>
      </w:r>
      <w:r w:rsidR="00C62F5C">
        <w:rPr>
          <w:noProof/>
        </w:rPr>
        <w:t>2</w:t>
      </w:r>
      <w:r w:rsidR="00DB0034">
        <w:fldChar w:fldCharType="end"/>
      </w:r>
      <w:r>
        <w:t xml:space="preserve"> </w:t>
      </w:r>
      <w:r w:rsidR="00E43C8F">
        <w:t xml:space="preserve">presents </w:t>
      </w:r>
      <w:r w:rsidR="00996E60">
        <w:t xml:space="preserve">the sociodemographic </w:t>
      </w:r>
      <w:r w:rsidR="006C4EEF">
        <w:t>factors</w:t>
      </w:r>
      <w:r w:rsidR="00B66255">
        <w:t xml:space="preserve"> included in the model using the same approach: it shows </w:t>
      </w:r>
      <w:r w:rsidR="006C4EEF">
        <w:t xml:space="preserve">average values in the full sample, </w:t>
      </w:r>
      <w:r w:rsidR="00996E60">
        <w:t>from January 2001</w:t>
      </w:r>
      <w:r w:rsidR="00B66255">
        <w:t xml:space="preserve"> to September 2015, and it </w:t>
      </w:r>
      <w:r w:rsidR="006C4EEF">
        <w:t>shows changes over a symmetric 3</w:t>
      </w:r>
      <w:r w:rsidR="00B66255">
        <w:t>4</w:t>
      </w:r>
      <w:r w:rsidR="006C4EEF">
        <w:t xml:space="preserve">-month window before and after the </w:t>
      </w:r>
      <w:r w:rsidR="00996E60">
        <w:t>December 2012 packaging changes</w:t>
      </w:r>
      <w:r w:rsidR="006C4EEF">
        <w:t>.  Over this period, there are fewer married people in Australia.  There are more people born outside of Australia.  The population is aging, as seen by the higher fraction of people over age 65.  Fewer people are employed full time, and people are more affluent.  Thus, determining the extent to which the</w:t>
      </w:r>
      <w:r w:rsidR="00996E60">
        <w:t xml:space="preserve"> packaging changes </w:t>
      </w:r>
      <w:r w:rsidR="00462B9C">
        <w:t xml:space="preserve">have caused </w:t>
      </w:r>
      <w:r w:rsidR="006C4EEF">
        <w:t xml:space="preserve">smoking prevalence </w:t>
      </w:r>
      <w:r w:rsidR="00462B9C">
        <w:t xml:space="preserve">to decline </w:t>
      </w:r>
      <w:r w:rsidR="006C4EEF">
        <w:t>requires controll</w:t>
      </w:r>
      <w:r w:rsidR="00462B9C">
        <w:t>ing for changes in the sociodemographic factors</w:t>
      </w:r>
      <w:r w:rsidR="00DE3E41">
        <w:t xml:space="preserve"> (and other policy changes)</w:t>
      </w:r>
      <w:r w:rsidR="00462B9C">
        <w:t xml:space="preserve">, </w:t>
      </w:r>
      <w:r w:rsidR="00DE3E41">
        <w:t xml:space="preserve">because </w:t>
      </w:r>
      <w:r w:rsidR="00462B9C">
        <w:t xml:space="preserve">some of </w:t>
      </w:r>
      <w:r w:rsidR="00DE3E41">
        <w:t xml:space="preserve">these changes </w:t>
      </w:r>
      <w:r w:rsidR="00462B9C">
        <w:t>can also cause reductions i</w:t>
      </w:r>
      <w:r w:rsidR="00DE3E41">
        <w:t xml:space="preserve">n smoking prevalence and some </w:t>
      </w:r>
      <w:r w:rsidR="00462B9C">
        <w:t>can mask them.</w:t>
      </w:r>
      <w:r w:rsidR="006C4EEF">
        <w:t xml:space="preserve"> </w:t>
      </w:r>
    </w:p>
    <w:p w14:paraId="120D88A7" w14:textId="77777777" w:rsidR="00234FF3" w:rsidRDefault="00234FF3" w:rsidP="00973478">
      <w:pPr>
        <w:pStyle w:val="Caption"/>
        <w:ind w:left="0" w:firstLine="0"/>
        <w:jc w:val="center"/>
      </w:pPr>
      <w:bookmarkStart w:id="33" w:name="_Ref444097290"/>
    </w:p>
    <w:p w14:paraId="3085DB36" w14:textId="3052B49D" w:rsidR="00110430" w:rsidRPr="00B157B2" w:rsidRDefault="00B157B2" w:rsidP="005962DA">
      <w:pPr>
        <w:pStyle w:val="Caption"/>
        <w:keepNext/>
        <w:ind w:left="0" w:firstLine="0"/>
        <w:jc w:val="center"/>
      </w:pPr>
      <w:bookmarkStart w:id="34" w:name="_Ref444086556"/>
      <w:bookmarkEnd w:id="33"/>
      <w:r w:rsidRPr="00B157B2">
        <w:lastRenderedPageBreak/>
        <w:t xml:space="preserve">Table </w:t>
      </w:r>
      <w:r w:rsidR="004D5480">
        <w:fldChar w:fldCharType="begin"/>
      </w:r>
      <w:r w:rsidR="004D5480">
        <w:instrText xml:space="preserve"> SEQ Table \* ARABIC </w:instrText>
      </w:r>
      <w:r w:rsidR="004D5480">
        <w:fldChar w:fldCharType="separate"/>
      </w:r>
      <w:r w:rsidR="00C62F5C">
        <w:rPr>
          <w:noProof/>
        </w:rPr>
        <w:t>2</w:t>
      </w:r>
      <w:r w:rsidR="004D5480">
        <w:rPr>
          <w:noProof/>
        </w:rPr>
        <w:fldChar w:fldCharType="end"/>
      </w:r>
      <w:bookmarkEnd w:id="34"/>
      <w:r w:rsidR="006D4B65">
        <w:rPr>
          <w:noProof/>
        </w:rPr>
        <w:t>:</w:t>
      </w:r>
      <w:r w:rsidRPr="00B157B2">
        <w:t xml:space="preserve"> Mean Values of Demographic Variables, Before and After the Packaging Changes</w:t>
      </w:r>
    </w:p>
    <w:tbl>
      <w:tblPr>
        <w:tblStyle w:val="TableGrid"/>
        <w:tblW w:w="0" w:type="auto"/>
        <w:jc w:val="center"/>
        <w:tblLook w:val="04A0" w:firstRow="1" w:lastRow="0" w:firstColumn="1" w:lastColumn="0" w:noHBand="0" w:noVBand="1"/>
        <w:tblDescription w:val="Table 2 describes the mean values, expressed as percentages, of certain demographic variables before and after the 2012 packaging changes.  The table contains five columns.  The first column lists the name of the demographic variable described in each row.  The second column, labeled (1), reports the mean percentage value of the demographic variable in the Australian population for the full sample period, from January 2001 to September 2015. The third column, labeled (2), reports the mean percentage value of the demographic variable over the before period, from December 2009 to September 2012. The fourth column, labeled (3), reports the mean percentage value of the demographic variable over the after period, from December 2012 to September 2015.  The final column, labeled (3) - (2), reports the percentage point change between the before period and the after period."/>
      </w:tblPr>
      <w:tblGrid>
        <w:gridCol w:w="2542"/>
        <w:gridCol w:w="1620"/>
        <w:gridCol w:w="1620"/>
        <w:gridCol w:w="1620"/>
        <w:gridCol w:w="1282"/>
      </w:tblGrid>
      <w:tr w:rsidR="00234FF3" w:rsidRPr="0030129E" w14:paraId="7E4CEA60" w14:textId="77777777" w:rsidTr="00636D03">
        <w:trPr>
          <w:trHeight w:val="747"/>
          <w:tblHeader/>
          <w:jc w:val="center"/>
        </w:trPr>
        <w:tc>
          <w:tcPr>
            <w:tcW w:w="2542" w:type="dxa"/>
            <w:vMerge w:val="restart"/>
            <w:tcBorders>
              <w:top w:val="single" w:sz="12" w:space="0" w:color="auto"/>
              <w:left w:val="single" w:sz="12" w:space="0" w:color="auto"/>
              <w:right w:val="single" w:sz="4" w:space="0" w:color="auto"/>
            </w:tcBorders>
            <w:vAlign w:val="center"/>
          </w:tcPr>
          <w:p w14:paraId="19AC95D6" w14:textId="77777777" w:rsidR="00234FF3" w:rsidRPr="0030129E" w:rsidRDefault="00234FF3" w:rsidP="00BF7C2C">
            <w:pPr>
              <w:pStyle w:val="BodyText"/>
              <w:keepNext/>
              <w:keepLines/>
              <w:numPr>
                <w:ilvl w:val="0"/>
                <w:numId w:val="0"/>
              </w:numPr>
              <w:tabs>
                <w:tab w:val="num" w:pos="1080"/>
              </w:tabs>
              <w:spacing w:line="240" w:lineRule="auto"/>
              <w:rPr>
                <w:b/>
                <w:sz w:val="22"/>
              </w:rPr>
            </w:pPr>
            <w:r w:rsidRPr="0030129E">
              <w:rPr>
                <w:b/>
                <w:sz w:val="22"/>
              </w:rPr>
              <w:t>Variable</w:t>
            </w:r>
          </w:p>
        </w:tc>
        <w:tc>
          <w:tcPr>
            <w:tcW w:w="1620" w:type="dxa"/>
            <w:tcBorders>
              <w:top w:val="single" w:sz="12" w:space="0" w:color="auto"/>
              <w:left w:val="single" w:sz="4" w:space="0" w:color="auto"/>
              <w:bottom w:val="single" w:sz="4" w:space="0" w:color="auto"/>
              <w:right w:val="single" w:sz="4" w:space="0" w:color="auto"/>
            </w:tcBorders>
            <w:vAlign w:val="center"/>
          </w:tcPr>
          <w:p w14:paraId="0CFCEB77"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Full Period</w:t>
            </w:r>
          </w:p>
          <w:p w14:paraId="5DE1FAF6"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Jan</w:t>
            </w:r>
            <w:r>
              <w:rPr>
                <w:b/>
                <w:sz w:val="22"/>
              </w:rPr>
              <w:t xml:space="preserve"> 01-Sept </w:t>
            </w:r>
            <w:r w:rsidRPr="0030129E">
              <w:rPr>
                <w:b/>
                <w:sz w:val="22"/>
              </w:rPr>
              <w:t>15</w:t>
            </w:r>
          </w:p>
        </w:tc>
        <w:tc>
          <w:tcPr>
            <w:tcW w:w="1620" w:type="dxa"/>
            <w:tcBorders>
              <w:top w:val="single" w:sz="12" w:space="0" w:color="auto"/>
              <w:left w:val="single" w:sz="4" w:space="0" w:color="auto"/>
              <w:bottom w:val="single" w:sz="4" w:space="0" w:color="auto"/>
              <w:right w:val="single" w:sz="2" w:space="0" w:color="auto"/>
            </w:tcBorders>
            <w:vAlign w:val="center"/>
          </w:tcPr>
          <w:p w14:paraId="41659B30"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Before</w:t>
            </w:r>
            <w:r>
              <w:rPr>
                <w:b/>
                <w:sz w:val="22"/>
              </w:rPr>
              <w:t>:</w:t>
            </w:r>
          </w:p>
          <w:p w14:paraId="71FF68E3"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Pr>
                <w:b/>
                <w:sz w:val="22"/>
              </w:rPr>
              <w:t xml:space="preserve">Dec </w:t>
            </w:r>
            <w:r w:rsidRPr="0030129E">
              <w:rPr>
                <w:b/>
                <w:sz w:val="22"/>
              </w:rPr>
              <w:t>0</w:t>
            </w:r>
            <w:r>
              <w:rPr>
                <w:b/>
                <w:sz w:val="22"/>
              </w:rPr>
              <w:t>9</w:t>
            </w:r>
            <w:r w:rsidRPr="0030129E">
              <w:rPr>
                <w:b/>
                <w:sz w:val="22"/>
              </w:rPr>
              <w:t>-</w:t>
            </w:r>
            <w:r>
              <w:rPr>
                <w:b/>
                <w:sz w:val="22"/>
              </w:rPr>
              <w:t xml:space="preserve">Sept </w:t>
            </w:r>
            <w:r w:rsidRPr="0030129E">
              <w:rPr>
                <w:b/>
                <w:sz w:val="22"/>
              </w:rPr>
              <w:t>12</w:t>
            </w:r>
          </w:p>
        </w:tc>
        <w:tc>
          <w:tcPr>
            <w:tcW w:w="1620" w:type="dxa"/>
            <w:tcBorders>
              <w:top w:val="single" w:sz="12" w:space="0" w:color="auto"/>
              <w:left w:val="single" w:sz="2" w:space="0" w:color="auto"/>
              <w:bottom w:val="single" w:sz="4" w:space="0" w:color="auto"/>
              <w:right w:val="single" w:sz="2" w:space="0" w:color="auto"/>
            </w:tcBorders>
            <w:vAlign w:val="center"/>
          </w:tcPr>
          <w:p w14:paraId="6E67AE3E"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After</w:t>
            </w:r>
            <w:r>
              <w:rPr>
                <w:b/>
                <w:sz w:val="22"/>
              </w:rPr>
              <w:t>:</w:t>
            </w:r>
          </w:p>
          <w:p w14:paraId="1A948260"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Dec</w:t>
            </w:r>
            <w:r>
              <w:rPr>
                <w:b/>
                <w:sz w:val="22"/>
              </w:rPr>
              <w:t xml:space="preserve"> 12-Sept </w:t>
            </w:r>
            <w:r w:rsidRPr="0030129E">
              <w:rPr>
                <w:b/>
                <w:sz w:val="22"/>
              </w:rPr>
              <w:t>15</w:t>
            </w:r>
          </w:p>
        </w:tc>
        <w:tc>
          <w:tcPr>
            <w:tcW w:w="1282" w:type="dxa"/>
            <w:tcBorders>
              <w:top w:val="single" w:sz="12" w:space="0" w:color="auto"/>
              <w:left w:val="single" w:sz="2" w:space="0" w:color="auto"/>
              <w:bottom w:val="single" w:sz="4" w:space="0" w:color="auto"/>
              <w:right w:val="single" w:sz="12" w:space="0" w:color="auto"/>
            </w:tcBorders>
            <w:vAlign w:val="center"/>
          </w:tcPr>
          <w:p w14:paraId="4E5A6E79"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Pr>
                <w:b/>
                <w:sz w:val="22"/>
              </w:rPr>
              <w:t>Percentage Points</w:t>
            </w:r>
            <w:r>
              <w:rPr>
                <w:b/>
                <w:sz w:val="22"/>
              </w:rPr>
              <w:br/>
              <w:t>Change</w:t>
            </w:r>
          </w:p>
        </w:tc>
      </w:tr>
      <w:tr w:rsidR="00234FF3" w:rsidRPr="0030129E" w14:paraId="2265CD1E" w14:textId="77777777" w:rsidTr="00B96336">
        <w:trPr>
          <w:trHeight w:val="141"/>
          <w:tblHeader/>
          <w:jc w:val="center"/>
        </w:trPr>
        <w:tc>
          <w:tcPr>
            <w:tcW w:w="2542" w:type="dxa"/>
            <w:vMerge/>
            <w:tcBorders>
              <w:left w:val="single" w:sz="12" w:space="0" w:color="auto"/>
              <w:bottom w:val="single" w:sz="4" w:space="0" w:color="auto"/>
              <w:right w:val="single" w:sz="4" w:space="0" w:color="auto"/>
            </w:tcBorders>
            <w:vAlign w:val="center"/>
          </w:tcPr>
          <w:p w14:paraId="67C85D95" w14:textId="77777777" w:rsidR="00234FF3" w:rsidRPr="0030129E" w:rsidRDefault="00234FF3" w:rsidP="00B96336">
            <w:pPr>
              <w:pStyle w:val="BodyText"/>
              <w:keepNext/>
              <w:keepLines/>
              <w:numPr>
                <w:ilvl w:val="0"/>
                <w:numId w:val="0"/>
              </w:numPr>
              <w:tabs>
                <w:tab w:val="num" w:pos="1080"/>
              </w:tabs>
              <w:spacing w:line="240" w:lineRule="auto"/>
              <w:rPr>
                <w:b/>
                <w:sz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CBB0EF3"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(1)</w:t>
            </w:r>
          </w:p>
        </w:tc>
        <w:tc>
          <w:tcPr>
            <w:tcW w:w="1620" w:type="dxa"/>
            <w:tcBorders>
              <w:top w:val="single" w:sz="4" w:space="0" w:color="auto"/>
              <w:left w:val="single" w:sz="4" w:space="0" w:color="auto"/>
              <w:bottom w:val="single" w:sz="4" w:space="0" w:color="auto"/>
              <w:right w:val="single" w:sz="2" w:space="0" w:color="auto"/>
            </w:tcBorders>
            <w:vAlign w:val="center"/>
          </w:tcPr>
          <w:p w14:paraId="7F393061"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(2)</w:t>
            </w:r>
          </w:p>
        </w:tc>
        <w:tc>
          <w:tcPr>
            <w:tcW w:w="1620" w:type="dxa"/>
            <w:tcBorders>
              <w:top w:val="single" w:sz="4" w:space="0" w:color="auto"/>
              <w:left w:val="single" w:sz="2" w:space="0" w:color="auto"/>
              <w:bottom w:val="single" w:sz="4" w:space="0" w:color="auto"/>
              <w:right w:val="single" w:sz="2" w:space="0" w:color="auto"/>
            </w:tcBorders>
            <w:vAlign w:val="center"/>
          </w:tcPr>
          <w:p w14:paraId="5001EA9B"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(3)</w:t>
            </w:r>
          </w:p>
        </w:tc>
        <w:tc>
          <w:tcPr>
            <w:tcW w:w="1282" w:type="dxa"/>
            <w:tcBorders>
              <w:top w:val="single" w:sz="4" w:space="0" w:color="auto"/>
              <w:left w:val="single" w:sz="2" w:space="0" w:color="auto"/>
              <w:bottom w:val="single" w:sz="4" w:space="0" w:color="auto"/>
              <w:right w:val="single" w:sz="12" w:space="0" w:color="auto"/>
            </w:tcBorders>
            <w:vAlign w:val="center"/>
          </w:tcPr>
          <w:p w14:paraId="74920F67"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(3) – (2)</w:t>
            </w:r>
          </w:p>
        </w:tc>
      </w:tr>
      <w:tr w:rsidR="00234FF3" w:rsidRPr="0030129E" w14:paraId="443EED7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67AC48D"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Female</w:t>
            </w:r>
            <w:r>
              <w:rPr>
                <w:sz w:val="22"/>
              </w:rPr>
              <w:t xml:space="preserve"> </w:t>
            </w:r>
          </w:p>
        </w:tc>
        <w:tc>
          <w:tcPr>
            <w:tcW w:w="1620" w:type="dxa"/>
            <w:tcBorders>
              <w:top w:val="nil"/>
              <w:left w:val="single" w:sz="4" w:space="0" w:color="auto"/>
              <w:bottom w:val="nil"/>
              <w:right w:val="single" w:sz="4" w:space="0" w:color="auto"/>
            </w:tcBorders>
            <w:vAlign w:val="center"/>
          </w:tcPr>
          <w:p w14:paraId="1ED32818"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w:t>
            </w:r>
            <w:r w:rsidRPr="0030129E">
              <w:rPr>
                <w:sz w:val="22"/>
              </w:rPr>
              <w:t>7</w:t>
            </w:r>
            <w:r>
              <w:rPr>
                <w:sz w:val="22"/>
              </w:rPr>
              <w:t xml:space="preserve"> %</w:t>
            </w:r>
          </w:p>
        </w:tc>
        <w:tc>
          <w:tcPr>
            <w:tcW w:w="1620" w:type="dxa"/>
            <w:tcBorders>
              <w:top w:val="nil"/>
              <w:left w:val="single" w:sz="4" w:space="0" w:color="auto"/>
              <w:bottom w:val="nil"/>
              <w:right w:val="single" w:sz="2" w:space="0" w:color="auto"/>
            </w:tcBorders>
            <w:vAlign w:val="center"/>
          </w:tcPr>
          <w:p w14:paraId="25B5F683"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.6 %</w:t>
            </w:r>
          </w:p>
        </w:tc>
        <w:tc>
          <w:tcPr>
            <w:tcW w:w="1620" w:type="dxa"/>
            <w:tcBorders>
              <w:top w:val="nil"/>
              <w:left w:val="single" w:sz="2" w:space="0" w:color="auto"/>
              <w:bottom w:val="nil"/>
              <w:right w:val="single" w:sz="2" w:space="0" w:color="auto"/>
            </w:tcBorders>
            <w:vAlign w:val="center"/>
          </w:tcPr>
          <w:p w14:paraId="50BED89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w:t>
            </w:r>
            <w:r w:rsidRPr="0030129E">
              <w:rPr>
                <w:sz w:val="22"/>
              </w:rPr>
              <w:t>7</w:t>
            </w:r>
            <w:r>
              <w:rPr>
                <w:sz w:val="22"/>
              </w:rPr>
              <w:t xml:space="preserve"> %</w:t>
            </w:r>
          </w:p>
        </w:tc>
        <w:tc>
          <w:tcPr>
            <w:tcW w:w="1282" w:type="dxa"/>
            <w:tcBorders>
              <w:top w:val="nil"/>
              <w:left w:val="single" w:sz="2" w:space="0" w:color="auto"/>
              <w:bottom w:val="nil"/>
              <w:right w:val="single" w:sz="12" w:space="0" w:color="auto"/>
            </w:tcBorders>
          </w:tcPr>
          <w:p w14:paraId="4488840E" w14:textId="77777777" w:rsidR="00234FF3" w:rsidRPr="0030129E" w:rsidRDefault="00234FF3" w:rsidP="00B96336">
            <w:pPr>
              <w:pStyle w:val="BodyText"/>
              <w:keepNext/>
              <w:keepLines/>
              <w:numPr>
                <w:ilvl w:val="0"/>
                <w:numId w:val="0"/>
              </w:numPr>
              <w:tabs>
                <w:tab w:val="num" w:pos="1080"/>
              </w:tabs>
              <w:spacing w:line="240" w:lineRule="auto"/>
              <w:ind w:right="288"/>
              <w:jc w:val="center"/>
              <w:rPr>
                <w:sz w:val="22"/>
              </w:rPr>
            </w:pPr>
            <w:r w:rsidRPr="0030129E">
              <w:rPr>
                <w:sz w:val="22"/>
              </w:rPr>
              <w:t>0</w:t>
            </w:r>
            <w:r>
              <w:rPr>
                <w:sz w:val="22"/>
              </w:rPr>
              <w:t>.</w:t>
            </w:r>
            <w:r w:rsidRPr="0030129E">
              <w:rPr>
                <w:sz w:val="22"/>
              </w:rPr>
              <w:t>0</w:t>
            </w:r>
          </w:p>
        </w:tc>
      </w:tr>
      <w:tr w:rsidR="00234FF3" w:rsidRPr="0030129E" w14:paraId="1AC672E8"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D27F885"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Married</w:t>
            </w:r>
          </w:p>
        </w:tc>
        <w:tc>
          <w:tcPr>
            <w:tcW w:w="1620" w:type="dxa"/>
            <w:tcBorders>
              <w:top w:val="nil"/>
              <w:left w:val="single" w:sz="4" w:space="0" w:color="auto"/>
              <w:bottom w:val="nil"/>
              <w:right w:val="single" w:sz="4" w:space="0" w:color="auto"/>
            </w:tcBorders>
            <w:vAlign w:val="center"/>
          </w:tcPr>
          <w:p w14:paraId="4175D272"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71</w:t>
            </w:r>
            <w:r>
              <w:rPr>
                <w:sz w:val="22"/>
              </w:rPr>
              <w:t>.5 %</w:t>
            </w:r>
          </w:p>
        </w:tc>
        <w:tc>
          <w:tcPr>
            <w:tcW w:w="1620" w:type="dxa"/>
            <w:tcBorders>
              <w:top w:val="nil"/>
              <w:left w:val="single" w:sz="4" w:space="0" w:color="auto"/>
              <w:bottom w:val="nil"/>
              <w:right w:val="single" w:sz="2" w:space="0" w:color="auto"/>
            </w:tcBorders>
            <w:vAlign w:val="center"/>
          </w:tcPr>
          <w:p w14:paraId="601727DE"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71</w:t>
            </w:r>
            <w:r>
              <w:rPr>
                <w:sz w:val="22"/>
              </w:rPr>
              <w:t>.4 %</w:t>
            </w:r>
          </w:p>
        </w:tc>
        <w:tc>
          <w:tcPr>
            <w:tcW w:w="1620" w:type="dxa"/>
            <w:tcBorders>
              <w:top w:val="nil"/>
              <w:left w:val="single" w:sz="2" w:space="0" w:color="auto"/>
              <w:bottom w:val="nil"/>
              <w:right w:val="single" w:sz="2" w:space="0" w:color="auto"/>
            </w:tcBorders>
            <w:vAlign w:val="center"/>
          </w:tcPr>
          <w:p w14:paraId="73616249"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Pr>
                <w:sz w:val="22"/>
              </w:rPr>
              <w:t>71.1 %</w:t>
            </w:r>
          </w:p>
        </w:tc>
        <w:tc>
          <w:tcPr>
            <w:tcW w:w="1282" w:type="dxa"/>
            <w:tcBorders>
              <w:top w:val="nil"/>
              <w:left w:val="single" w:sz="2" w:space="0" w:color="auto"/>
              <w:bottom w:val="nil"/>
              <w:right w:val="single" w:sz="12" w:space="0" w:color="auto"/>
            </w:tcBorders>
            <w:vAlign w:val="center"/>
          </w:tcPr>
          <w:p w14:paraId="7A048746" w14:textId="77777777" w:rsidR="00234FF3" w:rsidRPr="0030129E" w:rsidRDefault="00234FF3" w:rsidP="00B96336">
            <w:pPr>
              <w:pStyle w:val="BodyText"/>
              <w:keepNext/>
              <w:keepLines/>
              <w:numPr>
                <w:ilvl w:val="0"/>
                <w:numId w:val="0"/>
              </w:numPr>
              <w:tabs>
                <w:tab w:val="num" w:pos="1080"/>
              </w:tabs>
              <w:spacing w:line="240" w:lineRule="auto"/>
              <w:ind w:right="288"/>
              <w:jc w:val="center"/>
              <w:rPr>
                <w:sz w:val="22"/>
              </w:rPr>
            </w:pPr>
            <w:r w:rsidRPr="0030129E">
              <w:rPr>
                <w:sz w:val="22"/>
              </w:rPr>
              <w:t>-0</w:t>
            </w:r>
            <w:r>
              <w:rPr>
                <w:sz w:val="22"/>
              </w:rPr>
              <w:t>.3</w:t>
            </w:r>
          </w:p>
        </w:tc>
      </w:tr>
      <w:tr w:rsidR="00234FF3" w:rsidRPr="0030129E" w14:paraId="0748964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A32E61A"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Foreign</w:t>
            </w:r>
            <w:r>
              <w:rPr>
                <w:sz w:val="22"/>
              </w:rPr>
              <w:t xml:space="preserve"> Born</w:t>
            </w:r>
          </w:p>
        </w:tc>
        <w:tc>
          <w:tcPr>
            <w:tcW w:w="1620" w:type="dxa"/>
            <w:tcBorders>
              <w:top w:val="nil"/>
              <w:left w:val="single" w:sz="4" w:space="0" w:color="auto"/>
              <w:bottom w:val="nil"/>
              <w:right w:val="single" w:sz="4" w:space="0" w:color="auto"/>
            </w:tcBorders>
            <w:vAlign w:val="center"/>
          </w:tcPr>
          <w:p w14:paraId="1DB259A6"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27</w:t>
            </w:r>
            <w:r>
              <w:rPr>
                <w:sz w:val="22"/>
              </w:rPr>
              <w:t>.</w:t>
            </w:r>
            <w:r w:rsidRPr="0030129E">
              <w:rPr>
                <w:sz w:val="22"/>
              </w:rPr>
              <w:t>2</w:t>
            </w:r>
            <w:r>
              <w:rPr>
                <w:sz w:val="22"/>
              </w:rPr>
              <w:t xml:space="preserve"> %</w:t>
            </w:r>
          </w:p>
        </w:tc>
        <w:tc>
          <w:tcPr>
            <w:tcW w:w="1620" w:type="dxa"/>
            <w:tcBorders>
              <w:top w:val="nil"/>
              <w:left w:val="single" w:sz="4" w:space="0" w:color="auto"/>
              <w:bottom w:val="nil"/>
              <w:right w:val="single" w:sz="2" w:space="0" w:color="auto"/>
            </w:tcBorders>
            <w:vAlign w:val="center"/>
          </w:tcPr>
          <w:p w14:paraId="5E2605DA"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w:t>
            </w:r>
            <w:r>
              <w:rPr>
                <w:sz w:val="22"/>
              </w:rPr>
              <w:t>8.8 %</w:t>
            </w:r>
          </w:p>
        </w:tc>
        <w:tc>
          <w:tcPr>
            <w:tcW w:w="1620" w:type="dxa"/>
            <w:tcBorders>
              <w:top w:val="nil"/>
              <w:left w:val="single" w:sz="2" w:space="0" w:color="auto"/>
              <w:bottom w:val="nil"/>
              <w:right w:val="single" w:sz="2" w:space="0" w:color="auto"/>
            </w:tcBorders>
            <w:vAlign w:val="center"/>
          </w:tcPr>
          <w:p w14:paraId="73BB6026"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29</w:t>
            </w:r>
            <w:r>
              <w:rPr>
                <w:sz w:val="22"/>
              </w:rPr>
              <w:t>.6 %</w:t>
            </w:r>
          </w:p>
        </w:tc>
        <w:tc>
          <w:tcPr>
            <w:tcW w:w="1282" w:type="dxa"/>
            <w:tcBorders>
              <w:top w:val="nil"/>
              <w:left w:val="single" w:sz="2" w:space="0" w:color="auto"/>
              <w:bottom w:val="nil"/>
              <w:right w:val="single" w:sz="12" w:space="0" w:color="auto"/>
            </w:tcBorders>
            <w:vAlign w:val="center"/>
          </w:tcPr>
          <w:p w14:paraId="7664777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Pr>
                <w:sz w:val="22"/>
              </w:rPr>
              <w:t>0.8</w:t>
            </w:r>
            <w:r w:rsidRPr="0030129E">
              <w:rPr>
                <w:sz w:val="22"/>
              </w:rPr>
              <w:t>***</w:t>
            </w:r>
          </w:p>
        </w:tc>
      </w:tr>
      <w:tr w:rsidR="00234FF3" w:rsidRPr="0030129E" w14:paraId="54DFD033" w14:textId="77777777" w:rsidTr="00636D03">
        <w:trPr>
          <w:trHeight w:hRule="exact" w:val="288"/>
          <w:jc w:val="center"/>
        </w:trPr>
        <w:tc>
          <w:tcPr>
            <w:tcW w:w="2542" w:type="dxa"/>
            <w:tcBorders>
              <w:top w:val="nil"/>
              <w:left w:val="single" w:sz="12" w:space="0" w:color="auto"/>
              <w:bottom w:val="nil"/>
              <w:right w:val="single" w:sz="4" w:space="0" w:color="auto"/>
            </w:tcBorders>
            <w:vAlign w:val="center"/>
          </w:tcPr>
          <w:p w14:paraId="06B91D19"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 xml:space="preserve">Age  </w:t>
            </w:r>
          </w:p>
        </w:tc>
        <w:tc>
          <w:tcPr>
            <w:tcW w:w="1620" w:type="dxa"/>
            <w:tcBorders>
              <w:top w:val="nil"/>
              <w:left w:val="single" w:sz="4" w:space="0" w:color="auto"/>
              <w:bottom w:val="nil"/>
              <w:right w:val="single" w:sz="4" w:space="0" w:color="auto"/>
            </w:tcBorders>
            <w:vAlign w:val="center"/>
          </w:tcPr>
          <w:p w14:paraId="069E07A0"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4" w:space="0" w:color="auto"/>
              <w:bottom w:val="nil"/>
              <w:right w:val="single" w:sz="2" w:space="0" w:color="auto"/>
            </w:tcBorders>
            <w:vAlign w:val="center"/>
          </w:tcPr>
          <w:p w14:paraId="779739CC"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p w14:paraId="7F913B8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vAlign w:val="center"/>
          </w:tcPr>
          <w:p w14:paraId="01A64E0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vAlign w:val="center"/>
          </w:tcPr>
          <w:p w14:paraId="640CA9ED"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2936E9B6"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2943176F"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14-24</w:t>
            </w:r>
          </w:p>
        </w:tc>
        <w:tc>
          <w:tcPr>
            <w:tcW w:w="1620" w:type="dxa"/>
            <w:tcBorders>
              <w:top w:val="nil"/>
              <w:left w:val="single" w:sz="4" w:space="0" w:color="auto"/>
              <w:bottom w:val="nil"/>
              <w:right w:val="single" w:sz="4" w:space="0" w:color="auto"/>
            </w:tcBorders>
            <w:shd w:val="clear" w:color="auto" w:fill="auto"/>
            <w:vAlign w:val="center"/>
          </w:tcPr>
          <w:p w14:paraId="0DE6CE2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18.5 %</w:t>
            </w:r>
          </w:p>
        </w:tc>
        <w:tc>
          <w:tcPr>
            <w:tcW w:w="1620" w:type="dxa"/>
            <w:tcBorders>
              <w:top w:val="nil"/>
              <w:left w:val="single" w:sz="4" w:space="0" w:color="auto"/>
              <w:bottom w:val="nil"/>
              <w:right w:val="single" w:sz="2" w:space="0" w:color="auto"/>
            </w:tcBorders>
            <w:shd w:val="clear" w:color="auto" w:fill="auto"/>
            <w:vAlign w:val="center"/>
          </w:tcPr>
          <w:p w14:paraId="6A80477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18</w:t>
            </w:r>
            <w:r>
              <w:rPr>
                <w:sz w:val="22"/>
              </w:rPr>
              <w:t>.4 %</w:t>
            </w:r>
          </w:p>
        </w:tc>
        <w:tc>
          <w:tcPr>
            <w:tcW w:w="1620" w:type="dxa"/>
            <w:tcBorders>
              <w:top w:val="nil"/>
              <w:left w:val="single" w:sz="2" w:space="0" w:color="auto"/>
              <w:bottom w:val="nil"/>
              <w:right w:val="single" w:sz="2" w:space="0" w:color="auto"/>
            </w:tcBorders>
            <w:shd w:val="clear" w:color="auto" w:fill="auto"/>
            <w:vAlign w:val="center"/>
          </w:tcPr>
          <w:p w14:paraId="5641DBF8"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17</w:t>
            </w:r>
            <w:r>
              <w:rPr>
                <w:sz w:val="22"/>
              </w:rPr>
              <w:t>.6 %</w:t>
            </w:r>
          </w:p>
        </w:tc>
        <w:tc>
          <w:tcPr>
            <w:tcW w:w="1282" w:type="dxa"/>
            <w:tcBorders>
              <w:top w:val="nil"/>
              <w:left w:val="single" w:sz="2" w:space="0" w:color="auto"/>
              <w:bottom w:val="nil"/>
              <w:right w:val="single" w:sz="12" w:space="0" w:color="auto"/>
            </w:tcBorders>
            <w:shd w:val="clear" w:color="auto" w:fill="auto"/>
            <w:vAlign w:val="center"/>
          </w:tcPr>
          <w:p w14:paraId="37A0A71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-0.8</w:t>
            </w:r>
            <w:r w:rsidRPr="00B84692">
              <w:rPr>
                <w:sz w:val="22"/>
              </w:rPr>
              <w:t>***</w:t>
            </w:r>
          </w:p>
        </w:tc>
      </w:tr>
      <w:tr w:rsidR="00234FF3" w:rsidRPr="0030129E" w14:paraId="156CB054"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AB0A21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2</w:t>
            </w:r>
            <w:r>
              <w:rPr>
                <w:sz w:val="22"/>
              </w:rPr>
              <w:t>5</w:t>
            </w:r>
            <w:r w:rsidRPr="0030129E">
              <w:rPr>
                <w:sz w:val="22"/>
              </w:rPr>
              <w:t>-64</w:t>
            </w:r>
          </w:p>
        </w:tc>
        <w:tc>
          <w:tcPr>
            <w:tcW w:w="1620" w:type="dxa"/>
            <w:tcBorders>
              <w:top w:val="nil"/>
              <w:left w:val="single" w:sz="4" w:space="0" w:color="auto"/>
              <w:bottom w:val="nil"/>
              <w:right w:val="single" w:sz="4" w:space="0" w:color="auto"/>
            </w:tcBorders>
            <w:shd w:val="clear" w:color="auto" w:fill="auto"/>
            <w:vAlign w:val="center"/>
          </w:tcPr>
          <w:p w14:paraId="254818D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65</w:t>
            </w:r>
            <w:r>
              <w:rPr>
                <w:sz w:val="22"/>
              </w:rPr>
              <w:t>.</w:t>
            </w:r>
            <w:r w:rsidRPr="00B84692">
              <w:rPr>
                <w:sz w:val="22"/>
              </w:rPr>
              <w:t>4</w:t>
            </w:r>
            <w:r>
              <w:rPr>
                <w:sz w:val="22"/>
              </w:rPr>
              <w:t xml:space="preserve"> %</w:t>
            </w:r>
          </w:p>
        </w:tc>
        <w:tc>
          <w:tcPr>
            <w:tcW w:w="1620" w:type="dxa"/>
            <w:tcBorders>
              <w:top w:val="nil"/>
              <w:left w:val="single" w:sz="4" w:space="0" w:color="auto"/>
              <w:bottom w:val="nil"/>
              <w:right w:val="single" w:sz="2" w:space="0" w:color="auto"/>
            </w:tcBorders>
            <w:shd w:val="clear" w:color="auto" w:fill="auto"/>
            <w:vAlign w:val="center"/>
          </w:tcPr>
          <w:p w14:paraId="59ECBB1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w:t>
            </w:r>
            <w:r>
              <w:rPr>
                <w:sz w:val="22"/>
              </w:rPr>
              <w:t>4.9 %</w:t>
            </w:r>
          </w:p>
        </w:tc>
        <w:tc>
          <w:tcPr>
            <w:tcW w:w="1620" w:type="dxa"/>
            <w:tcBorders>
              <w:top w:val="nil"/>
              <w:left w:val="single" w:sz="2" w:space="0" w:color="auto"/>
              <w:bottom w:val="nil"/>
              <w:right w:val="single" w:sz="2" w:space="0" w:color="auto"/>
            </w:tcBorders>
            <w:shd w:val="clear" w:color="auto" w:fill="auto"/>
            <w:vAlign w:val="center"/>
          </w:tcPr>
          <w:p w14:paraId="69D1CE1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64</w:t>
            </w:r>
            <w:r>
              <w:rPr>
                <w:sz w:val="22"/>
              </w:rPr>
              <w:t>.</w:t>
            </w:r>
            <w:r w:rsidRPr="00B84692">
              <w:rPr>
                <w:sz w:val="22"/>
              </w:rPr>
              <w:t>5</w:t>
            </w:r>
            <w:r>
              <w:rPr>
                <w:sz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30DC7B23" w14:textId="77777777" w:rsidR="00234FF3" w:rsidRPr="00B84692" w:rsidRDefault="00234FF3" w:rsidP="00B96336">
            <w:pPr>
              <w:pStyle w:val="BodyText"/>
              <w:keepNext/>
              <w:keepLines/>
              <w:numPr>
                <w:ilvl w:val="0"/>
                <w:numId w:val="0"/>
              </w:numPr>
              <w:tabs>
                <w:tab w:val="num" w:pos="1080"/>
              </w:tabs>
              <w:spacing w:line="240" w:lineRule="auto"/>
              <w:ind w:right="288"/>
              <w:jc w:val="center"/>
              <w:rPr>
                <w:sz w:val="22"/>
              </w:rPr>
            </w:pPr>
            <w:r>
              <w:rPr>
                <w:sz w:val="22"/>
              </w:rPr>
              <w:t>-0.3</w:t>
            </w:r>
          </w:p>
        </w:tc>
      </w:tr>
      <w:tr w:rsidR="00234FF3" w:rsidRPr="0030129E" w14:paraId="6F3B353A"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05B54C5A" w14:textId="77777777" w:rsidR="00234FF3" w:rsidRPr="0030129E" w:rsidDel="0050299C" w:rsidRDefault="00234FF3" w:rsidP="00B96336">
            <w:pPr>
              <w:pStyle w:val="BodyText"/>
              <w:keepNext/>
              <w:keepLines/>
              <w:numPr>
                <w:ilvl w:val="0"/>
                <w:numId w:val="0"/>
              </w:numPr>
              <w:tabs>
                <w:tab w:val="num" w:pos="1080"/>
              </w:tabs>
              <w:spacing w:line="240" w:lineRule="auto"/>
              <w:ind w:left="288"/>
              <w:rPr>
                <w:sz w:val="22"/>
              </w:rPr>
            </w:pPr>
            <w:r w:rsidRPr="0030129E">
              <w:rPr>
                <w:sz w:val="22"/>
              </w:rPr>
              <w:t>Over 65</w:t>
            </w:r>
          </w:p>
        </w:tc>
        <w:tc>
          <w:tcPr>
            <w:tcW w:w="1620" w:type="dxa"/>
            <w:tcBorders>
              <w:top w:val="nil"/>
              <w:left w:val="single" w:sz="4" w:space="0" w:color="auto"/>
              <w:bottom w:val="nil"/>
            </w:tcBorders>
            <w:shd w:val="clear" w:color="auto" w:fill="auto"/>
            <w:vAlign w:val="center"/>
          </w:tcPr>
          <w:p w14:paraId="173ED74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16</w:t>
            </w:r>
            <w:r>
              <w:rPr>
                <w:sz w:val="22"/>
              </w:rPr>
              <w:t>.</w:t>
            </w:r>
            <w:r w:rsidRPr="00B84692">
              <w:rPr>
                <w:sz w:val="22"/>
              </w:rPr>
              <w:t>1</w:t>
            </w:r>
            <w:r>
              <w:rPr>
                <w:sz w:val="22"/>
              </w:rPr>
              <w:t xml:space="preserve"> %</w:t>
            </w:r>
          </w:p>
        </w:tc>
        <w:tc>
          <w:tcPr>
            <w:tcW w:w="1620" w:type="dxa"/>
            <w:tcBorders>
              <w:top w:val="nil"/>
              <w:bottom w:val="nil"/>
              <w:right w:val="single" w:sz="2" w:space="0" w:color="auto"/>
            </w:tcBorders>
            <w:shd w:val="clear" w:color="auto" w:fill="auto"/>
            <w:vAlign w:val="center"/>
          </w:tcPr>
          <w:p w14:paraId="60D4F28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w:t>
            </w:r>
            <w:r>
              <w:rPr>
                <w:sz w:val="22"/>
              </w:rPr>
              <w:t>6.7 %</w:t>
            </w:r>
          </w:p>
        </w:tc>
        <w:tc>
          <w:tcPr>
            <w:tcW w:w="1620" w:type="dxa"/>
            <w:tcBorders>
              <w:top w:val="nil"/>
              <w:left w:val="single" w:sz="2" w:space="0" w:color="auto"/>
              <w:bottom w:val="nil"/>
              <w:right w:val="single" w:sz="2" w:space="0" w:color="auto"/>
            </w:tcBorders>
            <w:shd w:val="clear" w:color="auto" w:fill="auto"/>
            <w:vAlign w:val="center"/>
          </w:tcPr>
          <w:p w14:paraId="64688F3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17.8 %</w:t>
            </w:r>
          </w:p>
        </w:tc>
        <w:tc>
          <w:tcPr>
            <w:tcW w:w="1282" w:type="dxa"/>
            <w:tcBorders>
              <w:top w:val="nil"/>
              <w:left w:val="single" w:sz="2" w:space="0" w:color="auto"/>
              <w:bottom w:val="nil"/>
              <w:right w:val="single" w:sz="12" w:space="0" w:color="auto"/>
            </w:tcBorders>
            <w:shd w:val="clear" w:color="auto" w:fill="auto"/>
            <w:vAlign w:val="center"/>
          </w:tcPr>
          <w:p w14:paraId="1A4BF67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1.1</w:t>
            </w:r>
            <w:r w:rsidRPr="00B84692">
              <w:rPr>
                <w:sz w:val="22"/>
              </w:rPr>
              <w:t>***</w:t>
            </w:r>
          </w:p>
        </w:tc>
      </w:tr>
      <w:tr w:rsidR="00234FF3" w:rsidRPr="0030129E" w14:paraId="590241CB"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D75F7E4" w14:textId="77777777" w:rsidR="00234FF3" w:rsidRPr="0030129E" w:rsidDel="0050299C" w:rsidRDefault="00234FF3" w:rsidP="00B96336">
            <w:pPr>
              <w:pStyle w:val="BodyText"/>
              <w:keepNext/>
              <w:keepLines/>
              <w:numPr>
                <w:ilvl w:val="0"/>
                <w:numId w:val="0"/>
              </w:numPr>
              <w:tabs>
                <w:tab w:val="num" w:pos="1080"/>
              </w:tabs>
              <w:spacing w:line="240" w:lineRule="auto"/>
              <w:rPr>
                <w:i/>
                <w:sz w:val="22"/>
              </w:rPr>
            </w:pPr>
            <w:r w:rsidRPr="0030129E">
              <w:rPr>
                <w:i/>
                <w:sz w:val="22"/>
              </w:rPr>
              <w:t>Education</w:t>
            </w:r>
          </w:p>
        </w:tc>
        <w:tc>
          <w:tcPr>
            <w:tcW w:w="1620" w:type="dxa"/>
            <w:tcBorders>
              <w:top w:val="nil"/>
              <w:left w:val="single" w:sz="4" w:space="0" w:color="auto"/>
              <w:bottom w:val="nil"/>
            </w:tcBorders>
            <w:shd w:val="clear" w:color="auto" w:fill="auto"/>
            <w:vAlign w:val="center"/>
          </w:tcPr>
          <w:p w14:paraId="41B3CF6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2A2879A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6DCF262C"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3EF85C8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20F347BB"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6A2DCAA"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Tertiary</w:t>
            </w:r>
          </w:p>
        </w:tc>
        <w:tc>
          <w:tcPr>
            <w:tcW w:w="1620" w:type="dxa"/>
            <w:tcBorders>
              <w:top w:val="nil"/>
              <w:left w:val="single" w:sz="4" w:space="0" w:color="auto"/>
              <w:bottom w:val="nil"/>
            </w:tcBorders>
            <w:shd w:val="clear" w:color="auto" w:fill="auto"/>
            <w:vAlign w:val="center"/>
          </w:tcPr>
          <w:p w14:paraId="70F8506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43</w:t>
            </w:r>
            <w:r>
              <w:rPr>
                <w:sz w:val="22"/>
                <w:szCs w:val="22"/>
              </w:rPr>
              <w:t>.0 %</w:t>
            </w:r>
          </w:p>
        </w:tc>
        <w:tc>
          <w:tcPr>
            <w:tcW w:w="1620" w:type="dxa"/>
            <w:tcBorders>
              <w:top w:val="nil"/>
              <w:bottom w:val="nil"/>
              <w:right w:val="single" w:sz="2" w:space="0" w:color="auto"/>
            </w:tcBorders>
            <w:shd w:val="clear" w:color="auto" w:fill="auto"/>
            <w:vAlign w:val="center"/>
          </w:tcPr>
          <w:p w14:paraId="0130854A"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szCs w:val="22"/>
              </w:rPr>
              <w:t>45.9 %</w:t>
            </w:r>
          </w:p>
        </w:tc>
        <w:tc>
          <w:tcPr>
            <w:tcW w:w="1620" w:type="dxa"/>
            <w:tcBorders>
              <w:top w:val="nil"/>
              <w:left w:val="single" w:sz="2" w:space="0" w:color="auto"/>
              <w:bottom w:val="nil"/>
              <w:right w:val="single" w:sz="2" w:space="0" w:color="auto"/>
            </w:tcBorders>
            <w:shd w:val="clear" w:color="auto" w:fill="auto"/>
            <w:vAlign w:val="center"/>
          </w:tcPr>
          <w:p w14:paraId="3D76188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50</w:t>
            </w:r>
            <w:r>
              <w:rPr>
                <w:sz w:val="22"/>
                <w:szCs w:val="22"/>
              </w:rPr>
              <w:t>.6 %</w:t>
            </w:r>
          </w:p>
        </w:tc>
        <w:tc>
          <w:tcPr>
            <w:tcW w:w="1282" w:type="dxa"/>
            <w:tcBorders>
              <w:top w:val="nil"/>
              <w:left w:val="single" w:sz="2" w:space="0" w:color="auto"/>
              <w:bottom w:val="nil"/>
              <w:right w:val="single" w:sz="12" w:space="0" w:color="auto"/>
            </w:tcBorders>
            <w:shd w:val="clear" w:color="auto" w:fill="auto"/>
            <w:vAlign w:val="center"/>
          </w:tcPr>
          <w:p w14:paraId="76972F0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szCs w:val="22"/>
              </w:rPr>
              <w:t>4.7</w:t>
            </w:r>
            <w:r w:rsidRPr="00B84692">
              <w:rPr>
                <w:sz w:val="22"/>
                <w:szCs w:val="22"/>
              </w:rPr>
              <w:t>***</w:t>
            </w:r>
          </w:p>
        </w:tc>
      </w:tr>
      <w:tr w:rsidR="00234FF3" w:rsidRPr="0030129E" w14:paraId="4346BE7D"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01388E8"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 xml:space="preserve">Less than </w:t>
            </w:r>
            <w:r w:rsidRPr="0030129E">
              <w:rPr>
                <w:sz w:val="22"/>
              </w:rPr>
              <w:t>High School</w:t>
            </w:r>
          </w:p>
        </w:tc>
        <w:tc>
          <w:tcPr>
            <w:tcW w:w="1620" w:type="dxa"/>
            <w:tcBorders>
              <w:top w:val="nil"/>
              <w:left w:val="single" w:sz="4" w:space="0" w:color="auto"/>
              <w:bottom w:val="nil"/>
            </w:tcBorders>
            <w:shd w:val="clear" w:color="auto" w:fill="auto"/>
            <w:vAlign w:val="center"/>
          </w:tcPr>
          <w:p w14:paraId="7877FA0E"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38</w:t>
            </w:r>
            <w:r>
              <w:rPr>
                <w:sz w:val="22"/>
              </w:rPr>
              <w:t>.3 %</w:t>
            </w:r>
          </w:p>
        </w:tc>
        <w:tc>
          <w:tcPr>
            <w:tcW w:w="1620" w:type="dxa"/>
            <w:tcBorders>
              <w:top w:val="nil"/>
              <w:bottom w:val="nil"/>
              <w:right w:val="single" w:sz="2" w:space="0" w:color="auto"/>
            </w:tcBorders>
            <w:shd w:val="clear" w:color="auto" w:fill="auto"/>
            <w:vAlign w:val="center"/>
          </w:tcPr>
          <w:p w14:paraId="2DC0D9C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35.1 %</w:t>
            </w:r>
          </w:p>
        </w:tc>
        <w:tc>
          <w:tcPr>
            <w:tcW w:w="1620" w:type="dxa"/>
            <w:tcBorders>
              <w:top w:val="nil"/>
              <w:left w:val="single" w:sz="2" w:space="0" w:color="auto"/>
              <w:bottom w:val="nil"/>
              <w:right w:val="single" w:sz="2" w:space="0" w:color="auto"/>
            </w:tcBorders>
            <w:shd w:val="clear" w:color="auto" w:fill="auto"/>
            <w:vAlign w:val="center"/>
          </w:tcPr>
          <w:p w14:paraId="5A6EA5E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30</w:t>
            </w:r>
            <w:r>
              <w:rPr>
                <w:sz w:val="22"/>
              </w:rPr>
              <w:t>.5 %</w:t>
            </w:r>
          </w:p>
        </w:tc>
        <w:tc>
          <w:tcPr>
            <w:tcW w:w="1282" w:type="dxa"/>
            <w:tcBorders>
              <w:top w:val="nil"/>
              <w:left w:val="single" w:sz="2" w:space="0" w:color="auto"/>
              <w:bottom w:val="nil"/>
              <w:right w:val="single" w:sz="12" w:space="0" w:color="auto"/>
            </w:tcBorders>
            <w:shd w:val="clear" w:color="auto" w:fill="auto"/>
            <w:vAlign w:val="center"/>
          </w:tcPr>
          <w:p w14:paraId="61DF016E"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-4.6</w:t>
            </w:r>
            <w:r w:rsidRPr="00B84692">
              <w:rPr>
                <w:sz w:val="22"/>
              </w:rPr>
              <w:t>***</w:t>
            </w:r>
          </w:p>
        </w:tc>
      </w:tr>
      <w:tr w:rsidR="00234FF3" w:rsidRPr="0030129E" w14:paraId="7027265C"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0C069FF9"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Work Status</w:t>
            </w:r>
          </w:p>
        </w:tc>
        <w:tc>
          <w:tcPr>
            <w:tcW w:w="1620" w:type="dxa"/>
            <w:tcBorders>
              <w:top w:val="nil"/>
              <w:left w:val="single" w:sz="4" w:space="0" w:color="auto"/>
              <w:bottom w:val="nil"/>
            </w:tcBorders>
            <w:shd w:val="clear" w:color="auto" w:fill="auto"/>
            <w:vAlign w:val="center"/>
          </w:tcPr>
          <w:p w14:paraId="7533CFC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5FB6C13C"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012000A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43C4CE3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69069AA4"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28F786B1"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Employed Full Time</w:t>
            </w:r>
          </w:p>
        </w:tc>
        <w:tc>
          <w:tcPr>
            <w:tcW w:w="1620" w:type="dxa"/>
            <w:tcBorders>
              <w:top w:val="nil"/>
              <w:left w:val="single" w:sz="4" w:space="0" w:color="auto"/>
              <w:bottom w:val="nil"/>
            </w:tcBorders>
            <w:shd w:val="clear" w:color="auto" w:fill="auto"/>
            <w:vAlign w:val="center"/>
          </w:tcPr>
          <w:p w14:paraId="3AF7041A"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40</w:t>
            </w:r>
            <w:r>
              <w:rPr>
                <w:sz w:val="22"/>
                <w:szCs w:val="22"/>
              </w:rPr>
              <w:t>.</w:t>
            </w:r>
            <w:r w:rsidRPr="00B84692">
              <w:rPr>
                <w:sz w:val="22"/>
                <w:szCs w:val="22"/>
              </w:rPr>
              <w:t>0</w:t>
            </w:r>
            <w:r>
              <w:rPr>
                <w:sz w:val="22"/>
                <w:szCs w:val="22"/>
              </w:rPr>
              <w:t xml:space="preserve"> %</w:t>
            </w:r>
          </w:p>
        </w:tc>
        <w:tc>
          <w:tcPr>
            <w:tcW w:w="1620" w:type="dxa"/>
            <w:tcBorders>
              <w:top w:val="nil"/>
              <w:bottom w:val="nil"/>
              <w:right w:val="single" w:sz="2" w:space="0" w:color="auto"/>
            </w:tcBorders>
            <w:shd w:val="clear" w:color="auto" w:fill="auto"/>
            <w:vAlign w:val="center"/>
          </w:tcPr>
          <w:p w14:paraId="31651E1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40</w:t>
            </w:r>
            <w:r>
              <w:rPr>
                <w:sz w:val="22"/>
                <w:szCs w:val="22"/>
              </w:rPr>
              <w:t>.4 %</w:t>
            </w:r>
          </w:p>
        </w:tc>
        <w:tc>
          <w:tcPr>
            <w:tcW w:w="1620" w:type="dxa"/>
            <w:tcBorders>
              <w:top w:val="nil"/>
              <w:left w:val="single" w:sz="2" w:space="0" w:color="auto"/>
              <w:bottom w:val="nil"/>
              <w:right w:val="single" w:sz="2" w:space="0" w:color="auto"/>
            </w:tcBorders>
            <w:shd w:val="clear" w:color="auto" w:fill="auto"/>
            <w:vAlign w:val="center"/>
          </w:tcPr>
          <w:p w14:paraId="0F3FCDCB"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39</w:t>
            </w:r>
            <w:r>
              <w:rPr>
                <w:sz w:val="22"/>
                <w:szCs w:val="22"/>
              </w:rPr>
              <w:t>.</w:t>
            </w:r>
            <w:r w:rsidRPr="00B84692">
              <w:rPr>
                <w:sz w:val="22"/>
                <w:szCs w:val="22"/>
              </w:rPr>
              <w:t>2</w:t>
            </w:r>
            <w:r>
              <w:rPr>
                <w:sz w:val="22"/>
                <w:szCs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1DC6A72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-1</w:t>
            </w:r>
            <w:r>
              <w:rPr>
                <w:sz w:val="22"/>
                <w:szCs w:val="22"/>
              </w:rPr>
              <w:t>.2</w:t>
            </w:r>
            <w:r w:rsidRPr="00B84692">
              <w:rPr>
                <w:sz w:val="22"/>
                <w:szCs w:val="22"/>
              </w:rPr>
              <w:t>***</w:t>
            </w:r>
          </w:p>
        </w:tc>
      </w:tr>
      <w:tr w:rsidR="00234FF3" w:rsidRPr="0030129E" w14:paraId="2AE68CBA"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D6776DF"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Income</w:t>
            </w:r>
          </w:p>
        </w:tc>
        <w:tc>
          <w:tcPr>
            <w:tcW w:w="1620" w:type="dxa"/>
            <w:tcBorders>
              <w:top w:val="nil"/>
              <w:left w:val="single" w:sz="4" w:space="0" w:color="auto"/>
              <w:bottom w:val="nil"/>
            </w:tcBorders>
            <w:shd w:val="clear" w:color="auto" w:fill="auto"/>
            <w:vAlign w:val="center"/>
          </w:tcPr>
          <w:p w14:paraId="4548151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795CEEA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7D3CC02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1EA494A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60FAF83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69B183C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Less than $45</w:t>
            </w:r>
            <w:r w:rsidRPr="0030129E">
              <w:rPr>
                <w:sz w:val="22"/>
              </w:rPr>
              <w:t>,000</w:t>
            </w:r>
          </w:p>
        </w:tc>
        <w:tc>
          <w:tcPr>
            <w:tcW w:w="1620" w:type="dxa"/>
            <w:tcBorders>
              <w:top w:val="nil"/>
              <w:left w:val="single" w:sz="4" w:space="0" w:color="auto"/>
              <w:bottom w:val="nil"/>
            </w:tcBorders>
            <w:shd w:val="clear" w:color="auto" w:fill="auto"/>
            <w:vAlign w:val="center"/>
          </w:tcPr>
          <w:p w14:paraId="5A1A2D3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70.0 %</w:t>
            </w:r>
          </w:p>
        </w:tc>
        <w:tc>
          <w:tcPr>
            <w:tcW w:w="1620" w:type="dxa"/>
            <w:tcBorders>
              <w:top w:val="nil"/>
              <w:bottom w:val="nil"/>
              <w:right w:val="single" w:sz="2" w:space="0" w:color="auto"/>
            </w:tcBorders>
            <w:shd w:val="clear" w:color="auto" w:fill="auto"/>
            <w:vAlign w:val="center"/>
          </w:tcPr>
          <w:p w14:paraId="39452D0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65.1 %</w:t>
            </w:r>
          </w:p>
        </w:tc>
        <w:tc>
          <w:tcPr>
            <w:tcW w:w="1620" w:type="dxa"/>
            <w:tcBorders>
              <w:top w:val="nil"/>
              <w:left w:val="single" w:sz="2" w:space="0" w:color="auto"/>
              <w:bottom w:val="nil"/>
              <w:right w:val="single" w:sz="2" w:space="0" w:color="auto"/>
            </w:tcBorders>
            <w:shd w:val="clear" w:color="auto" w:fill="auto"/>
            <w:vAlign w:val="center"/>
          </w:tcPr>
          <w:p w14:paraId="2DDC8F0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62</w:t>
            </w:r>
            <w:r>
              <w:rPr>
                <w:sz w:val="22"/>
              </w:rPr>
              <w:t>.6 %</w:t>
            </w:r>
          </w:p>
        </w:tc>
        <w:tc>
          <w:tcPr>
            <w:tcW w:w="1282" w:type="dxa"/>
            <w:tcBorders>
              <w:top w:val="nil"/>
              <w:left w:val="single" w:sz="2" w:space="0" w:color="auto"/>
              <w:bottom w:val="nil"/>
              <w:right w:val="single" w:sz="12" w:space="0" w:color="auto"/>
            </w:tcBorders>
            <w:shd w:val="clear" w:color="auto" w:fill="auto"/>
            <w:vAlign w:val="center"/>
          </w:tcPr>
          <w:p w14:paraId="0166D4B6"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-2.</w:t>
            </w:r>
            <w:r w:rsidRPr="00B84692">
              <w:rPr>
                <w:sz w:val="22"/>
              </w:rPr>
              <w:t>5***</w:t>
            </w:r>
          </w:p>
        </w:tc>
      </w:tr>
      <w:tr w:rsidR="00234FF3" w:rsidRPr="0030129E" w14:paraId="38EA6251"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17108B35"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$45,000-$</w:t>
            </w:r>
            <w:r>
              <w:rPr>
                <w:sz w:val="22"/>
              </w:rPr>
              <w:t>100,000</w:t>
            </w:r>
          </w:p>
        </w:tc>
        <w:tc>
          <w:tcPr>
            <w:tcW w:w="1620" w:type="dxa"/>
            <w:tcBorders>
              <w:top w:val="nil"/>
              <w:left w:val="single" w:sz="4" w:space="0" w:color="auto"/>
              <w:bottom w:val="nil"/>
            </w:tcBorders>
            <w:shd w:val="clear" w:color="auto" w:fill="auto"/>
            <w:vAlign w:val="center"/>
          </w:tcPr>
          <w:p w14:paraId="70B9248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23</w:t>
            </w:r>
            <w:r>
              <w:rPr>
                <w:sz w:val="22"/>
              </w:rPr>
              <w:t>.6 %</w:t>
            </w:r>
          </w:p>
        </w:tc>
        <w:tc>
          <w:tcPr>
            <w:tcW w:w="1620" w:type="dxa"/>
            <w:tcBorders>
              <w:top w:val="nil"/>
              <w:bottom w:val="nil"/>
              <w:right w:val="single" w:sz="2" w:space="0" w:color="auto"/>
            </w:tcBorders>
            <w:shd w:val="clear" w:color="auto" w:fill="auto"/>
            <w:vAlign w:val="center"/>
          </w:tcPr>
          <w:p w14:paraId="09BC2D3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w:t>
            </w:r>
            <w:r>
              <w:rPr>
                <w:sz w:val="22"/>
              </w:rPr>
              <w:t>6.7 %</w:t>
            </w:r>
          </w:p>
        </w:tc>
        <w:tc>
          <w:tcPr>
            <w:tcW w:w="1620" w:type="dxa"/>
            <w:tcBorders>
              <w:top w:val="nil"/>
              <w:left w:val="single" w:sz="2" w:space="0" w:color="auto"/>
              <w:bottom w:val="nil"/>
              <w:right w:val="single" w:sz="2" w:space="0" w:color="auto"/>
            </w:tcBorders>
            <w:shd w:val="clear" w:color="auto" w:fill="auto"/>
            <w:vAlign w:val="center"/>
          </w:tcPr>
          <w:p w14:paraId="131E369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27</w:t>
            </w:r>
            <w:r>
              <w:rPr>
                <w:sz w:val="22"/>
              </w:rPr>
              <w:t>.</w:t>
            </w:r>
            <w:r w:rsidRPr="00B84692">
              <w:rPr>
                <w:sz w:val="22"/>
              </w:rPr>
              <w:t>4</w:t>
            </w:r>
            <w:r>
              <w:rPr>
                <w:sz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0920585B"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0.6</w:t>
            </w:r>
            <w:r w:rsidRPr="00B84692">
              <w:rPr>
                <w:sz w:val="22"/>
              </w:rPr>
              <w:t>***</w:t>
            </w:r>
          </w:p>
        </w:tc>
      </w:tr>
      <w:tr w:rsidR="00234FF3" w:rsidRPr="0030129E" w14:paraId="01172C68" w14:textId="77777777" w:rsidTr="00B96336">
        <w:trPr>
          <w:trHeight w:val="282"/>
          <w:jc w:val="center"/>
        </w:trPr>
        <w:tc>
          <w:tcPr>
            <w:tcW w:w="2542" w:type="dxa"/>
            <w:tcBorders>
              <w:top w:val="nil"/>
              <w:left w:val="single" w:sz="12" w:space="0" w:color="auto"/>
              <w:bottom w:val="single" w:sz="12" w:space="0" w:color="auto"/>
              <w:right w:val="single" w:sz="4" w:space="0" w:color="auto"/>
            </w:tcBorders>
            <w:vAlign w:val="center"/>
          </w:tcPr>
          <w:p w14:paraId="12CA8D4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More than $10</w:t>
            </w:r>
            <w:r w:rsidRPr="0030129E">
              <w:rPr>
                <w:sz w:val="22"/>
              </w:rPr>
              <w:t>0,000</w:t>
            </w:r>
          </w:p>
        </w:tc>
        <w:tc>
          <w:tcPr>
            <w:tcW w:w="1620" w:type="dxa"/>
            <w:tcBorders>
              <w:top w:val="nil"/>
              <w:left w:val="single" w:sz="4" w:space="0" w:color="auto"/>
              <w:bottom w:val="single" w:sz="12" w:space="0" w:color="auto"/>
              <w:right w:val="single" w:sz="4" w:space="0" w:color="auto"/>
            </w:tcBorders>
            <w:shd w:val="clear" w:color="auto" w:fill="auto"/>
            <w:vAlign w:val="center"/>
          </w:tcPr>
          <w:p w14:paraId="7F9B8E9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 xml:space="preserve">  </w:t>
            </w:r>
            <w:r w:rsidRPr="00B84692">
              <w:rPr>
                <w:sz w:val="22"/>
              </w:rPr>
              <w:t>6</w:t>
            </w:r>
            <w:r>
              <w:rPr>
                <w:sz w:val="22"/>
              </w:rPr>
              <w:t>.3 %</w:t>
            </w:r>
          </w:p>
        </w:tc>
        <w:tc>
          <w:tcPr>
            <w:tcW w:w="1620" w:type="dxa"/>
            <w:tcBorders>
              <w:top w:val="nil"/>
              <w:left w:val="single" w:sz="4" w:space="0" w:color="auto"/>
              <w:bottom w:val="single" w:sz="12" w:space="0" w:color="auto"/>
              <w:right w:val="single" w:sz="2" w:space="0" w:color="auto"/>
            </w:tcBorders>
            <w:shd w:val="clear" w:color="auto" w:fill="auto"/>
            <w:vAlign w:val="center"/>
          </w:tcPr>
          <w:p w14:paraId="0DB981CF"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 xml:space="preserve">  8.1 %</w:t>
            </w:r>
          </w:p>
        </w:tc>
        <w:tc>
          <w:tcPr>
            <w:tcW w:w="1620" w:type="dxa"/>
            <w:tcBorders>
              <w:top w:val="nil"/>
              <w:left w:val="single" w:sz="2" w:space="0" w:color="auto"/>
              <w:bottom w:val="single" w:sz="12" w:space="0" w:color="auto"/>
              <w:right w:val="single" w:sz="2" w:space="0" w:color="auto"/>
            </w:tcBorders>
            <w:shd w:val="clear" w:color="auto" w:fill="auto"/>
            <w:vAlign w:val="center"/>
          </w:tcPr>
          <w:p w14:paraId="20B5A4F6"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10</w:t>
            </w:r>
            <w:r>
              <w:rPr>
                <w:sz w:val="22"/>
              </w:rPr>
              <w:t>.0 %</w:t>
            </w:r>
          </w:p>
        </w:tc>
        <w:tc>
          <w:tcPr>
            <w:tcW w:w="1282" w:type="dxa"/>
            <w:tcBorders>
              <w:top w:val="nil"/>
              <w:left w:val="single" w:sz="2" w:space="0" w:color="auto"/>
              <w:bottom w:val="single" w:sz="12" w:space="0" w:color="auto"/>
              <w:right w:val="single" w:sz="12" w:space="0" w:color="auto"/>
            </w:tcBorders>
            <w:shd w:val="clear" w:color="auto" w:fill="auto"/>
            <w:vAlign w:val="center"/>
          </w:tcPr>
          <w:p w14:paraId="7386452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1.9</w:t>
            </w:r>
            <w:r w:rsidRPr="00B84692">
              <w:rPr>
                <w:sz w:val="22"/>
              </w:rPr>
              <w:t>***</w:t>
            </w:r>
          </w:p>
        </w:tc>
      </w:tr>
    </w:tbl>
    <w:p w14:paraId="27056B91" w14:textId="5FC270BC" w:rsidR="006C4EEF" w:rsidRPr="00CF4587" w:rsidRDefault="006C4EEF" w:rsidP="00DD0150">
      <w:pPr>
        <w:pStyle w:val="BodyText"/>
        <w:numPr>
          <w:ilvl w:val="0"/>
          <w:numId w:val="0"/>
        </w:numPr>
        <w:tabs>
          <w:tab w:val="num" w:pos="1080"/>
        </w:tabs>
        <w:spacing w:before="240" w:after="0" w:line="240" w:lineRule="auto"/>
        <w:rPr>
          <w:sz w:val="20"/>
        </w:rPr>
      </w:pPr>
      <w:r w:rsidRPr="00CF4587">
        <w:rPr>
          <w:i/>
          <w:sz w:val="20"/>
        </w:rPr>
        <w:t>Note</w:t>
      </w:r>
      <w:r w:rsidRPr="00CF4587">
        <w:rPr>
          <w:sz w:val="20"/>
        </w:rPr>
        <w:t xml:space="preserve">: </w:t>
      </w:r>
      <w:r w:rsidR="00FA4795">
        <w:rPr>
          <w:sz w:val="20"/>
        </w:rPr>
        <w:t>A</w:t>
      </w:r>
      <w:r>
        <w:rPr>
          <w:sz w:val="20"/>
        </w:rPr>
        <w:t xml:space="preserve">verages calculated using the sample weights provided by RMSS.  Notice that, due to rounding, calculations based on displayed precision may not replicate the numbers presented.  </w:t>
      </w:r>
      <w:r w:rsidRPr="00CF4587">
        <w:rPr>
          <w:sz w:val="20"/>
        </w:rPr>
        <w:t>Asterisks ***</w:t>
      </w:r>
      <w:r w:rsidR="0060096D">
        <w:rPr>
          <w:sz w:val="20"/>
        </w:rPr>
        <w:t>, **, and *</w:t>
      </w:r>
      <w:r>
        <w:rPr>
          <w:sz w:val="20"/>
        </w:rPr>
        <w:t xml:space="preserve"> </w:t>
      </w:r>
      <w:r w:rsidRPr="00CF4587">
        <w:rPr>
          <w:sz w:val="20"/>
        </w:rPr>
        <w:t>indicate</w:t>
      </w:r>
      <w:r>
        <w:rPr>
          <w:sz w:val="20"/>
        </w:rPr>
        <w:t xml:space="preserve"> that the difference between the before and after periods is</w:t>
      </w:r>
      <w:r w:rsidRPr="00CF4587">
        <w:rPr>
          <w:sz w:val="20"/>
        </w:rPr>
        <w:t xml:space="preserve"> statistical</w:t>
      </w:r>
      <w:r>
        <w:rPr>
          <w:sz w:val="20"/>
        </w:rPr>
        <w:t>ly</w:t>
      </w:r>
      <w:r w:rsidRPr="00CF4587">
        <w:rPr>
          <w:sz w:val="20"/>
        </w:rPr>
        <w:t xml:space="preserve"> significan</w:t>
      </w:r>
      <w:r>
        <w:rPr>
          <w:sz w:val="20"/>
        </w:rPr>
        <w:t>t</w:t>
      </w:r>
      <w:r w:rsidRPr="00CF4587">
        <w:rPr>
          <w:sz w:val="20"/>
        </w:rPr>
        <w:t xml:space="preserve"> at </w:t>
      </w:r>
      <w:r>
        <w:rPr>
          <w:sz w:val="20"/>
        </w:rPr>
        <w:t>the 1</w:t>
      </w:r>
      <w:r w:rsidR="0060096D">
        <w:rPr>
          <w:sz w:val="20"/>
        </w:rPr>
        <w:t>, 5, and 10</w:t>
      </w:r>
      <w:r w:rsidRPr="00CF4587">
        <w:rPr>
          <w:sz w:val="20"/>
        </w:rPr>
        <w:t xml:space="preserve"> percent level</w:t>
      </w:r>
      <w:r w:rsidR="0060096D">
        <w:rPr>
          <w:sz w:val="20"/>
        </w:rPr>
        <w:t>, respectively</w:t>
      </w:r>
      <w:r w:rsidRPr="00CF4587">
        <w:rPr>
          <w:sz w:val="20"/>
        </w:rPr>
        <w:t>.</w:t>
      </w:r>
      <w:r>
        <w:rPr>
          <w:sz w:val="20"/>
        </w:rPr>
        <w:t xml:space="preserve">  For ease of display the categorical variables have been aggregated, but they are available with much more precision than shown.  Specifically: (a) the Age variable is available for 12 segments (age 14-17, age 18-19, age in 4 year increments from 20 to 64, and age over 64); (b) the Education variable is available for 4 segments (Tertiary, High School, Grade 10/11</w:t>
      </w:r>
      <w:r w:rsidR="00781F16">
        <w:rPr>
          <w:sz w:val="20"/>
        </w:rPr>
        <w:t>/</w:t>
      </w:r>
      <w:r>
        <w:rPr>
          <w:sz w:val="20"/>
        </w:rPr>
        <w:t>Trade, Less Education); (c) the Work Status variable is available for 5 segments (Employed Full Time, Employed Part Time, Unemployed, Home Duties, Other/No Work); and the Income variable is available for 19 segments (income &lt; $6,000, income between $6,000 and under $10,000, increments of</w:t>
      </w:r>
      <w:r w:rsidR="009F563A">
        <w:rPr>
          <w:sz w:val="20"/>
        </w:rPr>
        <w:t xml:space="preserve"> $5,000</w:t>
      </w:r>
      <w:r>
        <w:rPr>
          <w:sz w:val="20"/>
        </w:rPr>
        <w:t xml:space="preserve"> up to $</w:t>
      </w:r>
      <w:r w:rsidR="00781F16">
        <w:rPr>
          <w:sz w:val="20"/>
        </w:rPr>
        <w:t>50</w:t>
      </w:r>
      <w:r>
        <w:rPr>
          <w:sz w:val="20"/>
        </w:rPr>
        <w:t>,000,</w:t>
      </w:r>
      <w:r w:rsidR="009F563A">
        <w:rPr>
          <w:sz w:val="20"/>
        </w:rPr>
        <w:t xml:space="preserve"> increments of $10,000</w:t>
      </w:r>
      <w:r w:rsidR="00781F16">
        <w:rPr>
          <w:sz w:val="20"/>
        </w:rPr>
        <w:t xml:space="preserve"> up to $130,000,</w:t>
      </w:r>
      <w:r>
        <w:rPr>
          <w:sz w:val="20"/>
        </w:rPr>
        <w:t xml:space="preserve"> and over $130,000).  The regression analysis uses the more disaggregated categorical variable descriptions.</w:t>
      </w:r>
      <w:r w:rsidR="005075CB">
        <w:rPr>
          <w:sz w:val="20"/>
        </w:rPr>
        <w:t xml:space="preserve"> A complete list of the variables included in the regression analysis is presented in </w:t>
      </w:r>
      <w:hyperlink w:anchor="_Appendix_D_–" w:history="1">
        <w:r w:rsidR="005075CB" w:rsidRPr="00B87FC4">
          <w:rPr>
            <w:rStyle w:val="Hyperlink"/>
            <w:sz w:val="20"/>
          </w:rPr>
          <w:t>Appendix D</w:t>
        </w:r>
      </w:hyperlink>
      <w:r w:rsidR="005075CB">
        <w:rPr>
          <w:sz w:val="20"/>
        </w:rPr>
        <w:t>.</w:t>
      </w:r>
    </w:p>
    <w:p w14:paraId="15FC69DA" w14:textId="3DE8AD2C" w:rsidR="006C4EEF" w:rsidRDefault="006C4EEF" w:rsidP="00DD0150">
      <w:pPr>
        <w:pStyle w:val="BodyText"/>
        <w:numPr>
          <w:ilvl w:val="0"/>
          <w:numId w:val="0"/>
        </w:numPr>
        <w:tabs>
          <w:tab w:val="num" w:pos="1080"/>
        </w:tabs>
        <w:spacing w:before="160" w:after="600" w:line="240" w:lineRule="auto"/>
        <w:rPr>
          <w:sz w:val="20"/>
        </w:rPr>
      </w:pPr>
      <w:r w:rsidRPr="00CF4587">
        <w:rPr>
          <w:i/>
          <w:sz w:val="20"/>
        </w:rPr>
        <w:t>Source</w:t>
      </w:r>
      <w:r w:rsidRPr="00CF4587">
        <w:rPr>
          <w:sz w:val="20"/>
        </w:rPr>
        <w:t xml:space="preserve">: RMSS Data (January 2001 – </w:t>
      </w:r>
      <w:r>
        <w:rPr>
          <w:sz w:val="20"/>
        </w:rPr>
        <w:t>September</w:t>
      </w:r>
      <w:r w:rsidRPr="00CF4587">
        <w:rPr>
          <w:sz w:val="20"/>
        </w:rPr>
        <w:t xml:space="preserve"> 2015)</w:t>
      </w:r>
      <w:r>
        <w:rPr>
          <w:sz w:val="20"/>
        </w:rPr>
        <w:t>.</w:t>
      </w:r>
    </w:p>
    <w:p w14:paraId="0F759150" w14:textId="77777777" w:rsidR="00BD2688" w:rsidRPr="00D77D0C" w:rsidRDefault="006C4EEF" w:rsidP="00D84A86">
      <w:pPr>
        <w:pStyle w:val="Heading1"/>
        <w:rPr>
          <w:bCs w:val="0"/>
        </w:rPr>
      </w:pPr>
      <w:bookmarkStart w:id="35" w:name="_Toc441421158"/>
      <w:r>
        <w:t xml:space="preserve">Regression </w:t>
      </w:r>
      <w:r w:rsidR="00BD2688" w:rsidRPr="00D77D0C">
        <w:t>Results</w:t>
      </w:r>
      <w:bookmarkEnd w:id="29"/>
      <w:bookmarkEnd w:id="30"/>
      <w:bookmarkEnd w:id="31"/>
      <w:bookmarkEnd w:id="35"/>
    </w:p>
    <w:p w14:paraId="2C54579F" w14:textId="77B83E94" w:rsidR="00D2054E" w:rsidRDefault="0025500B" w:rsidP="00D2054E">
      <w:pPr>
        <w:pStyle w:val="BodyText"/>
        <w:numPr>
          <w:ilvl w:val="3"/>
          <w:numId w:val="2"/>
        </w:numPr>
        <w:tabs>
          <w:tab w:val="clear" w:pos="1260"/>
          <w:tab w:val="num" w:pos="0"/>
          <w:tab w:val="num" w:pos="720"/>
        </w:tabs>
        <w:spacing w:before="120" w:line="360" w:lineRule="auto"/>
        <w:ind w:left="0" w:firstLine="720"/>
      </w:pPr>
      <w:r>
        <w:fldChar w:fldCharType="begin"/>
      </w:r>
      <w:r>
        <w:instrText xml:space="preserve"> REF _Ref444100481 \h </w:instrText>
      </w:r>
      <w:r>
        <w:fldChar w:fldCharType="separate"/>
      </w:r>
      <w:r w:rsidR="00C62F5C">
        <w:t xml:space="preserve">Table </w:t>
      </w:r>
      <w:r w:rsidR="00C62F5C">
        <w:rPr>
          <w:noProof/>
        </w:rPr>
        <w:t>3</w:t>
      </w:r>
      <w:r>
        <w:fldChar w:fldCharType="end"/>
      </w:r>
      <w:r w:rsidR="00BF7C2C">
        <w:t xml:space="preserve"> </w:t>
      </w:r>
      <w:r w:rsidR="00410B1F">
        <w:t xml:space="preserve">presents </w:t>
      </w:r>
      <w:r w:rsidR="00A75B80">
        <w:t xml:space="preserve">a summary of </w:t>
      </w:r>
      <w:r w:rsidR="00410B1F">
        <w:t xml:space="preserve">the </w:t>
      </w:r>
      <w:r w:rsidR="001E0A24">
        <w:t xml:space="preserve">regression </w:t>
      </w:r>
      <w:r w:rsidR="00410B1F">
        <w:t>results.</w:t>
      </w:r>
      <w:r w:rsidR="00361B24">
        <w:t xml:space="preserve">  For conciseness, the table shows the estimated </w:t>
      </w:r>
      <w:r w:rsidR="0083194F">
        <w:t>“coefficient”</w:t>
      </w:r>
      <w:r w:rsidR="00361B24">
        <w:t xml:space="preserve"> of only </w:t>
      </w:r>
      <w:r w:rsidR="00DE788B">
        <w:t>the 2012 packaging changes</w:t>
      </w:r>
      <w:r w:rsidR="0083194F">
        <w:t xml:space="preserve"> (e.g., </w:t>
      </w:r>
      <w:r w:rsidR="0083194F" w:rsidRPr="00D2054E">
        <w:rPr>
          <w:color w:val="000000"/>
          <w:sz w:val="22"/>
          <w:szCs w:val="22"/>
        </w:rPr>
        <w:t>-0.0237</w:t>
      </w:r>
      <w:r w:rsidR="0083194F">
        <w:rPr>
          <w:color w:val="000000"/>
          <w:sz w:val="22"/>
          <w:szCs w:val="22"/>
        </w:rPr>
        <w:t>)</w:t>
      </w:r>
      <w:r w:rsidR="00593E96">
        <w:t xml:space="preserve">, along with </w:t>
      </w:r>
      <w:r w:rsidR="00057678">
        <w:t xml:space="preserve">p-values </w:t>
      </w:r>
      <w:r w:rsidR="0083194F">
        <w:t xml:space="preserve">(e.g., </w:t>
      </w:r>
      <w:r w:rsidR="0083194F" w:rsidRPr="00D2054E">
        <w:rPr>
          <w:color w:val="000000"/>
          <w:sz w:val="22"/>
          <w:szCs w:val="22"/>
        </w:rPr>
        <w:t>0.017</w:t>
      </w:r>
      <w:r w:rsidR="0083194F">
        <w:rPr>
          <w:color w:val="000000"/>
          <w:sz w:val="22"/>
          <w:szCs w:val="22"/>
        </w:rPr>
        <w:t xml:space="preserve">) </w:t>
      </w:r>
      <w:r w:rsidR="00057678">
        <w:t xml:space="preserve">that describe the significance level at which the estimated coefficients are </w:t>
      </w:r>
      <w:r w:rsidR="00057678">
        <w:lastRenderedPageBreak/>
        <w:t>statistically different from zero.</w:t>
      </w:r>
      <w:r w:rsidR="00057678">
        <w:rPr>
          <w:rStyle w:val="FootnoteReference"/>
        </w:rPr>
        <w:footnoteReference w:id="29"/>
      </w:r>
      <w:r w:rsidR="00057678">
        <w:t xml:space="preserve">  </w:t>
      </w:r>
      <w:r w:rsidR="00361A26">
        <w:t xml:space="preserve">A negative coefficient estimate indicates </w:t>
      </w:r>
      <w:r w:rsidR="00CA1B19">
        <w:t>that</w:t>
      </w:r>
      <w:r w:rsidR="00B01C35">
        <w:t xml:space="preserve"> the policy </w:t>
      </w:r>
      <w:r w:rsidR="00CA1B19">
        <w:t xml:space="preserve">has reduced </w:t>
      </w:r>
      <w:r w:rsidR="00361A26">
        <w:t xml:space="preserve">smoking prevalence.  </w:t>
      </w:r>
      <w:r w:rsidR="008D45FE">
        <w:t>For the other</w:t>
      </w:r>
      <w:r w:rsidR="00723088">
        <w:t xml:space="preserve"> explanatory variables</w:t>
      </w:r>
      <w:r w:rsidR="00FA4795">
        <w:t xml:space="preserve"> or groups of variables</w:t>
      </w:r>
      <w:r w:rsidR="008D45FE">
        <w:t xml:space="preserve">, the table indicates </w:t>
      </w:r>
      <w:r w:rsidR="00B01C35">
        <w:t>whether each of their estimate</w:t>
      </w:r>
      <w:r w:rsidR="00A80528">
        <w:t>d</w:t>
      </w:r>
      <w:r w:rsidR="00B01C35">
        <w:t xml:space="preserve"> effects is statistically</w:t>
      </w:r>
      <w:r w:rsidR="00723088">
        <w:t xml:space="preserve"> significant at conventional thresholds</w:t>
      </w:r>
      <w:r w:rsidR="00D51DC8">
        <w:t xml:space="preserve"> (displayed by asterisks)</w:t>
      </w:r>
      <w:r w:rsidR="00723088">
        <w:t xml:space="preserve">.  </w:t>
      </w:r>
      <w:r w:rsidR="00361B24">
        <w:t xml:space="preserve">The full set of results, including </w:t>
      </w:r>
      <w:r w:rsidR="00D51DC8">
        <w:t xml:space="preserve">all </w:t>
      </w:r>
      <w:r w:rsidR="00361B24">
        <w:t>coefficient</w:t>
      </w:r>
      <w:r w:rsidR="00D51DC8">
        <w:t xml:space="preserve"> estimates,</w:t>
      </w:r>
      <w:r w:rsidR="00361B24">
        <w:t xml:space="preserve"> is shown in </w:t>
      </w:r>
      <w:hyperlink w:anchor="_Appendix_D_–" w:history="1">
        <w:r w:rsidR="00361B24" w:rsidRPr="00DD2B8D">
          <w:rPr>
            <w:rStyle w:val="Hyperlink"/>
          </w:rPr>
          <w:t xml:space="preserve">Appendix </w:t>
        </w:r>
        <w:r w:rsidR="00EE574A" w:rsidRPr="00DD2B8D">
          <w:rPr>
            <w:rStyle w:val="Hyperlink"/>
          </w:rPr>
          <w:t>D</w:t>
        </w:r>
      </w:hyperlink>
      <w:r w:rsidR="00DD2B8D">
        <w:t xml:space="preserve">. </w:t>
      </w:r>
    </w:p>
    <w:p w14:paraId="3AB23306" w14:textId="77777777" w:rsidR="00D2054E" w:rsidRDefault="00D2054E" w:rsidP="00D2054E">
      <w:pPr>
        <w:pStyle w:val="BodyText"/>
        <w:numPr>
          <w:ilvl w:val="3"/>
          <w:numId w:val="2"/>
        </w:numPr>
        <w:tabs>
          <w:tab w:val="clear" w:pos="1260"/>
          <w:tab w:val="num" w:pos="0"/>
          <w:tab w:val="num" w:pos="720"/>
        </w:tabs>
        <w:spacing w:before="120" w:line="360" w:lineRule="auto"/>
        <w:ind w:left="0" w:firstLine="720"/>
      </w:pPr>
      <w:r>
        <w:t xml:space="preserve">The table columns present results associated with different constructions of the before and after periods.  As previously explained, </w:t>
      </w:r>
      <w:r w:rsidR="008A1834">
        <w:t>b</w:t>
      </w:r>
      <w:r w:rsidR="00FA4795">
        <w:t>ecause</w:t>
      </w:r>
      <w:r w:rsidRPr="00C450AF">
        <w:t xml:space="preserve"> Octobe</w:t>
      </w:r>
      <w:r>
        <w:t>r and November are transition months</w:t>
      </w:r>
      <w:r w:rsidRPr="00C450AF">
        <w:t xml:space="preserve"> in which some smokers had plain packs while others did not, </w:t>
      </w:r>
      <w:r>
        <w:t>t</w:t>
      </w:r>
      <w:r w:rsidRPr="00C450AF">
        <w:t xml:space="preserve">hose months do not </w:t>
      </w:r>
      <w:r w:rsidR="00FA4795">
        <w:t xml:space="preserve">properly </w:t>
      </w:r>
      <w:r w:rsidRPr="00C450AF">
        <w:t>belong in either the before or the after period.  Column (</w:t>
      </w:r>
      <w:r>
        <w:t>1</w:t>
      </w:r>
      <w:r w:rsidRPr="00C450AF">
        <w:t>) presents the results of clean before and after periods by excluding</w:t>
      </w:r>
      <w:r>
        <w:t xml:space="preserve"> </w:t>
      </w:r>
      <w:r w:rsidRPr="00C450AF">
        <w:t>October and November 2012 from the analysis.</w:t>
      </w:r>
      <w:r w:rsidRPr="00BD2688">
        <w:t xml:space="preserve">  </w:t>
      </w:r>
      <w:r>
        <w:t xml:space="preserve">As a robustness check, </w:t>
      </w:r>
      <w:r w:rsidRPr="00C450AF">
        <w:t>Column</w:t>
      </w:r>
      <w:r>
        <w:t>s</w:t>
      </w:r>
      <w:r w:rsidRPr="00C450AF">
        <w:t xml:space="preserve"> (</w:t>
      </w:r>
      <w:r>
        <w:t>2</w:t>
      </w:r>
      <w:r w:rsidRPr="00C450AF">
        <w:t xml:space="preserve">) </w:t>
      </w:r>
      <w:r>
        <w:t xml:space="preserve">to (4) </w:t>
      </w:r>
      <w:r w:rsidRPr="00C450AF">
        <w:t xml:space="preserve">present results based on the </w:t>
      </w:r>
      <w:r w:rsidR="00DC25A5">
        <w:t>December</w:t>
      </w:r>
      <w:r>
        <w:t xml:space="preserve">, November, and </w:t>
      </w:r>
      <w:r w:rsidR="00DC25A5">
        <w:t>October</w:t>
      </w:r>
      <w:r w:rsidRPr="00C450AF">
        <w:t xml:space="preserve"> policy start date</w:t>
      </w:r>
      <w:r w:rsidR="00BA77D2">
        <w:t>s</w:t>
      </w:r>
      <w:r>
        <w:t>, using data from the entire sample period</w:t>
      </w:r>
      <w:r w:rsidRPr="00C450AF">
        <w:t>.</w:t>
      </w:r>
      <w:r>
        <w:t xml:space="preserve">  These alternative analyses retain data from </w:t>
      </w:r>
      <w:r w:rsidR="00C6369D">
        <w:t xml:space="preserve">the </w:t>
      </w:r>
      <w:r>
        <w:t>months of October and November 2012, and i</w:t>
      </w:r>
      <w:r w:rsidR="009F41E3">
        <w:t>nclude them in either the after-period or the before-</w:t>
      </w:r>
      <w:r>
        <w:t>period, though neither belongs completely in the one or the other.</w:t>
      </w:r>
    </w:p>
    <w:p w14:paraId="615C32DC" w14:textId="77777777" w:rsidR="00D2054E" w:rsidRDefault="00D2054E" w:rsidP="00D2054E">
      <w:pPr>
        <w:pStyle w:val="BodyText"/>
        <w:numPr>
          <w:ilvl w:val="3"/>
          <w:numId w:val="2"/>
        </w:numPr>
        <w:tabs>
          <w:tab w:val="clear" w:pos="1260"/>
          <w:tab w:val="num" w:pos="0"/>
          <w:tab w:val="num" w:pos="720"/>
        </w:tabs>
        <w:spacing w:before="120" w:line="360" w:lineRule="auto"/>
        <w:ind w:left="0" w:firstLine="720"/>
      </w:pPr>
      <w:r>
        <w:t xml:space="preserve">The results </w:t>
      </w:r>
      <w:r w:rsidR="008D45FE">
        <w:t xml:space="preserve">show </w:t>
      </w:r>
      <w:r w:rsidR="00AF0A18">
        <w:t>that the</w:t>
      </w:r>
      <w:r w:rsidR="00FD748A">
        <w:t xml:space="preserve"> 2012</w:t>
      </w:r>
      <w:r w:rsidR="00AF0A18">
        <w:t xml:space="preserve"> packaging changes are </w:t>
      </w:r>
      <w:r>
        <w:t xml:space="preserve">associated with a statistically significant decline in smoking prevalence in all constructions of the before and after periods.  </w:t>
      </w:r>
      <w:r w:rsidR="00792546">
        <w:t xml:space="preserve">All </w:t>
      </w:r>
      <w:r>
        <w:t xml:space="preserve">of the estimated coefficients are </w:t>
      </w:r>
      <w:r w:rsidRPr="00973478">
        <w:rPr>
          <w:rStyle w:val="Emphasis"/>
        </w:rPr>
        <w:t>negative</w:t>
      </w:r>
      <w:r>
        <w:t xml:space="preserve"> and </w:t>
      </w:r>
      <w:r w:rsidRPr="00973478">
        <w:rPr>
          <w:rStyle w:val="Emphasis"/>
        </w:rPr>
        <w:t>statistically different from zero</w:t>
      </w:r>
      <w:r>
        <w:t xml:space="preserve"> at the 2.9 percent significance level or lower. </w:t>
      </w:r>
      <w:r w:rsidR="008D45FE">
        <w:t xml:space="preserve"> The estimated </w:t>
      </w:r>
      <w:r w:rsidR="00361A26">
        <w:t xml:space="preserve">coefficient </w:t>
      </w:r>
      <w:r w:rsidR="008D45FE">
        <w:t>in the preferred model, shown in Column (1), is -0.0237, and it is statistically significant at the 1.7 percent significance level.</w:t>
      </w:r>
      <w:r w:rsidR="007C6F2D">
        <w:t xml:space="preserve">  </w:t>
      </w:r>
      <w:r w:rsidR="00792546">
        <w:t>T</w:t>
      </w:r>
      <w:r w:rsidR="007C6F2D">
        <w:t>hese results support the conclusion that</w:t>
      </w:r>
      <w:r w:rsidR="00AF0A18">
        <w:t xml:space="preserve"> the </w:t>
      </w:r>
      <w:r w:rsidR="00FD748A">
        <w:t xml:space="preserve">2012 </w:t>
      </w:r>
      <w:r w:rsidR="00AF0A18">
        <w:t>packaging changes have</w:t>
      </w:r>
      <w:r w:rsidR="007C6F2D">
        <w:t xml:space="preserve"> reduced smoking prevalence beyond trend, over the period December 2012 to September 2015, relative to what </w:t>
      </w:r>
      <w:r w:rsidR="002A5D03">
        <w:t>prevalence</w:t>
      </w:r>
      <w:r w:rsidR="007C6F2D">
        <w:t xml:space="preserve"> would have been otherwise.</w:t>
      </w:r>
    </w:p>
    <w:p w14:paraId="58511761" w14:textId="2DCFB2B6" w:rsidR="00B157B2" w:rsidRDefault="00B157B2" w:rsidP="006A602D">
      <w:pPr>
        <w:pStyle w:val="Caption"/>
        <w:keepNext/>
        <w:spacing w:before="1920"/>
        <w:ind w:left="720" w:right="902" w:firstLine="0"/>
        <w:jc w:val="center"/>
      </w:pPr>
      <w:bookmarkStart w:id="36" w:name="_Ref444100481"/>
      <w:r>
        <w:lastRenderedPageBreak/>
        <w:t xml:space="preserve">Table </w:t>
      </w:r>
      <w:r w:rsidR="004D5480">
        <w:fldChar w:fldCharType="begin"/>
      </w:r>
      <w:r w:rsidR="004D5480">
        <w:instrText xml:space="preserve"> SEQ Table \* ARABIC </w:instrText>
      </w:r>
      <w:r w:rsidR="004D5480">
        <w:fldChar w:fldCharType="separate"/>
      </w:r>
      <w:r w:rsidR="00C62F5C">
        <w:rPr>
          <w:noProof/>
        </w:rPr>
        <w:t>3</w:t>
      </w:r>
      <w:r w:rsidR="004D5480">
        <w:rPr>
          <w:noProof/>
        </w:rPr>
        <w:fldChar w:fldCharType="end"/>
      </w:r>
      <w:bookmarkEnd w:id="36"/>
      <w:r w:rsidR="006D4B65">
        <w:t>:</w:t>
      </w:r>
      <w:r w:rsidRPr="00B2640F">
        <w:t xml:space="preserve"> Summary Estimation Results Using Individual-Level RMSS Data, January 2001 to September 2015</w:t>
      </w:r>
    </w:p>
    <w:tbl>
      <w:tblPr>
        <w:tblStyle w:val="TableGrid"/>
        <w:tblW w:w="8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Table 3 provides a summary of the estimation results from a regression analysis of smoking prevalence in Australia using individual-level Roy Morgan Single Source Survey data for different constructions of the before and after periods.  The table contains five columns.  The first column lists the name of the explanatory variable described in each row.  The second column, labeled (1), reports estimation results using a policy start date of December 2012 and excluding the transition months of October and November 2012.  The third to fifth columns, labeled (2) to (4), report estimation results using start dates of December, November and October 2012, respectively, without excluding October and November 2012."/>
      </w:tblPr>
      <w:tblGrid>
        <w:gridCol w:w="1882"/>
        <w:gridCol w:w="2250"/>
        <w:gridCol w:w="1332"/>
        <w:gridCol w:w="1367"/>
        <w:gridCol w:w="1432"/>
      </w:tblGrid>
      <w:tr w:rsidR="009D742B" w:rsidRPr="00D2054E" w14:paraId="215AFE86" w14:textId="77777777" w:rsidTr="00636D03">
        <w:trPr>
          <w:trHeight w:val="348"/>
          <w:tblHeader/>
          <w:jc w:val="center"/>
        </w:trPr>
        <w:tc>
          <w:tcPr>
            <w:tcW w:w="1882" w:type="dxa"/>
            <w:tcBorders>
              <w:top w:val="single" w:sz="18" w:space="0" w:color="auto"/>
              <w:left w:val="single" w:sz="12" w:space="0" w:color="auto"/>
              <w:bottom w:val="nil"/>
            </w:tcBorders>
            <w:vAlign w:val="center"/>
          </w:tcPr>
          <w:p w14:paraId="1D74BC37" w14:textId="77777777" w:rsidR="009D742B" w:rsidRPr="00184D81" w:rsidRDefault="009D742B" w:rsidP="006A602D"/>
        </w:tc>
        <w:tc>
          <w:tcPr>
            <w:tcW w:w="6381" w:type="dxa"/>
            <w:gridSpan w:val="4"/>
            <w:tcBorders>
              <w:top w:val="single" w:sz="18" w:space="0" w:color="auto"/>
              <w:right w:val="single" w:sz="12" w:space="0" w:color="auto"/>
            </w:tcBorders>
            <w:vAlign w:val="center"/>
          </w:tcPr>
          <w:p w14:paraId="22654028"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Start Date</w:t>
            </w:r>
            <w:r w:rsidR="002A5D03">
              <w:rPr>
                <w:b/>
                <w:sz w:val="22"/>
                <w:szCs w:val="22"/>
              </w:rPr>
              <w:t xml:space="preserve"> for Packaging Changes</w:t>
            </w:r>
            <w:r w:rsidRPr="00D2054E">
              <w:rPr>
                <w:b/>
                <w:sz w:val="22"/>
                <w:szCs w:val="22"/>
              </w:rPr>
              <w:t>:</w:t>
            </w:r>
          </w:p>
        </w:tc>
      </w:tr>
      <w:tr w:rsidR="009D742B" w:rsidRPr="00D2054E" w14:paraId="6FE9A43C" w14:textId="77777777" w:rsidTr="00636D03">
        <w:trPr>
          <w:trHeight w:val="391"/>
          <w:jc w:val="center"/>
        </w:trPr>
        <w:tc>
          <w:tcPr>
            <w:tcW w:w="1882" w:type="dxa"/>
            <w:tcBorders>
              <w:top w:val="nil"/>
              <w:left w:val="single" w:sz="12" w:space="0" w:color="auto"/>
              <w:bottom w:val="nil"/>
            </w:tcBorders>
            <w:vAlign w:val="center"/>
          </w:tcPr>
          <w:p w14:paraId="3AE312CD" w14:textId="77777777" w:rsidR="009D742B" w:rsidRPr="00184D81" w:rsidRDefault="009D742B" w:rsidP="006A602D"/>
        </w:tc>
        <w:tc>
          <w:tcPr>
            <w:tcW w:w="2250" w:type="dxa"/>
            <w:vAlign w:val="center"/>
          </w:tcPr>
          <w:p w14:paraId="34551E30" w14:textId="77777777" w:rsidR="009D742B" w:rsidRPr="00D2054E" w:rsidRDefault="009D742B" w:rsidP="00205033">
            <w:pPr>
              <w:pStyle w:val="BodyText"/>
              <w:keepNext/>
              <w:numPr>
                <w:ilvl w:val="0"/>
                <w:numId w:val="0"/>
              </w:numPr>
              <w:tabs>
                <w:tab w:val="num" w:pos="1080"/>
              </w:tabs>
              <w:spacing w:line="240" w:lineRule="auto"/>
              <w:jc w:val="center"/>
              <w:rPr>
                <w:b/>
                <w:sz w:val="22"/>
                <w:szCs w:val="22"/>
              </w:rPr>
            </w:pPr>
            <w:r w:rsidRPr="00D2054E">
              <w:rPr>
                <w:b/>
                <w:sz w:val="22"/>
                <w:szCs w:val="22"/>
              </w:rPr>
              <w:t>Dec 2012, Excl</w:t>
            </w:r>
            <w:r w:rsidR="00205033">
              <w:rPr>
                <w:b/>
                <w:sz w:val="22"/>
                <w:szCs w:val="22"/>
              </w:rPr>
              <w:t>uding</w:t>
            </w:r>
            <w:r w:rsidRPr="00D2054E">
              <w:rPr>
                <w:b/>
                <w:sz w:val="22"/>
                <w:szCs w:val="22"/>
              </w:rPr>
              <w:t xml:space="preserve"> </w:t>
            </w:r>
            <w:r w:rsidR="00D2054E" w:rsidRPr="00D2054E">
              <w:rPr>
                <w:b/>
                <w:sz w:val="22"/>
                <w:szCs w:val="22"/>
              </w:rPr>
              <w:br/>
            </w:r>
            <w:r w:rsidRPr="00D2054E">
              <w:rPr>
                <w:b/>
                <w:sz w:val="22"/>
                <w:szCs w:val="22"/>
              </w:rPr>
              <w:t>Oct and Nov 2012</w:t>
            </w:r>
          </w:p>
        </w:tc>
        <w:tc>
          <w:tcPr>
            <w:tcW w:w="1332" w:type="dxa"/>
            <w:vAlign w:val="center"/>
          </w:tcPr>
          <w:p w14:paraId="4073D780"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Dec 2012</w:t>
            </w:r>
          </w:p>
        </w:tc>
        <w:tc>
          <w:tcPr>
            <w:tcW w:w="1367" w:type="dxa"/>
            <w:vAlign w:val="center"/>
          </w:tcPr>
          <w:p w14:paraId="371F2EF4"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Nov 2012</w:t>
            </w:r>
          </w:p>
        </w:tc>
        <w:tc>
          <w:tcPr>
            <w:tcW w:w="1432" w:type="dxa"/>
            <w:tcBorders>
              <w:right w:val="single" w:sz="12" w:space="0" w:color="auto"/>
            </w:tcBorders>
            <w:vAlign w:val="center"/>
          </w:tcPr>
          <w:p w14:paraId="42591E3B"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Oct 2012</w:t>
            </w:r>
          </w:p>
        </w:tc>
      </w:tr>
      <w:tr w:rsidR="009D742B" w:rsidRPr="00D2054E" w14:paraId="7ADCB072" w14:textId="77777777" w:rsidTr="00636D03">
        <w:trPr>
          <w:trHeight w:val="391"/>
          <w:jc w:val="center"/>
        </w:trPr>
        <w:tc>
          <w:tcPr>
            <w:tcW w:w="1882" w:type="dxa"/>
            <w:tcBorders>
              <w:top w:val="nil"/>
              <w:left w:val="single" w:sz="12" w:space="0" w:color="auto"/>
            </w:tcBorders>
            <w:vAlign w:val="center"/>
          </w:tcPr>
          <w:p w14:paraId="714E73BA" w14:textId="77777777" w:rsidR="009D742B" w:rsidRPr="00184D81" w:rsidRDefault="009D742B" w:rsidP="006A602D"/>
        </w:tc>
        <w:tc>
          <w:tcPr>
            <w:tcW w:w="2250" w:type="dxa"/>
            <w:tcBorders>
              <w:bottom w:val="single" w:sz="2" w:space="0" w:color="auto"/>
            </w:tcBorders>
            <w:vAlign w:val="center"/>
          </w:tcPr>
          <w:p w14:paraId="69BA8FFE"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(1)</w:t>
            </w:r>
          </w:p>
        </w:tc>
        <w:tc>
          <w:tcPr>
            <w:tcW w:w="1332" w:type="dxa"/>
            <w:tcBorders>
              <w:bottom w:val="single" w:sz="2" w:space="0" w:color="auto"/>
            </w:tcBorders>
            <w:vAlign w:val="center"/>
          </w:tcPr>
          <w:p w14:paraId="3532F2FE"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(2)</w:t>
            </w:r>
          </w:p>
        </w:tc>
        <w:tc>
          <w:tcPr>
            <w:tcW w:w="1367" w:type="dxa"/>
            <w:tcBorders>
              <w:bottom w:val="single" w:sz="2" w:space="0" w:color="auto"/>
            </w:tcBorders>
            <w:vAlign w:val="center"/>
          </w:tcPr>
          <w:p w14:paraId="7EA0CD71"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(3)</w:t>
            </w:r>
          </w:p>
        </w:tc>
        <w:tc>
          <w:tcPr>
            <w:tcW w:w="1432" w:type="dxa"/>
            <w:tcBorders>
              <w:bottom w:val="single" w:sz="2" w:space="0" w:color="auto"/>
              <w:right w:val="single" w:sz="12" w:space="0" w:color="auto"/>
            </w:tcBorders>
            <w:vAlign w:val="center"/>
          </w:tcPr>
          <w:p w14:paraId="79F659B7"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(4)</w:t>
            </w:r>
          </w:p>
        </w:tc>
      </w:tr>
      <w:tr w:rsidR="009D742B" w:rsidRPr="00D2054E" w14:paraId="5A5A004A" w14:textId="77777777" w:rsidTr="00636D03">
        <w:trPr>
          <w:trHeight w:val="339"/>
          <w:jc w:val="center"/>
        </w:trPr>
        <w:tc>
          <w:tcPr>
            <w:tcW w:w="1882" w:type="dxa"/>
            <w:vMerge w:val="restart"/>
            <w:tcBorders>
              <w:left w:val="single" w:sz="12" w:space="0" w:color="auto"/>
            </w:tcBorders>
            <w:vAlign w:val="center"/>
          </w:tcPr>
          <w:p w14:paraId="7F6A0610" w14:textId="77777777" w:rsidR="009D742B" w:rsidRPr="00D2054E" w:rsidRDefault="008A1834" w:rsidP="009D742B">
            <w:pPr>
              <w:pStyle w:val="BodyText"/>
              <w:keepNext/>
              <w:numPr>
                <w:ilvl w:val="0"/>
                <w:numId w:val="0"/>
              </w:numPr>
              <w:tabs>
                <w:tab w:val="num" w:pos="1080"/>
              </w:tabs>
              <w:spacing w:line="240" w:lineRule="auto"/>
              <w:rPr>
                <w:sz w:val="22"/>
                <w:szCs w:val="22"/>
              </w:rPr>
            </w:pPr>
            <w:r>
              <w:rPr>
                <w:sz w:val="22"/>
                <w:szCs w:val="22"/>
              </w:rPr>
              <w:t xml:space="preserve">2012 </w:t>
            </w:r>
            <w:r w:rsidR="00781F16">
              <w:rPr>
                <w:sz w:val="22"/>
                <w:szCs w:val="22"/>
              </w:rPr>
              <w:t>Packaging</w:t>
            </w:r>
            <w:r w:rsidR="0083194F">
              <w:rPr>
                <w:sz w:val="22"/>
                <w:szCs w:val="22"/>
              </w:rPr>
              <w:t xml:space="preserve"> Changes</w:t>
            </w:r>
          </w:p>
        </w:tc>
        <w:tc>
          <w:tcPr>
            <w:tcW w:w="2250" w:type="dxa"/>
            <w:tcBorders>
              <w:bottom w:val="nil"/>
              <w:right w:val="single" w:sz="2" w:space="0" w:color="auto"/>
            </w:tcBorders>
            <w:vAlign w:val="bottom"/>
          </w:tcPr>
          <w:p w14:paraId="21778F5F"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-0.0237**</w:t>
            </w:r>
          </w:p>
        </w:tc>
        <w:tc>
          <w:tcPr>
            <w:tcW w:w="1332" w:type="dxa"/>
            <w:tcBorders>
              <w:left w:val="single" w:sz="2" w:space="0" w:color="auto"/>
              <w:bottom w:val="nil"/>
              <w:right w:val="single" w:sz="2" w:space="0" w:color="auto"/>
            </w:tcBorders>
            <w:vAlign w:val="bottom"/>
          </w:tcPr>
          <w:p w14:paraId="02C3F739"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-0.0215**</w:t>
            </w:r>
          </w:p>
        </w:tc>
        <w:tc>
          <w:tcPr>
            <w:tcW w:w="1367" w:type="dxa"/>
            <w:tcBorders>
              <w:left w:val="single" w:sz="2" w:space="0" w:color="auto"/>
              <w:bottom w:val="nil"/>
              <w:right w:val="single" w:sz="2" w:space="0" w:color="auto"/>
            </w:tcBorders>
            <w:vAlign w:val="bottom"/>
          </w:tcPr>
          <w:p w14:paraId="32EFF2AA"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-0.0232**</w:t>
            </w:r>
          </w:p>
        </w:tc>
        <w:tc>
          <w:tcPr>
            <w:tcW w:w="1432" w:type="dxa"/>
            <w:tcBorders>
              <w:left w:val="single" w:sz="2" w:space="0" w:color="auto"/>
              <w:bottom w:val="nil"/>
              <w:right w:val="single" w:sz="12" w:space="0" w:color="auto"/>
            </w:tcBorders>
            <w:vAlign w:val="bottom"/>
          </w:tcPr>
          <w:p w14:paraId="3A3D3D00"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-0.0239**</w:t>
            </w:r>
          </w:p>
        </w:tc>
      </w:tr>
      <w:tr w:rsidR="009D742B" w:rsidRPr="00D2054E" w14:paraId="15DD79FE" w14:textId="77777777" w:rsidTr="00636D03">
        <w:trPr>
          <w:trHeight w:val="339"/>
          <w:jc w:val="center"/>
        </w:trPr>
        <w:tc>
          <w:tcPr>
            <w:tcW w:w="1882" w:type="dxa"/>
            <w:vMerge/>
            <w:tcBorders>
              <w:left w:val="single" w:sz="12" w:space="0" w:color="auto"/>
            </w:tcBorders>
            <w:vAlign w:val="center"/>
          </w:tcPr>
          <w:p w14:paraId="49CA082D" w14:textId="77777777" w:rsidR="009D742B" w:rsidRPr="00D2054E" w:rsidRDefault="009D742B" w:rsidP="009D742B">
            <w:pPr>
              <w:pStyle w:val="BodyText"/>
              <w:keepNext/>
              <w:numPr>
                <w:ilvl w:val="0"/>
                <w:numId w:val="0"/>
              </w:numPr>
              <w:tabs>
                <w:tab w:val="num" w:pos="1080"/>
              </w:tabs>
              <w:spacing w:line="240" w:lineRule="auto"/>
              <w:rPr>
                <w:sz w:val="22"/>
                <w:szCs w:val="22"/>
              </w:rPr>
            </w:pPr>
          </w:p>
        </w:tc>
        <w:tc>
          <w:tcPr>
            <w:tcW w:w="2250" w:type="dxa"/>
            <w:tcBorders>
              <w:top w:val="nil"/>
              <w:right w:val="single" w:sz="2" w:space="0" w:color="auto"/>
            </w:tcBorders>
          </w:tcPr>
          <w:p w14:paraId="66A87266"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(0.017)</w:t>
            </w:r>
          </w:p>
        </w:tc>
        <w:tc>
          <w:tcPr>
            <w:tcW w:w="1332" w:type="dxa"/>
            <w:tcBorders>
              <w:top w:val="nil"/>
              <w:left w:val="single" w:sz="2" w:space="0" w:color="auto"/>
              <w:right w:val="single" w:sz="2" w:space="0" w:color="auto"/>
            </w:tcBorders>
          </w:tcPr>
          <w:p w14:paraId="67399AE7"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(0.029)</w:t>
            </w:r>
          </w:p>
        </w:tc>
        <w:tc>
          <w:tcPr>
            <w:tcW w:w="1367" w:type="dxa"/>
            <w:tcBorders>
              <w:top w:val="nil"/>
              <w:left w:val="single" w:sz="2" w:space="0" w:color="auto"/>
              <w:right w:val="single" w:sz="2" w:space="0" w:color="auto"/>
            </w:tcBorders>
          </w:tcPr>
          <w:p w14:paraId="27F886AE"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(0.016)</w:t>
            </w:r>
          </w:p>
        </w:tc>
        <w:tc>
          <w:tcPr>
            <w:tcW w:w="1432" w:type="dxa"/>
            <w:tcBorders>
              <w:top w:val="nil"/>
              <w:left w:val="single" w:sz="2" w:space="0" w:color="auto"/>
              <w:right w:val="single" w:sz="12" w:space="0" w:color="auto"/>
            </w:tcBorders>
          </w:tcPr>
          <w:p w14:paraId="0453973C"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(0.011)</w:t>
            </w:r>
          </w:p>
        </w:tc>
      </w:tr>
      <w:tr w:rsidR="00D2054E" w:rsidRPr="00D2054E" w14:paraId="1A982F7D" w14:textId="77777777" w:rsidTr="00636D03">
        <w:trPr>
          <w:trHeight w:val="339"/>
          <w:jc w:val="center"/>
        </w:trPr>
        <w:tc>
          <w:tcPr>
            <w:tcW w:w="1882" w:type="dxa"/>
            <w:tcBorders>
              <w:left w:val="single" w:sz="12" w:space="0" w:color="auto"/>
            </w:tcBorders>
            <w:vAlign w:val="center"/>
          </w:tcPr>
          <w:p w14:paraId="6C9DCAA8"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2010</w:t>
            </w:r>
          </w:p>
        </w:tc>
        <w:tc>
          <w:tcPr>
            <w:tcW w:w="2250" w:type="dxa"/>
            <w:vAlign w:val="center"/>
          </w:tcPr>
          <w:p w14:paraId="7C747082" w14:textId="77777777" w:rsidR="00D2054E" w:rsidRPr="00D2054E" w:rsidRDefault="00D2054E"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A0D3792"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081997C3"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8DFBE6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70042433" w14:textId="77777777" w:rsidTr="00636D03">
        <w:trPr>
          <w:trHeight w:val="339"/>
          <w:jc w:val="center"/>
        </w:trPr>
        <w:tc>
          <w:tcPr>
            <w:tcW w:w="1882" w:type="dxa"/>
            <w:tcBorders>
              <w:left w:val="single" w:sz="12" w:space="0" w:color="auto"/>
            </w:tcBorders>
            <w:vAlign w:val="center"/>
          </w:tcPr>
          <w:p w14:paraId="5B629F7B"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2013</w:t>
            </w:r>
          </w:p>
        </w:tc>
        <w:tc>
          <w:tcPr>
            <w:tcW w:w="2250" w:type="dxa"/>
            <w:vAlign w:val="center"/>
          </w:tcPr>
          <w:p w14:paraId="718D200D"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4E1381EA"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D6BDD20"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0E0EFCC7"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67F27A7A" w14:textId="77777777" w:rsidTr="00636D03">
        <w:trPr>
          <w:trHeight w:val="339"/>
          <w:jc w:val="center"/>
        </w:trPr>
        <w:tc>
          <w:tcPr>
            <w:tcW w:w="1882" w:type="dxa"/>
            <w:tcBorders>
              <w:left w:val="single" w:sz="12" w:space="0" w:color="auto"/>
            </w:tcBorders>
            <w:vAlign w:val="center"/>
          </w:tcPr>
          <w:p w14:paraId="69EDA46C"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2014</w:t>
            </w:r>
          </w:p>
        </w:tc>
        <w:tc>
          <w:tcPr>
            <w:tcW w:w="2250" w:type="dxa"/>
            <w:vAlign w:val="center"/>
          </w:tcPr>
          <w:p w14:paraId="5CC9B2A7"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40D78E54"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87C084E"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39575F5E"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3D79E266" w14:textId="77777777" w:rsidTr="00636D03">
        <w:trPr>
          <w:trHeight w:val="339"/>
          <w:jc w:val="center"/>
        </w:trPr>
        <w:tc>
          <w:tcPr>
            <w:tcW w:w="1882" w:type="dxa"/>
            <w:tcBorders>
              <w:left w:val="single" w:sz="12" w:space="0" w:color="auto"/>
            </w:tcBorders>
            <w:vAlign w:val="center"/>
          </w:tcPr>
          <w:p w14:paraId="5C5198A6"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GHW 2006</w:t>
            </w:r>
          </w:p>
        </w:tc>
        <w:tc>
          <w:tcPr>
            <w:tcW w:w="2250" w:type="dxa"/>
            <w:vAlign w:val="center"/>
          </w:tcPr>
          <w:p w14:paraId="4159FB9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41576D2"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367C1B2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22A57DF"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6C2B5D91" w14:textId="77777777" w:rsidTr="00636D03">
        <w:trPr>
          <w:trHeight w:val="339"/>
          <w:jc w:val="center"/>
        </w:trPr>
        <w:tc>
          <w:tcPr>
            <w:tcW w:w="1882" w:type="dxa"/>
            <w:tcBorders>
              <w:left w:val="single" w:sz="12" w:space="0" w:color="auto"/>
            </w:tcBorders>
            <w:vAlign w:val="center"/>
          </w:tcPr>
          <w:p w14:paraId="07EF3B79" w14:textId="1407BC9F" w:rsidR="002B6B73" w:rsidRPr="00D2054E" w:rsidRDefault="002B6B73" w:rsidP="00614CD4">
            <w:pPr>
              <w:pStyle w:val="BodyText"/>
              <w:keepNext/>
              <w:numPr>
                <w:ilvl w:val="0"/>
                <w:numId w:val="0"/>
              </w:numPr>
              <w:tabs>
                <w:tab w:val="num" w:pos="1080"/>
              </w:tabs>
              <w:spacing w:line="240" w:lineRule="auto"/>
              <w:rPr>
                <w:sz w:val="22"/>
                <w:szCs w:val="22"/>
              </w:rPr>
            </w:pPr>
            <w:r w:rsidRPr="00D2054E">
              <w:rPr>
                <w:sz w:val="22"/>
                <w:szCs w:val="22"/>
              </w:rPr>
              <w:t>Time Trend</w:t>
            </w:r>
          </w:p>
        </w:tc>
        <w:tc>
          <w:tcPr>
            <w:tcW w:w="2250" w:type="dxa"/>
            <w:vAlign w:val="center"/>
          </w:tcPr>
          <w:p w14:paraId="7FC9515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94191C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1381606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655AEC62"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0D705AB" w14:textId="77777777" w:rsidTr="00636D03">
        <w:trPr>
          <w:trHeight w:val="339"/>
          <w:jc w:val="center"/>
        </w:trPr>
        <w:tc>
          <w:tcPr>
            <w:tcW w:w="1882" w:type="dxa"/>
            <w:tcBorders>
              <w:left w:val="single" w:sz="12" w:space="0" w:color="auto"/>
            </w:tcBorders>
            <w:vAlign w:val="center"/>
          </w:tcPr>
          <w:p w14:paraId="56B16814"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Female</w:t>
            </w:r>
          </w:p>
        </w:tc>
        <w:tc>
          <w:tcPr>
            <w:tcW w:w="2250" w:type="dxa"/>
            <w:vAlign w:val="center"/>
          </w:tcPr>
          <w:p w14:paraId="6EF2B06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F65C01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D875BEB"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3CDE224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C89A1DE" w14:textId="77777777" w:rsidTr="00636D03">
        <w:trPr>
          <w:trHeight w:val="339"/>
          <w:jc w:val="center"/>
        </w:trPr>
        <w:tc>
          <w:tcPr>
            <w:tcW w:w="1882" w:type="dxa"/>
            <w:tcBorders>
              <w:left w:val="single" w:sz="12" w:space="0" w:color="auto"/>
            </w:tcBorders>
            <w:vAlign w:val="center"/>
          </w:tcPr>
          <w:p w14:paraId="44014A36"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Married</w:t>
            </w:r>
          </w:p>
        </w:tc>
        <w:tc>
          <w:tcPr>
            <w:tcW w:w="2250" w:type="dxa"/>
            <w:vAlign w:val="center"/>
          </w:tcPr>
          <w:p w14:paraId="0088D25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BF9E31E"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C8AC06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2031D5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9606D81" w14:textId="77777777" w:rsidTr="00636D03">
        <w:trPr>
          <w:trHeight w:val="339"/>
          <w:jc w:val="center"/>
        </w:trPr>
        <w:tc>
          <w:tcPr>
            <w:tcW w:w="1882" w:type="dxa"/>
            <w:tcBorders>
              <w:left w:val="single" w:sz="12" w:space="0" w:color="auto"/>
            </w:tcBorders>
            <w:vAlign w:val="center"/>
          </w:tcPr>
          <w:p w14:paraId="2713A6E1"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Foreign</w:t>
            </w:r>
          </w:p>
        </w:tc>
        <w:tc>
          <w:tcPr>
            <w:tcW w:w="2250" w:type="dxa"/>
            <w:vAlign w:val="center"/>
          </w:tcPr>
          <w:p w14:paraId="37F5C86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B16CA6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645F8BD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40856AD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CE17588" w14:textId="77777777" w:rsidTr="00636D03">
        <w:trPr>
          <w:trHeight w:val="339"/>
          <w:jc w:val="center"/>
        </w:trPr>
        <w:tc>
          <w:tcPr>
            <w:tcW w:w="1882" w:type="dxa"/>
            <w:tcBorders>
              <w:left w:val="single" w:sz="12" w:space="0" w:color="auto"/>
            </w:tcBorders>
            <w:vAlign w:val="center"/>
          </w:tcPr>
          <w:p w14:paraId="6355DEEE"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Age</w:t>
            </w:r>
            <w:r w:rsidR="002A5D03">
              <w:rPr>
                <w:sz w:val="22"/>
                <w:szCs w:val="22"/>
              </w:rPr>
              <w:t xml:space="preserve"> Groups</w:t>
            </w:r>
          </w:p>
        </w:tc>
        <w:tc>
          <w:tcPr>
            <w:tcW w:w="2250" w:type="dxa"/>
            <w:vAlign w:val="center"/>
          </w:tcPr>
          <w:p w14:paraId="70562DF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52E774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2A3E10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73FD70E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4470ED80" w14:textId="77777777" w:rsidTr="00636D03">
        <w:trPr>
          <w:trHeight w:val="339"/>
          <w:jc w:val="center"/>
        </w:trPr>
        <w:tc>
          <w:tcPr>
            <w:tcW w:w="1882" w:type="dxa"/>
            <w:tcBorders>
              <w:left w:val="single" w:sz="12" w:space="0" w:color="auto"/>
            </w:tcBorders>
            <w:vAlign w:val="center"/>
          </w:tcPr>
          <w:p w14:paraId="5066C8FB"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Education</w:t>
            </w:r>
            <w:r w:rsidR="002A5D03">
              <w:rPr>
                <w:sz w:val="22"/>
                <w:szCs w:val="22"/>
              </w:rPr>
              <w:t xml:space="preserve"> Groups</w:t>
            </w:r>
          </w:p>
        </w:tc>
        <w:tc>
          <w:tcPr>
            <w:tcW w:w="2250" w:type="dxa"/>
            <w:vAlign w:val="center"/>
          </w:tcPr>
          <w:p w14:paraId="12393894"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83C2EC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77DA634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10205BD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7690E56A" w14:textId="77777777" w:rsidTr="00636D03">
        <w:trPr>
          <w:trHeight w:val="339"/>
          <w:jc w:val="center"/>
        </w:trPr>
        <w:tc>
          <w:tcPr>
            <w:tcW w:w="1882" w:type="dxa"/>
            <w:tcBorders>
              <w:left w:val="single" w:sz="12" w:space="0" w:color="auto"/>
            </w:tcBorders>
            <w:vAlign w:val="center"/>
          </w:tcPr>
          <w:p w14:paraId="3B541487"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Work Status</w:t>
            </w:r>
          </w:p>
        </w:tc>
        <w:tc>
          <w:tcPr>
            <w:tcW w:w="2250" w:type="dxa"/>
            <w:vAlign w:val="center"/>
          </w:tcPr>
          <w:p w14:paraId="23A44E65"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716039E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139947A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7A5DABB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1361CF7" w14:textId="77777777" w:rsidTr="00636D03">
        <w:trPr>
          <w:trHeight w:val="339"/>
          <w:jc w:val="center"/>
        </w:trPr>
        <w:tc>
          <w:tcPr>
            <w:tcW w:w="1882" w:type="dxa"/>
            <w:tcBorders>
              <w:left w:val="single" w:sz="12" w:space="0" w:color="auto"/>
            </w:tcBorders>
            <w:vAlign w:val="center"/>
          </w:tcPr>
          <w:p w14:paraId="2FBE0939"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Income</w:t>
            </w:r>
            <w:r w:rsidR="002A5D03">
              <w:rPr>
                <w:sz w:val="22"/>
                <w:szCs w:val="22"/>
              </w:rPr>
              <w:t xml:space="preserve"> Groups</w:t>
            </w:r>
          </w:p>
        </w:tc>
        <w:tc>
          <w:tcPr>
            <w:tcW w:w="2250" w:type="dxa"/>
            <w:vAlign w:val="center"/>
          </w:tcPr>
          <w:p w14:paraId="287490F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AEA5BF4"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BD65BA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98728D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6C2AF65" w14:textId="77777777" w:rsidTr="00636D03">
        <w:trPr>
          <w:trHeight w:val="339"/>
          <w:jc w:val="center"/>
        </w:trPr>
        <w:tc>
          <w:tcPr>
            <w:tcW w:w="1882" w:type="dxa"/>
            <w:tcBorders>
              <w:left w:val="single" w:sz="12" w:space="0" w:color="auto"/>
            </w:tcBorders>
            <w:vAlign w:val="center"/>
          </w:tcPr>
          <w:p w14:paraId="0402024E" w14:textId="77777777" w:rsidR="002B6B73" w:rsidRPr="00D2054E" w:rsidRDefault="00D51D71" w:rsidP="009D742B">
            <w:pPr>
              <w:pStyle w:val="BodyText"/>
              <w:keepNext/>
              <w:numPr>
                <w:ilvl w:val="0"/>
                <w:numId w:val="0"/>
              </w:numPr>
              <w:tabs>
                <w:tab w:val="num" w:pos="1080"/>
              </w:tabs>
              <w:spacing w:line="240" w:lineRule="auto"/>
              <w:rPr>
                <w:sz w:val="22"/>
                <w:szCs w:val="22"/>
              </w:rPr>
            </w:pPr>
            <w:r>
              <w:rPr>
                <w:sz w:val="22"/>
                <w:szCs w:val="22"/>
              </w:rPr>
              <w:t>State/</w:t>
            </w:r>
            <w:r w:rsidR="002B6B73" w:rsidRPr="00D2054E">
              <w:rPr>
                <w:sz w:val="22"/>
                <w:szCs w:val="22"/>
              </w:rPr>
              <w:t>Territory</w:t>
            </w:r>
            <w:r w:rsidR="002A5D03">
              <w:rPr>
                <w:sz w:val="22"/>
                <w:szCs w:val="22"/>
              </w:rPr>
              <w:t xml:space="preserve"> Indicators</w:t>
            </w:r>
          </w:p>
        </w:tc>
        <w:tc>
          <w:tcPr>
            <w:tcW w:w="2250" w:type="dxa"/>
            <w:vAlign w:val="center"/>
          </w:tcPr>
          <w:p w14:paraId="5C1F244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1BEBB1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7D1D17C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6026421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39F3BDC" w14:textId="77777777" w:rsidTr="00636D03">
        <w:trPr>
          <w:trHeight w:val="339"/>
          <w:jc w:val="center"/>
        </w:trPr>
        <w:tc>
          <w:tcPr>
            <w:tcW w:w="1882" w:type="dxa"/>
            <w:tcBorders>
              <w:left w:val="single" w:sz="12" w:space="0" w:color="auto"/>
              <w:bottom w:val="single" w:sz="2" w:space="0" w:color="auto"/>
            </w:tcBorders>
            <w:vAlign w:val="center"/>
          </w:tcPr>
          <w:p w14:paraId="65CF8843"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Constant</w:t>
            </w:r>
          </w:p>
        </w:tc>
        <w:tc>
          <w:tcPr>
            <w:tcW w:w="2250" w:type="dxa"/>
            <w:tcBorders>
              <w:bottom w:val="single" w:sz="2" w:space="0" w:color="auto"/>
            </w:tcBorders>
            <w:vAlign w:val="center"/>
          </w:tcPr>
          <w:p w14:paraId="65AB529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tcBorders>
              <w:bottom w:val="single" w:sz="2" w:space="0" w:color="auto"/>
            </w:tcBorders>
            <w:vAlign w:val="center"/>
          </w:tcPr>
          <w:p w14:paraId="788D8742"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tcBorders>
              <w:bottom w:val="single" w:sz="2" w:space="0" w:color="auto"/>
            </w:tcBorders>
            <w:vAlign w:val="center"/>
          </w:tcPr>
          <w:p w14:paraId="688AE59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bottom w:val="single" w:sz="2" w:space="0" w:color="auto"/>
              <w:right w:val="single" w:sz="12" w:space="0" w:color="auto"/>
            </w:tcBorders>
            <w:vAlign w:val="center"/>
          </w:tcPr>
          <w:p w14:paraId="33969A0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CD4C73B" w14:textId="77777777" w:rsidTr="00636D03">
        <w:trPr>
          <w:trHeight w:val="273"/>
          <w:jc w:val="center"/>
        </w:trPr>
        <w:tc>
          <w:tcPr>
            <w:tcW w:w="1882" w:type="dxa"/>
            <w:tcBorders>
              <w:left w:val="single" w:sz="12" w:space="0" w:color="auto"/>
              <w:bottom w:val="single" w:sz="12" w:space="0" w:color="auto"/>
            </w:tcBorders>
            <w:vAlign w:val="center"/>
          </w:tcPr>
          <w:p w14:paraId="7EC8276E"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Observations</w:t>
            </w:r>
          </w:p>
        </w:tc>
        <w:tc>
          <w:tcPr>
            <w:tcW w:w="2250" w:type="dxa"/>
            <w:tcBorders>
              <w:bottom w:val="single" w:sz="12" w:space="0" w:color="auto"/>
            </w:tcBorders>
            <w:vAlign w:val="center"/>
          </w:tcPr>
          <w:p w14:paraId="5F9DB63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786,518</w:t>
            </w:r>
          </w:p>
        </w:tc>
        <w:tc>
          <w:tcPr>
            <w:tcW w:w="1332" w:type="dxa"/>
            <w:tcBorders>
              <w:bottom w:val="single" w:sz="12" w:space="0" w:color="auto"/>
            </w:tcBorders>
            <w:vAlign w:val="center"/>
          </w:tcPr>
          <w:p w14:paraId="40648DE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c>
          <w:tcPr>
            <w:tcW w:w="1367" w:type="dxa"/>
            <w:tcBorders>
              <w:bottom w:val="single" w:sz="12" w:space="0" w:color="auto"/>
            </w:tcBorders>
            <w:vAlign w:val="center"/>
          </w:tcPr>
          <w:p w14:paraId="6CA5F2D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c>
          <w:tcPr>
            <w:tcW w:w="1432" w:type="dxa"/>
            <w:tcBorders>
              <w:bottom w:val="single" w:sz="12" w:space="0" w:color="auto"/>
              <w:right w:val="single" w:sz="12" w:space="0" w:color="auto"/>
            </w:tcBorders>
            <w:vAlign w:val="center"/>
          </w:tcPr>
          <w:p w14:paraId="3563482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r>
    </w:tbl>
    <w:p w14:paraId="49EBF6F4" w14:textId="77777777" w:rsidR="009D742B" w:rsidRPr="00F60DA5" w:rsidRDefault="009D742B" w:rsidP="00723088">
      <w:pPr>
        <w:pStyle w:val="BodyText"/>
        <w:keepNext/>
        <w:numPr>
          <w:ilvl w:val="0"/>
          <w:numId w:val="0"/>
        </w:numPr>
        <w:spacing w:before="120" w:after="0" w:line="240" w:lineRule="auto"/>
        <w:ind w:left="360"/>
        <w:rPr>
          <w:bCs/>
          <w:sz w:val="20"/>
        </w:rPr>
      </w:pPr>
      <w:r w:rsidRPr="00F60DA5">
        <w:rPr>
          <w:bCs/>
          <w:i/>
          <w:sz w:val="20"/>
        </w:rPr>
        <w:t>Notes</w:t>
      </w:r>
      <w:r w:rsidR="001E2717">
        <w:rPr>
          <w:bCs/>
          <w:sz w:val="20"/>
        </w:rPr>
        <w:t xml:space="preserve">: </w:t>
      </w:r>
      <w:r w:rsidRPr="00F60DA5">
        <w:rPr>
          <w:bCs/>
          <w:sz w:val="20"/>
        </w:rPr>
        <w:t xml:space="preserve">P-values are reported in parentheses. Asterisks ***, **, and * indicate statistical significance at </w:t>
      </w:r>
      <w:r w:rsidR="00D51DC8">
        <w:rPr>
          <w:bCs/>
          <w:sz w:val="20"/>
        </w:rPr>
        <w:t xml:space="preserve">the </w:t>
      </w:r>
      <w:r w:rsidRPr="00F60DA5">
        <w:rPr>
          <w:bCs/>
          <w:sz w:val="20"/>
        </w:rPr>
        <w:t>1, 5, and 10 percent level</w:t>
      </w:r>
      <w:r w:rsidR="00896330">
        <w:rPr>
          <w:bCs/>
          <w:sz w:val="20"/>
        </w:rPr>
        <w:t>,</w:t>
      </w:r>
      <w:r w:rsidRPr="00F60DA5">
        <w:rPr>
          <w:bCs/>
          <w:sz w:val="20"/>
        </w:rPr>
        <w:t xml:space="preserve"> respectively.</w:t>
      </w:r>
      <w:r w:rsidR="00AC49BD">
        <w:rPr>
          <w:bCs/>
          <w:sz w:val="20"/>
        </w:rPr>
        <w:t xml:space="preserve">  “YES” indicates that the variable</w:t>
      </w:r>
      <w:r w:rsidR="002A5D03">
        <w:rPr>
          <w:bCs/>
          <w:sz w:val="20"/>
        </w:rPr>
        <w:t xml:space="preserve"> or group of variables</w:t>
      </w:r>
      <w:r w:rsidR="00AC49BD">
        <w:rPr>
          <w:bCs/>
          <w:sz w:val="20"/>
        </w:rPr>
        <w:t xml:space="preserve"> is included in the regression model.</w:t>
      </w:r>
    </w:p>
    <w:p w14:paraId="7C6DC448" w14:textId="77777777" w:rsidR="009D742B" w:rsidRPr="00F60DA5" w:rsidRDefault="009D742B" w:rsidP="00723088">
      <w:pPr>
        <w:pStyle w:val="BodyText"/>
        <w:numPr>
          <w:ilvl w:val="0"/>
          <w:numId w:val="0"/>
        </w:numPr>
        <w:spacing w:before="120" w:after="360" w:line="240" w:lineRule="auto"/>
        <w:ind w:left="360"/>
        <w:rPr>
          <w:bCs/>
          <w:sz w:val="20"/>
        </w:rPr>
      </w:pPr>
      <w:r w:rsidRPr="00F60DA5">
        <w:rPr>
          <w:bCs/>
          <w:i/>
          <w:sz w:val="20"/>
        </w:rPr>
        <w:t>Source</w:t>
      </w:r>
      <w:r w:rsidRPr="00F60DA5">
        <w:rPr>
          <w:bCs/>
          <w:sz w:val="20"/>
        </w:rPr>
        <w:t xml:space="preserve">: RMSS Data (January 2001 - </w:t>
      </w:r>
      <w:r w:rsidR="00090E87">
        <w:rPr>
          <w:bCs/>
          <w:sz w:val="20"/>
        </w:rPr>
        <w:t>September</w:t>
      </w:r>
      <w:r w:rsidRPr="00F60DA5">
        <w:rPr>
          <w:bCs/>
          <w:sz w:val="20"/>
        </w:rPr>
        <w:t xml:space="preserve"> 2015).</w:t>
      </w:r>
    </w:p>
    <w:p w14:paraId="1A0FEF9A" w14:textId="183CF62D" w:rsidR="001775B6" w:rsidRDefault="00CB3EB0" w:rsidP="001E2717">
      <w:pPr>
        <w:pStyle w:val="BodyText"/>
        <w:numPr>
          <w:ilvl w:val="3"/>
          <w:numId w:val="2"/>
        </w:numPr>
        <w:tabs>
          <w:tab w:val="clear" w:pos="1260"/>
          <w:tab w:val="num" w:pos="0"/>
          <w:tab w:val="num" w:pos="720"/>
        </w:tabs>
        <w:spacing w:before="120" w:line="360" w:lineRule="auto"/>
        <w:ind w:left="0" w:firstLine="720"/>
      </w:pPr>
      <w:bookmarkStart w:id="37" w:name="_Toc363077226"/>
      <w:bookmarkStart w:id="38" w:name="_Toc363428852"/>
      <w:bookmarkStart w:id="39" w:name="_Toc363486213"/>
      <w:r>
        <w:t xml:space="preserve">To interpret the magnitude of the estimated </w:t>
      </w:r>
      <w:r w:rsidR="0083194F">
        <w:t xml:space="preserve">effect of the </w:t>
      </w:r>
      <w:r w:rsidR="00FD748A">
        <w:t>2012</w:t>
      </w:r>
      <w:r w:rsidR="00D2054E">
        <w:t xml:space="preserve"> </w:t>
      </w:r>
      <w:r w:rsidR="0083194F">
        <w:t>packaging changes</w:t>
      </w:r>
      <w:r w:rsidR="00AF0A18">
        <w:t xml:space="preserve">, </w:t>
      </w:r>
      <w:r w:rsidR="002A5D03">
        <w:t>I translated</w:t>
      </w:r>
      <w:r>
        <w:t xml:space="preserve"> the estimated coefficients</w:t>
      </w:r>
      <w:r w:rsidR="00AF0A18">
        <w:t xml:space="preserve"> shown in </w:t>
      </w:r>
      <w:r w:rsidR="00B157B2">
        <w:fldChar w:fldCharType="begin"/>
      </w:r>
      <w:r w:rsidR="00B157B2">
        <w:instrText xml:space="preserve"> REF _Ref444100481 \h </w:instrText>
      </w:r>
      <w:r w:rsidR="00B157B2">
        <w:fldChar w:fldCharType="separate"/>
      </w:r>
      <w:r w:rsidR="00C62F5C">
        <w:t xml:space="preserve">Table </w:t>
      </w:r>
      <w:r w:rsidR="00C62F5C">
        <w:rPr>
          <w:noProof/>
        </w:rPr>
        <w:t>3</w:t>
      </w:r>
      <w:r w:rsidR="00B157B2">
        <w:fldChar w:fldCharType="end"/>
      </w:r>
      <w:r w:rsidR="00E316C7">
        <w:t xml:space="preserve"> </w:t>
      </w:r>
      <w:r w:rsidR="000931B3">
        <w:t xml:space="preserve">to reflect the implied </w:t>
      </w:r>
      <w:r w:rsidR="00FD748A">
        <w:t xml:space="preserve">percentage point </w:t>
      </w:r>
      <w:r w:rsidR="00361A26">
        <w:t xml:space="preserve">reduction </w:t>
      </w:r>
      <w:r w:rsidR="00FD748A">
        <w:t>in smoking prevalence attributable to the packaging changes</w:t>
      </w:r>
      <w:r>
        <w:t>.</w:t>
      </w:r>
      <w:r w:rsidR="00CF0752">
        <w:rPr>
          <w:rStyle w:val="FootnoteReference"/>
        </w:rPr>
        <w:footnoteReference w:id="30"/>
      </w:r>
      <w:r>
        <w:t xml:space="preserve">  </w:t>
      </w:r>
      <w:r w:rsidR="002A5D03">
        <w:t>The</w:t>
      </w:r>
      <w:r w:rsidR="000931B3">
        <w:t xml:space="preserve">se calculations are </w:t>
      </w:r>
      <w:r w:rsidR="000931B3">
        <w:lastRenderedPageBreak/>
        <w:t xml:space="preserve">shown in </w:t>
      </w:r>
      <w:r w:rsidR="002A5D03">
        <w:t xml:space="preserve">Table 4.  </w:t>
      </w:r>
      <w:r w:rsidR="001775B6">
        <w:t xml:space="preserve">For this purpose, I compare </w:t>
      </w:r>
      <w:r w:rsidR="00C12950">
        <w:t xml:space="preserve">the </w:t>
      </w:r>
      <w:r w:rsidR="002A5D03">
        <w:t>model’s prediction of average</w:t>
      </w:r>
      <w:r w:rsidR="000F40C5">
        <w:t xml:space="preserve"> smoking</w:t>
      </w:r>
      <w:r w:rsidR="00800862">
        <w:t xml:space="preserve"> prevalence</w:t>
      </w:r>
      <w:r w:rsidR="000F40C5">
        <w:t xml:space="preserve"> d</w:t>
      </w:r>
      <w:r w:rsidR="001775B6">
        <w:t xml:space="preserve">uring the post-policy </w:t>
      </w:r>
      <w:r w:rsidR="000F40C5">
        <w:t>period (December 2012 to September 2015)</w:t>
      </w:r>
      <w:r w:rsidR="00D06ACD">
        <w:t xml:space="preserve"> </w:t>
      </w:r>
      <w:r w:rsidR="002A5D03">
        <w:t xml:space="preserve">in the actual world with the 2012 packaging changes </w:t>
      </w:r>
      <w:r w:rsidR="00C12950" w:rsidRPr="00973478">
        <w:rPr>
          <w:rStyle w:val="Emphasis"/>
        </w:rPr>
        <w:t>to</w:t>
      </w:r>
      <w:r w:rsidR="00C12950">
        <w:t xml:space="preserve"> </w:t>
      </w:r>
      <w:r w:rsidR="00C12950" w:rsidRPr="00C12950">
        <w:t>the</w:t>
      </w:r>
      <w:r w:rsidR="002A5D03">
        <w:t xml:space="preserve"> model’s prediction of average smoking prevalence during the post-policy period in a counterfactual world without packaging changes.</w:t>
      </w:r>
      <w:r w:rsidR="00C12950">
        <w:rPr>
          <w:rStyle w:val="FootnoteReference"/>
        </w:rPr>
        <w:footnoteReference w:id="31"/>
      </w:r>
      <w:r w:rsidR="001775B6">
        <w:t xml:space="preserve">   </w:t>
      </w:r>
      <w:r w:rsidR="00D06ACD">
        <w:t>In each instance, s</w:t>
      </w:r>
      <w:r w:rsidR="00BA36D4">
        <w:t>moking</w:t>
      </w:r>
      <w:r w:rsidR="00C572A4">
        <w:t xml:space="preserve"> prevalence </w:t>
      </w:r>
      <w:r w:rsidR="00BA36D4">
        <w:t xml:space="preserve">is calculated </w:t>
      </w:r>
      <w:r w:rsidR="00C572A4">
        <w:t xml:space="preserve">as the average </w:t>
      </w:r>
      <w:r w:rsidR="00D06ACD">
        <w:t>of the predicted smoking probabilities</w:t>
      </w:r>
      <w:r w:rsidR="00C572A4">
        <w:t xml:space="preserve"> </w:t>
      </w:r>
      <w:r w:rsidR="00D27D18">
        <w:t xml:space="preserve">across all individuals </w:t>
      </w:r>
      <w:r w:rsidR="00C572A4">
        <w:t xml:space="preserve">in </w:t>
      </w:r>
      <w:r w:rsidR="00BA36D4">
        <w:t xml:space="preserve">the </w:t>
      </w:r>
      <w:r w:rsidR="001775B6">
        <w:t xml:space="preserve">post-policy </w:t>
      </w:r>
      <w:r w:rsidR="00BA36D4">
        <w:t xml:space="preserve">period.  </w:t>
      </w:r>
    </w:p>
    <w:p w14:paraId="70679AB8" w14:textId="77777777" w:rsidR="001E2717" w:rsidRDefault="001C68EF" w:rsidP="004701E5">
      <w:pPr>
        <w:pStyle w:val="BodyText"/>
        <w:keepNext/>
        <w:numPr>
          <w:ilvl w:val="0"/>
          <w:numId w:val="0"/>
        </w:numPr>
        <w:spacing w:before="360" w:line="240" w:lineRule="auto"/>
        <w:jc w:val="center"/>
        <w:rPr>
          <w:b/>
        </w:rPr>
      </w:pPr>
      <w:r>
        <w:rPr>
          <w:b/>
        </w:rPr>
        <w:t xml:space="preserve">Table </w:t>
      </w:r>
      <w:r w:rsidR="00404747">
        <w:rPr>
          <w:b/>
        </w:rPr>
        <w:t>4</w:t>
      </w:r>
      <w:r w:rsidR="001E2717" w:rsidRPr="001E2717">
        <w:rPr>
          <w:b/>
        </w:rPr>
        <w:t xml:space="preserve">: </w:t>
      </w:r>
      <w:r w:rsidR="00130B8A">
        <w:rPr>
          <w:b/>
        </w:rPr>
        <w:t>Predicted Effects of the 2012 Packaging Changes on</w:t>
      </w:r>
      <w:r w:rsidR="004701E5">
        <w:rPr>
          <w:b/>
        </w:rPr>
        <w:t xml:space="preserve"> Smoking Prevalence</w:t>
      </w:r>
      <w:proofErr w:type="gramStart"/>
      <w:r w:rsidR="004701E5">
        <w:rPr>
          <w:b/>
        </w:rPr>
        <w:t>,</w:t>
      </w:r>
      <w:proofErr w:type="gramEnd"/>
      <w:r w:rsidR="004701E5">
        <w:rPr>
          <w:b/>
        </w:rPr>
        <w:br/>
        <w:t>December 2012 to September 2015</w:t>
      </w:r>
    </w:p>
    <w:tbl>
      <w:tblPr>
        <w:tblStyle w:val="TableGrid"/>
        <w:tblW w:w="90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Table 4 reports the  predicted effects of the 2012 packaging changes on smoking prevalence using different constructions of the before and after periods.  The table contains five columns.  The first column describes what is reported in each row: Smoking Prevalence with Packaging Changes; Smoking Prevalence without Packaging Changes; Change (i.e., the difference between the previous two rows); P-value; and 95% Confidence Interval.  The second column, labeled (1), reports results using a policy start date of December 2012 and excluding the transition months of October and November 2012. The third to fifth columns, labeled (2) to (4), report results using Plain Packaging start dates of December, November and October 2012, respectively, without excluding October and November 2012."/>
      </w:tblPr>
      <w:tblGrid>
        <w:gridCol w:w="2079"/>
        <w:gridCol w:w="2160"/>
        <w:gridCol w:w="1620"/>
        <w:gridCol w:w="1620"/>
        <w:gridCol w:w="1620"/>
      </w:tblGrid>
      <w:tr w:rsidR="005F5487" w14:paraId="5D12A043" w14:textId="77777777" w:rsidTr="00636D03">
        <w:trPr>
          <w:trHeight w:val="413"/>
          <w:tblHeader/>
          <w:jc w:val="center"/>
        </w:trPr>
        <w:tc>
          <w:tcPr>
            <w:tcW w:w="2079" w:type="dxa"/>
            <w:tcBorders>
              <w:top w:val="single" w:sz="12" w:space="0" w:color="auto"/>
              <w:left w:val="single" w:sz="12" w:space="0" w:color="auto"/>
              <w:bottom w:val="nil"/>
            </w:tcBorders>
            <w:vAlign w:val="center"/>
          </w:tcPr>
          <w:p w14:paraId="51A77263" w14:textId="77777777" w:rsidR="005F5487" w:rsidRPr="00184D81" w:rsidRDefault="005F5487" w:rsidP="006A602D"/>
        </w:tc>
        <w:tc>
          <w:tcPr>
            <w:tcW w:w="7020" w:type="dxa"/>
            <w:gridSpan w:val="4"/>
            <w:tcBorders>
              <w:top w:val="single" w:sz="12" w:space="0" w:color="auto"/>
              <w:right w:val="single" w:sz="12" w:space="0" w:color="auto"/>
            </w:tcBorders>
            <w:vAlign w:val="center"/>
            <w:hideMark/>
          </w:tcPr>
          <w:p w14:paraId="1FDC2F63" w14:textId="77777777" w:rsidR="005F5487" w:rsidRPr="005F5487" w:rsidRDefault="005F5487">
            <w:pPr>
              <w:keepNext/>
              <w:tabs>
                <w:tab w:val="num" w:pos="1080"/>
              </w:tabs>
              <w:jc w:val="center"/>
              <w:rPr>
                <w:b/>
                <w:sz w:val="22"/>
                <w:szCs w:val="18"/>
              </w:rPr>
            </w:pPr>
            <w:r w:rsidRPr="005F5487">
              <w:rPr>
                <w:b/>
                <w:sz w:val="22"/>
                <w:szCs w:val="18"/>
              </w:rPr>
              <w:t>Start Date</w:t>
            </w:r>
            <w:r w:rsidR="00115726">
              <w:rPr>
                <w:b/>
                <w:sz w:val="22"/>
                <w:szCs w:val="18"/>
              </w:rPr>
              <w:t xml:space="preserve"> for Packaging Changes</w:t>
            </w:r>
            <w:r w:rsidRPr="005F5487">
              <w:rPr>
                <w:b/>
                <w:sz w:val="22"/>
                <w:szCs w:val="18"/>
              </w:rPr>
              <w:t>:</w:t>
            </w:r>
          </w:p>
        </w:tc>
      </w:tr>
      <w:tr w:rsidR="005F5487" w14:paraId="39976729" w14:textId="77777777" w:rsidTr="00636D03">
        <w:trPr>
          <w:trHeight w:val="414"/>
          <w:jc w:val="center"/>
        </w:trPr>
        <w:tc>
          <w:tcPr>
            <w:tcW w:w="2079" w:type="dxa"/>
            <w:tcBorders>
              <w:top w:val="nil"/>
              <w:left w:val="single" w:sz="12" w:space="0" w:color="auto"/>
              <w:bottom w:val="nil"/>
            </w:tcBorders>
            <w:vAlign w:val="center"/>
          </w:tcPr>
          <w:p w14:paraId="2E9B0621" w14:textId="77777777" w:rsidR="005F5487" w:rsidRPr="00184D81" w:rsidRDefault="005F5487" w:rsidP="006A602D"/>
        </w:tc>
        <w:tc>
          <w:tcPr>
            <w:tcW w:w="2160" w:type="dxa"/>
            <w:vAlign w:val="center"/>
            <w:hideMark/>
          </w:tcPr>
          <w:p w14:paraId="0C46E706" w14:textId="77777777" w:rsidR="005F5487" w:rsidRPr="005F5487" w:rsidRDefault="005F5487">
            <w:pPr>
              <w:keepNext/>
              <w:tabs>
                <w:tab w:val="num" w:pos="1080"/>
              </w:tabs>
              <w:jc w:val="center"/>
              <w:rPr>
                <w:b/>
                <w:sz w:val="22"/>
                <w:szCs w:val="18"/>
              </w:rPr>
            </w:pPr>
            <w:r w:rsidRPr="005F5487">
              <w:rPr>
                <w:b/>
                <w:sz w:val="22"/>
                <w:szCs w:val="18"/>
              </w:rPr>
              <w:t>Dec 2012, Excluding Oct and Nov 2012</w:t>
            </w:r>
          </w:p>
        </w:tc>
        <w:tc>
          <w:tcPr>
            <w:tcW w:w="1620" w:type="dxa"/>
            <w:vAlign w:val="center"/>
            <w:hideMark/>
          </w:tcPr>
          <w:p w14:paraId="17198C27" w14:textId="77777777" w:rsidR="005F5487" w:rsidRPr="005F5487" w:rsidRDefault="005F5487">
            <w:pPr>
              <w:keepNext/>
              <w:tabs>
                <w:tab w:val="num" w:pos="1080"/>
              </w:tabs>
              <w:jc w:val="center"/>
              <w:rPr>
                <w:b/>
                <w:sz w:val="22"/>
                <w:szCs w:val="18"/>
              </w:rPr>
            </w:pPr>
            <w:r w:rsidRPr="005F5487">
              <w:rPr>
                <w:b/>
                <w:sz w:val="22"/>
                <w:szCs w:val="18"/>
              </w:rPr>
              <w:t>Dec 2012</w:t>
            </w:r>
          </w:p>
        </w:tc>
        <w:tc>
          <w:tcPr>
            <w:tcW w:w="1620" w:type="dxa"/>
            <w:vAlign w:val="center"/>
            <w:hideMark/>
          </w:tcPr>
          <w:p w14:paraId="4A2265C5" w14:textId="77777777" w:rsidR="005F5487" w:rsidRPr="005F5487" w:rsidRDefault="005F5487">
            <w:pPr>
              <w:keepNext/>
              <w:tabs>
                <w:tab w:val="num" w:pos="1080"/>
              </w:tabs>
              <w:jc w:val="center"/>
              <w:rPr>
                <w:b/>
                <w:sz w:val="22"/>
                <w:szCs w:val="18"/>
              </w:rPr>
            </w:pPr>
            <w:r w:rsidRPr="005F5487">
              <w:rPr>
                <w:b/>
                <w:sz w:val="22"/>
                <w:szCs w:val="18"/>
              </w:rPr>
              <w:t>Nov 2012</w:t>
            </w:r>
          </w:p>
        </w:tc>
        <w:tc>
          <w:tcPr>
            <w:tcW w:w="1620" w:type="dxa"/>
            <w:tcBorders>
              <w:right w:val="single" w:sz="12" w:space="0" w:color="auto"/>
            </w:tcBorders>
            <w:vAlign w:val="center"/>
            <w:hideMark/>
          </w:tcPr>
          <w:p w14:paraId="24A719D9" w14:textId="77777777" w:rsidR="005F5487" w:rsidRPr="005F5487" w:rsidRDefault="005F5487">
            <w:pPr>
              <w:keepNext/>
              <w:tabs>
                <w:tab w:val="num" w:pos="1080"/>
              </w:tabs>
              <w:jc w:val="center"/>
              <w:rPr>
                <w:b/>
                <w:sz w:val="22"/>
                <w:szCs w:val="18"/>
              </w:rPr>
            </w:pPr>
            <w:r w:rsidRPr="005F5487">
              <w:rPr>
                <w:b/>
                <w:sz w:val="22"/>
                <w:szCs w:val="18"/>
              </w:rPr>
              <w:t>Oct 2012</w:t>
            </w:r>
          </w:p>
        </w:tc>
      </w:tr>
      <w:tr w:rsidR="005F5487" w14:paraId="50A98ACD" w14:textId="77777777" w:rsidTr="00636D03">
        <w:trPr>
          <w:trHeight w:val="414"/>
          <w:jc w:val="center"/>
        </w:trPr>
        <w:tc>
          <w:tcPr>
            <w:tcW w:w="2079" w:type="dxa"/>
            <w:tcBorders>
              <w:top w:val="nil"/>
              <w:left w:val="single" w:sz="12" w:space="0" w:color="auto"/>
            </w:tcBorders>
            <w:vAlign w:val="center"/>
          </w:tcPr>
          <w:p w14:paraId="005D54C2" w14:textId="77777777" w:rsidR="005F5487" w:rsidRPr="00184D81" w:rsidRDefault="005F5487" w:rsidP="006A602D"/>
        </w:tc>
        <w:tc>
          <w:tcPr>
            <w:tcW w:w="2160" w:type="dxa"/>
            <w:vAlign w:val="center"/>
            <w:hideMark/>
          </w:tcPr>
          <w:p w14:paraId="1789472F" w14:textId="77777777" w:rsidR="005F5487" w:rsidRPr="005F5487" w:rsidRDefault="005F5487">
            <w:pPr>
              <w:keepNext/>
              <w:tabs>
                <w:tab w:val="num" w:pos="1080"/>
              </w:tabs>
              <w:jc w:val="center"/>
              <w:rPr>
                <w:b/>
                <w:sz w:val="22"/>
                <w:szCs w:val="18"/>
              </w:rPr>
            </w:pPr>
            <w:r w:rsidRPr="005F5487">
              <w:rPr>
                <w:b/>
                <w:sz w:val="22"/>
                <w:szCs w:val="18"/>
              </w:rPr>
              <w:t>(1)</w:t>
            </w:r>
          </w:p>
        </w:tc>
        <w:tc>
          <w:tcPr>
            <w:tcW w:w="1620" w:type="dxa"/>
            <w:vAlign w:val="center"/>
            <w:hideMark/>
          </w:tcPr>
          <w:p w14:paraId="087C8C1A" w14:textId="77777777" w:rsidR="005F5487" w:rsidRPr="005F5487" w:rsidRDefault="005F5487">
            <w:pPr>
              <w:keepNext/>
              <w:tabs>
                <w:tab w:val="num" w:pos="1080"/>
              </w:tabs>
              <w:jc w:val="center"/>
              <w:rPr>
                <w:b/>
                <w:sz w:val="22"/>
                <w:szCs w:val="18"/>
              </w:rPr>
            </w:pPr>
            <w:r w:rsidRPr="005F5487">
              <w:rPr>
                <w:b/>
                <w:sz w:val="22"/>
                <w:szCs w:val="18"/>
              </w:rPr>
              <w:t>(2)</w:t>
            </w:r>
          </w:p>
        </w:tc>
        <w:tc>
          <w:tcPr>
            <w:tcW w:w="1620" w:type="dxa"/>
            <w:vAlign w:val="center"/>
            <w:hideMark/>
          </w:tcPr>
          <w:p w14:paraId="2D1781DE" w14:textId="77777777" w:rsidR="005F5487" w:rsidRPr="005F5487" w:rsidRDefault="005F5487">
            <w:pPr>
              <w:keepNext/>
              <w:tabs>
                <w:tab w:val="num" w:pos="1080"/>
              </w:tabs>
              <w:jc w:val="center"/>
              <w:rPr>
                <w:b/>
                <w:sz w:val="22"/>
                <w:szCs w:val="18"/>
              </w:rPr>
            </w:pPr>
            <w:r w:rsidRPr="005F5487">
              <w:rPr>
                <w:b/>
                <w:sz w:val="22"/>
                <w:szCs w:val="18"/>
              </w:rPr>
              <w:t>(3)</w:t>
            </w:r>
          </w:p>
        </w:tc>
        <w:tc>
          <w:tcPr>
            <w:tcW w:w="1620" w:type="dxa"/>
            <w:tcBorders>
              <w:right w:val="single" w:sz="12" w:space="0" w:color="auto"/>
            </w:tcBorders>
            <w:vAlign w:val="center"/>
            <w:hideMark/>
          </w:tcPr>
          <w:p w14:paraId="79DDE510" w14:textId="77777777" w:rsidR="005F5487" w:rsidRPr="005F5487" w:rsidRDefault="005F5487">
            <w:pPr>
              <w:keepNext/>
              <w:tabs>
                <w:tab w:val="num" w:pos="1080"/>
              </w:tabs>
              <w:jc w:val="center"/>
              <w:rPr>
                <w:b/>
                <w:sz w:val="22"/>
                <w:szCs w:val="18"/>
              </w:rPr>
            </w:pPr>
            <w:r w:rsidRPr="005F5487">
              <w:rPr>
                <w:b/>
                <w:sz w:val="22"/>
                <w:szCs w:val="18"/>
              </w:rPr>
              <w:t>(4)</w:t>
            </w:r>
          </w:p>
        </w:tc>
      </w:tr>
      <w:tr w:rsidR="00E17F5F" w14:paraId="1DF3AE76" w14:textId="77777777" w:rsidTr="00636D03">
        <w:trPr>
          <w:trHeight w:val="576"/>
          <w:jc w:val="center"/>
        </w:trPr>
        <w:tc>
          <w:tcPr>
            <w:tcW w:w="2079" w:type="dxa"/>
            <w:tcBorders>
              <w:left w:val="single" w:sz="12" w:space="0" w:color="auto"/>
            </w:tcBorders>
            <w:vAlign w:val="center"/>
          </w:tcPr>
          <w:p w14:paraId="133EBB35" w14:textId="77777777" w:rsidR="00E17F5F" w:rsidRPr="005F5487" w:rsidRDefault="00E17F5F" w:rsidP="0023466E">
            <w:pPr>
              <w:keepNext/>
              <w:tabs>
                <w:tab w:val="num" w:pos="1080"/>
              </w:tabs>
              <w:spacing w:before="120" w:after="120"/>
              <w:rPr>
                <w:sz w:val="22"/>
                <w:szCs w:val="18"/>
              </w:rPr>
            </w:pPr>
            <w:r>
              <w:rPr>
                <w:sz w:val="22"/>
                <w:szCs w:val="18"/>
              </w:rPr>
              <w:t xml:space="preserve">Smoking Prevalence </w:t>
            </w:r>
            <w:r>
              <w:rPr>
                <w:sz w:val="22"/>
                <w:szCs w:val="18"/>
              </w:rPr>
              <w:br/>
            </w:r>
            <w:r w:rsidRPr="00973478">
              <w:rPr>
                <w:i/>
                <w:sz w:val="22"/>
                <w:szCs w:val="18"/>
              </w:rPr>
              <w:t>With Packaging Changes</w:t>
            </w:r>
          </w:p>
        </w:tc>
        <w:tc>
          <w:tcPr>
            <w:tcW w:w="2160" w:type="dxa"/>
            <w:vAlign w:val="center"/>
          </w:tcPr>
          <w:p w14:paraId="68A0A6D6"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vAlign w:val="center"/>
          </w:tcPr>
          <w:p w14:paraId="762D3DA0"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vAlign w:val="center"/>
          </w:tcPr>
          <w:p w14:paraId="40A213D1"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tcBorders>
              <w:right w:val="single" w:sz="12" w:space="0" w:color="auto"/>
            </w:tcBorders>
            <w:vAlign w:val="center"/>
          </w:tcPr>
          <w:p w14:paraId="24DF19F6"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r>
      <w:tr w:rsidR="00E17F5F" w14:paraId="22E80C2E" w14:textId="77777777" w:rsidTr="00636D03">
        <w:trPr>
          <w:trHeight w:val="576"/>
          <w:jc w:val="center"/>
        </w:trPr>
        <w:tc>
          <w:tcPr>
            <w:tcW w:w="2079" w:type="dxa"/>
            <w:tcBorders>
              <w:left w:val="single" w:sz="12" w:space="0" w:color="auto"/>
            </w:tcBorders>
            <w:vAlign w:val="center"/>
            <w:hideMark/>
          </w:tcPr>
          <w:p w14:paraId="2878B245" w14:textId="77777777" w:rsidR="00E17F5F" w:rsidRPr="005F5487" w:rsidRDefault="00E17F5F" w:rsidP="00130B8A">
            <w:pPr>
              <w:keepNext/>
              <w:tabs>
                <w:tab w:val="num" w:pos="1080"/>
              </w:tabs>
              <w:spacing w:before="120" w:after="120"/>
              <w:rPr>
                <w:sz w:val="22"/>
                <w:szCs w:val="18"/>
              </w:rPr>
            </w:pPr>
            <w:r>
              <w:rPr>
                <w:sz w:val="22"/>
                <w:szCs w:val="18"/>
              </w:rPr>
              <w:t>Smoking</w:t>
            </w:r>
            <w:r w:rsidRPr="005F5487">
              <w:rPr>
                <w:sz w:val="22"/>
                <w:szCs w:val="18"/>
              </w:rPr>
              <w:t xml:space="preserve"> </w:t>
            </w:r>
            <w:r>
              <w:rPr>
                <w:sz w:val="22"/>
                <w:szCs w:val="18"/>
              </w:rPr>
              <w:t>Prevalence</w:t>
            </w:r>
            <w:r w:rsidRPr="005F5487">
              <w:rPr>
                <w:sz w:val="22"/>
                <w:szCs w:val="18"/>
              </w:rPr>
              <w:t xml:space="preserve"> </w:t>
            </w:r>
            <w:r>
              <w:rPr>
                <w:sz w:val="22"/>
                <w:szCs w:val="18"/>
              </w:rPr>
              <w:br/>
            </w:r>
            <w:r w:rsidRPr="00973478">
              <w:rPr>
                <w:i/>
                <w:sz w:val="22"/>
                <w:szCs w:val="18"/>
              </w:rPr>
              <w:t>Without Packaging Changes</w:t>
            </w:r>
          </w:p>
        </w:tc>
        <w:tc>
          <w:tcPr>
            <w:tcW w:w="2160" w:type="dxa"/>
            <w:vAlign w:val="center"/>
            <w:hideMark/>
          </w:tcPr>
          <w:p w14:paraId="395BCCE5" w14:textId="77777777" w:rsidR="00E17F5F" w:rsidRPr="005F5487" w:rsidRDefault="00E17F5F">
            <w:pPr>
              <w:keepNext/>
              <w:tabs>
                <w:tab w:val="num" w:pos="1080"/>
              </w:tabs>
              <w:jc w:val="center"/>
              <w:rPr>
                <w:sz w:val="22"/>
                <w:szCs w:val="18"/>
              </w:rPr>
            </w:pPr>
            <w:r>
              <w:rPr>
                <w:sz w:val="22"/>
                <w:szCs w:val="18"/>
              </w:rPr>
              <w:t>17.77%</w:t>
            </w:r>
          </w:p>
        </w:tc>
        <w:tc>
          <w:tcPr>
            <w:tcW w:w="1620" w:type="dxa"/>
            <w:vAlign w:val="center"/>
            <w:hideMark/>
          </w:tcPr>
          <w:p w14:paraId="11D04024" w14:textId="77777777" w:rsidR="00E17F5F" w:rsidRPr="005F5487" w:rsidRDefault="00E17F5F">
            <w:pPr>
              <w:keepNext/>
              <w:tabs>
                <w:tab w:val="num" w:pos="1080"/>
              </w:tabs>
              <w:jc w:val="center"/>
              <w:rPr>
                <w:sz w:val="22"/>
                <w:szCs w:val="18"/>
              </w:rPr>
            </w:pPr>
            <w:r>
              <w:rPr>
                <w:sz w:val="22"/>
                <w:szCs w:val="18"/>
              </w:rPr>
              <w:t>17.71%</w:t>
            </w:r>
          </w:p>
        </w:tc>
        <w:tc>
          <w:tcPr>
            <w:tcW w:w="1620" w:type="dxa"/>
            <w:vAlign w:val="center"/>
            <w:hideMark/>
          </w:tcPr>
          <w:p w14:paraId="7D395B79" w14:textId="77777777" w:rsidR="00E17F5F" w:rsidRPr="005F5487" w:rsidRDefault="00E17F5F">
            <w:pPr>
              <w:keepNext/>
              <w:tabs>
                <w:tab w:val="num" w:pos="1080"/>
              </w:tabs>
              <w:jc w:val="center"/>
              <w:rPr>
                <w:sz w:val="22"/>
                <w:szCs w:val="18"/>
              </w:rPr>
            </w:pPr>
            <w:r>
              <w:rPr>
                <w:sz w:val="22"/>
                <w:szCs w:val="18"/>
              </w:rPr>
              <w:t>17.75%</w:t>
            </w:r>
          </w:p>
        </w:tc>
        <w:tc>
          <w:tcPr>
            <w:tcW w:w="1620" w:type="dxa"/>
            <w:tcBorders>
              <w:right w:val="single" w:sz="12" w:space="0" w:color="auto"/>
            </w:tcBorders>
            <w:vAlign w:val="center"/>
            <w:hideMark/>
          </w:tcPr>
          <w:p w14:paraId="1C772C37" w14:textId="77777777" w:rsidR="00E17F5F" w:rsidRPr="005F5487" w:rsidRDefault="00E17F5F">
            <w:pPr>
              <w:keepNext/>
              <w:tabs>
                <w:tab w:val="num" w:pos="1080"/>
              </w:tabs>
              <w:jc w:val="center"/>
              <w:rPr>
                <w:sz w:val="22"/>
                <w:szCs w:val="18"/>
              </w:rPr>
            </w:pPr>
            <w:r>
              <w:rPr>
                <w:sz w:val="22"/>
                <w:szCs w:val="18"/>
              </w:rPr>
              <w:t>17.77%</w:t>
            </w:r>
          </w:p>
        </w:tc>
      </w:tr>
      <w:tr w:rsidR="00E17F5F" w14:paraId="3E6D0800" w14:textId="77777777" w:rsidTr="00636D03">
        <w:trPr>
          <w:trHeight w:val="576"/>
          <w:jc w:val="center"/>
        </w:trPr>
        <w:tc>
          <w:tcPr>
            <w:tcW w:w="2079" w:type="dxa"/>
            <w:tcBorders>
              <w:left w:val="single" w:sz="12" w:space="0" w:color="auto"/>
            </w:tcBorders>
            <w:vAlign w:val="center"/>
            <w:hideMark/>
          </w:tcPr>
          <w:p w14:paraId="3B27FE27" w14:textId="77777777" w:rsidR="00E17F5F" w:rsidRPr="005F5487" w:rsidRDefault="00E17F5F">
            <w:pPr>
              <w:keepNext/>
              <w:tabs>
                <w:tab w:val="num" w:pos="1080"/>
              </w:tabs>
              <w:rPr>
                <w:sz w:val="22"/>
                <w:szCs w:val="18"/>
              </w:rPr>
            </w:pPr>
            <w:r w:rsidRPr="005F5487">
              <w:rPr>
                <w:sz w:val="22"/>
                <w:szCs w:val="18"/>
              </w:rPr>
              <w:t>Change</w:t>
            </w:r>
          </w:p>
        </w:tc>
        <w:tc>
          <w:tcPr>
            <w:tcW w:w="2160" w:type="dxa"/>
            <w:vAlign w:val="center"/>
            <w:hideMark/>
          </w:tcPr>
          <w:p w14:paraId="084DF5EA" w14:textId="77777777" w:rsidR="00E17F5F" w:rsidRPr="005F5487" w:rsidRDefault="00E17F5F">
            <w:pPr>
              <w:keepNext/>
              <w:tabs>
                <w:tab w:val="num" w:pos="1080"/>
              </w:tabs>
              <w:jc w:val="center"/>
              <w:rPr>
                <w:color w:val="000000"/>
                <w:sz w:val="22"/>
                <w:szCs w:val="18"/>
              </w:rPr>
            </w:pPr>
            <w:r>
              <w:rPr>
                <w:color w:val="000000"/>
                <w:sz w:val="22"/>
                <w:szCs w:val="18"/>
              </w:rPr>
              <w:t>-0.55</w:t>
            </w:r>
          </w:p>
        </w:tc>
        <w:tc>
          <w:tcPr>
            <w:tcW w:w="1620" w:type="dxa"/>
            <w:vAlign w:val="center"/>
            <w:hideMark/>
          </w:tcPr>
          <w:p w14:paraId="31DFBA05" w14:textId="77777777" w:rsidR="00E17F5F" w:rsidRPr="005F5487" w:rsidRDefault="00E17F5F">
            <w:pPr>
              <w:keepNext/>
              <w:tabs>
                <w:tab w:val="num" w:pos="1080"/>
              </w:tabs>
              <w:jc w:val="center"/>
              <w:rPr>
                <w:color w:val="000000"/>
                <w:sz w:val="22"/>
                <w:szCs w:val="18"/>
              </w:rPr>
            </w:pPr>
            <w:r>
              <w:rPr>
                <w:color w:val="000000"/>
                <w:sz w:val="22"/>
                <w:szCs w:val="18"/>
              </w:rPr>
              <w:t>-0.50</w:t>
            </w:r>
          </w:p>
        </w:tc>
        <w:tc>
          <w:tcPr>
            <w:tcW w:w="1620" w:type="dxa"/>
            <w:vAlign w:val="center"/>
            <w:hideMark/>
          </w:tcPr>
          <w:p w14:paraId="6EF02B81" w14:textId="77777777" w:rsidR="00E17F5F" w:rsidRPr="005F5487" w:rsidRDefault="00E17F5F">
            <w:pPr>
              <w:keepNext/>
              <w:tabs>
                <w:tab w:val="num" w:pos="1080"/>
              </w:tabs>
              <w:jc w:val="center"/>
              <w:rPr>
                <w:color w:val="000000"/>
                <w:sz w:val="22"/>
                <w:szCs w:val="18"/>
              </w:rPr>
            </w:pPr>
            <w:r>
              <w:rPr>
                <w:color w:val="000000"/>
                <w:sz w:val="22"/>
                <w:szCs w:val="18"/>
              </w:rPr>
              <w:t>-0.54</w:t>
            </w:r>
          </w:p>
        </w:tc>
        <w:tc>
          <w:tcPr>
            <w:tcW w:w="1620" w:type="dxa"/>
            <w:tcBorders>
              <w:right w:val="single" w:sz="12" w:space="0" w:color="auto"/>
            </w:tcBorders>
            <w:vAlign w:val="center"/>
            <w:hideMark/>
          </w:tcPr>
          <w:p w14:paraId="0EC1DDF7" w14:textId="77777777" w:rsidR="00E17F5F" w:rsidRPr="005F5487" w:rsidRDefault="00E17F5F">
            <w:pPr>
              <w:keepNext/>
              <w:tabs>
                <w:tab w:val="num" w:pos="1080"/>
              </w:tabs>
              <w:jc w:val="center"/>
              <w:rPr>
                <w:color w:val="000000"/>
                <w:sz w:val="22"/>
                <w:szCs w:val="18"/>
              </w:rPr>
            </w:pPr>
            <w:r>
              <w:rPr>
                <w:color w:val="000000"/>
                <w:sz w:val="22"/>
                <w:szCs w:val="18"/>
              </w:rPr>
              <w:t>-0.56</w:t>
            </w:r>
          </w:p>
        </w:tc>
      </w:tr>
      <w:tr w:rsidR="00E17F5F" w14:paraId="2FE67DB0" w14:textId="77777777" w:rsidTr="00636D03">
        <w:trPr>
          <w:trHeight w:val="576"/>
          <w:jc w:val="center"/>
        </w:trPr>
        <w:tc>
          <w:tcPr>
            <w:tcW w:w="2079" w:type="dxa"/>
            <w:tcBorders>
              <w:left w:val="single" w:sz="12" w:space="0" w:color="auto"/>
            </w:tcBorders>
            <w:vAlign w:val="center"/>
          </w:tcPr>
          <w:p w14:paraId="77D8B579" w14:textId="77777777" w:rsidR="00E17F5F" w:rsidRPr="005F5487" w:rsidRDefault="00E17F5F">
            <w:pPr>
              <w:keepNext/>
              <w:tabs>
                <w:tab w:val="num" w:pos="1080"/>
              </w:tabs>
              <w:rPr>
                <w:sz w:val="22"/>
                <w:szCs w:val="18"/>
              </w:rPr>
            </w:pPr>
            <w:r>
              <w:rPr>
                <w:sz w:val="22"/>
                <w:szCs w:val="18"/>
              </w:rPr>
              <w:t>P-value</w:t>
            </w:r>
          </w:p>
        </w:tc>
        <w:tc>
          <w:tcPr>
            <w:tcW w:w="2160" w:type="dxa"/>
            <w:vAlign w:val="center"/>
          </w:tcPr>
          <w:p w14:paraId="4FB6DC1E" w14:textId="77777777" w:rsidR="00E17F5F" w:rsidRPr="005F5487" w:rsidRDefault="00E17F5F">
            <w:pPr>
              <w:keepNext/>
              <w:tabs>
                <w:tab w:val="num" w:pos="1080"/>
              </w:tabs>
              <w:jc w:val="center"/>
              <w:rPr>
                <w:color w:val="000000"/>
                <w:sz w:val="22"/>
                <w:szCs w:val="18"/>
              </w:rPr>
            </w:pPr>
            <w:r>
              <w:rPr>
                <w:color w:val="000000"/>
                <w:sz w:val="22"/>
                <w:szCs w:val="18"/>
              </w:rPr>
              <w:t>0.02</w:t>
            </w:r>
          </w:p>
        </w:tc>
        <w:tc>
          <w:tcPr>
            <w:tcW w:w="1620" w:type="dxa"/>
            <w:vAlign w:val="center"/>
          </w:tcPr>
          <w:p w14:paraId="352739CD" w14:textId="77777777" w:rsidR="00E17F5F" w:rsidRPr="005F5487" w:rsidRDefault="00E17F5F">
            <w:pPr>
              <w:keepNext/>
              <w:tabs>
                <w:tab w:val="num" w:pos="1080"/>
              </w:tabs>
              <w:jc w:val="center"/>
              <w:rPr>
                <w:color w:val="000000"/>
                <w:sz w:val="22"/>
                <w:szCs w:val="18"/>
              </w:rPr>
            </w:pPr>
            <w:r>
              <w:rPr>
                <w:color w:val="000000"/>
                <w:sz w:val="22"/>
                <w:szCs w:val="18"/>
              </w:rPr>
              <w:t>0.03</w:t>
            </w:r>
          </w:p>
        </w:tc>
        <w:tc>
          <w:tcPr>
            <w:tcW w:w="1620" w:type="dxa"/>
            <w:vAlign w:val="center"/>
          </w:tcPr>
          <w:p w14:paraId="3CE12B37" w14:textId="77777777" w:rsidR="00E17F5F" w:rsidRPr="005F5487" w:rsidRDefault="00E17F5F">
            <w:pPr>
              <w:keepNext/>
              <w:tabs>
                <w:tab w:val="num" w:pos="1080"/>
              </w:tabs>
              <w:jc w:val="center"/>
              <w:rPr>
                <w:color w:val="000000"/>
                <w:sz w:val="22"/>
                <w:szCs w:val="18"/>
              </w:rPr>
            </w:pPr>
            <w:r>
              <w:rPr>
                <w:color w:val="000000"/>
                <w:sz w:val="22"/>
                <w:szCs w:val="18"/>
              </w:rPr>
              <w:t>0.0</w:t>
            </w:r>
            <w:r w:rsidR="00A553B3">
              <w:rPr>
                <w:color w:val="000000"/>
                <w:sz w:val="22"/>
                <w:szCs w:val="18"/>
              </w:rPr>
              <w:t>2</w:t>
            </w:r>
          </w:p>
        </w:tc>
        <w:tc>
          <w:tcPr>
            <w:tcW w:w="1620" w:type="dxa"/>
            <w:tcBorders>
              <w:right w:val="single" w:sz="12" w:space="0" w:color="auto"/>
            </w:tcBorders>
            <w:vAlign w:val="center"/>
          </w:tcPr>
          <w:p w14:paraId="2543AA3C" w14:textId="77777777" w:rsidR="00E17F5F" w:rsidRPr="005F5487" w:rsidRDefault="00E17F5F">
            <w:pPr>
              <w:keepNext/>
              <w:tabs>
                <w:tab w:val="num" w:pos="1080"/>
              </w:tabs>
              <w:jc w:val="center"/>
              <w:rPr>
                <w:color w:val="000000"/>
                <w:sz w:val="22"/>
                <w:szCs w:val="18"/>
              </w:rPr>
            </w:pPr>
            <w:r>
              <w:rPr>
                <w:color w:val="000000"/>
                <w:sz w:val="22"/>
                <w:szCs w:val="18"/>
              </w:rPr>
              <w:t>0.01</w:t>
            </w:r>
          </w:p>
        </w:tc>
      </w:tr>
      <w:tr w:rsidR="00E17F5F" w14:paraId="169F7F8E" w14:textId="77777777" w:rsidTr="00636D03">
        <w:trPr>
          <w:trHeight w:val="576"/>
          <w:jc w:val="center"/>
        </w:trPr>
        <w:tc>
          <w:tcPr>
            <w:tcW w:w="2079" w:type="dxa"/>
            <w:tcBorders>
              <w:left w:val="single" w:sz="12" w:space="0" w:color="auto"/>
              <w:bottom w:val="single" w:sz="12" w:space="0" w:color="auto"/>
            </w:tcBorders>
            <w:vAlign w:val="center"/>
            <w:hideMark/>
          </w:tcPr>
          <w:p w14:paraId="3870A420" w14:textId="77777777" w:rsidR="00E17F5F" w:rsidRPr="005F5487" w:rsidRDefault="00E17F5F">
            <w:pPr>
              <w:keepNext/>
              <w:tabs>
                <w:tab w:val="num" w:pos="1080"/>
              </w:tabs>
              <w:rPr>
                <w:sz w:val="22"/>
                <w:szCs w:val="18"/>
              </w:rPr>
            </w:pPr>
            <w:r w:rsidRPr="005F5487">
              <w:rPr>
                <w:sz w:val="22"/>
                <w:szCs w:val="18"/>
              </w:rPr>
              <w:t>95% Confidence Interval</w:t>
            </w:r>
          </w:p>
        </w:tc>
        <w:tc>
          <w:tcPr>
            <w:tcW w:w="2160" w:type="dxa"/>
            <w:tcBorders>
              <w:bottom w:val="single" w:sz="12" w:space="0" w:color="auto"/>
            </w:tcBorders>
            <w:vAlign w:val="center"/>
            <w:hideMark/>
          </w:tcPr>
          <w:p w14:paraId="54553BA3" w14:textId="77777777" w:rsidR="00E17F5F" w:rsidRPr="005F5487" w:rsidRDefault="00E17F5F">
            <w:pPr>
              <w:keepNext/>
              <w:tabs>
                <w:tab w:val="num" w:pos="1080"/>
              </w:tabs>
              <w:jc w:val="center"/>
              <w:rPr>
                <w:color w:val="000000"/>
                <w:sz w:val="22"/>
                <w:szCs w:val="18"/>
              </w:rPr>
            </w:pPr>
            <w:r w:rsidRPr="005F5487">
              <w:rPr>
                <w:color w:val="000000"/>
                <w:sz w:val="22"/>
                <w:szCs w:val="18"/>
              </w:rPr>
              <w:t>[-1.0</w:t>
            </w:r>
            <w:r>
              <w:rPr>
                <w:color w:val="000000"/>
                <w:sz w:val="22"/>
                <w:szCs w:val="18"/>
              </w:rPr>
              <w:t>1</w:t>
            </w:r>
            <w:r w:rsidRPr="005F5487">
              <w:rPr>
                <w:color w:val="000000"/>
                <w:sz w:val="22"/>
                <w:szCs w:val="18"/>
              </w:rPr>
              <w:t>; -0.09</w:t>
            </w:r>
            <w:r>
              <w:rPr>
                <w:color w:val="000000"/>
                <w:sz w:val="22"/>
                <w:szCs w:val="18"/>
              </w:rPr>
              <w:t>5</w:t>
            </w:r>
            <w:r w:rsidRPr="005F5487">
              <w:rPr>
                <w:color w:val="000000"/>
                <w:sz w:val="22"/>
                <w:szCs w:val="18"/>
              </w:rPr>
              <w:t>]</w:t>
            </w:r>
          </w:p>
        </w:tc>
        <w:tc>
          <w:tcPr>
            <w:tcW w:w="1620" w:type="dxa"/>
            <w:tcBorders>
              <w:bottom w:val="single" w:sz="12" w:space="0" w:color="auto"/>
            </w:tcBorders>
            <w:vAlign w:val="center"/>
            <w:hideMark/>
          </w:tcPr>
          <w:p w14:paraId="64DDB826"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54</w:t>
            </w:r>
            <w:r w:rsidRPr="005F5487">
              <w:rPr>
                <w:color w:val="000000"/>
                <w:sz w:val="22"/>
                <w:szCs w:val="18"/>
              </w:rPr>
              <w:t>; -0.05</w:t>
            </w:r>
            <w:r>
              <w:rPr>
                <w:color w:val="000000"/>
                <w:sz w:val="22"/>
                <w:szCs w:val="18"/>
              </w:rPr>
              <w:t>0</w:t>
            </w:r>
            <w:r w:rsidRPr="005F5487">
              <w:rPr>
                <w:color w:val="000000"/>
                <w:sz w:val="22"/>
                <w:szCs w:val="18"/>
              </w:rPr>
              <w:t>]</w:t>
            </w:r>
          </w:p>
        </w:tc>
        <w:tc>
          <w:tcPr>
            <w:tcW w:w="1620" w:type="dxa"/>
            <w:tcBorders>
              <w:bottom w:val="single" w:sz="12" w:space="0" w:color="auto"/>
            </w:tcBorders>
            <w:vAlign w:val="center"/>
            <w:hideMark/>
          </w:tcPr>
          <w:p w14:paraId="28EE8523"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84</w:t>
            </w:r>
            <w:r w:rsidRPr="005F5487">
              <w:rPr>
                <w:color w:val="000000"/>
                <w:sz w:val="22"/>
                <w:szCs w:val="18"/>
              </w:rPr>
              <w:t>; -0.</w:t>
            </w:r>
            <w:r>
              <w:rPr>
                <w:color w:val="000000"/>
                <w:sz w:val="22"/>
                <w:szCs w:val="18"/>
              </w:rPr>
              <w:t>099</w:t>
            </w:r>
            <w:r w:rsidRPr="005F5487">
              <w:rPr>
                <w:color w:val="000000"/>
                <w:sz w:val="22"/>
                <w:szCs w:val="18"/>
              </w:rPr>
              <w:t>]</w:t>
            </w:r>
          </w:p>
        </w:tc>
        <w:tc>
          <w:tcPr>
            <w:tcW w:w="1620" w:type="dxa"/>
            <w:tcBorders>
              <w:bottom w:val="single" w:sz="12" w:space="0" w:color="auto"/>
              <w:right w:val="single" w:sz="12" w:space="0" w:color="auto"/>
            </w:tcBorders>
            <w:vAlign w:val="center"/>
            <w:hideMark/>
          </w:tcPr>
          <w:p w14:paraId="617668CE"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92</w:t>
            </w:r>
            <w:r w:rsidRPr="005F5487">
              <w:rPr>
                <w:color w:val="000000"/>
                <w:sz w:val="22"/>
                <w:szCs w:val="18"/>
              </w:rPr>
              <w:t>; -0.1</w:t>
            </w:r>
            <w:r>
              <w:rPr>
                <w:color w:val="000000"/>
                <w:sz w:val="22"/>
                <w:szCs w:val="18"/>
              </w:rPr>
              <w:t>26</w:t>
            </w:r>
            <w:r w:rsidRPr="005F5487">
              <w:rPr>
                <w:color w:val="000000"/>
                <w:sz w:val="22"/>
                <w:szCs w:val="18"/>
              </w:rPr>
              <w:t>]</w:t>
            </w:r>
          </w:p>
        </w:tc>
      </w:tr>
    </w:tbl>
    <w:p w14:paraId="7FED2075" w14:textId="77777777" w:rsidR="0019173D" w:rsidRDefault="0019173D" w:rsidP="00C12950">
      <w:pPr>
        <w:pStyle w:val="BodyText"/>
        <w:numPr>
          <w:ilvl w:val="0"/>
          <w:numId w:val="0"/>
        </w:numPr>
        <w:spacing w:before="120" w:after="0" w:line="240" w:lineRule="auto"/>
        <w:ind w:left="360"/>
        <w:rPr>
          <w:bCs/>
          <w:i/>
          <w:sz w:val="20"/>
        </w:rPr>
      </w:pPr>
      <w:r>
        <w:rPr>
          <w:bCs/>
          <w:i/>
          <w:sz w:val="20"/>
        </w:rPr>
        <w:t xml:space="preserve">Note: </w:t>
      </w:r>
      <w:r>
        <w:rPr>
          <w:sz w:val="20"/>
        </w:rPr>
        <w:t>Due to rounding, calculations based on displayed precision may not replicate the numbers presented.</w:t>
      </w:r>
    </w:p>
    <w:p w14:paraId="47031959" w14:textId="77777777" w:rsidR="005F5487" w:rsidRPr="001775B6" w:rsidRDefault="005F5487" w:rsidP="001775B6">
      <w:pPr>
        <w:pStyle w:val="BodyText"/>
        <w:numPr>
          <w:ilvl w:val="0"/>
          <w:numId w:val="0"/>
        </w:numPr>
        <w:spacing w:before="120" w:after="360" w:line="240" w:lineRule="auto"/>
        <w:ind w:left="360"/>
        <w:rPr>
          <w:bCs/>
          <w:sz w:val="20"/>
        </w:rPr>
      </w:pPr>
      <w:r>
        <w:rPr>
          <w:bCs/>
          <w:i/>
          <w:sz w:val="20"/>
        </w:rPr>
        <w:t>Source</w:t>
      </w:r>
      <w:r w:rsidR="00130B8A">
        <w:rPr>
          <w:bCs/>
          <w:sz w:val="20"/>
        </w:rPr>
        <w:t>: Table 3</w:t>
      </w:r>
      <w:r w:rsidR="001775B6">
        <w:rPr>
          <w:bCs/>
          <w:sz w:val="20"/>
        </w:rPr>
        <w:t>.</w:t>
      </w:r>
    </w:p>
    <w:p w14:paraId="5CF03416" w14:textId="75BCE793" w:rsidR="004722EE" w:rsidRDefault="00E17F5F" w:rsidP="005457D7">
      <w:pPr>
        <w:pStyle w:val="BodyText"/>
        <w:numPr>
          <w:ilvl w:val="3"/>
          <w:numId w:val="2"/>
        </w:numPr>
        <w:tabs>
          <w:tab w:val="clear" w:pos="1260"/>
          <w:tab w:val="num" w:pos="0"/>
          <w:tab w:val="num" w:pos="720"/>
        </w:tabs>
        <w:spacing w:before="120" w:line="360" w:lineRule="auto"/>
        <w:ind w:left="0" w:firstLine="720"/>
      </w:pPr>
      <w:r>
        <w:t xml:space="preserve">My discussion focuses on the </w:t>
      </w:r>
      <w:r w:rsidR="005457D7">
        <w:t xml:space="preserve">predicted effects associated with the </w:t>
      </w:r>
      <w:r>
        <w:t xml:space="preserve">estimation results of Column (1) of </w:t>
      </w:r>
      <w:r w:rsidR="00B157B2">
        <w:fldChar w:fldCharType="begin"/>
      </w:r>
      <w:r w:rsidR="00B157B2">
        <w:instrText xml:space="preserve"> REF _Ref444100481 \h </w:instrText>
      </w:r>
      <w:r w:rsidR="00B157B2">
        <w:fldChar w:fldCharType="separate"/>
      </w:r>
      <w:r w:rsidR="00C62F5C">
        <w:t xml:space="preserve">Table </w:t>
      </w:r>
      <w:r w:rsidR="00C62F5C">
        <w:rPr>
          <w:noProof/>
        </w:rPr>
        <w:t>3</w:t>
      </w:r>
      <w:r w:rsidR="00B157B2">
        <w:fldChar w:fldCharType="end"/>
      </w:r>
      <w:r w:rsidR="005457D7">
        <w:t xml:space="preserve">, with </w:t>
      </w:r>
      <w:r>
        <w:t>estimated coefficient of -0.0237</w:t>
      </w:r>
      <w:r w:rsidR="005457D7">
        <w:t xml:space="preserve">.   </w:t>
      </w:r>
      <w:r>
        <w:t xml:space="preserve">As seen in Tables 1 and 4, actual and predicted smoking prevalence in the </w:t>
      </w:r>
      <w:r w:rsidR="00C12950">
        <w:t>post-</w:t>
      </w:r>
      <w:r w:rsidR="00DE3E41">
        <w:t>implementation period are</w:t>
      </w:r>
      <w:r w:rsidR="00C12950">
        <w:t xml:space="preserve"> </w:t>
      </w:r>
      <w:r>
        <w:t>about 17.21</w:t>
      </w:r>
      <w:r w:rsidR="00C12950">
        <w:t xml:space="preserve"> percent.  </w:t>
      </w:r>
      <w:r>
        <w:t>The model</w:t>
      </w:r>
      <w:r w:rsidR="003837CC">
        <w:t xml:space="preserve"> predicts that</w:t>
      </w:r>
      <w:r w:rsidR="001775B6">
        <w:t xml:space="preserve"> smoking prevalence in the counterfactual world without the </w:t>
      </w:r>
      <w:r w:rsidR="001775B6">
        <w:lastRenderedPageBreak/>
        <w:t xml:space="preserve">2012 packaging changes </w:t>
      </w:r>
      <w:r w:rsidR="003837CC">
        <w:t>would have been</w:t>
      </w:r>
      <w:r>
        <w:t xml:space="preserve"> about </w:t>
      </w:r>
      <w:r w:rsidR="001775B6">
        <w:t>17.7</w:t>
      </w:r>
      <w:r>
        <w:t xml:space="preserve">7 percent.  </w:t>
      </w:r>
      <w:r w:rsidR="00212B6C">
        <w:t xml:space="preserve">Thus, </w:t>
      </w:r>
      <w:r>
        <w:t>the</w:t>
      </w:r>
      <w:r w:rsidR="00212B6C">
        <w:t xml:space="preserve"> </w:t>
      </w:r>
      <w:r w:rsidR="0089591D">
        <w:t xml:space="preserve">model indicates that the </w:t>
      </w:r>
      <w:r w:rsidR="00E50639">
        <w:t>effect of the 2012 p</w:t>
      </w:r>
      <w:r w:rsidR="00E43C8F">
        <w:t>ackaging</w:t>
      </w:r>
      <w:r w:rsidR="00E50639">
        <w:t xml:space="preserve"> changes </w:t>
      </w:r>
      <w:r w:rsidR="0089591D">
        <w:t xml:space="preserve">has been to </w:t>
      </w:r>
      <w:r w:rsidR="00E50639">
        <w:t xml:space="preserve">reduce smoking prevalence by </w:t>
      </w:r>
      <w:r w:rsidR="00212B6C">
        <w:t>approximately 0.5</w:t>
      </w:r>
      <w:r w:rsidR="005F5487">
        <w:t>5</w:t>
      </w:r>
      <w:r w:rsidR="00212B6C">
        <w:t xml:space="preserve"> percentage points</w:t>
      </w:r>
      <w:r w:rsidR="00DE3E41">
        <w:t>, the difference between predicted actual and predicted counterfactual prevalence estimates</w:t>
      </w:r>
      <w:r w:rsidR="0089591D">
        <w:t>.</w:t>
      </w:r>
      <w:r w:rsidR="005457D7">
        <w:rPr>
          <w:rStyle w:val="FootnoteReference"/>
        </w:rPr>
        <w:footnoteReference w:id="32"/>
      </w:r>
      <w:r w:rsidR="0089591D">
        <w:t xml:space="preserve">  </w:t>
      </w:r>
      <w:r w:rsidR="004722EE">
        <w:t>The 95 percent confidence interval around this estimate ranges from -1.01 percentage points to -0.095 percentage points, indicating high confidence that my estimated impact of the 2012 packaging changes is statistically different from zero.</w:t>
      </w:r>
    </w:p>
    <w:p w14:paraId="060B1825" w14:textId="76220A2C" w:rsidR="00352A1D" w:rsidRDefault="004722EE" w:rsidP="001775B6">
      <w:pPr>
        <w:pStyle w:val="BodyText"/>
        <w:numPr>
          <w:ilvl w:val="3"/>
          <w:numId w:val="2"/>
        </w:numPr>
        <w:tabs>
          <w:tab w:val="clear" w:pos="1260"/>
          <w:tab w:val="num" w:pos="0"/>
          <w:tab w:val="num" w:pos="720"/>
        </w:tabs>
        <w:spacing w:before="120" w:line="360" w:lineRule="auto"/>
        <w:ind w:left="0" w:firstLine="720"/>
      </w:pPr>
      <w:r>
        <w:t xml:space="preserve"> </w:t>
      </w:r>
      <w:r w:rsidR="0089591D">
        <w:t>Put differently,</w:t>
      </w:r>
      <w:r>
        <w:t xml:space="preserve"> as shown in</w:t>
      </w:r>
      <w:r w:rsidRPr="00B157B2">
        <w:t xml:space="preserve"> </w:t>
      </w:r>
      <w:r w:rsidR="00B157B2" w:rsidRPr="00B157B2">
        <w:fldChar w:fldCharType="begin"/>
      </w:r>
      <w:r w:rsidR="00B157B2" w:rsidRPr="00B157B2">
        <w:instrText xml:space="preserve"> REF _Ref444092908 \h </w:instrText>
      </w:r>
      <w:r w:rsidR="00B157B2" w:rsidRPr="00973478">
        <w:instrText xml:space="preserve"> \* MERGEFORMAT </w:instrText>
      </w:r>
      <w:r w:rsidR="00B157B2" w:rsidRPr="00B157B2">
        <w:fldChar w:fldCharType="separate"/>
      </w:r>
      <w:r w:rsidR="00C62F5C" w:rsidRPr="00973478">
        <w:rPr>
          <w:szCs w:val="24"/>
        </w:rPr>
        <w:t>Table</w:t>
      </w:r>
      <w:r w:rsidR="00C62F5C" w:rsidRPr="00C62F5C">
        <w:t xml:space="preserve"> 1</w:t>
      </w:r>
      <w:r w:rsidR="00B157B2" w:rsidRPr="00B157B2">
        <w:fldChar w:fldCharType="end"/>
      </w:r>
      <w:r w:rsidR="00DB0034">
        <w:t xml:space="preserve"> </w:t>
      </w:r>
      <w:r w:rsidR="0089591D">
        <w:t>smoking prevalence in Australia declined from an average of 19.4 percent</w:t>
      </w:r>
      <w:r>
        <w:t xml:space="preserve"> in the 34 months before the 2012 packaging changes</w:t>
      </w:r>
      <w:r w:rsidR="0089591D">
        <w:t xml:space="preserve"> to an average of 17.2 percent</w:t>
      </w:r>
      <w:r>
        <w:t xml:space="preserve"> in</w:t>
      </w:r>
      <w:r w:rsidR="0089591D">
        <w:t xml:space="preserve"> the 3</w:t>
      </w:r>
      <w:r w:rsidR="008D17AD">
        <w:t xml:space="preserve">4 </w:t>
      </w:r>
      <w:r w:rsidR="0089591D">
        <w:t xml:space="preserve">months </w:t>
      </w:r>
      <w:r>
        <w:t xml:space="preserve">after </w:t>
      </w:r>
      <w:r w:rsidR="0089591D">
        <w:t>the 2012 p</w:t>
      </w:r>
      <w:r w:rsidR="00E43C8F">
        <w:t>ackaging</w:t>
      </w:r>
      <w:r w:rsidR="0089591D">
        <w:t xml:space="preserve"> changes.  Without the 2012 packaging changes, </w:t>
      </w:r>
      <w:r w:rsidR="005457D7">
        <w:t>the</w:t>
      </w:r>
      <w:r>
        <w:t xml:space="preserve"> model predicts that </w:t>
      </w:r>
      <w:r w:rsidR="0089591D">
        <w:t>smoking prevalence would have still declined, but only to 17.7</w:t>
      </w:r>
      <w:r w:rsidR="005457D7">
        <w:t>7</w:t>
      </w:r>
      <w:r w:rsidR="0089591D">
        <w:t xml:space="preserve"> percent.  Thus, the packaging changes should be credited with about 0.55 percentage points (or </w:t>
      </w:r>
      <w:r w:rsidR="005075CB">
        <w:t xml:space="preserve">about </w:t>
      </w:r>
      <w:r w:rsidR="0089591D">
        <w:t>2</w:t>
      </w:r>
      <w:r w:rsidR="005075CB">
        <w:t>5</w:t>
      </w:r>
      <w:r w:rsidR="0089591D">
        <w:t xml:space="preserve"> percent) of the 2.2 percentage points of actual decline over this period.</w:t>
      </w:r>
      <w:r w:rsidR="00212B6C">
        <w:t xml:space="preserve">  Similar effects are seen across all </w:t>
      </w:r>
      <w:r w:rsidR="0030077B">
        <w:t xml:space="preserve">of </w:t>
      </w:r>
      <w:r w:rsidR="00212B6C">
        <w:t xml:space="preserve">the </w:t>
      </w:r>
      <w:r>
        <w:t>specifications shown in Table 4</w:t>
      </w:r>
      <w:r w:rsidR="00212B6C">
        <w:t>.</w:t>
      </w:r>
      <w:r w:rsidR="005A58A3">
        <w:t xml:space="preserve">  </w:t>
      </w:r>
    </w:p>
    <w:p w14:paraId="72AA0959" w14:textId="5283661A" w:rsidR="00664673" w:rsidRDefault="00664673" w:rsidP="008214E8">
      <w:pPr>
        <w:pStyle w:val="BodyText"/>
        <w:numPr>
          <w:ilvl w:val="3"/>
          <w:numId w:val="2"/>
        </w:numPr>
        <w:tabs>
          <w:tab w:val="clear" w:pos="1260"/>
          <w:tab w:val="num" w:pos="0"/>
          <w:tab w:val="num" w:pos="720"/>
        </w:tabs>
        <w:spacing w:before="120" w:line="360" w:lineRule="auto"/>
        <w:ind w:left="0" w:firstLine="720"/>
      </w:pPr>
      <w:r>
        <w:t xml:space="preserve">A </w:t>
      </w:r>
      <w:r w:rsidR="00D51DC8">
        <w:t>detailed</w:t>
      </w:r>
      <w:r>
        <w:t xml:space="preserve"> look at the full set of results (presented in </w:t>
      </w:r>
      <w:hyperlink w:anchor="_Appendix_D_–" w:history="1">
        <w:r w:rsidRPr="00B87FC4">
          <w:rPr>
            <w:rStyle w:val="Hyperlink"/>
          </w:rPr>
          <w:t xml:space="preserve">Appendix </w:t>
        </w:r>
        <w:r w:rsidR="00EE574A" w:rsidRPr="00B87FC4">
          <w:rPr>
            <w:rStyle w:val="Hyperlink"/>
          </w:rPr>
          <w:t>D</w:t>
        </w:r>
      </w:hyperlink>
      <w:r>
        <w:t xml:space="preserve">) shows that the vast majority of other explanatory variables included in the regression model are statistically significant and have </w:t>
      </w:r>
      <w:r w:rsidR="0089591D">
        <w:t xml:space="preserve">the expected </w:t>
      </w:r>
      <w:r>
        <w:t>signs</w:t>
      </w:r>
      <w:r w:rsidR="0089591D">
        <w:t>, meaning that the</w:t>
      </w:r>
      <w:r w:rsidR="00EE3121">
        <w:t xml:space="preserve"> estimated effects are directionally consistent with prior research</w:t>
      </w:r>
      <w:r>
        <w:t xml:space="preserve">.  For example, </w:t>
      </w:r>
      <w:r w:rsidR="00D51DC8">
        <w:t xml:space="preserve">excise </w:t>
      </w:r>
      <w:r>
        <w:t>tax policies are all associated with declines in smoking prevalence.  The largest tax effect</w:t>
      </w:r>
      <w:r w:rsidR="00D51DC8">
        <w:t xml:space="preserve">, </w:t>
      </w:r>
      <w:r>
        <w:t>both in terms of magnitude and statistical significance</w:t>
      </w:r>
      <w:r w:rsidR="00D51DC8">
        <w:t>,</w:t>
      </w:r>
      <w:r>
        <w:t xml:space="preserve"> is associated with the tax increase</w:t>
      </w:r>
      <w:r w:rsidR="00D51DC8">
        <w:t xml:space="preserve"> in </w:t>
      </w:r>
      <w:r w:rsidR="00896330">
        <w:t>April</w:t>
      </w:r>
      <w:r w:rsidR="00D51DC8">
        <w:t xml:space="preserve"> 2010</w:t>
      </w:r>
      <w:r>
        <w:t xml:space="preserve">, which was the first and largest excise tax increase </w:t>
      </w:r>
      <w:r w:rsidR="00C6369D">
        <w:t>during</w:t>
      </w:r>
      <w:r>
        <w:t xml:space="preserve"> this period.  In addition, as expected</w:t>
      </w:r>
      <w:r w:rsidR="004722EE">
        <w:t xml:space="preserve">, </w:t>
      </w:r>
      <w:r w:rsidR="005457D7">
        <w:t>the</w:t>
      </w:r>
      <w:r w:rsidR="004722EE">
        <w:t xml:space="preserve"> model </w:t>
      </w:r>
      <w:r w:rsidR="005457D7">
        <w:t>finds</w:t>
      </w:r>
      <w:r w:rsidR="004722EE">
        <w:t xml:space="preserve"> that</w:t>
      </w:r>
      <w:r>
        <w:t xml:space="preserve">: (a) married people are less likely to smoke than unmarried people; (b) employed people are less likely to smoke than unemployed people; </w:t>
      </w:r>
      <w:r w:rsidR="00896330">
        <w:t xml:space="preserve">and </w:t>
      </w:r>
      <w:r>
        <w:t xml:space="preserve">(c) educated people are less likely to smoke than uneducated people.   </w:t>
      </w:r>
      <w:r w:rsidR="00C27007">
        <w:t>Each of these effects is statistically significant at conventional thresholds.</w:t>
      </w:r>
      <w:r w:rsidR="00C77357">
        <w:t xml:space="preserve">  The model is not able to </w:t>
      </w:r>
      <w:r w:rsidR="0016458D">
        <w:t>measure a statistically significant effect of t</w:t>
      </w:r>
      <w:r w:rsidR="00C77357">
        <w:t>he 2006 graphic health warnings</w:t>
      </w:r>
      <w:r w:rsidR="0016458D">
        <w:t>.</w:t>
      </w:r>
      <w:r w:rsidR="00D21C22">
        <w:rPr>
          <w:rStyle w:val="FootnoteReference"/>
        </w:rPr>
        <w:footnoteReference w:id="33"/>
      </w:r>
    </w:p>
    <w:p w14:paraId="0035873C" w14:textId="77777777" w:rsidR="008F770E" w:rsidRDefault="008F770E" w:rsidP="008214E8">
      <w:pPr>
        <w:pStyle w:val="BodyText"/>
        <w:numPr>
          <w:ilvl w:val="3"/>
          <w:numId w:val="2"/>
        </w:numPr>
        <w:tabs>
          <w:tab w:val="clear" w:pos="1260"/>
          <w:tab w:val="num" w:pos="0"/>
          <w:tab w:val="num" w:pos="720"/>
        </w:tabs>
        <w:spacing w:before="120" w:line="360" w:lineRule="auto"/>
        <w:ind w:left="0" w:firstLine="720"/>
      </w:pPr>
      <w:r>
        <w:lastRenderedPageBreak/>
        <w:t xml:space="preserve">Finally, to </w:t>
      </w:r>
      <w:r w:rsidR="005C6DC5">
        <w:t xml:space="preserve">probe the </w:t>
      </w:r>
      <w:r>
        <w:t xml:space="preserve">robustness of the </w:t>
      </w:r>
      <w:r w:rsidR="003F37A3">
        <w:t xml:space="preserve">empirical </w:t>
      </w:r>
      <w:r>
        <w:t xml:space="preserve">finding that </w:t>
      </w:r>
      <w:r w:rsidR="00EE3121">
        <w:t>the 2012 packaging changes are</w:t>
      </w:r>
      <w:r w:rsidR="008214E8" w:rsidRPr="00BD2688">
        <w:t xml:space="preserve"> associated with a statistically significant reduction in smoking prevalence</w:t>
      </w:r>
      <w:r>
        <w:t xml:space="preserve">, I explored various </w:t>
      </w:r>
      <w:r w:rsidR="008214E8" w:rsidRPr="00BD2688">
        <w:t>alt</w:t>
      </w:r>
      <w:r>
        <w:t>ernative model specifications, including:</w:t>
      </w:r>
    </w:p>
    <w:p w14:paraId="2091AB7E" w14:textId="77777777" w:rsidR="008F770E" w:rsidRPr="00184D81" w:rsidRDefault="008F770E" w:rsidP="006A602D">
      <w:pPr>
        <w:pStyle w:val="BulletedList"/>
      </w:pPr>
      <w:r w:rsidRPr="00184D81">
        <w:rPr>
          <w:rStyle w:val="Emphasis"/>
        </w:rPr>
        <w:t>Controlling for seasonality</w:t>
      </w:r>
      <w:r w:rsidRPr="006A602D">
        <w:rPr>
          <w:rStyle w:val="Emphasis"/>
        </w:rPr>
        <w:t>:</w:t>
      </w:r>
      <w:r w:rsidRPr="00184D81">
        <w:t xml:space="preserve"> </w:t>
      </w:r>
      <w:r w:rsidR="004722EE" w:rsidRPr="00184D81">
        <w:t>The literature suggests</w:t>
      </w:r>
      <w:r w:rsidR="000E3FC8" w:rsidRPr="00184D81">
        <w:t xml:space="preserve"> that smoking behavior varies over the course of the year due to factors such as weather and the holiday</w:t>
      </w:r>
      <w:r w:rsidR="00CE5CB4" w:rsidRPr="00184D81">
        <w:t>s</w:t>
      </w:r>
      <w:r w:rsidR="000E3FC8" w:rsidRPr="00184D81">
        <w:t>.</w:t>
      </w:r>
      <w:r w:rsidR="000E3FC8" w:rsidRPr="00723F9B">
        <w:rPr>
          <w:rStyle w:val="FootnoteReference"/>
        </w:rPr>
        <w:footnoteReference w:id="34"/>
      </w:r>
      <w:r w:rsidR="000E3FC8" w:rsidRPr="00184D81">
        <w:t xml:space="preserve">  </w:t>
      </w:r>
      <w:r w:rsidR="00CE5CB4" w:rsidRPr="00184D81">
        <w:t>Compared to other smoking metrics such as consumption,</w:t>
      </w:r>
      <w:r w:rsidR="004722EE" w:rsidRPr="00184D81">
        <w:t xml:space="preserve"> however, I expect that</w:t>
      </w:r>
      <w:r w:rsidR="00CE5CB4" w:rsidRPr="00184D81">
        <w:t xml:space="preserve"> smoking prevalence is less likely to be affected by seasonality because of the addictive nature of smoking.  It is unlikely for smokers to switch back and forth between smoking and not smoking from month to month.  Nonetheless, I control for seasonality by introducing</w:t>
      </w:r>
      <w:r w:rsidR="00EE3121" w:rsidRPr="00184D81">
        <w:t xml:space="preserve"> a set of calendar</w:t>
      </w:r>
      <w:r w:rsidR="00CE5CB4" w:rsidRPr="00184D81">
        <w:t xml:space="preserve"> month indicators to the regression model.</w:t>
      </w:r>
    </w:p>
    <w:p w14:paraId="0F6CB813" w14:textId="77777777" w:rsidR="00FE66F8" w:rsidRDefault="00FE66F8" w:rsidP="006A602D">
      <w:pPr>
        <w:pStyle w:val="BulletedList"/>
      </w:pPr>
      <w:r w:rsidRPr="00973478">
        <w:rPr>
          <w:rStyle w:val="Emphasis"/>
        </w:rPr>
        <w:t xml:space="preserve">Replacing </w:t>
      </w:r>
      <w:r w:rsidR="004722EE" w:rsidRPr="00973478">
        <w:rPr>
          <w:rStyle w:val="Emphasis"/>
        </w:rPr>
        <w:t xml:space="preserve">the </w:t>
      </w:r>
      <w:r w:rsidRPr="00973478">
        <w:rPr>
          <w:rStyle w:val="Emphasis"/>
        </w:rPr>
        <w:t xml:space="preserve">tax </w:t>
      </w:r>
      <w:r w:rsidR="00CE5CB4" w:rsidRPr="00973478">
        <w:rPr>
          <w:rStyle w:val="Emphasis"/>
        </w:rPr>
        <w:t>policy indicator variables</w:t>
      </w:r>
      <w:r w:rsidRPr="00973478">
        <w:rPr>
          <w:rStyle w:val="Emphasis"/>
        </w:rPr>
        <w:t xml:space="preserve"> with excise tax amount:</w:t>
      </w:r>
      <w:r>
        <w:t xml:space="preserve"> </w:t>
      </w:r>
      <w:r w:rsidR="00CE5CB4">
        <w:t>As discussed previously, the use of a series of indicator variables instead of a continuous excise tax variable is a more flexible way to account for the effect</w:t>
      </w:r>
      <w:r w:rsidR="00EE3121">
        <w:t xml:space="preserve"> of price increases</w:t>
      </w:r>
      <w:r w:rsidR="004722EE">
        <w:t xml:space="preserve"> on smoking prevalence</w:t>
      </w:r>
      <w:r w:rsidR="00CE5CB4">
        <w:t xml:space="preserve"> without imposing the </w:t>
      </w:r>
      <w:r w:rsidR="00CE5CB4">
        <w:rPr>
          <w:szCs w:val="24"/>
        </w:rPr>
        <w:t xml:space="preserve">assumption that the effect of tax increases on smoking prevalence is proportional to the size of the tax increase.  </w:t>
      </w:r>
      <w:r w:rsidR="005457D7">
        <w:rPr>
          <w:szCs w:val="24"/>
        </w:rPr>
        <w:t xml:space="preserve">If </w:t>
      </w:r>
      <w:r w:rsidR="00CE5CB4">
        <w:rPr>
          <w:szCs w:val="24"/>
        </w:rPr>
        <w:t xml:space="preserve">the </w:t>
      </w:r>
      <w:r w:rsidR="004722EE">
        <w:rPr>
          <w:szCs w:val="24"/>
        </w:rPr>
        <w:t xml:space="preserve">proportionality </w:t>
      </w:r>
      <w:r w:rsidR="00CE5CB4">
        <w:rPr>
          <w:szCs w:val="24"/>
        </w:rPr>
        <w:t>assumption holds, estimating the more restrictive model</w:t>
      </w:r>
      <w:r w:rsidR="004722EE">
        <w:rPr>
          <w:szCs w:val="24"/>
        </w:rPr>
        <w:t xml:space="preserve"> with a single variable for tax amounts</w:t>
      </w:r>
      <w:r w:rsidR="00CE5CB4">
        <w:rPr>
          <w:szCs w:val="24"/>
        </w:rPr>
        <w:t xml:space="preserve"> may improve </w:t>
      </w:r>
      <w:r w:rsidR="004722EE">
        <w:rPr>
          <w:szCs w:val="24"/>
        </w:rPr>
        <w:t xml:space="preserve">the </w:t>
      </w:r>
      <w:r w:rsidR="00CE5CB4">
        <w:rPr>
          <w:szCs w:val="24"/>
        </w:rPr>
        <w:t>precision of the estimate</w:t>
      </w:r>
      <w:r w:rsidR="00145C50">
        <w:rPr>
          <w:szCs w:val="24"/>
        </w:rPr>
        <w:t>d coefficients</w:t>
      </w:r>
      <w:r w:rsidR="00CE5CB4">
        <w:rPr>
          <w:szCs w:val="24"/>
        </w:rPr>
        <w:t>.</w:t>
      </w:r>
      <w:r w:rsidR="00CE5CB4">
        <w:rPr>
          <w:rStyle w:val="FootnoteReference"/>
          <w:szCs w:val="24"/>
        </w:rPr>
        <w:footnoteReference w:id="35"/>
      </w:r>
    </w:p>
    <w:p w14:paraId="58DE74B6" w14:textId="77777777" w:rsidR="008F770E" w:rsidRPr="00611648" w:rsidRDefault="008F770E" w:rsidP="006A602D">
      <w:pPr>
        <w:pStyle w:val="BulletedList"/>
      </w:pPr>
      <w:r w:rsidRPr="00973478">
        <w:rPr>
          <w:rStyle w:val="Emphasis"/>
        </w:rPr>
        <w:t>Aggregating demographic groups</w:t>
      </w:r>
      <w:r w:rsidRPr="00611648">
        <w:t xml:space="preserve">: </w:t>
      </w:r>
      <w:r w:rsidR="005D47BF">
        <w:t>Allowing more disaggregated demographic groups is</w:t>
      </w:r>
      <w:r w:rsidR="00767021">
        <w:t xml:space="preserve"> a flexible way to account for </w:t>
      </w:r>
      <w:r w:rsidR="00502F5F">
        <w:t xml:space="preserve">the effect of </w:t>
      </w:r>
      <w:r w:rsidR="00767021">
        <w:t xml:space="preserve">sociodemographic characteristics </w:t>
      </w:r>
      <w:r w:rsidR="00502F5F">
        <w:t xml:space="preserve">on smoking prevalence, </w:t>
      </w:r>
      <w:r w:rsidR="00767021">
        <w:t>without imposing any assumption on the effect</w:t>
      </w:r>
      <w:r w:rsidR="00502F5F">
        <w:t>s</w:t>
      </w:r>
      <w:r w:rsidR="00767021">
        <w:t xml:space="preserve"> </w:t>
      </w:r>
      <w:r w:rsidR="00502F5F">
        <w:t>across</w:t>
      </w:r>
      <w:r w:rsidR="00767021">
        <w:t xml:space="preserve"> different demographic groups (e.g., the “less than 5,000” income category versus the “5,000 to 10,000” income category).  </w:t>
      </w:r>
      <w:r w:rsidR="00502F5F">
        <w:t>To the extent that smoking prevalence is similar across certain demographic groups, a</w:t>
      </w:r>
      <w:r w:rsidR="00767021">
        <w:t>ggregati</w:t>
      </w:r>
      <w:r w:rsidR="00145C50">
        <w:t>ng</w:t>
      </w:r>
      <w:r w:rsidR="00767021">
        <w:t xml:space="preserve"> </w:t>
      </w:r>
      <w:r w:rsidR="00502F5F">
        <w:t xml:space="preserve">these </w:t>
      </w:r>
      <w:r w:rsidR="00767021">
        <w:t xml:space="preserve">demographic groups </w:t>
      </w:r>
      <w:r w:rsidR="00502F5F">
        <w:t>could improve</w:t>
      </w:r>
      <w:r w:rsidR="00145C50">
        <w:t xml:space="preserve"> the</w:t>
      </w:r>
      <w:r w:rsidR="00502F5F">
        <w:t xml:space="preserve"> precision of the</w:t>
      </w:r>
      <w:r w:rsidR="00145C50">
        <w:t xml:space="preserve"> estimated coefficients</w:t>
      </w:r>
      <w:r w:rsidR="00502F5F">
        <w:t>.</w:t>
      </w:r>
    </w:p>
    <w:p w14:paraId="693052B7" w14:textId="77777777" w:rsidR="008F770E" w:rsidRPr="00611648" w:rsidRDefault="005D47BF" w:rsidP="006A602D">
      <w:pPr>
        <w:pStyle w:val="BulletedList"/>
      </w:pPr>
      <w:r w:rsidRPr="00184D81">
        <w:rPr>
          <w:rStyle w:val="Emphasis"/>
        </w:rPr>
        <w:lastRenderedPageBreak/>
        <w:t>Alternative statistical model</w:t>
      </w:r>
      <w:r w:rsidR="008F770E" w:rsidRPr="006A602D">
        <w:rPr>
          <w:rStyle w:val="Emphasis"/>
        </w:rPr>
        <w:t>:</w:t>
      </w:r>
      <w:r w:rsidR="008F770E" w:rsidRPr="00611648">
        <w:t xml:space="preserve"> </w:t>
      </w:r>
      <w:r w:rsidR="00502F5F">
        <w:t xml:space="preserve">Both </w:t>
      </w:r>
      <w:proofErr w:type="spellStart"/>
      <w:r>
        <w:t>p</w:t>
      </w:r>
      <w:r w:rsidR="00502F5F">
        <w:t>robit</w:t>
      </w:r>
      <w:proofErr w:type="spellEnd"/>
      <w:r w:rsidR="00502F5F">
        <w:t xml:space="preserve"> and </w:t>
      </w:r>
      <w:r>
        <w:t>l</w:t>
      </w:r>
      <w:r w:rsidR="00502F5F">
        <w:t>ogit models are widely used in the academic literature when the dependent variable is a binary variable.</w:t>
      </w:r>
      <w:r w:rsidR="00502F5F">
        <w:rPr>
          <w:rStyle w:val="FootnoteReference"/>
        </w:rPr>
        <w:footnoteReference w:id="36"/>
      </w:r>
      <w:r w:rsidR="00502F5F">
        <w:t xml:space="preserve">  The two models differ in the assumption regarding the distribution of the disturbance or error term.</w:t>
      </w:r>
      <w:r w:rsidR="00502F5F" w:rsidRPr="00611648" w:rsidDel="00502F5F">
        <w:t xml:space="preserve"> </w:t>
      </w:r>
      <w:r w:rsidR="00502F5F">
        <w:t xml:space="preserve"> Estimation of </w:t>
      </w:r>
      <w:r w:rsidR="009F563A">
        <w:t>a</w:t>
      </w:r>
      <w:r w:rsidR="00502F5F">
        <w:t xml:space="preserve"> </w:t>
      </w:r>
      <w:r>
        <w:t>l</w:t>
      </w:r>
      <w:r w:rsidR="00502F5F">
        <w:t>ogi</w:t>
      </w:r>
      <w:r>
        <w:t>t</w:t>
      </w:r>
      <w:r w:rsidR="009F563A">
        <w:t xml:space="preserve"> model</w:t>
      </w:r>
      <w:r>
        <w:t>, instead of</w:t>
      </w:r>
      <w:r w:rsidR="009F563A">
        <w:t xml:space="preserve"> a</w:t>
      </w:r>
      <w:r>
        <w:t xml:space="preserve"> probit</w:t>
      </w:r>
      <w:r w:rsidR="009F563A">
        <w:t xml:space="preserve"> model</w:t>
      </w:r>
      <w:r>
        <w:t xml:space="preserve">, </w:t>
      </w:r>
      <w:r w:rsidR="00502F5F">
        <w:t>therefore tests the sensitivity of my findings with respect to the distributional assumption of the disturbance term.</w:t>
      </w:r>
    </w:p>
    <w:p w14:paraId="7DE22632" w14:textId="77777777" w:rsidR="008214E8" w:rsidRPr="00BD2688" w:rsidRDefault="006D6F31" w:rsidP="008F770E">
      <w:pPr>
        <w:pStyle w:val="BodyText"/>
        <w:numPr>
          <w:ilvl w:val="0"/>
          <w:numId w:val="0"/>
        </w:numPr>
        <w:tabs>
          <w:tab w:val="num" w:pos="1080"/>
        </w:tabs>
        <w:spacing w:before="120" w:line="360" w:lineRule="auto"/>
      </w:pPr>
      <w:r>
        <w:t>For each of the alternative model specifications</w:t>
      </w:r>
      <w:r w:rsidR="00A44E45">
        <w:t xml:space="preserve">, I find that </w:t>
      </w:r>
      <w:r w:rsidR="00EE3121">
        <w:t xml:space="preserve">2012 packaging changes are </w:t>
      </w:r>
      <w:r w:rsidR="00A44E45">
        <w:t>associated with a statistically significant reduction in smoking prevalence.</w:t>
      </w:r>
      <w:r>
        <w:t xml:space="preserve"> Thus, my conclusions are unchanged.</w:t>
      </w:r>
    </w:p>
    <w:p w14:paraId="67E045B2" w14:textId="77777777" w:rsidR="008214E8" w:rsidRPr="00D77D0C" w:rsidRDefault="008214E8" w:rsidP="008214E8">
      <w:pPr>
        <w:pStyle w:val="Heading1"/>
        <w:rPr>
          <w:bCs w:val="0"/>
        </w:rPr>
      </w:pPr>
      <w:bookmarkStart w:id="40" w:name="_Toc441421159"/>
      <w:r>
        <w:t>Conclusion</w:t>
      </w:r>
      <w:bookmarkEnd w:id="40"/>
    </w:p>
    <w:p w14:paraId="289BBA7C" w14:textId="5E135BB7" w:rsidR="00D84A86" w:rsidRDefault="006610F0" w:rsidP="006610F0">
      <w:pPr>
        <w:pStyle w:val="BodyText"/>
        <w:numPr>
          <w:ilvl w:val="3"/>
          <w:numId w:val="2"/>
        </w:numPr>
        <w:tabs>
          <w:tab w:val="clear" w:pos="1260"/>
          <w:tab w:val="num" w:pos="0"/>
          <w:tab w:val="num" w:pos="720"/>
        </w:tabs>
        <w:spacing w:before="120" w:line="360" w:lineRule="auto"/>
        <w:ind w:left="0" w:firstLine="720"/>
      </w:pPr>
      <w:r>
        <w:t xml:space="preserve">The evidence shows that </w:t>
      </w:r>
      <w:r w:rsidR="00EE3121">
        <w:t>2012 packaging changes are</w:t>
      </w:r>
      <w:r>
        <w:t xml:space="preserve"> succeeding in reducing smoking prevalence</w:t>
      </w:r>
      <w:r w:rsidR="00CB40E6">
        <w:t xml:space="preserve"> beyond trend</w:t>
      </w:r>
      <w:r>
        <w:t xml:space="preserve">.  In terms of order of magnitude, </w:t>
      </w:r>
      <w:r w:rsidR="008C2048">
        <w:t xml:space="preserve">smoking prevalence </w:t>
      </w:r>
      <w:r w:rsidR="00EE3121">
        <w:t>is 0.55 percentage points</w:t>
      </w:r>
      <w:r w:rsidR="00BC5F2E">
        <w:t xml:space="preserve"> lower</w:t>
      </w:r>
      <w:r w:rsidR="00EE3121">
        <w:t xml:space="preserve"> </w:t>
      </w:r>
      <w:r w:rsidR="008C2048">
        <w:t xml:space="preserve">over the period December 2012 to September 2015 than it would have been </w:t>
      </w:r>
      <w:r w:rsidR="00BC5F2E">
        <w:t xml:space="preserve">without </w:t>
      </w:r>
      <w:r w:rsidR="00EE3121">
        <w:t>the packaging changes</w:t>
      </w:r>
      <w:r w:rsidR="008C2048">
        <w:t>.</w:t>
      </w:r>
      <w:r w:rsidR="001D3C84">
        <w:t xml:space="preserve">  For reasons I have explained, this effect is likely understated and </w:t>
      </w:r>
      <w:r w:rsidR="003F37A3">
        <w:t xml:space="preserve">is </w:t>
      </w:r>
      <w:r w:rsidR="001D3C84">
        <w:t>expected to grow over time.</w:t>
      </w:r>
      <w:r w:rsidR="00C5117F">
        <w:t xml:space="preserve">  This evidence supports the conclusion that the TPP Act is having its intended effect.</w:t>
      </w:r>
      <w:r w:rsidR="00D84A86" w:rsidDel="00D84A86">
        <w:t xml:space="preserve"> </w:t>
      </w:r>
    </w:p>
    <w:bookmarkEnd w:id="37"/>
    <w:bookmarkEnd w:id="38"/>
    <w:bookmarkEnd w:id="39"/>
    <w:p w14:paraId="67B2FBF6" w14:textId="77777777" w:rsidR="00FB1D67" w:rsidRPr="00590474" w:rsidRDefault="00FB1D67" w:rsidP="00136C13">
      <w:pPr>
        <w:pStyle w:val="BodyText"/>
        <w:numPr>
          <w:ilvl w:val="0"/>
          <w:numId w:val="0"/>
        </w:numPr>
        <w:tabs>
          <w:tab w:val="num" w:pos="1080"/>
        </w:tabs>
        <w:spacing w:before="120" w:line="360" w:lineRule="auto"/>
        <w:ind w:left="720"/>
      </w:pPr>
      <w:r w:rsidRPr="00590474">
        <w:t>________________________________</w:t>
      </w:r>
    </w:p>
    <w:p w14:paraId="4365CA27" w14:textId="727E714D" w:rsidR="004222A7" w:rsidRDefault="004222A7" w:rsidP="004222A7">
      <w:pPr>
        <w:pStyle w:val="BodyText"/>
        <w:numPr>
          <w:ilvl w:val="0"/>
          <w:numId w:val="0"/>
        </w:numPr>
        <w:tabs>
          <w:tab w:val="left" w:pos="4140"/>
        </w:tabs>
        <w:spacing w:before="120" w:after="0" w:line="240" w:lineRule="auto"/>
      </w:pPr>
      <w:r>
        <w:tab/>
      </w:r>
      <w:r w:rsidR="00FB1D67" w:rsidRPr="00590474">
        <w:t>Tasneem Chipty, Ph.D.</w:t>
      </w:r>
    </w:p>
    <w:p w14:paraId="5878FF62" w14:textId="7CBEF480" w:rsidR="00FB1D67" w:rsidRDefault="004222A7" w:rsidP="004222A7">
      <w:pPr>
        <w:pStyle w:val="BodyText"/>
        <w:numPr>
          <w:ilvl w:val="0"/>
          <w:numId w:val="0"/>
        </w:numPr>
        <w:tabs>
          <w:tab w:val="left" w:pos="4140"/>
        </w:tabs>
        <w:spacing w:before="120" w:after="0" w:line="240" w:lineRule="auto"/>
        <w:ind w:firstLine="720"/>
      </w:pPr>
      <w:r>
        <w:tab/>
      </w:r>
      <w:r w:rsidR="008214E8">
        <w:t xml:space="preserve">January </w:t>
      </w:r>
      <w:r>
        <w:t xml:space="preserve">24, </w:t>
      </w:r>
      <w:r w:rsidR="008214E8">
        <w:t>2016</w:t>
      </w:r>
    </w:p>
    <w:p w14:paraId="34EA2579" w14:textId="77777777" w:rsidR="00EE574A" w:rsidRDefault="00EE574A">
      <w:pPr>
        <w:rPr>
          <w:rFonts w:eastAsia="Times New Roman" w:cs="Arial"/>
          <w:b/>
          <w:bCs/>
          <w:kern w:val="32"/>
          <w:szCs w:val="32"/>
        </w:rPr>
      </w:pPr>
      <w:r>
        <w:br w:type="page"/>
      </w:r>
    </w:p>
    <w:p w14:paraId="15AC68C1" w14:textId="77777777" w:rsidR="003F37A3" w:rsidRPr="00D84A86" w:rsidRDefault="003F37A3" w:rsidP="00136C13">
      <w:pPr>
        <w:pStyle w:val="Heading1"/>
        <w:numPr>
          <w:ilvl w:val="0"/>
          <w:numId w:val="0"/>
        </w:numPr>
        <w:jc w:val="center"/>
      </w:pPr>
      <w:bookmarkStart w:id="41" w:name="_Appendix_A_–"/>
      <w:bookmarkStart w:id="42" w:name="_Toc441421160"/>
      <w:bookmarkEnd w:id="41"/>
      <w:r w:rsidRPr="00D84A86">
        <w:lastRenderedPageBreak/>
        <w:t xml:space="preserve">Appendix </w:t>
      </w:r>
      <w:proofErr w:type="gramStart"/>
      <w:r w:rsidRPr="00D84A86">
        <w:t>A</w:t>
      </w:r>
      <w:proofErr w:type="gramEnd"/>
      <w:r w:rsidR="00EF61B8" w:rsidRPr="00D84A86">
        <w:t xml:space="preserve"> – </w:t>
      </w:r>
      <w:r w:rsidR="004A3EFE" w:rsidRPr="00D84A86">
        <w:t>Curriculum Vitae</w:t>
      </w:r>
      <w:bookmarkEnd w:id="42"/>
    </w:p>
    <w:p w14:paraId="235390B5" w14:textId="77777777" w:rsidR="007B68FE" w:rsidRPr="00136C13" w:rsidRDefault="007B68FE" w:rsidP="00136C13">
      <w:pPr>
        <w:ind w:left="0" w:firstLine="0"/>
        <w:jc w:val="center"/>
        <w:rPr>
          <w:b/>
        </w:rPr>
      </w:pPr>
      <w:r w:rsidRPr="00136C13">
        <w:rPr>
          <w:b/>
        </w:rPr>
        <w:t>Tasneem Chipty</w:t>
      </w:r>
    </w:p>
    <w:p w14:paraId="57E34253" w14:textId="77777777" w:rsidR="007B68FE" w:rsidRPr="00136C13" w:rsidRDefault="007B68FE" w:rsidP="00136C13">
      <w:pPr>
        <w:ind w:left="0" w:firstLine="0"/>
        <w:jc w:val="center"/>
        <w:rPr>
          <w:b/>
        </w:rPr>
      </w:pPr>
      <w:r w:rsidRPr="00136C13">
        <w:rPr>
          <w:b/>
        </w:rPr>
        <w:t>Managing Principal</w:t>
      </w:r>
    </w:p>
    <w:p w14:paraId="44744A6F" w14:textId="77777777" w:rsidR="007B68FE" w:rsidRPr="007B68FE" w:rsidRDefault="007B68FE" w:rsidP="007B68FE">
      <w:pPr>
        <w:spacing w:before="0" w:after="60"/>
        <w:ind w:left="0" w:firstLine="0"/>
        <w:rPr>
          <w:rFonts w:eastAsia="Times New Roman"/>
          <w:sz w:val="22"/>
        </w:rPr>
      </w:pPr>
    </w:p>
    <w:tbl>
      <w:tblPr>
        <w:tblStyle w:val="TableGrid1"/>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Table outlining Tasneen Chipty's contact details."/>
      </w:tblPr>
      <w:tblGrid>
        <w:gridCol w:w="5220"/>
        <w:gridCol w:w="4320"/>
      </w:tblGrid>
      <w:tr w:rsidR="007B68FE" w:rsidRPr="007B68FE" w14:paraId="0F8DF101" w14:textId="77777777" w:rsidTr="00136C13">
        <w:trPr>
          <w:tblHeader/>
        </w:trPr>
        <w:tc>
          <w:tcPr>
            <w:tcW w:w="5220" w:type="dxa"/>
            <w:tcBorders>
              <w:top w:val="nil"/>
            </w:tcBorders>
            <w:shd w:val="clear" w:color="auto" w:fill="auto"/>
          </w:tcPr>
          <w:p w14:paraId="3C586DD3" w14:textId="77777777" w:rsidR="007B68FE" w:rsidRPr="007B68FE" w:rsidRDefault="007B68FE" w:rsidP="007B68FE">
            <w:pPr>
              <w:spacing w:after="60"/>
              <w:rPr>
                <w:sz w:val="20"/>
                <w:szCs w:val="20"/>
              </w:rPr>
            </w:pPr>
            <w:r w:rsidRPr="007B68FE">
              <w:rPr>
                <w:sz w:val="20"/>
                <w:szCs w:val="20"/>
              </w:rPr>
              <w:t>Office: (</w:t>
            </w:r>
            <w:r w:rsidRPr="007B68FE">
              <w:rPr>
                <w:bCs/>
                <w:sz w:val="20"/>
                <w:szCs w:val="20"/>
              </w:rPr>
              <w:t>617) 425 8122</w:t>
            </w:r>
          </w:p>
        </w:tc>
        <w:tc>
          <w:tcPr>
            <w:tcW w:w="4320" w:type="dxa"/>
            <w:shd w:val="clear" w:color="auto" w:fill="auto"/>
          </w:tcPr>
          <w:p w14:paraId="277A07E7" w14:textId="77777777" w:rsidR="007B68FE" w:rsidRPr="007B68FE" w:rsidRDefault="007B68FE" w:rsidP="007B68FE">
            <w:pPr>
              <w:spacing w:after="60"/>
              <w:jc w:val="right"/>
              <w:rPr>
                <w:sz w:val="20"/>
                <w:szCs w:val="20"/>
              </w:rPr>
            </w:pPr>
            <w:r w:rsidRPr="007B68FE">
              <w:rPr>
                <w:sz w:val="20"/>
                <w:szCs w:val="20"/>
              </w:rPr>
              <w:t>111 Huntington Avenue</w:t>
            </w:r>
          </w:p>
        </w:tc>
      </w:tr>
      <w:tr w:rsidR="007B68FE" w:rsidRPr="007B68FE" w14:paraId="665A9955" w14:textId="77777777" w:rsidTr="0041356A">
        <w:tc>
          <w:tcPr>
            <w:tcW w:w="5220" w:type="dxa"/>
            <w:shd w:val="clear" w:color="auto" w:fill="auto"/>
          </w:tcPr>
          <w:p w14:paraId="53635CCC" w14:textId="77777777" w:rsidR="007B68FE" w:rsidRPr="007B68FE" w:rsidRDefault="007B68FE" w:rsidP="007B68FE">
            <w:pPr>
              <w:spacing w:after="60"/>
              <w:rPr>
                <w:sz w:val="20"/>
                <w:szCs w:val="20"/>
              </w:rPr>
            </w:pPr>
            <w:r w:rsidRPr="007B68FE">
              <w:rPr>
                <w:sz w:val="20"/>
                <w:szCs w:val="20"/>
              </w:rPr>
              <w:t>Cell: (617) 697 6826</w:t>
            </w:r>
          </w:p>
        </w:tc>
        <w:tc>
          <w:tcPr>
            <w:tcW w:w="4320" w:type="dxa"/>
            <w:shd w:val="clear" w:color="auto" w:fill="auto"/>
          </w:tcPr>
          <w:p w14:paraId="25EBE91C" w14:textId="6FEF8D77" w:rsidR="007B68FE" w:rsidRPr="007B68FE" w:rsidRDefault="00620D39" w:rsidP="007B68FE">
            <w:pPr>
              <w:spacing w:after="60"/>
              <w:jc w:val="right"/>
              <w:rPr>
                <w:sz w:val="20"/>
                <w:szCs w:val="20"/>
              </w:rPr>
            </w:pPr>
            <w:r>
              <w:rPr>
                <w:sz w:val="20"/>
                <w:szCs w:val="20"/>
              </w:rPr>
              <w:t>Fourteenth</w:t>
            </w:r>
            <w:r w:rsidR="007B68FE" w:rsidRPr="007B68FE">
              <w:rPr>
                <w:sz w:val="20"/>
                <w:szCs w:val="20"/>
              </w:rPr>
              <w:t xml:space="preserve"> Floor</w:t>
            </w:r>
          </w:p>
        </w:tc>
      </w:tr>
      <w:tr w:rsidR="007B68FE" w:rsidRPr="007B68FE" w14:paraId="27830896" w14:textId="77777777" w:rsidTr="0041356A">
        <w:tc>
          <w:tcPr>
            <w:tcW w:w="5220" w:type="dxa"/>
            <w:shd w:val="clear" w:color="auto" w:fill="auto"/>
          </w:tcPr>
          <w:p w14:paraId="3CB93AA1" w14:textId="1D280BA7" w:rsidR="007B68FE" w:rsidRPr="002D47E9" w:rsidRDefault="004D5480" w:rsidP="007B68FE">
            <w:pPr>
              <w:spacing w:after="60"/>
              <w:rPr>
                <w:sz w:val="20"/>
                <w:szCs w:val="20"/>
              </w:rPr>
            </w:pPr>
            <w:hyperlink r:id="rId16" w:history="1">
              <w:r w:rsidR="007B68FE" w:rsidRPr="00F92A67">
                <w:rPr>
                  <w:rStyle w:val="Hyperlink"/>
                  <w:sz w:val="20"/>
                  <w:szCs w:val="20"/>
                </w:rPr>
                <w:t>tasneem.chipty@analysisgroup.com</w:t>
              </w:r>
            </w:hyperlink>
          </w:p>
        </w:tc>
        <w:tc>
          <w:tcPr>
            <w:tcW w:w="4320" w:type="dxa"/>
            <w:shd w:val="clear" w:color="auto" w:fill="auto"/>
          </w:tcPr>
          <w:p w14:paraId="290B09C8" w14:textId="77777777" w:rsidR="007B68FE" w:rsidRPr="007B68FE" w:rsidRDefault="007B68FE" w:rsidP="007B68FE">
            <w:pPr>
              <w:spacing w:after="60"/>
              <w:jc w:val="right"/>
              <w:rPr>
                <w:sz w:val="20"/>
                <w:szCs w:val="20"/>
              </w:rPr>
            </w:pPr>
            <w:r w:rsidRPr="007B68FE">
              <w:rPr>
                <w:sz w:val="20"/>
                <w:szCs w:val="20"/>
              </w:rPr>
              <w:t xml:space="preserve"> Boston, MA  02199</w:t>
            </w:r>
          </w:p>
        </w:tc>
      </w:tr>
    </w:tbl>
    <w:p w14:paraId="677FB09B" w14:textId="77777777" w:rsidR="00620D39" w:rsidRPr="00620D39"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620D39">
        <w:rPr>
          <w:rFonts w:eastAsia="Times New Roman"/>
          <w:sz w:val="22"/>
        </w:rPr>
        <w:t xml:space="preserve">Dr. Chipty is an expert in industrial organization, antitrust economics, and econometrics. She has advised clients on a range of competitive issues and has provided economic and econometric analyses of the impact of firms’ conduct on market outcomes and the effects of government policies on consumer behavior.  Dr. Chipty has studied numerous industries, including airlines, broadcast and satellite radio, cable and satellite television, healthcare, newspapers, pharmaceuticals, pulp and paper, sports, and tobacco.  </w:t>
      </w:r>
      <w:r w:rsidRPr="00620D39">
        <w:rPr>
          <w:rFonts w:eastAsia="Times New Roman"/>
          <w:sz w:val="22"/>
          <w:szCs w:val="20"/>
        </w:rPr>
        <w:t xml:space="preserve">Dr. Chipty has submitted testimony, been deposed, and testified at trial in several litigation matters.  She has appeared before the Federal Trade Commission, the Department of Justice, the World Trade Organization, the Canadian Mergers Bureau, the U.S. Copyright Board, and the Canadian Copyright Board.  She is co-editor of forthcoming next edition of the American Bar Association’s book </w:t>
      </w:r>
      <w:r w:rsidRPr="00620D39">
        <w:rPr>
          <w:rFonts w:eastAsia="Times New Roman"/>
          <w:i/>
          <w:sz w:val="22"/>
          <w:szCs w:val="20"/>
        </w:rPr>
        <w:t>Proving Antitrust Damages</w:t>
      </w:r>
      <w:r w:rsidRPr="00620D39">
        <w:rPr>
          <w:rFonts w:eastAsia="Times New Roman"/>
          <w:sz w:val="22"/>
          <w:szCs w:val="20"/>
        </w:rPr>
        <w:t>. She has published academic research on the strategic use of vertical integration for market foreclosure, the role of firm size and network effects on bilateral business negotiations, and the effects of regulations on firm behavior.  Prior to joining Analysis Group, Dr. Chipty was a Vice President at Charles River Associates.  She has served on the faculties of the Ohio State University, Brandeis University, and MIT, where she taught courses in antitrust and regulation, industrial organization, and econometrics. Dr. Chipty received her Ph.D. in economics from the Massachusetts Institute of Technology and her undergraduate degree in economics and mathematics from Wellesley College.</w:t>
      </w:r>
    </w:p>
    <w:p w14:paraId="28A7232B" w14:textId="77777777" w:rsidR="00620D39" w:rsidRPr="00B157B2" w:rsidRDefault="00620D39" w:rsidP="00B157B2">
      <w:pPr>
        <w:pStyle w:val="appendixA-head2"/>
      </w:pPr>
      <w:r w:rsidRPr="00B157B2">
        <w:t>EDUCATION</w:t>
      </w:r>
    </w:p>
    <w:p w14:paraId="2EFD01F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Ph.D.</w:t>
      </w:r>
      <w:r w:rsidRPr="00234FF3">
        <w:rPr>
          <w:rFonts w:eastAsia="Times New Roman"/>
          <w:sz w:val="22"/>
          <w:szCs w:val="20"/>
        </w:rPr>
        <w:tab/>
        <w:t>Economics, Massachusetts Institute of Technology</w:t>
      </w:r>
    </w:p>
    <w:p w14:paraId="3B401B72" w14:textId="6D6E00CA"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B.A.</w:t>
      </w:r>
      <w:r w:rsidRPr="00234FF3">
        <w:rPr>
          <w:rFonts w:eastAsia="Times New Roman"/>
          <w:sz w:val="22"/>
          <w:szCs w:val="20"/>
        </w:rPr>
        <w:tab/>
        <w:t>Mathematics and Economics, with honors, Wellesley College</w:t>
      </w:r>
    </w:p>
    <w:p w14:paraId="6336467C" w14:textId="77777777" w:rsidR="00620D39" w:rsidRPr="00234FF3" w:rsidRDefault="00620D39" w:rsidP="00B157B2">
      <w:pPr>
        <w:pStyle w:val="appendixA-head2"/>
      </w:pPr>
      <w:r w:rsidRPr="00234FF3">
        <w:t xml:space="preserve">Professional Experience </w:t>
      </w:r>
    </w:p>
    <w:p w14:paraId="343AE77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rPr>
          <w:rFonts w:eastAsia="Times New Roman"/>
          <w:sz w:val="22"/>
        </w:rPr>
      </w:pPr>
      <w:r w:rsidRPr="00234FF3">
        <w:rPr>
          <w:rFonts w:eastAsia="Times New Roman"/>
          <w:sz w:val="22"/>
        </w:rPr>
        <w:t>2010 – Present</w:t>
      </w:r>
      <w:r w:rsidRPr="00234FF3">
        <w:rPr>
          <w:rFonts w:eastAsia="Times New Roman"/>
          <w:sz w:val="22"/>
        </w:rPr>
        <w:tab/>
        <w:t xml:space="preserve">Analysis Group, Inc. Boston, MA </w:t>
      </w:r>
      <w:r w:rsidRPr="00234FF3">
        <w:rPr>
          <w:rFonts w:eastAsia="Times New Roman"/>
          <w:sz w:val="22"/>
        </w:rPr>
        <w:br/>
      </w:r>
      <w:r w:rsidRPr="00973478">
        <w:rPr>
          <w:rFonts w:eastAsia="Times New Roman"/>
          <w:sz w:val="22"/>
        </w:rPr>
        <w:t>Managing Principal</w:t>
      </w:r>
      <w:r w:rsidRPr="00234FF3">
        <w:rPr>
          <w:rFonts w:eastAsia="Times New Roman"/>
          <w:sz w:val="22"/>
        </w:rPr>
        <w:t xml:space="preserve"> </w:t>
      </w:r>
    </w:p>
    <w:p w14:paraId="52CE0FE7"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sz w:val="22"/>
        </w:rPr>
        <w:t>1999 – 2010</w:t>
      </w:r>
      <w:r w:rsidRPr="00234FF3">
        <w:rPr>
          <w:rFonts w:eastAsia="Times New Roman"/>
          <w:sz w:val="22"/>
        </w:rPr>
        <w:tab/>
        <w:t>Charles River Associates, Inc. Boston, MA</w:t>
      </w:r>
      <w:r w:rsidRPr="00234FF3">
        <w:rPr>
          <w:rFonts w:eastAsia="Times New Roman"/>
          <w:sz w:val="22"/>
        </w:rPr>
        <w:br/>
      </w:r>
      <w:r w:rsidRPr="00973478">
        <w:rPr>
          <w:rFonts w:eastAsia="Times New Roman"/>
          <w:iCs/>
          <w:sz w:val="22"/>
        </w:rPr>
        <w:t xml:space="preserve">Vice President </w:t>
      </w:r>
      <w:r w:rsidRPr="00234FF3">
        <w:rPr>
          <w:rFonts w:eastAsia="Times New Roman"/>
          <w:sz w:val="22"/>
        </w:rPr>
        <w:t>(2005-2010</w:t>
      </w:r>
      <w:proofErr w:type="gramStart"/>
      <w:r w:rsidRPr="00234FF3">
        <w:rPr>
          <w:rFonts w:eastAsia="Times New Roman"/>
          <w:sz w:val="22"/>
        </w:rPr>
        <w:t>)</w:t>
      </w:r>
      <w:proofErr w:type="gramEnd"/>
      <w:r w:rsidRPr="00234FF3">
        <w:rPr>
          <w:rFonts w:eastAsia="Times New Roman"/>
          <w:sz w:val="22"/>
        </w:rPr>
        <w:br/>
      </w:r>
      <w:r w:rsidRPr="00973478">
        <w:rPr>
          <w:rFonts w:eastAsia="Times New Roman"/>
          <w:iCs/>
          <w:sz w:val="22"/>
        </w:rPr>
        <w:t>Principal</w:t>
      </w:r>
      <w:r w:rsidRPr="00234FF3">
        <w:rPr>
          <w:rFonts w:eastAsia="Times New Roman"/>
          <w:sz w:val="22"/>
        </w:rPr>
        <w:t xml:space="preserve"> (2002-2005)</w:t>
      </w:r>
      <w:r w:rsidRPr="00234FF3">
        <w:rPr>
          <w:rFonts w:eastAsia="Times New Roman"/>
          <w:sz w:val="22"/>
        </w:rPr>
        <w:br/>
      </w:r>
      <w:r w:rsidRPr="00973478">
        <w:rPr>
          <w:rFonts w:eastAsia="Times New Roman"/>
          <w:iCs/>
          <w:sz w:val="22"/>
        </w:rPr>
        <w:t>Senior Associate</w:t>
      </w:r>
      <w:r w:rsidRPr="00234FF3">
        <w:rPr>
          <w:rFonts w:eastAsia="Times New Roman"/>
          <w:sz w:val="22"/>
        </w:rPr>
        <w:t xml:space="preserve"> (1999-2002)</w:t>
      </w:r>
    </w:p>
    <w:p w14:paraId="4644E4B0" w14:textId="77777777" w:rsidR="00620D39" w:rsidRPr="00973478"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sz w:val="22"/>
        </w:rPr>
        <w:t>2005</w:t>
      </w:r>
      <w:r w:rsidRPr="00234FF3">
        <w:rPr>
          <w:rFonts w:eastAsia="Times New Roman"/>
          <w:sz w:val="22"/>
        </w:rPr>
        <w:tab/>
        <w:t>Massachusetts Institute of Technology, Boston, MA</w:t>
      </w:r>
      <w:r w:rsidRPr="00234FF3">
        <w:rPr>
          <w:rFonts w:eastAsia="Times New Roman"/>
          <w:sz w:val="22"/>
        </w:rPr>
        <w:br/>
      </w:r>
      <w:r w:rsidRPr="00973478">
        <w:rPr>
          <w:rFonts w:eastAsia="Times New Roman"/>
          <w:sz w:val="22"/>
        </w:rPr>
        <w:t>Visiting Associate Professor of Economics</w:t>
      </w:r>
    </w:p>
    <w:p w14:paraId="5C06109F" w14:textId="77777777" w:rsidR="00620D39" w:rsidRPr="00973478"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bCs/>
          <w:iCs/>
          <w:sz w:val="22"/>
        </w:rPr>
      </w:pPr>
      <w:r w:rsidRPr="00234FF3">
        <w:rPr>
          <w:rFonts w:eastAsia="Times New Roman"/>
          <w:bCs/>
          <w:sz w:val="22"/>
        </w:rPr>
        <w:t>1997 – 1999</w:t>
      </w:r>
      <w:r w:rsidRPr="00234FF3">
        <w:rPr>
          <w:rFonts w:eastAsia="Times New Roman"/>
          <w:bCs/>
          <w:sz w:val="22"/>
        </w:rPr>
        <w:tab/>
        <w:t>Brandeis University, Graduate School of International Economics and Finance, Waltham, MA</w:t>
      </w:r>
      <w:r w:rsidRPr="00234FF3">
        <w:rPr>
          <w:rFonts w:eastAsia="Times New Roman"/>
          <w:bCs/>
          <w:sz w:val="22"/>
        </w:rPr>
        <w:br/>
      </w:r>
      <w:r w:rsidRPr="00973478">
        <w:rPr>
          <w:rFonts w:eastAsia="Times New Roman"/>
          <w:bCs/>
          <w:iCs/>
          <w:sz w:val="22"/>
        </w:rPr>
        <w:t xml:space="preserve">Visiting Assistant Professor of Economics </w:t>
      </w:r>
    </w:p>
    <w:p w14:paraId="6FB8980C"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bCs/>
          <w:sz w:val="22"/>
        </w:rPr>
        <w:t>1995</w:t>
      </w:r>
      <w:r w:rsidRPr="00234FF3">
        <w:rPr>
          <w:rFonts w:eastAsia="Times New Roman"/>
          <w:bCs/>
          <w:sz w:val="22"/>
        </w:rPr>
        <w:tab/>
        <w:t>Osaka University, Osaka, Japan</w:t>
      </w:r>
      <w:r w:rsidRPr="00234FF3">
        <w:rPr>
          <w:rFonts w:eastAsia="Times New Roman"/>
          <w:bCs/>
          <w:sz w:val="22"/>
        </w:rPr>
        <w:br/>
      </w:r>
      <w:r w:rsidRPr="00973478">
        <w:rPr>
          <w:rFonts w:eastAsia="Times New Roman"/>
          <w:bCs/>
          <w:sz w:val="22"/>
        </w:rPr>
        <w:t>Visiting Foreign Scholar</w:t>
      </w:r>
    </w:p>
    <w:p w14:paraId="17AE00F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hanging="1440"/>
        <w:rPr>
          <w:rFonts w:eastAsia="Times New Roman"/>
          <w:sz w:val="22"/>
          <w:szCs w:val="20"/>
        </w:rPr>
      </w:pPr>
      <w:r w:rsidRPr="00234FF3">
        <w:rPr>
          <w:rFonts w:eastAsia="Times New Roman"/>
          <w:bCs/>
          <w:caps/>
          <w:sz w:val="22"/>
        </w:rPr>
        <w:lastRenderedPageBreak/>
        <w:t>1993 – 1999</w:t>
      </w:r>
      <w:r w:rsidRPr="00234FF3">
        <w:rPr>
          <w:rFonts w:eastAsia="Times New Roman"/>
          <w:bCs/>
          <w:caps/>
          <w:sz w:val="22"/>
        </w:rPr>
        <w:tab/>
      </w:r>
      <w:r w:rsidRPr="00234FF3">
        <w:rPr>
          <w:rFonts w:eastAsia="Times New Roman"/>
          <w:bCs/>
          <w:sz w:val="22"/>
        </w:rPr>
        <w:t>Ohio State University, Columbus, OH</w:t>
      </w:r>
      <w:r w:rsidRPr="00234FF3">
        <w:rPr>
          <w:rFonts w:eastAsia="Times New Roman"/>
          <w:bCs/>
          <w:sz w:val="22"/>
        </w:rPr>
        <w:br/>
      </w:r>
      <w:r w:rsidRPr="00973478">
        <w:rPr>
          <w:rFonts w:eastAsia="Times New Roman"/>
          <w:bCs/>
          <w:iCs/>
          <w:sz w:val="22"/>
        </w:rPr>
        <w:t>Assistant Professor of Economics</w:t>
      </w:r>
    </w:p>
    <w:p w14:paraId="0967E045" w14:textId="77777777" w:rsidR="00620D39" w:rsidRPr="00234FF3" w:rsidRDefault="00620D39" w:rsidP="00973478">
      <w:pPr>
        <w:pStyle w:val="appendixA-head2"/>
      </w:pPr>
      <w:r w:rsidRPr="00234FF3">
        <w:t>Testimony Experience</w:t>
      </w:r>
    </w:p>
    <w:p w14:paraId="7113770D"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In the Matter of: Statement of Proposed Royalties to be Collected for the Retransmission of Distant Television Signals, In Canada, for the Years 2014 to 2018</w:t>
      </w:r>
      <w:r w:rsidRPr="00234FF3">
        <w:rPr>
          <w:rFonts w:eastAsia="Times New Roman"/>
          <w:sz w:val="22"/>
        </w:rPr>
        <w:t xml:space="preserve">, before the Canadian Copyright Board. Submitted testimony on October 2, 2015 and testified at trial on January 25-26, 2016, on behalf of Bell Canada, </w:t>
      </w:r>
      <w:proofErr w:type="spellStart"/>
      <w:r w:rsidRPr="00234FF3">
        <w:rPr>
          <w:rFonts w:eastAsia="Times New Roman"/>
          <w:sz w:val="22"/>
        </w:rPr>
        <w:t>Cogeco</w:t>
      </w:r>
      <w:proofErr w:type="spellEnd"/>
      <w:r w:rsidRPr="00234FF3">
        <w:rPr>
          <w:rFonts w:eastAsia="Times New Roman"/>
          <w:sz w:val="22"/>
        </w:rPr>
        <w:t xml:space="preserve"> Cable Inc., Rogers Communications </w:t>
      </w:r>
      <w:proofErr w:type="spellStart"/>
      <w:r w:rsidRPr="00234FF3">
        <w:rPr>
          <w:rFonts w:eastAsia="Times New Roman"/>
          <w:sz w:val="22"/>
        </w:rPr>
        <w:t>Inc</w:t>
      </w:r>
      <w:proofErr w:type="spellEnd"/>
      <w:r w:rsidRPr="00234FF3">
        <w:rPr>
          <w:rFonts w:eastAsia="Times New Roman"/>
          <w:sz w:val="22"/>
        </w:rPr>
        <w:t xml:space="preserve">, Shaw Communications Inc., Videotron G.P., and </w:t>
      </w:r>
      <w:proofErr w:type="spellStart"/>
      <w:r w:rsidRPr="00234FF3">
        <w:rPr>
          <w:rFonts w:eastAsia="Times New Roman"/>
          <w:sz w:val="22"/>
        </w:rPr>
        <w:t>Telus</w:t>
      </w:r>
      <w:proofErr w:type="spellEnd"/>
      <w:r w:rsidRPr="00234FF3">
        <w:rPr>
          <w:rFonts w:eastAsia="Times New Roman"/>
          <w:sz w:val="22"/>
        </w:rPr>
        <w:t xml:space="preserve"> Communications Company.  Attorneys: Fasken Martineau </w:t>
      </w:r>
      <w:proofErr w:type="spellStart"/>
      <w:r w:rsidRPr="00234FF3">
        <w:rPr>
          <w:rFonts w:eastAsia="Times New Roman"/>
          <w:sz w:val="22"/>
        </w:rPr>
        <w:t>DuMoulin</w:t>
      </w:r>
      <w:proofErr w:type="spellEnd"/>
      <w:r w:rsidRPr="00234FF3">
        <w:rPr>
          <w:rFonts w:eastAsia="Times New Roman"/>
          <w:sz w:val="22"/>
        </w:rPr>
        <w:t>, LLP (Jay Kerr-Wilson).</w:t>
      </w:r>
    </w:p>
    <w:p w14:paraId="12CB3293"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Challenges to Australia’s Tobacco Plain Packaging Act, on behalf of Australia, in the World Trade Organization.  Submitted testimony on March 9, 2015, May 31, 2015, September 14, 2015, October 26, 2015, December 8, 2015, and February 1, 2016. </w:t>
      </w:r>
    </w:p>
    <w:p w14:paraId="185FE6D4"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Caroline </w:t>
      </w:r>
      <w:proofErr w:type="spellStart"/>
      <w:r w:rsidRPr="00973478">
        <w:rPr>
          <w:rFonts w:eastAsia="Times New Roman"/>
          <w:sz w:val="22"/>
        </w:rPr>
        <w:t>Behrend</w:t>
      </w:r>
      <w:proofErr w:type="spellEnd"/>
      <w:r w:rsidRPr="00973478">
        <w:rPr>
          <w:rFonts w:eastAsia="Times New Roman"/>
          <w:sz w:val="22"/>
        </w:rPr>
        <w:t xml:space="preserve"> et al. v. Comcast Corporation et al.</w:t>
      </w:r>
      <w:r w:rsidRPr="00234FF3">
        <w:rPr>
          <w:rFonts w:eastAsia="Times New Roman"/>
          <w:sz w:val="22"/>
        </w:rPr>
        <w:t xml:space="preserve">, Civil Action No. 03-6604 in the United States District Court for the Eastern District of Pennsylvania. Submitted testimony on April 10, 2009, on May 6, 2009, on May 11, 2009, on August 21, 2009, September 18, 2009, May 22, 2012, and January 15, 2014; testified at deposition on May 22, 2009; testified at a class recertification hearing on October 26, 2009, on behalf of Comcast Corporation. Attorneys: </w:t>
      </w:r>
      <w:proofErr w:type="spellStart"/>
      <w:r w:rsidRPr="00234FF3">
        <w:rPr>
          <w:rFonts w:eastAsia="Times New Roman"/>
          <w:sz w:val="22"/>
        </w:rPr>
        <w:t>Kasowitz</w:t>
      </w:r>
      <w:proofErr w:type="spellEnd"/>
      <w:r w:rsidRPr="00234FF3">
        <w:rPr>
          <w:rFonts w:eastAsia="Times New Roman"/>
          <w:sz w:val="22"/>
        </w:rPr>
        <w:t xml:space="preserve"> Benson Torres &amp; Freidman (Michael Shuster and </w:t>
      </w:r>
      <w:proofErr w:type="spellStart"/>
      <w:r w:rsidRPr="00234FF3">
        <w:rPr>
          <w:rFonts w:eastAsia="Times New Roman"/>
          <w:sz w:val="22"/>
        </w:rPr>
        <w:t>Sheron</w:t>
      </w:r>
      <w:proofErr w:type="spellEnd"/>
      <w:r w:rsidRPr="00234FF3">
        <w:rPr>
          <w:rFonts w:eastAsia="Times New Roman"/>
          <w:sz w:val="22"/>
        </w:rPr>
        <w:t xml:space="preserve"> </w:t>
      </w:r>
      <w:proofErr w:type="spellStart"/>
      <w:r w:rsidRPr="00234FF3">
        <w:rPr>
          <w:rFonts w:eastAsia="Times New Roman"/>
          <w:sz w:val="22"/>
        </w:rPr>
        <w:t>Korpus</w:t>
      </w:r>
      <w:proofErr w:type="spellEnd"/>
      <w:r w:rsidRPr="00234FF3">
        <w:rPr>
          <w:rFonts w:eastAsia="Times New Roman"/>
          <w:sz w:val="22"/>
        </w:rPr>
        <w:t xml:space="preserve">) and Davis Polk (David </w:t>
      </w:r>
      <w:proofErr w:type="spellStart"/>
      <w:r w:rsidRPr="00234FF3">
        <w:rPr>
          <w:rFonts w:eastAsia="Times New Roman"/>
          <w:sz w:val="22"/>
        </w:rPr>
        <w:t>Toscano</w:t>
      </w:r>
      <w:proofErr w:type="spellEnd"/>
      <w:r w:rsidRPr="00234FF3">
        <w:rPr>
          <w:rFonts w:eastAsia="Times New Roman"/>
          <w:sz w:val="22"/>
        </w:rPr>
        <w:t xml:space="preserve"> and Arthur Burke).</w:t>
      </w:r>
    </w:p>
    <w:p w14:paraId="32271A0C"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American Broadcasting Company Inc., </w:t>
      </w:r>
      <w:proofErr w:type="gramStart"/>
      <w:r w:rsidRPr="00973478">
        <w:rPr>
          <w:rFonts w:eastAsia="Times New Roman"/>
          <w:sz w:val="22"/>
        </w:rPr>
        <w:t>et</w:t>
      </w:r>
      <w:proofErr w:type="gramEnd"/>
      <w:r w:rsidRPr="00973478">
        <w:rPr>
          <w:rFonts w:eastAsia="Times New Roman"/>
          <w:sz w:val="22"/>
        </w:rPr>
        <w:t xml:space="preserve">. al. v. </w:t>
      </w:r>
      <w:proofErr w:type="spellStart"/>
      <w:r w:rsidRPr="00973478">
        <w:rPr>
          <w:rFonts w:eastAsia="Times New Roman"/>
          <w:sz w:val="22"/>
        </w:rPr>
        <w:t>Aereo</w:t>
      </w:r>
      <w:proofErr w:type="spellEnd"/>
      <w:r w:rsidRPr="00234FF3">
        <w:rPr>
          <w:rFonts w:eastAsia="Times New Roman"/>
          <w:sz w:val="22"/>
        </w:rPr>
        <w:t xml:space="preserve">, 12 Civ. 1543, in United States District Court in the Southern District of New York. Submitted testimony on December 20, 2013 on behalf of </w:t>
      </w:r>
      <w:proofErr w:type="spellStart"/>
      <w:r w:rsidRPr="00234FF3">
        <w:rPr>
          <w:rFonts w:eastAsia="Times New Roman"/>
          <w:sz w:val="22"/>
        </w:rPr>
        <w:t>Aereo</w:t>
      </w:r>
      <w:proofErr w:type="spellEnd"/>
      <w:r w:rsidRPr="00234FF3">
        <w:rPr>
          <w:rFonts w:eastAsia="Times New Roman"/>
          <w:sz w:val="22"/>
        </w:rPr>
        <w:t xml:space="preserve">.  Attorney: Fish and Richardson (David </w:t>
      </w:r>
      <w:proofErr w:type="spellStart"/>
      <w:r w:rsidRPr="00234FF3">
        <w:rPr>
          <w:rFonts w:eastAsia="Times New Roman"/>
          <w:sz w:val="22"/>
        </w:rPr>
        <w:t>Hosp</w:t>
      </w:r>
      <w:proofErr w:type="spellEnd"/>
      <w:r w:rsidRPr="00234FF3">
        <w:rPr>
          <w:rFonts w:eastAsia="Times New Roman"/>
          <w:sz w:val="22"/>
        </w:rPr>
        <w:t>).</w:t>
      </w:r>
    </w:p>
    <w:p w14:paraId="211F1FB2"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DISH Network LLC. f/k/a </w:t>
      </w:r>
      <w:proofErr w:type="spellStart"/>
      <w:r w:rsidRPr="00973478">
        <w:rPr>
          <w:rFonts w:eastAsia="Times New Roman"/>
          <w:sz w:val="22"/>
        </w:rPr>
        <w:t>Echostar</w:t>
      </w:r>
      <w:proofErr w:type="spellEnd"/>
      <w:r w:rsidRPr="00973478">
        <w:rPr>
          <w:rFonts w:eastAsia="Times New Roman"/>
          <w:sz w:val="22"/>
        </w:rPr>
        <w:t xml:space="preserve"> Satellite LLC v. ESPN, Inc., and ESPN Classic, Inc.</w:t>
      </w:r>
      <w:r w:rsidRPr="00234FF3">
        <w:rPr>
          <w:rFonts w:eastAsia="Times New Roman"/>
          <w:sz w:val="22"/>
        </w:rPr>
        <w:t xml:space="preserve">, No. 09 CIV 6875 (JGK) (FM), in United States District Court in the Southern District of New York. Submitted testimony on July 29, 2011; testified at deposition on November 22, 2011; testified at deposition in January 2013; testified at trial February 2013 on behalf of DISH Network.  Attorneys: </w:t>
      </w:r>
      <w:proofErr w:type="spellStart"/>
      <w:r w:rsidRPr="00234FF3">
        <w:rPr>
          <w:rFonts w:eastAsia="Times New Roman"/>
          <w:sz w:val="22"/>
        </w:rPr>
        <w:t>Flemming</w:t>
      </w:r>
      <w:proofErr w:type="spellEnd"/>
      <w:r w:rsidRPr="00234FF3">
        <w:rPr>
          <w:rFonts w:eastAsia="Times New Roman"/>
          <w:sz w:val="22"/>
        </w:rPr>
        <w:t xml:space="preserve"> </w:t>
      </w:r>
      <w:proofErr w:type="spellStart"/>
      <w:r w:rsidRPr="00234FF3">
        <w:rPr>
          <w:rFonts w:eastAsia="Times New Roman"/>
          <w:sz w:val="22"/>
        </w:rPr>
        <w:t>Zulack</w:t>
      </w:r>
      <w:proofErr w:type="spellEnd"/>
      <w:r w:rsidRPr="00234FF3">
        <w:rPr>
          <w:rFonts w:eastAsia="Times New Roman"/>
          <w:sz w:val="22"/>
        </w:rPr>
        <w:t xml:space="preserve"> Williamson </w:t>
      </w:r>
      <w:proofErr w:type="spellStart"/>
      <w:r w:rsidRPr="00234FF3">
        <w:rPr>
          <w:rFonts w:eastAsia="Times New Roman"/>
          <w:sz w:val="22"/>
        </w:rPr>
        <w:t>Zauderer</w:t>
      </w:r>
      <w:proofErr w:type="spellEnd"/>
      <w:r w:rsidRPr="00234FF3">
        <w:rPr>
          <w:rFonts w:eastAsia="Times New Roman"/>
          <w:sz w:val="22"/>
        </w:rPr>
        <w:t xml:space="preserve"> LLP (Dean </w:t>
      </w:r>
      <w:proofErr w:type="spellStart"/>
      <w:r w:rsidRPr="00234FF3">
        <w:rPr>
          <w:rFonts w:eastAsia="Times New Roman"/>
          <w:sz w:val="22"/>
        </w:rPr>
        <w:t>Nyciper</w:t>
      </w:r>
      <w:proofErr w:type="spellEnd"/>
      <w:r w:rsidRPr="00234FF3">
        <w:rPr>
          <w:rFonts w:eastAsia="Times New Roman"/>
          <w:sz w:val="22"/>
        </w:rPr>
        <w:t xml:space="preserve">) and Simpson Thatcher (Barry </w:t>
      </w:r>
      <w:proofErr w:type="spellStart"/>
      <w:r w:rsidRPr="00234FF3">
        <w:rPr>
          <w:rFonts w:eastAsia="Times New Roman"/>
          <w:sz w:val="22"/>
        </w:rPr>
        <w:t>Ostrager</w:t>
      </w:r>
      <w:proofErr w:type="spellEnd"/>
      <w:r w:rsidRPr="00234FF3">
        <w:rPr>
          <w:rFonts w:eastAsia="Times New Roman"/>
          <w:sz w:val="22"/>
        </w:rPr>
        <w:t xml:space="preserve"> and Mary Kay </w:t>
      </w:r>
      <w:proofErr w:type="spellStart"/>
      <w:r w:rsidRPr="00234FF3">
        <w:rPr>
          <w:rFonts w:eastAsia="Times New Roman"/>
          <w:sz w:val="22"/>
        </w:rPr>
        <w:t>Vyskocil</w:t>
      </w:r>
      <w:proofErr w:type="spellEnd"/>
      <w:r w:rsidRPr="00234FF3">
        <w:rPr>
          <w:rFonts w:eastAsia="Times New Roman"/>
          <w:sz w:val="22"/>
        </w:rPr>
        <w:t>).</w:t>
      </w:r>
    </w:p>
    <w:p w14:paraId="420FA144" w14:textId="77777777" w:rsidR="00620D39" w:rsidRPr="00234FF3" w:rsidRDefault="00620D39" w:rsidP="006B618A">
      <w:pPr>
        <w:widowControl w:val="0"/>
        <w:numPr>
          <w:ilvl w:val="0"/>
          <w:numId w:val="6"/>
        </w:numPr>
        <w:ind w:left="360"/>
        <w:rPr>
          <w:rFonts w:eastAsia="Times New Roman"/>
          <w:sz w:val="22"/>
        </w:rPr>
      </w:pPr>
      <w:proofErr w:type="spellStart"/>
      <w:r w:rsidRPr="00973478">
        <w:rPr>
          <w:rFonts w:eastAsia="Times New Roman"/>
          <w:sz w:val="22"/>
        </w:rPr>
        <w:t>Echostar</w:t>
      </w:r>
      <w:proofErr w:type="spellEnd"/>
      <w:r w:rsidRPr="00973478">
        <w:rPr>
          <w:rFonts w:eastAsia="Times New Roman"/>
          <w:sz w:val="22"/>
        </w:rPr>
        <w:t xml:space="preserve"> Satellite LLC v. ESPN, Inc., ESPN Classic, Inc., ABC Cable Networks Group, Inc., </w:t>
      </w:r>
      <w:proofErr w:type="spellStart"/>
      <w:r w:rsidRPr="00973478">
        <w:rPr>
          <w:rFonts w:eastAsia="Times New Roman"/>
          <w:sz w:val="22"/>
        </w:rPr>
        <w:t>Soapnet</w:t>
      </w:r>
      <w:proofErr w:type="spellEnd"/>
      <w:r w:rsidRPr="00973478">
        <w:rPr>
          <w:rFonts w:eastAsia="Times New Roman"/>
          <w:sz w:val="22"/>
        </w:rPr>
        <w:t xml:space="preserve"> L.L.C., and International Family Entertainment Inc.</w:t>
      </w:r>
      <w:r w:rsidRPr="00234FF3">
        <w:rPr>
          <w:rFonts w:eastAsia="Times New Roman"/>
          <w:sz w:val="22"/>
        </w:rPr>
        <w:t xml:space="preserve">, Index 08-600282 in the Supreme Court of the State of New York County of New York.  Testified at deposition on June 23, 2011, on behalf of </w:t>
      </w:r>
      <w:proofErr w:type="spellStart"/>
      <w:r w:rsidRPr="00234FF3">
        <w:rPr>
          <w:rFonts w:eastAsia="Times New Roman"/>
          <w:sz w:val="22"/>
        </w:rPr>
        <w:t>Echostar</w:t>
      </w:r>
      <w:proofErr w:type="spellEnd"/>
      <w:r w:rsidRPr="00234FF3">
        <w:rPr>
          <w:rFonts w:eastAsia="Times New Roman"/>
          <w:sz w:val="22"/>
        </w:rPr>
        <w:t xml:space="preserve"> Satellite LLC.  Attorneys: </w:t>
      </w:r>
      <w:proofErr w:type="spellStart"/>
      <w:r w:rsidRPr="00234FF3">
        <w:rPr>
          <w:rFonts w:eastAsia="Times New Roman"/>
          <w:sz w:val="22"/>
        </w:rPr>
        <w:t>Flemming</w:t>
      </w:r>
      <w:proofErr w:type="spellEnd"/>
      <w:r w:rsidRPr="00234FF3">
        <w:rPr>
          <w:rFonts w:eastAsia="Times New Roman"/>
          <w:sz w:val="22"/>
        </w:rPr>
        <w:t xml:space="preserve"> </w:t>
      </w:r>
      <w:proofErr w:type="spellStart"/>
      <w:r w:rsidRPr="00234FF3">
        <w:rPr>
          <w:rFonts w:eastAsia="Times New Roman"/>
          <w:sz w:val="22"/>
        </w:rPr>
        <w:t>Zulack</w:t>
      </w:r>
      <w:proofErr w:type="spellEnd"/>
      <w:r w:rsidRPr="00234FF3">
        <w:rPr>
          <w:rFonts w:eastAsia="Times New Roman"/>
          <w:sz w:val="22"/>
        </w:rPr>
        <w:t xml:space="preserve"> Williamson </w:t>
      </w:r>
      <w:proofErr w:type="spellStart"/>
      <w:r w:rsidRPr="00234FF3">
        <w:rPr>
          <w:rFonts w:eastAsia="Times New Roman"/>
          <w:sz w:val="22"/>
        </w:rPr>
        <w:t>Zauderer</w:t>
      </w:r>
      <w:proofErr w:type="spellEnd"/>
      <w:r w:rsidRPr="00234FF3">
        <w:rPr>
          <w:rFonts w:eastAsia="Times New Roman"/>
          <w:sz w:val="22"/>
        </w:rPr>
        <w:t xml:space="preserve"> LLP (Dean </w:t>
      </w:r>
      <w:proofErr w:type="spellStart"/>
      <w:r w:rsidRPr="00234FF3">
        <w:rPr>
          <w:rFonts w:eastAsia="Times New Roman"/>
          <w:sz w:val="22"/>
        </w:rPr>
        <w:t>Nyciper</w:t>
      </w:r>
      <w:proofErr w:type="spellEnd"/>
      <w:r w:rsidRPr="00234FF3">
        <w:rPr>
          <w:rFonts w:eastAsia="Times New Roman"/>
          <w:sz w:val="22"/>
        </w:rPr>
        <w:t>).</w:t>
      </w:r>
    </w:p>
    <w:p w14:paraId="6CAA90FB"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Casitas Municipal Water District v. United States</w:t>
      </w:r>
      <w:r w:rsidRPr="00234FF3">
        <w:rPr>
          <w:rFonts w:eastAsia="Times New Roman"/>
          <w:sz w:val="22"/>
        </w:rPr>
        <w:t xml:space="preserve">, Case No. 05-168L in the United States Court of Federal Claims. Submitted testimony on February 25, 2010 and February 8, 2007, testified at deposition on March 10, 2010, testified at trial on October 28, 2010 on behalf of the United States. U.S. Justice Department (James </w:t>
      </w:r>
      <w:proofErr w:type="spellStart"/>
      <w:r w:rsidRPr="00234FF3">
        <w:rPr>
          <w:rFonts w:eastAsia="Times New Roman"/>
          <w:sz w:val="22"/>
        </w:rPr>
        <w:t>Gette</w:t>
      </w:r>
      <w:proofErr w:type="spellEnd"/>
      <w:r w:rsidRPr="00234FF3">
        <w:rPr>
          <w:rFonts w:eastAsia="Times New Roman"/>
          <w:sz w:val="22"/>
        </w:rPr>
        <w:t xml:space="preserve"> and Barrett Atwood).</w:t>
      </w:r>
    </w:p>
    <w:p w14:paraId="6688E0DF" w14:textId="77777777" w:rsidR="00620D39" w:rsidRPr="00973478" w:rsidRDefault="00620D39" w:rsidP="006B618A">
      <w:pPr>
        <w:widowControl w:val="0"/>
        <w:numPr>
          <w:ilvl w:val="0"/>
          <w:numId w:val="6"/>
        </w:numPr>
        <w:ind w:left="360"/>
        <w:rPr>
          <w:rFonts w:eastAsia="Times New Roman"/>
          <w:sz w:val="22"/>
        </w:rPr>
      </w:pPr>
      <w:r w:rsidRPr="00973478">
        <w:rPr>
          <w:rFonts w:eastAsia="Times New Roman"/>
          <w:sz w:val="22"/>
        </w:rPr>
        <w:t xml:space="preserve">Royalties To Be Collected By CSI and SOCAN For the Reproduction and the Communication to the Public by Online Music Services, In Canada, of Musical or </w:t>
      </w:r>
      <w:proofErr w:type="spellStart"/>
      <w:r w:rsidRPr="00973478">
        <w:rPr>
          <w:rFonts w:eastAsia="Times New Roman"/>
          <w:sz w:val="22"/>
        </w:rPr>
        <w:t>Dramaticaomusical</w:t>
      </w:r>
      <w:proofErr w:type="spellEnd"/>
      <w:r w:rsidRPr="00973478">
        <w:rPr>
          <w:rFonts w:eastAsia="Times New Roman"/>
          <w:sz w:val="22"/>
        </w:rPr>
        <w:t xml:space="preserve"> Works, for the years 2007 to 2010, </w:t>
      </w:r>
      <w:r w:rsidRPr="00234FF3">
        <w:rPr>
          <w:rFonts w:eastAsia="Times New Roman"/>
          <w:sz w:val="22"/>
        </w:rPr>
        <w:t xml:space="preserve">before the Canadian Copyright Board. Submitted testimony on April 29, 2010 and on June 9, 2010, and testified at trial on June 28-9, 2010, on behalf of Apple Inc., Bell Canada Enterprises Inc., Rogers Communications Inc., </w:t>
      </w:r>
      <w:proofErr w:type="spellStart"/>
      <w:r w:rsidRPr="00234FF3">
        <w:rPr>
          <w:rFonts w:eastAsia="Times New Roman"/>
          <w:sz w:val="22"/>
        </w:rPr>
        <w:t>Telus</w:t>
      </w:r>
      <w:proofErr w:type="spellEnd"/>
      <w:r w:rsidRPr="00234FF3">
        <w:rPr>
          <w:rFonts w:eastAsia="Times New Roman"/>
          <w:sz w:val="22"/>
        </w:rPr>
        <w:t xml:space="preserve"> Communications Company, and Videotron Ltd. Attorneys: </w:t>
      </w:r>
      <w:proofErr w:type="spellStart"/>
      <w:r w:rsidRPr="00234FF3">
        <w:rPr>
          <w:rFonts w:eastAsia="Times New Roman"/>
          <w:sz w:val="22"/>
        </w:rPr>
        <w:t>Goodmans</w:t>
      </w:r>
      <w:proofErr w:type="spellEnd"/>
      <w:r w:rsidRPr="00234FF3">
        <w:rPr>
          <w:rFonts w:eastAsia="Times New Roman"/>
          <w:sz w:val="22"/>
        </w:rPr>
        <w:t xml:space="preserve"> LLP for Apple Inc. (Michael Koch); and Fasken Martineau </w:t>
      </w:r>
      <w:proofErr w:type="spellStart"/>
      <w:r w:rsidRPr="00234FF3">
        <w:rPr>
          <w:rFonts w:eastAsia="Times New Roman"/>
          <w:sz w:val="22"/>
        </w:rPr>
        <w:t>DuMoulin</w:t>
      </w:r>
      <w:proofErr w:type="spellEnd"/>
      <w:r w:rsidRPr="00234FF3">
        <w:rPr>
          <w:rFonts w:eastAsia="Times New Roman"/>
          <w:sz w:val="22"/>
        </w:rPr>
        <w:t>, LLP for the rest (Jay Kerr-Wilson).</w:t>
      </w:r>
    </w:p>
    <w:p w14:paraId="2C27B63C"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United States of America v. Daily Gazette Company and MediaNews Group, Inc</w:t>
      </w:r>
      <w:r w:rsidRPr="00234FF3">
        <w:rPr>
          <w:rFonts w:eastAsia="Times New Roman"/>
          <w:sz w:val="22"/>
        </w:rPr>
        <w:t xml:space="preserve">., Civil Action No. 2:07-0329 in the United States District Court Southern District of West Virginia. Submitted testimony on September 1, 2009, on behalf of the United States. U.S. Justice Department (John Reed, Mark </w:t>
      </w:r>
      <w:proofErr w:type="spellStart"/>
      <w:r w:rsidRPr="00234FF3">
        <w:rPr>
          <w:rFonts w:eastAsia="Times New Roman"/>
          <w:sz w:val="22"/>
        </w:rPr>
        <w:t>Merva</w:t>
      </w:r>
      <w:proofErr w:type="spellEnd"/>
      <w:r w:rsidRPr="00234FF3">
        <w:rPr>
          <w:rFonts w:eastAsia="Times New Roman"/>
          <w:sz w:val="22"/>
        </w:rPr>
        <w:t xml:space="preserve"> and Norm </w:t>
      </w:r>
      <w:proofErr w:type="spellStart"/>
      <w:r w:rsidRPr="00234FF3">
        <w:rPr>
          <w:rFonts w:eastAsia="Times New Roman"/>
          <w:sz w:val="22"/>
        </w:rPr>
        <w:t>Familant</w:t>
      </w:r>
      <w:proofErr w:type="spellEnd"/>
      <w:r w:rsidRPr="00234FF3">
        <w:rPr>
          <w:rFonts w:eastAsia="Times New Roman"/>
          <w:sz w:val="22"/>
        </w:rPr>
        <w:t>).</w:t>
      </w:r>
    </w:p>
    <w:p w14:paraId="0A86F2DE" w14:textId="77777777" w:rsidR="00620D39" w:rsidRPr="00973478" w:rsidRDefault="00620D39" w:rsidP="006B618A">
      <w:pPr>
        <w:widowControl w:val="0"/>
        <w:numPr>
          <w:ilvl w:val="0"/>
          <w:numId w:val="6"/>
        </w:numPr>
        <w:ind w:left="360"/>
        <w:rPr>
          <w:rFonts w:eastAsia="Times New Roman"/>
          <w:sz w:val="22"/>
        </w:rPr>
      </w:pPr>
      <w:r w:rsidRPr="00973478">
        <w:rPr>
          <w:rFonts w:eastAsia="Times New Roman"/>
          <w:sz w:val="22"/>
        </w:rPr>
        <w:lastRenderedPageBreak/>
        <w:t>In re. ASARCO LLC, et al</w:t>
      </w:r>
      <w:r w:rsidRPr="00234FF3">
        <w:rPr>
          <w:rFonts w:eastAsia="Times New Roman"/>
          <w:sz w:val="22"/>
        </w:rPr>
        <w:t xml:space="preserve">., Case No. 05-21207 in the United States Bankruptcy Court for the Southern District of Texas, Corpus Christi Division. Submitted testimony on August 1, 2008 and testified at deposition on August 7, 2008, on behalf of Ready Mix USA, LLC. Attorneys: Baker, Donelson, </w:t>
      </w:r>
      <w:proofErr w:type="spellStart"/>
      <w:r w:rsidRPr="00234FF3">
        <w:rPr>
          <w:rFonts w:eastAsia="Times New Roman"/>
          <w:sz w:val="22"/>
        </w:rPr>
        <w:t>Bearman</w:t>
      </w:r>
      <w:proofErr w:type="spellEnd"/>
      <w:r w:rsidRPr="00234FF3">
        <w:rPr>
          <w:rFonts w:eastAsia="Times New Roman"/>
          <w:sz w:val="22"/>
        </w:rPr>
        <w:t>, Caldwell &amp; Berkowitz P.C. (Gary Shockley).</w:t>
      </w:r>
    </w:p>
    <w:p w14:paraId="761FE4AB"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SOCAN Tariff No. 16 – Royalties To Be Collected By SOCAN For the Public Performance or the Communication to the Public by Telecommunication, In Canada, of Musical or </w:t>
      </w:r>
      <w:proofErr w:type="spellStart"/>
      <w:r w:rsidRPr="00973478">
        <w:rPr>
          <w:rFonts w:eastAsia="Times New Roman"/>
          <w:sz w:val="22"/>
        </w:rPr>
        <w:t>Dramaticaomusical</w:t>
      </w:r>
      <w:proofErr w:type="spellEnd"/>
      <w:r w:rsidRPr="00973478">
        <w:rPr>
          <w:rFonts w:eastAsia="Times New Roman"/>
          <w:sz w:val="22"/>
        </w:rPr>
        <w:t xml:space="preserve"> Works, for the years 2007 to 2009</w:t>
      </w:r>
      <w:r w:rsidRPr="00234FF3">
        <w:rPr>
          <w:rFonts w:eastAsia="Times New Roman"/>
          <w:sz w:val="22"/>
        </w:rPr>
        <w:t xml:space="preserve">, before the Canadian Copyright Board. Submitted testimony on November 30, 2007 and testified at trial in January 2008, on behalf of a consortium of Canadian background music users, including Bell ExpressVu, Chum Satellite Services, and DMX Canada. Attorneys: Fasken Martineau </w:t>
      </w:r>
      <w:proofErr w:type="spellStart"/>
      <w:r w:rsidRPr="00234FF3">
        <w:rPr>
          <w:rFonts w:eastAsia="Times New Roman"/>
          <w:sz w:val="22"/>
        </w:rPr>
        <w:t>DuMoulin</w:t>
      </w:r>
      <w:proofErr w:type="spellEnd"/>
      <w:r w:rsidRPr="00234FF3">
        <w:rPr>
          <w:rFonts w:eastAsia="Times New Roman"/>
          <w:sz w:val="22"/>
        </w:rPr>
        <w:t>, LLP (Jay Kerr-Wilson and Aidan O’Neill).</w:t>
      </w:r>
    </w:p>
    <w:p w14:paraId="409472E6"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In the Matter of Digital Performance Right in Sound Recordings and Ephemeral Recordings for a New Subscription Service</w:t>
      </w:r>
      <w:r w:rsidRPr="00234FF3">
        <w:rPr>
          <w:rFonts w:eastAsia="Times New Roman"/>
          <w:sz w:val="22"/>
        </w:rPr>
        <w:t xml:space="preserve">, CRB Proceeding 2005-5, before the U.S. Copyright Board. Submitted testimony on October 30, 2006 and July 24, 2007; testified at deposition on May 8, 2007; and testified at trial in June 2007, on behalf of Sirius Satellite Radio and XM Satellite Radio. Attorneys: Wiley Rein, LLP for Sirius (Bruce Joseph) and Weil, </w:t>
      </w:r>
      <w:proofErr w:type="spellStart"/>
      <w:r w:rsidRPr="00234FF3">
        <w:rPr>
          <w:rFonts w:eastAsia="Times New Roman"/>
          <w:sz w:val="22"/>
        </w:rPr>
        <w:t>Gotshal</w:t>
      </w:r>
      <w:proofErr w:type="spellEnd"/>
      <w:r w:rsidRPr="00234FF3">
        <w:rPr>
          <w:rFonts w:eastAsia="Times New Roman"/>
          <w:sz w:val="22"/>
        </w:rPr>
        <w:t xml:space="preserve"> &amp; </w:t>
      </w:r>
      <w:proofErr w:type="spellStart"/>
      <w:r w:rsidRPr="00234FF3">
        <w:rPr>
          <w:rFonts w:eastAsia="Times New Roman"/>
          <w:sz w:val="22"/>
        </w:rPr>
        <w:t>Manges</w:t>
      </w:r>
      <w:proofErr w:type="spellEnd"/>
      <w:r w:rsidRPr="00234FF3">
        <w:rPr>
          <w:rFonts w:eastAsia="Times New Roman"/>
          <w:sz w:val="22"/>
        </w:rPr>
        <w:t xml:space="preserve"> for XM (Ralph Miller).</w:t>
      </w:r>
    </w:p>
    <w:p w14:paraId="1A08C849" w14:textId="77777777" w:rsidR="00620D39" w:rsidRPr="00234FF3" w:rsidRDefault="00620D39" w:rsidP="00973478">
      <w:pPr>
        <w:pStyle w:val="appendixA-head2"/>
      </w:pPr>
      <w:r w:rsidRPr="00234FF3">
        <w:t>Mergers and Acquisitions and other Government Investigations</w:t>
      </w:r>
    </w:p>
    <w:p w14:paraId="5DF84D1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rPr>
        <w:t>Dr. Chipty has extensive experience evaluating the competitive effects of proposed transactions and has advised clients at various stages of their deals, including strategic advice in identifying targets, assistance with agency review, and analyses for post-merger contestations.  She has employed economic and econometric tools to evaluate issues of market definition, critical loss analysis, direct evidence of unilateral effects, and efficiencies.  She has studied the likelihood of temporary or permanent foreclosure, as part of a raising rivals cost strategy.  In addition, s</w:t>
      </w:r>
      <w:r w:rsidRPr="00234FF3">
        <w:rPr>
          <w:rFonts w:eastAsia="Times New Roman"/>
          <w:sz w:val="22"/>
          <w:szCs w:val="20"/>
        </w:rPr>
        <w:t xml:space="preserve">he has assessed regulatory structures and their associated effect on competition.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include:</w:t>
      </w:r>
    </w:p>
    <w:p w14:paraId="19B3655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Expert for the U.S. Department of Justice in its review of the One Main-Spring Leaf merger.  U.S. Department of Justice, 2015 (Stephanie Fleming and Nicholas Hill).</w:t>
      </w:r>
    </w:p>
    <w:p w14:paraId="1244AF74"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w:t>
      </w:r>
      <w:proofErr w:type="spellStart"/>
      <w:r w:rsidRPr="00234FF3">
        <w:rPr>
          <w:rFonts w:eastAsia="Times New Roman"/>
          <w:sz w:val="22"/>
        </w:rPr>
        <w:t>Aeromexico</w:t>
      </w:r>
      <w:proofErr w:type="spellEnd"/>
      <w:r w:rsidRPr="00234FF3">
        <w:rPr>
          <w:rFonts w:eastAsia="Times New Roman"/>
          <w:sz w:val="22"/>
        </w:rPr>
        <w:t xml:space="preserve">, evaluating the competitive effects of airport slot allocation governing air traffic to and from Mexico City Airport, submitted to Mexico’s competition authority 2015 (joint with Professor Robert </w:t>
      </w:r>
      <w:proofErr w:type="spellStart"/>
      <w:r w:rsidRPr="00234FF3">
        <w:rPr>
          <w:rFonts w:eastAsia="Times New Roman"/>
          <w:sz w:val="22"/>
        </w:rPr>
        <w:t>Pindyck</w:t>
      </w:r>
      <w:proofErr w:type="spellEnd"/>
      <w:r w:rsidRPr="00234FF3">
        <w:rPr>
          <w:rFonts w:eastAsia="Times New Roman"/>
          <w:sz w:val="22"/>
        </w:rPr>
        <w:t>).</w:t>
      </w:r>
    </w:p>
    <w:p w14:paraId="700BA29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Expert for Olin Corporation in its acquisition of Dow Chemical’s </w:t>
      </w:r>
      <w:proofErr w:type="spellStart"/>
      <w:r w:rsidRPr="00234FF3">
        <w:rPr>
          <w:rFonts w:eastAsia="Times New Roman"/>
          <w:sz w:val="22"/>
        </w:rPr>
        <w:t>cholor</w:t>
      </w:r>
      <w:proofErr w:type="spellEnd"/>
      <w:r w:rsidRPr="00234FF3">
        <w:rPr>
          <w:rFonts w:eastAsia="Times New Roman"/>
          <w:sz w:val="22"/>
        </w:rPr>
        <w:t xml:space="preserve">-alkali business unit, before the Federal Trade Commission, 2014-2015.  Attorneys: Baker </w:t>
      </w:r>
      <w:proofErr w:type="spellStart"/>
      <w:r w:rsidRPr="00234FF3">
        <w:rPr>
          <w:rFonts w:eastAsia="Times New Roman"/>
          <w:sz w:val="22"/>
        </w:rPr>
        <w:t>Botts</w:t>
      </w:r>
      <w:proofErr w:type="spellEnd"/>
      <w:r w:rsidRPr="00234FF3">
        <w:rPr>
          <w:rFonts w:eastAsia="Times New Roman"/>
          <w:sz w:val="22"/>
        </w:rPr>
        <w:t xml:space="preserve"> (William Henry and Thomas </w:t>
      </w:r>
      <w:proofErr w:type="spellStart"/>
      <w:r w:rsidRPr="00234FF3">
        <w:rPr>
          <w:rFonts w:eastAsia="Times New Roman"/>
          <w:sz w:val="22"/>
        </w:rPr>
        <w:t>Dillickrath</w:t>
      </w:r>
      <w:proofErr w:type="spellEnd"/>
      <w:r w:rsidRPr="00234FF3">
        <w:rPr>
          <w:rFonts w:eastAsia="Times New Roman"/>
          <w:sz w:val="22"/>
        </w:rPr>
        <w:t xml:space="preserve">).  </w:t>
      </w:r>
    </w:p>
    <w:p w14:paraId="096A916C"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Expert for the Mergers Bureau of Canada in its review of Post Media’s acquisition of Sun Media.  Attorneys:  Canadian Mergers Bureau (Steve </w:t>
      </w:r>
      <w:proofErr w:type="spellStart"/>
      <w:r w:rsidRPr="00234FF3">
        <w:rPr>
          <w:rFonts w:eastAsia="Times New Roman"/>
          <w:sz w:val="22"/>
        </w:rPr>
        <w:t>Sansom</w:t>
      </w:r>
      <w:proofErr w:type="spellEnd"/>
      <w:r w:rsidRPr="00234FF3">
        <w:rPr>
          <w:rFonts w:eastAsia="Times New Roman"/>
          <w:sz w:val="22"/>
        </w:rPr>
        <w:t xml:space="preserve"> and Nicholas </w:t>
      </w:r>
      <w:proofErr w:type="spellStart"/>
      <w:r w:rsidRPr="00234FF3">
        <w:rPr>
          <w:rFonts w:eastAsia="Times New Roman"/>
          <w:sz w:val="22"/>
        </w:rPr>
        <w:t>Janota</w:t>
      </w:r>
      <w:proofErr w:type="spellEnd"/>
      <w:r w:rsidRPr="00234FF3">
        <w:rPr>
          <w:rFonts w:eastAsia="Times New Roman"/>
          <w:sz w:val="22"/>
        </w:rPr>
        <w:t>).</w:t>
      </w:r>
    </w:p>
    <w:p w14:paraId="58597FAD"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the U.S. Department of Justice in its challenge of American Express’s use of merchant restraints. Attorneys:  U.S. Department of Justice (Craig </w:t>
      </w:r>
      <w:proofErr w:type="spellStart"/>
      <w:r w:rsidRPr="00234FF3">
        <w:rPr>
          <w:rFonts w:eastAsia="Times New Roman"/>
          <w:sz w:val="22"/>
        </w:rPr>
        <w:t>Conrath</w:t>
      </w:r>
      <w:proofErr w:type="spellEnd"/>
      <w:r w:rsidRPr="00234FF3">
        <w:rPr>
          <w:rFonts w:eastAsia="Times New Roman"/>
          <w:sz w:val="22"/>
        </w:rPr>
        <w:t xml:space="preserve"> and John Read).</w:t>
      </w:r>
    </w:p>
    <w:p w14:paraId="7C83E676"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Advised the Massachusetts Health Policy Commission on the likely competitive impact of Partners HealthCare System’s proposed acquisition of Hallmark Health System, including submitting a written statement in the HPC’s Cost and Market Impact Review of the transaction, 2014.  Attorneys:  HPC (Karen Tseng and Kate Scarborough).</w:t>
      </w:r>
    </w:p>
    <w:p w14:paraId="6B2D3C2B"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Advised the Massachusetts Health Policy Commission on the likely competitive impact of Partners HealthCare System’s proposed acquisition of South Shore Hospital, including submitting a written statement in the HPC’s Cost and Market Impact Review of the transaction, 2013-2014.  Attorneys:  HPC (Karen Tseng and Kate Scarborough).</w:t>
      </w:r>
    </w:p>
    <w:p w14:paraId="416A2ED7"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Saint </w:t>
      </w:r>
      <w:proofErr w:type="spellStart"/>
      <w:r w:rsidRPr="00234FF3">
        <w:rPr>
          <w:rFonts w:eastAsia="Times New Roman"/>
          <w:sz w:val="22"/>
        </w:rPr>
        <w:t>Alphonsus</w:t>
      </w:r>
      <w:proofErr w:type="spellEnd"/>
      <w:r w:rsidRPr="00234FF3">
        <w:rPr>
          <w:rFonts w:eastAsia="Times New Roman"/>
          <w:sz w:val="22"/>
        </w:rPr>
        <w:t xml:space="preserve"> Medical Center to evaluate the competitive effects of St. Luke’s Health </w:t>
      </w:r>
      <w:r w:rsidRPr="00234FF3">
        <w:rPr>
          <w:rFonts w:eastAsia="Times New Roman"/>
          <w:sz w:val="22"/>
        </w:rPr>
        <w:lastRenderedPageBreak/>
        <w:t xml:space="preserve">System’s acquisition of </w:t>
      </w:r>
      <w:proofErr w:type="spellStart"/>
      <w:r w:rsidRPr="00234FF3">
        <w:rPr>
          <w:rFonts w:eastAsia="Times New Roman"/>
          <w:sz w:val="22"/>
        </w:rPr>
        <w:t>Saltzer</w:t>
      </w:r>
      <w:proofErr w:type="spellEnd"/>
      <w:r w:rsidRPr="00234FF3">
        <w:rPr>
          <w:rFonts w:eastAsia="Times New Roman"/>
          <w:sz w:val="22"/>
        </w:rPr>
        <w:t xml:space="preserve"> Medical Group, in Nampa, Idaho, 2012-2013. Attorneys:  </w:t>
      </w:r>
      <w:proofErr w:type="spellStart"/>
      <w:r w:rsidRPr="00234FF3">
        <w:rPr>
          <w:rFonts w:eastAsia="Times New Roman"/>
          <w:sz w:val="22"/>
        </w:rPr>
        <w:t>Honigman</w:t>
      </w:r>
      <w:proofErr w:type="spellEnd"/>
      <w:r w:rsidRPr="00234FF3">
        <w:rPr>
          <w:rFonts w:eastAsia="Times New Roman"/>
          <w:sz w:val="22"/>
        </w:rPr>
        <w:t xml:space="preserve">, Miller, Schwartz and Cohn (David </w:t>
      </w:r>
      <w:proofErr w:type="spellStart"/>
      <w:r w:rsidRPr="00234FF3">
        <w:rPr>
          <w:rFonts w:eastAsia="Times New Roman"/>
          <w:sz w:val="22"/>
        </w:rPr>
        <w:t>Ettinger</w:t>
      </w:r>
      <w:proofErr w:type="spellEnd"/>
      <w:r w:rsidRPr="00234FF3">
        <w:rPr>
          <w:rFonts w:eastAsia="Times New Roman"/>
          <w:sz w:val="22"/>
        </w:rPr>
        <w:t>).</w:t>
      </w:r>
    </w:p>
    <w:p w14:paraId="2193B344"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w:t>
      </w:r>
      <w:proofErr w:type="spellStart"/>
      <w:r w:rsidRPr="00234FF3">
        <w:rPr>
          <w:rFonts w:eastAsia="Times New Roman"/>
          <w:sz w:val="22"/>
        </w:rPr>
        <w:t>Arris</w:t>
      </w:r>
      <w:proofErr w:type="spellEnd"/>
      <w:r w:rsidRPr="00234FF3">
        <w:rPr>
          <w:rFonts w:eastAsia="Times New Roman"/>
          <w:sz w:val="22"/>
        </w:rPr>
        <w:t xml:space="preserve"> Group in its acquisition of Motorola Home business unit from Google, before the Department of Justice, 2013.  Attorneys: Hogan </w:t>
      </w:r>
      <w:proofErr w:type="spellStart"/>
      <w:r w:rsidRPr="00234FF3">
        <w:rPr>
          <w:rFonts w:eastAsia="Times New Roman"/>
          <w:sz w:val="22"/>
        </w:rPr>
        <w:t>Lovells</w:t>
      </w:r>
      <w:proofErr w:type="spellEnd"/>
      <w:r w:rsidRPr="00234FF3">
        <w:rPr>
          <w:rFonts w:eastAsia="Times New Roman"/>
          <w:sz w:val="22"/>
        </w:rPr>
        <w:t xml:space="preserve"> (Logan Breed) and Troutman Sanders (Daniel </w:t>
      </w:r>
      <w:proofErr w:type="spellStart"/>
      <w:r w:rsidRPr="00234FF3">
        <w:rPr>
          <w:rFonts w:eastAsia="Times New Roman"/>
          <w:sz w:val="22"/>
        </w:rPr>
        <w:t>Anziska</w:t>
      </w:r>
      <w:proofErr w:type="spellEnd"/>
      <w:r w:rsidRPr="00234FF3">
        <w:rPr>
          <w:rFonts w:eastAsia="Times New Roman"/>
          <w:sz w:val="22"/>
        </w:rPr>
        <w:t>).</w:t>
      </w:r>
    </w:p>
    <w:p w14:paraId="3A510448"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w:t>
      </w:r>
      <w:proofErr w:type="spellStart"/>
      <w:r w:rsidRPr="00234FF3">
        <w:rPr>
          <w:rFonts w:eastAsia="Times New Roman"/>
          <w:sz w:val="22"/>
        </w:rPr>
        <w:t>Televisa</w:t>
      </w:r>
      <w:proofErr w:type="spellEnd"/>
      <w:r w:rsidRPr="00234FF3">
        <w:rPr>
          <w:rFonts w:eastAsia="Times New Roman"/>
          <w:sz w:val="22"/>
        </w:rPr>
        <w:t xml:space="preserve">, evaluating the competitive impact in the mobile telephone marketplace of </w:t>
      </w:r>
      <w:proofErr w:type="spellStart"/>
      <w:r w:rsidRPr="00234FF3">
        <w:rPr>
          <w:rFonts w:eastAsia="Times New Roman"/>
          <w:sz w:val="22"/>
        </w:rPr>
        <w:t>Televisa’s</w:t>
      </w:r>
      <w:proofErr w:type="spellEnd"/>
      <w:r w:rsidRPr="00234FF3">
        <w:rPr>
          <w:rFonts w:eastAsia="Times New Roman"/>
          <w:sz w:val="22"/>
        </w:rPr>
        <w:t xml:space="preserve"> proposed acquisition of 50% of GSF Telecom Holdings, S.A.P.I. de C.V., which owns 100% of </w:t>
      </w:r>
      <w:proofErr w:type="spellStart"/>
      <w:r w:rsidRPr="00234FF3">
        <w:rPr>
          <w:rFonts w:eastAsia="Times New Roman"/>
          <w:sz w:val="22"/>
        </w:rPr>
        <w:t>Grupo</w:t>
      </w:r>
      <w:proofErr w:type="spellEnd"/>
      <w:r w:rsidRPr="00234FF3">
        <w:rPr>
          <w:rFonts w:eastAsia="Times New Roman"/>
          <w:sz w:val="22"/>
        </w:rPr>
        <w:t xml:space="preserve"> </w:t>
      </w:r>
      <w:proofErr w:type="spellStart"/>
      <w:r w:rsidRPr="00234FF3">
        <w:rPr>
          <w:rFonts w:eastAsia="Times New Roman"/>
          <w:sz w:val="22"/>
        </w:rPr>
        <w:t>Iusacell</w:t>
      </w:r>
      <w:proofErr w:type="spellEnd"/>
      <w:r w:rsidRPr="00234FF3">
        <w:rPr>
          <w:rFonts w:eastAsia="Times New Roman"/>
          <w:sz w:val="22"/>
        </w:rPr>
        <w:t xml:space="preserve">, S.A. de C.V. (joint with Almudena Arcelus and David Sosa). Submitted to Mexico’s competition authority, Federal Commission of Economic Competition, 2012. </w:t>
      </w:r>
    </w:p>
    <w:p w14:paraId="511E0A0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analyses and presented before staff of the FTC, in an investigation of two joint venture partners involving allegations of potentially anticompetitive conduct, 2011-2012. Attorneys:  Baker </w:t>
      </w:r>
      <w:proofErr w:type="spellStart"/>
      <w:r w:rsidRPr="00234FF3">
        <w:rPr>
          <w:rFonts w:eastAsia="Times New Roman"/>
          <w:sz w:val="22"/>
        </w:rPr>
        <w:t>Botts</w:t>
      </w:r>
      <w:proofErr w:type="spellEnd"/>
      <w:r w:rsidRPr="00234FF3">
        <w:rPr>
          <w:rFonts w:eastAsia="Times New Roman"/>
          <w:sz w:val="22"/>
        </w:rPr>
        <w:t xml:space="preserve"> (Thomas </w:t>
      </w:r>
      <w:proofErr w:type="spellStart"/>
      <w:r w:rsidRPr="00234FF3">
        <w:rPr>
          <w:rFonts w:eastAsia="Times New Roman"/>
          <w:sz w:val="22"/>
        </w:rPr>
        <w:t>Dillickrath</w:t>
      </w:r>
      <w:proofErr w:type="spellEnd"/>
      <w:r w:rsidRPr="00234FF3">
        <w:rPr>
          <w:rFonts w:eastAsia="Times New Roman"/>
          <w:sz w:val="22"/>
        </w:rPr>
        <w:t xml:space="preserve"> and William Henry).</w:t>
      </w:r>
    </w:p>
    <w:p w14:paraId="0874BB5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Authored a white paper analyzing the likely effects of Steward Healthcare’s acquisition of Morton Hospital, in the greater Boston area, submitted to the State Attorney General’s office, June 14, 2011.  Attorneys:  Edwards Angell Palmer &amp; Dodge (Patricia Sullivan).</w:t>
      </w:r>
    </w:p>
    <w:p w14:paraId="0144B76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Evaluated the likely effects of the Southwest Airlines-</w:t>
      </w:r>
      <w:proofErr w:type="spellStart"/>
      <w:r w:rsidRPr="00234FF3">
        <w:rPr>
          <w:rFonts w:eastAsia="Times New Roman"/>
          <w:sz w:val="22"/>
        </w:rPr>
        <w:t>Airtran</w:t>
      </w:r>
      <w:proofErr w:type="spellEnd"/>
      <w:r w:rsidRPr="00234FF3">
        <w:rPr>
          <w:rFonts w:eastAsia="Times New Roman"/>
          <w:sz w:val="22"/>
        </w:rPr>
        <w:t xml:space="preserve"> merger, on behalf of the United States, </w:t>
      </w:r>
      <w:proofErr w:type="gramStart"/>
      <w:r w:rsidRPr="00234FF3">
        <w:rPr>
          <w:rFonts w:eastAsia="Times New Roman"/>
          <w:sz w:val="22"/>
        </w:rPr>
        <w:t>Winter</w:t>
      </w:r>
      <w:proofErr w:type="gramEnd"/>
      <w:r w:rsidRPr="00234FF3">
        <w:rPr>
          <w:rFonts w:eastAsia="Times New Roman"/>
          <w:sz w:val="22"/>
        </w:rPr>
        <w:t xml:space="preserve"> 2011.  Attorneys:  U.S. Justice Department (Michael </w:t>
      </w:r>
      <w:proofErr w:type="spellStart"/>
      <w:r w:rsidRPr="00234FF3">
        <w:rPr>
          <w:rFonts w:eastAsia="Times New Roman"/>
          <w:sz w:val="22"/>
        </w:rPr>
        <w:t>Billiel</w:t>
      </w:r>
      <w:proofErr w:type="spellEnd"/>
      <w:r w:rsidRPr="00234FF3">
        <w:rPr>
          <w:rFonts w:eastAsia="Times New Roman"/>
          <w:sz w:val="22"/>
        </w:rPr>
        <w:t xml:space="preserve"> and Oliver Richard).</w:t>
      </w:r>
    </w:p>
    <w:p w14:paraId="443DA5D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Time Warner Cable, analyzing brinkmanship tactics and broadcast retransmission consent rules established by the 1992 Cable Act, submitted to the Federal Communications Commission (joint with Prof. Steven Salop, Dr. Martino </w:t>
      </w:r>
      <w:proofErr w:type="spellStart"/>
      <w:r w:rsidRPr="00234FF3">
        <w:rPr>
          <w:rFonts w:eastAsia="Times New Roman"/>
          <w:sz w:val="22"/>
        </w:rPr>
        <w:t>DeStefano</w:t>
      </w:r>
      <w:proofErr w:type="spellEnd"/>
      <w:r w:rsidRPr="00234FF3">
        <w:rPr>
          <w:rFonts w:eastAsia="Times New Roman"/>
          <w:sz w:val="22"/>
        </w:rPr>
        <w:t xml:space="preserve">, Dr. Serge </w:t>
      </w:r>
      <w:proofErr w:type="spellStart"/>
      <w:r w:rsidRPr="00234FF3">
        <w:rPr>
          <w:rFonts w:eastAsia="Times New Roman"/>
          <w:sz w:val="22"/>
        </w:rPr>
        <w:t>Moresi</w:t>
      </w:r>
      <w:proofErr w:type="spellEnd"/>
      <w:r w:rsidRPr="00234FF3">
        <w:rPr>
          <w:rFonts w:eastAsia="Times New Roman"/>
          <w:sz w:val="22"/>
        </w:rPr>
        <w:t>, and Dr. John Woodbury), June 3, 2010.</w:t>
      </w:r>
    </w:p>
    <w:p w14:paraId="0C110441"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Authored Federal Communication Commission Media Study #5, on behalf of the Commission, as part of it periodic review of the media ownership rules, analyzing the effects of ownership structure in broadcast radio, on program variety and advertiser and listener welfare, released June 2007.</w:t>
      </w:r>
    </w:p>
    <w:p w14:paraId="03DCDEF3"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analyzing bidding behavior and the potential competitive effects of the merger of Alcatel and Lucent, submitted to the Department of Justice (joint with Drs. Andrew Dick and Stanley </w:t>
      </w:r>
      <w:proofErr w:type="spellStart"/>
      <w:r w:rsidRPr="00234FF3">
        <w:rPr>
          <w:rFonts w:eastAsia="Times New Roman"/>
          <w:sz w:val="22"/>
        </w:rPr>
        <w:t>Besen</w:t>
      </w:r>
      <w:proofErr w:type="spellEnd"/>
      <w:r w:rsidRPr="00234FF3">
        <w:rPr>
          <w:rFonts w:eastAsia="Times New Roman"/>
          <w:sz w:val="22"/>
        </w:rPr>
        <w:t xml:space="preserve">), April 28, 2006. Attorneys:  Skadden, Arps, Slate Meagher &amp; </w:t>
      </w:r>
      <w:proofErr w:type="spellStart"/>
      <w:r w:rsidRPr="00234FF3">
        <w:rPr>
          <w:rFonts w:eastAsia="Times New Roman"/>
          <w:sz w:val="22"/>
        </w:rPr>
        <w:t>Flom</w:t>
      </w:r>
      <w:proofErr w:type="spellEnd"/>
      <w:r w:rsidRPr="00234FF3">
        <w:rPr>
          <w:rFonts w:eastAsia="Times New Roman"/>
          <w:sz w:val="22"/>
        </w:rPr>
        <w:t xml:space="preserve"> LLP (James </w:t>
      </w:r>
      <w:proofErr w:type="spellStart"/>
      <w:r w:rsidRPr="00234FF3">
        <w:rPr>
          <w:rFonts w:eastAsia="Times New Roman"/>
          <w:sz w:val="22"/>
        </w:rPr>
        <w:t>Keyte</w:t>
      </w:r>
      <w:proofErr w:type="spellEnd"/>
      <w:r w:rsidRPr="00234FF3">
        <w:rPr>
          <w:rFonts w:eastAsia="Times New Roman"/>
          <w:sz w:val="22"/>
        </w:rPr>
        <w:t xml:space="preserve"> and Neal Stoll).</w:t>
      </w:r>
    </w:p>
    <w:p w14:paraId="4B61BFA2"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and presented analysis before the Federal Trade Commission on behalf of Barr Pharmaceuticals regarding its acquisition of a hormone contraceptive product (joint with Prof. Steven Salop), Fall 2005. Attorneys:  Kirkland &amp; Ellis LLP (Mark </w:t>
      </w:r>
      <w:proofErr w:type="spellStart"/>
      <w:r w:rsidRPr="00234FF3">
        <w:rPr>
          <w:rFonts w:eastAsia="Times New Roman"/>
          <w:sz w:val="22"/>
        </w:rPr>
        <w:t>Kovner</w:t>
      </w:r>
      <w:proofErr w:type="spellEnd"/>
      <w:r w:rsidRPr="00234FF3">
        <w:rPr>
          <w:rFonts w:eastAsia="Times New Roman"/>
          <w:sz w:val="22"/>
        </w:rPr>
        <w:t>).</w:t>
      </w:r>
    </w:p>
    <w:p w14:paraId="00017BE7"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 analysis of efficiencies on behalf of Time Warner and Comcast, in their joint bid for Adelphia Communications (joint with Dr. Stanley </w:t>
      </w:r>
      <w:proofErr w:type="spellStart"/>
      <w:r w:rsidRPr="00234FF3">
        <w:rPr>
          <w:rFonts w:eastAsia="Times New Roman"/>
          <w:sz w:val="22"/>
        </w:rPr>
        <w:t>Besen</w:t>
      </w:r>
      <w:proofErr w:type="spellEnd"/>
      <w:r w:rsidRPr="00234FF3">
        <w:rPr>
          <w:rFonts w:eastAsia="Times New Roman"/>
          <w:sz w:val="22"/>
        </w:rPr>
        <w:t>). Attorneys:  Paul Weiss Rifkind Wharton &amp; Garrison, LLP (Joseph Simons).</w:t>
      </w:r>
    </w:p>
    <w:p w14:paraId="53FAFC6C"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w:t>
      </w:r>
      <w:proofErr w:type="spellStart"/>
      <w:r w:rsidRPr="00234FF3">
        <w:rPr>
          <w:rFonts w:eastAsia="Times New Roman"/>
          <w:sz w:val="22"/>
        </w:rPr>
        <w:t>NorthShore</w:t>
      </w:r>
      <w:proofErr w:type="spellEnd"/>
      <w:r w:rsidRPr="00234FF3">
        <w:rPr>
          <w:rFonts w:eastAsia="Times New Roman"/>
          <w:sz w:val="22"/>
        </w:rPr>
        <w:t xml:space="preserve"> University </w:t>
      </w:r>
      <w:proofErr w:type="spellStart"/>
      <w:r w:rsidRPr="00234FF3">
        <w:rPr>
          <w:rFonts w:eastAsia="Times New Roman"/>
          <w:sz w:val="22"/>
        </w:rPr>
        <w:t>HealthSystem</w:t>
      </w:r>
      <w:proofErr w:type="spellEnd"/>
      <w:r w:rsidRPr="00234FF3">
        <w:rPr>
          <w:rFonts w:eastAsia="Times New Roman"/>
          <w:sz w:val="22"/>
        </w:rPr>
        <w:t xml:space="preserve"> (formerly Evanston Northwestern Health Corporation) with the Federal Trade Commission’s post-merger investigation of the 2000 merger of Evanston Hospital and Highland Park Hospital. Attorneys:  Winston &amp; Strawn LLP (Michael </w:t>
      </w:r>
      <w:proofErr w:type="spellStart"/>
      <w:r w:rsidRPr="00234FF3">
        <w:rPr>
          <w:rFonts w:eastAsia="Times New Roman"/>
          <w:sz w:val="22"/>
        </w:rPr>
        <w:t>Sibarium</w:t>
      </w:r>
      <w:proofErr w:type="spellEnd"/>
      <w:r w:rsidRPr="00234FF3">
        <w:rPr>
          <w:rFonts w:eastAsia="Times New Roman"/>
          <w:sz w:val="22"/>
        </w:rPr>
        <w:t>).</w:t>
      </w:r>
    </w:p>
    <w:p w14:paraId="5EB29B38" w14:textId="77777777" w:rsidR="00620D39" w:rsidRPr="00234FF3" w:rsidRDefault="00620D39" w:rsidP="00973478">
      <w:pPr>
        <w:pStyle w:val="appendixA-head2"/>
      </w:pPr>
      <w:r w:rsidRPr="00234FF3">
        <w:t>Other Consulting Experience, By Topical Area</w:t>
      </w:r>
    </w:p>
    <w:p w14:paraId="04F98ED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Dr. Chipty has also provided consultation to litigation clients on matters some of which eventually settled, and she has provided business guidance to clients for strategic planning.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include:</w:t>
      </w:r>
    </w:p>
    <w:p w14:paraId="74E952E6"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lastRenderedPageBreak/>
        <w:t>Tobacco</w:t>
      </w:r>
    </w:p>
    <w:p w14:paraId="361E335F"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the Department of Justice, in </w:t>
      </w:r>
      <w:r w:rsidRPr="00973478">
        <w:rPr>
          <w:rFonts w:eastAsia="Times New Roman"/>
          <w:sz w:val="22"/>
        </w:rPr>
        <w:t>United States v. Philip Morris et al.</w:t>
      </w:r>
      <w:r w:rsidRPr="00234FF3">
        <w:rPr>
          <w:rFonts w:eastAsia="Times New Roman"/>
          <w:sz w:val="22"/>
        </w:rPr>
        <w:t xml:space="preserve">, Civil Action No. 99- 2486, a RICO case against the major tobacco manufacturers and associations involving allegations of conspiracy to suppress information and to suppress innovation. Attorneys:  U.S. Department of Justice (Steve Brody, Renee Brooker, and James </w:t>
      </w:r>
      <w:proofErr w:type="spellStart"/>
      <w:r w:rsidRPr="00234FF3">
        <w:rPr>
          <w:rFonts w:eastAsia="Times New Roman"/>
          <w:sz w:val="22"/>
        </w:rPr>
        <w:t>Gette</w:t>
      </w:r>
      <w:proofErr w:type="spellEnd"/>
      <w:r w:rsidRPr="00234FF3">
        <w:rPr>
          <w:rFonts w:eastAsia="Times New Roman"/>
          <w:sz w:val="22"/>
        </w:rPr>
        <w:t>).</w:t>
      </w:r>
    </w:p>
    <w:p w14:paraId="3FA59A0E"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Appalachian Oil Company, in </w:t>
      </w:r>
      <w:r w:rsidRPr="00973478">
        <w:rPr>
          <w:rFonts w:eastAsia="Times New Roman"/>
          <w:sz w:val="22"/>
        </w:rPr>
        <w:t>R.J. Reynolds Tobacco Company v. Market Basket Food Stores, Inc., et al.</w:t>
      </w:r>
      <w:r w:rsidRPr="00234FF3">
        <w:rPr>
          <w:rFonts w:eastAsia="Times New Roman"/>
          <w:sz w:val="22"/>
        </w:rPr>
        <w:t xml:space="preserve">, Civil Action No. 5:05-CV-253. Attorneys:  Baker, Donelson, </w:t>
      </w:r>
      <w:proofErr w:type="spellStart"/>
      <w:r w:rsidRPr="00234FF3">
        <w:rPr>
          <w:rFonts w:eastAsia="Times New Roman"/>
          <w:sz w:val="22"/>
        </w:rPr>
        <w:t>Bearman</w:t>
      </w:r>
      <w:proofErr w:type="spellEnd"/>
      <w:r w:rsidRPr="00234FF3">
        <w:rPr>
          <w:rFonts w:eastAsia="Times New Roman"/>
          <w:sz w:val="22"/>
        </w:rPr>
        <w:t>, Caldwell &amp; Berkowitz P.C. (Gary Shockley).</w:t>
      </w:r>
    </w:p>
    <w:p w14:paraId="4F13DD0F"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Star Scientific, in </w:t>
      </w:r>
      <w:r w:rsidRPr="00973478">
        <w:rPr>
          <w:rFonts w:eastAsia="Times New Roman"/>
          <w:sz w:val="22"/>
        </w:rPr>
        <w:t>Star Scientific, Inc. v. R.J. Reynolds Tobacco Company</w:t>
      </w:r>
      <w:r w:rsidRPr="00234FF3">
        <w:rPr>
          <w:rFonts w:eastAsia="Times New Roman"/>
          <w:sz w:val="22"/>
        </w:rPr>
        <w:t xml:space="preserve">, Case No. AW 01-CV-1504 and AW 02-CV-2504. Attorneys:  Crowell and Moring (Richard MacMillan and Kathryn </w:t>
      </w:r>
      <w:proofErr w:type="spellStart"/>
      <w:r w:rsidRPr="00234FF3">
        <w:rPr>
          <w:rFonts w:eastAsia="Times New Roman"/>
          <w:sz w:val="22"/>
        </w:rPr>
        <w:t>Kirmayer</w:t>
      </w:r>
      <w:proofErr w:type="spellEnd"/>
      <w:r w:rsidRPr="00234FF3">
        <w:rPr>
          <w:rFonts w:eastAsia="Times New Roman"/>
          <w:sz w:val="22"/>
        </w:rPr>
        <w:t>).</w:t>
      </w:r>
    </w:p>
    <w:p w14:paraId="48145759"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Pharmaceutical and Health Care</w:t>
      </w:r>
    </w:p>
    <w:p w14:paraId="4F67D570"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Advised the working groups of the Advanced Market Commitment (“AMC”), an initiative of the Gates Foundation to pilot the first AMC for the pneumococcus vaccine. The goal of this AMC is to provide appropriate market-based incentives to induce capacity investments by the major pharmaceutical companies for manufacturing sufficient vaccines for low-income countries.</w:t>
      </w:r>
    </w:p>
    <w:p w14:paraId="5D73F6F0"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 xml:space="preserve">Assisted a pharmaceutical manufacturer against Medicaid reimbursement, fraud, and unfair trade practices claims brought </w:t>
      </w:r>
      <w:proofErr w:type="gramStart"/>
      <w:r w:rsidRPr="00234FF3">
        <w:rPr>
          <w:rFonts w:eastAsia="Times New Roman"/>
          <w:sz w:val="22"/>
        </w:rPr>
        <w:t>by numerous State Attorneys General</w:t>
      </w:r>
      <w:proofErr w:type="gramEnd"/>
      <w:r w:rsidRPr="00234FF3">
        <w:rPr>
          <w:rFonts w:eastAsia="Times New Roman"/>
          <w:sz w:val="22"/>
        </w:rPr>
        <w:t xml:space="preserve">. Attorneys:  O’Melveny &amp; Meyers LLP (Steve Brody and Brian Anderson) and Baker </w:t>
      </w:r>
      <w:proofErr w:type="spellStart"/>
      <w:r w:rsidRPr="00234FF3">
        <w:rPr>
          <w:rFonts w:eastAsia="Times New Roman"/>
          <w:sz w:val="22"/>
        </w:rPr>
        <w:t>Botts</w:t>
      </w:r>
      <w:proofErr w:type="spellEnd"/>
      <w:r w:rsidRPr="00234FF3">
        <w:rPr>
          <w:rFonts w:eastAsia="Times New Roman"/>
          <w:sz w:val="22"/>
        </w:rPr>
        <w:t xml:space="preserve"> LLP (Richard Josephson).</w:t>
      </w:r>
    </w:p>
    <w:p w14:paraId="44D53971"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 xml:space="preserve">Advised Regional Urology, in </w:t>
      </w:r>
      <w:r w:rsidRPr="00973478">
        <w:rPr>
          <w:rFonts w:eastAsia="Times New Roman"/>
          <w:sz w:val="22"/>
        </w:rPr>
        <w:t>Willis-Knighton Health System and Health Plus of Louisiana, Inc. v. Regional Urology LLC, et al.</w:t>
      </w:r>
      <w:r w:rsidRPr="00234FF3">
        <w:rPr>
          <w:rFonts w:eastAsia="Times New Roman"/>
          <w:sz w:val="22"/>
        </w:rPr>
        <w:t xml:space="preserve">, Civil No. CV02-1094-S. Attorneys:  </w:t>
      </w:r>
      <w:proofErr w:type="spellStart"/>
      <w:r w:rsidRPr="00234FF3">
        <w:rPr>
          <w:rFonts w:eastAsia="Times New Roman"/>
          <w:sz w:val="22"/>
        </w:rPr>
        <w:t>Breazeale</w:t>
      </w:r>
      <w:proofErr w:type="spellEnd"/>
      <w:r w:rsidRPr="00234FF3">
        <w:rPr>
          <w:rFonts w:eastAsia="Times New Roman"/>
          <w:sz w:val="22"/>
        </w:rPr>
        <w:t xml:space="preserve"> </w:t>
      </w:r>
      <w:proofErr w:type="spellStart"/>
      <w:r w:rsidRPr="00234FF3">
        <w:rPr>
          <w:rFonts w:eastAsia="Times New Roman"/>
          <w:sz w:val="22"/>
        </w:rPr>
        <w:t>Sachse</w:t>
      </w:r>
      <w:proofErr w:type="spellEnd"/>
      <w:r w:rsidRPr="00234FF3">
        <w:rPr>
          <w:rFonts w:eastAsia="Times New Roman"/>
          <w:sz w:val="22"/>
        </w:rPr>
        <w:t xml:space="preserve"> &amp; Wilson, LLP (Claude Reynaud).</w:t>
      </w:r>
    </w:p>
    <w:p w14:paraId="43097F3D"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Media and Sports</w:t>
      </w:r>
    </w:p>
    <w:p w14:paraId="5E63232C"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the YES Television Network in evaluating the value to the network of carriage rights for certain New Jersey Nets games, for contract renegotiation and possible arbitration.  Attorneys:  </w:t>
      </w:r>
      <w:proofErr w:type="spellStart"/>
      <w:r w:rsidRPr="00234FF3">
        <w:rPr>
          <w:rFonts w:eastAsia="Times New Roman"/>
          <w:sz w:val="22"/>
        </w:rPr>
        <w:t>Boies</w:t>
      </w:r>
      <w:proofErr w:type="spellEnd"/>
      <w:r w:rsidRPr="00234FF3">
        <w:rPr>
          <w:rFonts w:eastAsia="Times New Roman"/>
          <w:sz w:val="22"/>
        </w:rPr>
        <w:t xml:space="preserve"> Schiller &amp; Flexner, LLP (Robert Dwyer).</w:t>
      </w:r>
    </w:p>
    <w:p w14:paraId="1C492AED"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Assisted the Monte Carlo Tennis Tournament, in a dispute with the ATP Tour, alleging abuse of market power. Attorneys:  Sidley Austin LLP (Alan Unger).</w:t>
      </w:r>
    </w:p>
    <w:p w14:paraId="3E0074B4"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a team of the National Football League, in a dispute with a cable operator, alleging vertical foreclosure. Attorneys:  </w:t>
      </w:r>
      <w:proofErr w:type="spellStart"/>
      <w:r w:rsidRPr="00234FF3">
        <w:rPr>
          <w:rFonts w:eastAsia="Times New Roman"/>
          <w:sz w:val="22"/>
        </w:rPr>
        <w:t>Boies</w:t>
      </w:r>
      <w:proofErr w:type="spellEnd"/>
      <w:r w:rsidRPr="00234FF3">
        <w:rPr>
          <w:rFonts w:eastAsia="Times New Roman"/>
          <w:sz w:val="22"/>
        </w:rPr>
        <w:t xml:space="preserve"> Schiller &amp; Flexner, LLP (Robert Dwyer).</w:t>
      </w:r>
    </w:p>
    <w:p w14:paraId="3289F67B"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Major League Baseball in </w:t>
      </w:r>
      <w:r w:rsidRPr="00973478">
        <w:rPr>
          <w:rFonts w:eastAsia="Times New Roman"/>
          <w:sz w:val="22"/>
        </w:rPr>
        <w:t xml:space="preserve">Major League Baseball Properties, Inc. v. </w:t>
      </w:r>
      <w:proofErr w:type="spellStart"/>
      <w:r w:rsidRPr="00973478">
        <w:rPr>
          <w:rFonts w:eastAsia="Times New Roman"/>
          <w:sz w:val="22"/>
        </w:rPr>
        <w:t>Salvino</w:t>
      </w:r>
      <w:proofErr w:type="spellEnd"/>
      <w:r w:rsidRPr="00973478">
        <w:rPr>
          <w:rFonts w:eastAsia="Times New Roman"/>
          <w:sz w:val="22"/>
        </w:rPr>
        <w:t>,</w:t>
      </w:r>
      <w:r w:rsidRPr="00234FF3">
        <w:rPr>
          <w:rFonts w:eastAsia="Times New Roman"/>
          <w:sz w:val="22"/>
        </w:rPr>
        <w:t xml:space="preserve"> involving a challenge to the league’s use of centralized trademark licensing.  Attorneys:  Foley &amp; Lardner LLP (Jim </w:t>
      </w:r>
      <w:proofErr w:type="spellStart"/>
      <w:r w:rsidRPr="00234FF3">
        <w:rPr>
          <w:rFonts w:eastAsia="Times New Roman"/>
          <w:sz w:val="22"/>
        </w:rPr>
        <w:t>Mckeown</w:t>
      </w:r>
      <w:proofErr w:type="spellEnd"/>
      <w:r w:rsidRPr="00234FF3">
        <w:rPr>
          <w:rFonts w:eastAsia="Times New Roman"/>
          <w:sz w:val="22"/>
        </w:rPr>
        <w:t>).</w:t>
      </w:r>
    </w:p>
    <w:p w14:paraId="71C1A565"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Advised HBO on reasonable fees for music performance rights in their negotiation with BMI. Attorney:  </w:t>
      </w:r>
      <w:proofErr w:type="spellStart"/>
      <w:r w:rsidRPr="00234FF3">
        <w:rPr>
          <w:rFonts w:eastAsia="Times New Roman"/>
          <w:sz w:val="22"/>
        </w:rPr>
        <w:t>Cravath</w:t>
      </w:r>
      <w:proofErr w:type="spellEnd"/>
      <w:r w:rsidRPr="00234FF3">
        <w:rPr>
          <w:rFonts w:eastAsia="Times New Roman"/>
          <w:sz w:val="22"/>
        </w:rPr>
        <w:t>, Swaine &amp; Moore LLP (Kenneth Lee).</w:t>
      </w:r>
    </w:p>
    <w:p w14:paraId="2CF3164B"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Advised XM Satellite Radio on reasonable fees for music performance rights for business negotiations. Attorneys:  Shaw Pittman LLP (Cynthia Greer).</w:t>
      </w:r>
    </w:p>
    <w:p w14:paraId="04AB05CE"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Econometrics and Statistics</w:t>
      </w:r>
    </w:p>
    <w:p w14:paraId="300A590C"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Dr. Chipty is an expert in the area of statistics and econometrics and has been successful at using econometric arguments both to construct affirmative arguments in litigation as well as to evaluate the use </w:t>
      </w:r>
      <w:r w:rsidRPr="00234FF3">
        <w:rPr>
          <w:rFonts w:eastAsia="Times New Roman"/>
          <w:sz w:val="22"/>
          <w:szCs w:val="20"/>
        </w:rPr>
        <w:lastRenderedPageBreak/>
        <w:t xml:space="preserve">of econometrics by opposing experts. Many of the projects described above used econometric analysis. Other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are described below:</w:t>
      </w:r>
    </w:p>
    <w:p w14:paraId="1806F774"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Submitted a white paper to the European Commission, DG Competition Bureau, on behalf of the European Liner Affairs Association, analyzing the impact of shipping conferences on carriers’ ability to collude on prices (joint with Professor Fiona Scott Morton and Mr. Nils Von </w:t>
      </w:r>
      <w:proofErr w:type="spellStart"/>
      <w:r w:rsidRPr="00234FF3">
        <w:rPr>
          <w:rFonts w:eastAsia="Times New Roman"/>
          <w:sz w:val="22"/>
        </w:rPr>
        <w:t>Hinten</w:t>
      </w:r>
      <w:proofErr w:type="spellEnd"/>
      <w:r w:rsidRPr="00234FF3">
        <w:rPr>
          <w:rFonts w:eastAsia="Times New Roman"/>
          <w:sz w:val="22"/>
        </w:rPr>
        <w:t>-Reed).</w:t>
      </w:r>
    </w:p>
    <w:p w14:paraId="5E4FEBAA"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Developed analyses and drafted a report on behalf of defendants in the </w:t>
      </w:r>
      <w:proofErr w:type="gramStart"/>
      <w:r w:rsidRPr="00973478">
        <w:rPr>
          <w:rFonts w:eastAsia="Times New Roman"/>
          <w:sz w:val="22"/>
        </w:rPr>
        <w:t>In</w:t>
      </w:r>
      <w:proofErr w:type="gramEnd"/>
      <w:r w:rsidRPr="00973478">
        <w:rPr>
          <w:rFonts w:eastAsia="Times New Roman"/>
          <w:sz w:val="22"/>
        </w:rPr>
        <w:t xml:space="preserve"> Re: Monosodium Glutamate Litigation</w:t>
      </w:r>
      <w:r w:rsidRPr="00234FF3">
        <w:rPr>
          <w:rFonts w:eastAsia="Times New Roman"/>
          <w:sz w:val="22"/>
        </w:rPr>
        <w:t xml:space="preserve"> in support of a defendants’ motion to dismiss plaintiff’s expert testimony based upon improper use of econometrics. Attorneys:  Dorsey &amp; Whitney LLP (Michael Lindsay) and Haynes &amp; Boone LLP (Ronald Breaux).</w:t>
      </w:r>
    </w:p>
    <w:p w14:paraId="3B10C062"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Used advanced statistical techniques along with a large volume of administrative data, on behalf of United Parcel Service, to evaluate the Postal Service’s expert testimony on variable costs. Attorneys: Piper &amp; Marbury LLP (John McKeever).</w:t>
      </w:r>
    </w:p>
    <w:p w14:paraId="0CB15176"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Evaluated and criticized the econometric testimony of a defendants’ expert, on behalf of a generic pharmaceuticals firm alleging vertical foreclosure and unlawful delay of entry. Attorneys:  Solomon </w:t>
      </w:r>
      <w:proofErr w:type="spellStart"/>
      <w:r w:rsidRPr="00234FF3">
        <w:rPr>
          <w:rFonts w:eastAsia="Times New Roman"/>
          <w:sz w:val="22"/>
        </w:rPr>
        <w:t>Zauderer</w:t>
      </w:r>
      <w:proofErr w:type="spellEnd"/>
      <w:r w:rsidRPr="00234FF3">
        <w:rPr>
          <w:rFonts w:eastAsia="Times New Roman"/>
          <w:sz w:val="22"/>
        </w:rPr>
        <w:t xml:space="preserve"> (Colin Underwood).</w:t>
      </w:r>
    </w:p>
    <w:p w14:paraId="098ED7E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TriState Research Partnership</w:t>
      </w:r>
    </w:p>
    <w:p w14:paraId="47FCE5E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Dr. Chipty was a member of the research team from 1997-1999 in this Department of Health and Human Resources funded collaboration that included the states of Massachusetts, Alabama, and Florida. Dr. Chipty worked with state governments to design research experiments, develop econometric models, and process large administrative databases, in an effort to understand the structure, administration, and impact of minimum standards regulations.</w:t>
      </w:r>
    </w:p>
    <w:p w14:paraId="4C0C7881"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“The Black-White Wage Gap in the Deep South: Location, Location, Location?” (</w:t>
      </w:r>
      <w:proofErr w:type="gramStart"/>
      <w:r w:rsidRPr="00234FF3">
        <w:rPr>
          <w:rFonts w:eastAsia="Times New Roman"/>
          <w:sz w:val="22"/>
        </w:rPr>
        <w:t>with</w:t>
      </w:r>
      <w:proofErr w:type="gramEnd"/>
      <w:r w:rsidRPr="00234FF3">
        <w:rPr>
          <w:rFonts w:eastAsia="Times New Roman"/>
          <w:sz w:val="22"/>
        </w:rPr>
        <w:t xml:space="preserve"> Ann Dryden Witte), Working Paper 98-03, Tri-State Child Care Research Partnership, Miami, FL. </w:t>
      </w:r>
    </w:p>
    <w:p w14:paraId="1577BF70"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“Employment Patterns of Workers Receiving Subsidized Child Care: A Study of Eight Counties in Alabama,” (with Ann Dryden Witte), Available from Margie Curry, Executive Director, Childcare Resources, 1904 First Ave. North, Birmingham, AL 35203-4006. </w:t>
      </w:r>
    </w:p>
    <w:p w14:paraId="2DF7E59C"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“Parents Receiving Subsidized Child Care: A Study of Alabama’s Labor Force,” (with Ann Dryden Witte), Working Paper 98-01, Tri-State Child Care Research Partnership, Miami, FL. </w:t>
      </w:r>
    </w:p>
    <w:p w14:paraId="1A3054CF"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“Employment of Parents Receiving Subsidized Child Care in Dade County, Florida,” (with Harriet </w:t>
      </w:r>
      <w:proofErr w:type="spellStart"/>
      <w:r w:rsidRPr="00234FF3">
        <w:rPr>
          <w:rFonts w:eastAsia="Times New Roman"/>
          <w:sz w:val="22"/>
        </w:rPr>
        <w:t>Griesinger</w:t>
      </w:r>
      <w:proofErr w:type="spellEnd"/>
      <w:r w:rsidRPr="00234FF3">
        <w:rPr>
          <w:rFonts w:eastAsia="Times New Roman"/>
          <w:sz w:val="22"/>
        </w:rPr>
        <w:t xml:space="preserve"> and Ann Dryden Witte), Working Paper 98-03, Department of Economics, Wellesley College, Wellesley MA 02481. </w:t>
      </w:r>
    </w:p>
    <w:p w14:paraId="4B325972" w14:textId="77777777" w:rsidR="00620D39" w:rsidRPr="00234FF3" w:rsidRDefault="00620D39" w:rsidP="000F554A">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Selected Papers and Presentations</w:t>
      </w:r>
    </w:p>
    <w:p w14:paraId="659E58DB" w14:textId="77777777" w:rsidR="00620D39" w:rsidRPr="00234FF3" w:rsidRDefault="00620D39" w:rsidP="000F554A">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Published Articles</w:t>
      </w:r>
    </w:p>
    <w:p w14:paraId="06C3BFB9" w14:textId="113BAE5C"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w:t>
      </w:r>
      <w:hyperlink r:id="rId17" w:history="1">
        <w:r w:rsidRPr="00234FF3">
          <w:rPr>
            <w:rStyle w:val="Hyperlink"/>
            <w:rFonts w:eastAsia="Times New Roman"/>
            <w:sz w:val="22"/>
            <w:szCs w:val="20"/>
          </w:rPr>
          <w:t>US: Economics</w:t>
        </w:r>
      </w:hyperlink>
      <w:r w:rsidRPr="00234FF3">
        <w:rPr>
          <w:rFonts w:eastAsia="Times New Roman"/>
          <w:sz w:val="22"/>
          <w:szCs w:val="20"/>
        </w:rPr>
        <w:t xml:space="preserve">” (with Michael Chapman), </w:t>
      </w:r>
      <w:r w:rsidRPr="00973478">
        <w:rPr>
          <w:rFonts w:eastAsia="Times New Roman"/>
          <w:sz w:val="22"/>
          <w:szCs w:val="20"/>
        </w:rPr>
        <w:t>Global Competition Review</w:t>
      </w:r>
      <w:r w:rsidRPr="00234FF3">
        <w:rPr>
          <w:rFonts w:eastAsia="Times New Roman"/>
          <w:sz w:val="22"/>
          <w:szCs w:val="20"/>
        </w:rPr>
        <w:t xml:space="preserve">, </w:t>
      </w:r>
      <w:r w:rsidRPr="00973478">
        <w:rPr>
          <w:rFonts w:eastAsia="Times New Roman"/>
          <w:sz w:val="22"/>
          <w:szCs w:val="20"/>
        </w:rPr>
        <w:t>The Antitrust Review of the Americas 2016</w:t>
      </w:r>
      <w:r w:rsidRPr="00234FF3">
        <w:rPr>
          <w:rFonts w:eastAsia="Times New Roman"/>
          <w:sz w:val="22"/>
          <w:szCs w:val="20"/>
        </w:rPr>
        <w:t xml:space="preserve">, available at: </w:t>
      </w:r>
      <w:r w:rsidR="00E2768E" w:rsidRPr="00234FF3">
        <w:rPr>
          <w:rFonts w:eastAsia="Times New Roman"/>
          <w:sz w:val="22"/>
          <w:szCs w:val="20"/>
        </w:rPr>
        <w:t>http://globalcompetitionreview.com/reviews/74/sections/275/chapters/2983/us-economics/</w:t>
      </w:r>
      <w:r w:rsidRPr="00234FF3">
        <w:rPr>
          <w:rFonts w:eastAsia="Times New Roman"/>
          <w:sz w:val="22"/>
          <w:szCs w:val="20"/>
        </w:rPr>
        <w:t xml:space="preserve">.  </w:t>
      </w:r>
    </w:p>
    <w:p w14:paraId="1E9EE0D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proofErr w:type="gramStart"/>
      <w:r w:rsidRPr="00234FF3">
        <w:rPr>
          <w:rFonts w:eastAsia="Times New Roman"/>
          <w:sz w:val="22"/>
          <w:szCs w:val="20"/>
        </w:rPr>
        <w:t xml:space="preserve">“Economists’ Perspective on the Efficiency Defense in Provider Consolidations:  What Works, What Doesn’t Work, and What We Still Don’t Know,” American Health Lawyer’s Association </w:t>
      </w:r>
      <w:r w:rsidRPr="00973478">
        <w:rPr>
          <w:rFonts w:eastAsia="Times New Roman"/>
          <w:sz w:val="22"/>
          <w:szCs w:val="20"/>
        </w:rPr>
        <w:t>Connections Magazine</w:t>
      </w:r>
      <w:r w:rsidRPr="00234FF3">
        <w:rPr>
          <w:rFonts w:eastAsia="Times New Roman"/>
          <w:sz w:val="22"/>
          <w:szCs w:val="20"/>
        </w:rPr>
        <w:t>, September 2015.</w:t>
      </w:r>
      <w:proofErr w:type="gramEnd"/>
    </w:p>
    <w:p w14:paraId="502480A1" w14:textId="77777777" w:rsidR="00620D39" w:rsidRPr="00234FF3" w:rsidRDefault="00620D39" w:rsidP="00DA404E">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lastRenderedPageBreak/>
        <w:t xml:space="preserve">“Competitor Collaborations in Health Care: Understanding the Proposed ACO Antitrust Review Process,” </w:t>
      </w:r>
      <w:r w:rsidRPr="00973478">
        <w:rPr>
          <w:rFonts w:eastAsia="Times New Roman"/>
          <w:sz w:val="22"/>
          <w:szCs w:val="20"/>
        </w:rPr>
        <w:t>CPI Antitrust Chronicle</w:t>
      </w:r>
      <w:r w:rsidRPr="00234FF3">
        <w:rPr>
          <w:rFonts w:eastAsia="Times New Roman"/>
          <w:sz w:val="22"/>
          <w:szCs w:val="20"/>
        </w:rPr>
        <w:t>, May 2011 (1).</w:t>
      </w:r>
    </w:p>
    <w:p w14:paraId="2367893D" w14:textId="77777777" w:rsidR="00620D39" w:rsidRPr="00234FF3" w:rsidRDefault="00620D39" w:rsidP="00DA404E">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“Vertical Integration, Market Foreclosure, and Consumer Welfare in the Cable Television Industry,” </w:t>
      </w:r>
      <w:r w:rsidRPr="00973478">
        <w:rPr>
          <w:rFonts w:eastAsia="Times New Roman"/>
          <w:sz w:val="22"/>
          <w:szCs w:val="20"/>
        </w:rPr>
        <w:t>American Economic Review</w:t>
      </w:r>
      <w:r w:rsidRPr="00234FF3">
        <w:rPr>
          <w:rFonts w:eastAsia="Times New Roman"/>
          <w:sz w:val="22"/>
          <w:szCs w:val="20"/>
        </w:rPr>
        <w:t>, Vol. 91, No. 3, June 2001, pp. 428-453.</w:t>
      </w:r>
    </w:p>
    <w:p w14:paraId="5608C07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“The Role of Buyer Size in Bilateral Bargaining: A Study of the Cable Television Industry” (with Christopher Snyder), </w:t>
      </w:r>
      <w:r w:rsidRPr="00973478">
        <w:rPr>
          <w:rFonts w:eastAsia="Times New Roman"/>
          <w:sz w:val="22"/>
          <w:szCs w:val="20"/>
        </w:rPr>
        <w:t>Review of Economics and Statistics</w:t>
      </w:r>
      <w:r w:rsidRPr="00234FF3">
        <w:rPr>
          <w:rFonts w:eastAsia="Times New Roman"/>
          <w:sz w:val="22"/>
          <w:szCs w:val="20"/>
        </w:rPr>
        <w:t>, May 1999, 81(2): 326-340.</w:t>
      </w:r>
    </w:p>
    <w:p w14:paraId="28CBED1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“Economic Effects of Quality Regulations in the Daycare Industry,” </w:t>
      </w:r>
      <w:r w:rsidRPr="00973478">
        <w:rPr>
          <w:rFonts w:eastAsia="Times New Roman"/>
          <w:sz w:val="22"/>
          <w:szCs w:val="20"/>
        </w:rPr>
        <w:t>American Economic Review</w:t>
      </w:r>
      <w:r w:rsidRPr="00234FF3">
        <w:rPr>
          <w:rFonts w:eastAsia="Times New Roman"/>
          <w:sz w:val="22"/>
          <w:szCs w:val="20"/>
        </w:rPr>
        <w:t>, Vol. 85, No. 2, May 1995, pp. 419-424.</w:t>
      </w:r>
    </w:p>
    <w:p w14:paraId="3252979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“Horizontal Integration for Bargaining Power: Evidence from the Cable Television Industry,” </w:t>
      </w:r>
      <w:r w:rsidRPr="00973478">
        <w:rPr>
          <w:rFonts w:eastAsia="Times New Roman"/>
          <w:sz w:val="22"/>
          <w:szCs w:val="20"/>
        </w:rPr>
        <w:t>Journal of Economics and Management Strategy</w:t>
      </w:r>
      <w:r w:rsidRPr="00234FF3">
        <w:rPr>
          <w:rFonts w:eastAsia="Times New Roman"/>
          <w:sz w:val="22"/>
          <w:szCs w:val="20"/>
        </w:rPr>
        <w:t xml:space="preserve">, Vol. 4, No. 2, </w:t>
      </w:r>
      <w:proofErr w:type="gramStart"/>
      <w:r w:rsidRPr="00234FF3">
        <w:rPr>
          <w:rFonts w:eastAsia="Times New Roman"/>
          <w:sz w:val="22"/>
          <w:szCs w:val="20"/>
        </w:rPr>
        <w:t>Summer</w:t>
      </w:r>
      <w:proofErr w:type="gramEnd"/>
      <w:r w:rsidRPr="00234FF3">
        <w:rPr>
          <w:rFonts w:eastAsia="Times New Roman"/>
          <w:sz w:val="22"/>
          <w:szCs w:val="20"/>
        </w:rPr>
        <w:t xml:space="preserve"> 1995, pp. 375-397.</w:t>
      </w:r>
    </w:p>
    <w:p w14:paraId="258E63B5"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“A Marginal Cost Transfer Pricing Methodology,” </w:t>
      </w:r>
      <w:r w:rsidRPr="00973478">
        <w:rPr>
          <w:rFonts w:eastAsia="Times New Roman"/>
          <w:sz w:val="22"/>
          <w:szCs w:val="20"/>
        </w:rPr>
        <w:t>Tax Notes</w:t>
      </w:r>
      <w:r w:rsidRPr="00234FF3">
        <w:rPr>
          <w:rFonts w:eastAsia="Times New Roman"/>
          <w:sz w:val="22"/>
          <w:szCs w:val="20"/>
        </w:rPr>
        <w:t>, Nov. 26, 1990 (with Ann Dryden Witte, Wellesley College and NBER).</w:t>
      </w:r>
    </w:p>
    <w:p w14:paraId="6293E726"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Book Reviews</w:t>
      </w:r>
    </w:p>
    <w:p w14:paraId="5F17992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973478">
        <w:rPr>
          <w:rFonts w:eastAsia="Times New Roman"/>
          <w:sz w:val="22"/>
          <w:szCs w:val="20"/>
        </w:rPr>
        <w:t>The Antitrust Source</w:t>
      </w:r>
      <w:r w:rsidRPr="00234FF3">
        <w:rPr>
          <w:rFonts w:eastAsia="Times New Roman"/>
          <w:sz w:val="22"/>
          <w:szCs w:val="20"/>
        </w:rPr>
        <w:t xml:space="preserve">, October 2007, Book Review of Michael D. </w:t>
      </w:r>
      <w:proofErr w:type="spellStart"/>
      <w:r w:rsidRPr="00234FF3">
        <w:rPr>
          <w:rFonts w:eastAsia="Times New Roman"/>
          <w:sz w:val="22"/>
          <w:szCs w:val="20"/>
        </w:rPr>
        <w:t>Whinston</w:t>
      </w:r>
      <w:proofErr w:type="spellEnd"/>
      <w:r w:rsidRPr="00234FF3">
        <w:rPr>
          <w:rFonts w:eastAsia="Times New Roman"/>
          <w:sz w:val="22"/>
          <w:szCs w:val="20"/>
        </w:rPr>
        <w:t xml:space="preserve">, </w:t>
      </w:r>
      <w:r w:rsidRPr="00973478">
        <w:rPr>
          <w:rFonts w:eastAsia="Times New Roman"/>
          <w:sz w:val="22"/>
          <w:szCs w:val="20"/>
        </w:rPr>
        <w:t>Lectures on Antitrust Economics</w:t>
      </w:r>
      <w:r w:rsidRPr="00234FF3">
        <w:rPr>
          <w:rFonts w:eastAsia="Times New Roman"/>
          <w:sz w:val="22"/>
          <w:szCs w:val="20"/>
        </w:rPr>
        <w:t xml:space="preserve"> (Cambridge, MIT Press, 2006).</w:t>
      </w:r>
    </w:p>
    <w:p w14:paraId="275C8DF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973478">
        <w:rPr>
          <w:rFonts w:eastAsia="Times New Roman"/>
          <w:sz w:val="22"/>
          <w:szCs w:val="20"/>
        </w:rPr>
        <w:t>The Journal of Economic Literature</w:t>
      </w:r>
      <w:r w:rsidRPr="00234FF3">
        <w:rPr>
          <w:rFonts w:eastAsia="Times New Roman"/>
          <w:sz w:val="22"/>
          <w:szCs w:val="20"/>
        </w:rPr>
        <w:t xml:space="preserve">, June 1992, Vol. XXX, No. 2, Book Review of Frank Cowell, </w:t>
      </w:r>
      <w:r w:rsidRPr="00973478">
        <w:rPr>
          <w:rFonts w:eastAsia="Times New Roman"/>
          <w:sz w:val="22"/>
          <w:szCs w:val="20"/>
        </w:rPr>
        <w:t>Cheating the Government</w:t>
      </w:r>
      <w:r w:rsidRPr="00234FF3">
        <w:rPr>
          <w:rFonts w:eastAsia="Times New Roman"/>
          <w:sz w:val="22"/>
          <w:szCs w:val="20"/>
        </w:rPr>
        <w:t xml:space="preserve"> (with Ann Dryden Witte, Wellesley College and NBER) (Cambridge, MIT Press, 1990).</w:t>
      </w:r>
    </w:p>
    <w:p w14:paraId="24C0350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Working Papers</w:t>
      </w:r>
    </w:p>
    <w:p w14:paraId="7CBEE24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“In a Race </w:t>
      </w:r>
      <w:proofErr w:type="gramStart"/>
      <w:r w:rsidRPr="00234FF3">
        <w:rPr>
          <w:rFonts w:eastAsia="Times New Roman"/>
          <w:sz w:val="22"/>
          <w:szCs w:val="20"/>
        </w:rPr>
        <w:t>Against</w:t>
      </w:r>
      <w:proofErr w:type="gramEnd"/>
      <w:r w:rsidRPr="00234FF3">
        <w:rPr>
          <w:rFonts w:eastAsia="Times New Roman"/>
          <w:sz w:val="22"/>
          <w:szCs w:val="20"/>
        </w:rPr>
        <w:t xml:space="preserve"> the Clock:  Auctioneer Strategies and Selling Mechanisms in Live Outcry Auctions,” 2014 (with Lucia Dunn and Stephen Cosslett, the Ohio State University).</w:t>
      </w:r>
    </w:p>
    <w:p w14:paraId="41FC638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 “Efficient Estimation </w:t>
      </w:r>
      <w:proofErr w:type="gramStart"/>
      <w:r w:rsidRPr="00234FF3">
        <w:rPr>
          <w:rFonts w:eastAsia="Times New Roman"/>
          <w:sz w:val="22"/>
          <w:szCs w:val="20"/>
        </w:rPr>
        <w:t>Via</w:t>
      </w:r>
      <w:proofErr w:type="gramEnd"/>
      <w:r w:rsidRPr="00234FF3">
        <w:rPr>
          <w:rFonts w:eastAsia="Times New Roman"/>
          <w:sz w:val="22"/>
          <w:szCs w:val="20"/>
        </w:rPr>
        <w:t xml:space="preserve"> Moment Restrictions,” (with Whitney K. Newey).</w:t>
      </w:r>
    </w:p>
    <w:p w14:paraId="0A8273A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proofErr w:type="gramStart"/>
      <w:r w:rsidRPr="00234FF3">
        <w:rPr>
          <w:rFonts w:eastAsia="Times New Roman"/>
          <w:sz w:val="22"/>
          <w:szCs w:val="20"/>
        </w:rPr>
        <w:t>“Antidumping and Countervailing Orders: A Study of the Market for Corrosion-Resistant Steel,” (with Brian L. Palmer).</w:t>
      </w:r>
      <w:proofErr w:type="gramEnd"/>
    </w:p>
    <w:p w14:paraId="499AB59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proofErr w:type="gramStart"/>
      <w:r w:rsidRPr="00234FF3">
        <w:rPr>
          <w:rFonts w:eastAsia="Times New Roman"/>
          <w:sz w:val="22"/>
          <w:szCs w:val="20"/>
        </w:rPr>
        <w:t>“Firms’ Responses to Minimum Standards Regulations: An Empirical Investigation” (with Ann Dryden Witte), NBER Working Paper # 6104.</w:t>
      </w:r>
      <w:proofErr w:type="gramEnd"/>
    </w:p>
    <w:p w14:paraId="4F34397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“Effects of Information Provision in a Vertically Differentiated Market” (with Ann Dryden Witte), NBER Working Paper # 6493.</w:t>
      </w:r>
    </w:p>
    <w:p w14:paraId="218E6AF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proofErr w:type="gramStart"/>
      <w:r w:rsidRPr="00234FF3">
        <w:rPr>
          <w:rFonts w:eastAsia="Times New Roman"/>
          <w:sz w:val="22"/>
          <w:szCs w:val="20"/>
        </w:rPr>
        <w:t>“Unintended Consequences?</w:t>
      </w:r>
      <w:proofErr w:type="gramEnd"/>
      <w:r w:rsidRPr="00234FF3">
        <w:rPr>
          <w:rFonts w:eastAsia="Times New Roman"/>
          <w:sz w:val="22"/>
          <w:szCs w:val="20"/>
        </w:rPr>
        <w:t xml:space="preserve"> </w:t>
      </w:r>
      <w:proofErr w:type="gramStart"/>
      <w:r w:rsidRPr="00234FF3">
        <w:rPr>
          <w:rFonts w:eastAsia="Times New Roman"/>
          <w:sz w:val="22"/>
          <w:szCs w:val="20"/>
        </w:rPr>
        <w:t xml:space="preserve">Welfare Reform and the Working Poor” (with Ann Dryden Witte, </w:t>
      </w:r>
      <w:proofErr w:type="spellStart"/>
      <w:r w:rsidRPr="00234FF3">
        <w:rPr>
          <w:rFonts w:eastAsia="Times New Roman"/>
          <w:sz w:val="22"/>
          <w:szCs w:val="20"/>
        </w:rPr>
        <w:t>Magaly</w:t>
      </w:r>
      <w:proofErr w:type="spellEnd"/>
      <w:r w:rsidRPr="00234FF3">
        <w:rPr>
          <w:rFonts w:eastAsia="Times New Roman"/>
          <w:sz w:val="22"/>
          <w:szCs w:val="20"/>
        </w:rPr>
        <w:t xml:space="preserve"> </w:t>
      </w:r>
      <w:proofErr w:type="spellStart"/>
      <w:r w:rsidRPr="00234FF3">
        <w:rPr>
          <w:rFonts w:eastAsia="Times New Roman"/>
          <w:sz w:val="22"/>
          <w:szCs w:val="20"/>
        </w:rPr>
        <w:t>Queralt</w:t>
      </w:r>
      <w:proofErr w:type="spellEnd"/>
      <w:r w:rsidRPr="00234FF3">
        <w:rPr>
          <w:rFonts w:eastAsia="Times New Roman"/>
          <w:sz w:val="22"/>
          <w:szCs w:val="20"/>
        </w:rPr>
        <w:t xml:space="preserve">, and Harriet </w:t>
      </w:r>
      <w:proofErr w:type="spellStart"/>
      <w:r w:rsidRPr="00234FF3">
        <w:rPr>
          <w:rFonts w:eastAsia="Times New Roman"/>
          <w:sz w:val="22"/>
          <w:szCs w:val="20"/>
        </w:rPr>
        <w:t>Griesinger</w:t>
      </w:r>
      <w:proofErr w:type="spellEnd"/>
      <w:r w:rsidRPr="00234FF3">
        <w:rPr>
          <w:rFonts w:eastAsia="Times New Roman"/>
          <w:sz w:val="22"/>
          <w:szCs w:val="20"/>
        </w:rPr>
        <w:t>), NBER Working Paper # 6798.</w:t>
      </w:r>
      <w:proofErr w:type="gramEnd"/>
    </w:p>
    <w:p w14:paraId="6FAB7267"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Invited Presentations</w:t>
      </w:r>
    </w:p>
    <w:p w14:paraId="1F50DB59"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 xml:space="preserve">ABA Webinar: “Sports Leagues Claims After 5 Years </w:t>
      </w:r>
      <w:proofErr w:type="gramStart"/>
      <w:r w:rsidRPr="00234FF3">
        <w:rPr>
          <w:rFonts w:eastAsia="Times New Roman"/>
          <w:sz w:val="22"/>
          <w:szCs w:val="20"/>
        </w:rPr>
        <w:t>After</w:t>
      </w:r>
      <w:proofErr w:type="gramEnd"/>
      <w:r w:rsidRPr="00234FF3">
        <w:rPr>
          <w:rFonts w:eastAsia="Times New Roman"/>
          <w:sz w:val="22"/>
          <w:szCs w:val="20"/>
        </w:rPr>
        <w:t xml:space="preserve"> American Needle,” 2015.</w:t>
      </w:r>
    </w:p>
    <w:p w14:paraId="7BFB9775"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 xml:space="preserve">NYSBA Antitrust Class Action Program: “Comcast v. </w:t>
      </w:r>
      <w:proofErr w:type="spellStart"/>
      <w:r w:rsidRPr="00234FF3">
        <w:rPr>
          <w:rFonts w:eastAsia="Times New Roman"/>
          <w:sz w:val="22"/>
          <w:szCs w:val="20"/>
        </w:rPr>
        <w:t>Behrend</w:t>
      </w:r>
      <w:proofErr w:type="spellEnd"/>
      <w:r w:rsidRPr="00234FF3">
        <w:rPr>
          <w:rFonts w:eastAsia="Times New Roman"/>
          <w:sz w:val="22"/>
          <w:szCs w:val="20"/>
        </w:rPr>
        <w:t xml:space="preserve">:  Interpretation and Application of </w:t>
      </w:r>
      <w:r w:rsidRPr="00973478">
        <w:rPr>
          <w:rFonts w:eastAsia="Times New Roman"/>
          <w:sz w:val="22"/>
          <w:szCs w:val="20"/>
        </w:rPr>
        <w:t>Comcast</w:t>
      </w:r>
      <w:r w:rsidRPr="00234FF3">
        <w:rPr>
          <w:rFonts w:eastAsia="Times New Roman"/>
          <w:sz w:val="22"/>
          <w:szCs w:val="20"/>
        </w:rPr>
        <w:t xml:space="preserve"> to Damages Issues in Class Certification,” 2015.</w:t>
      </w:r>
    </w:p>
    <w:p w14:paraId="7DEE513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AHLA Annual Meetings: “Antitrust and Provider Mergers and Affiliations: Competition vs. More Affordable Care?” 2015.</w:t>
      </w:r>
    </w:p>
    <w:p w14:paraId="3AADE85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lastRenderedPageBreak/>
        <w:t xml:space="preserve">AHLA Webinar: “Antitrust Implications and Lessons Learned from the Ninth Circuit Decision in </w:t>
      </w:r>
      <w:r w:rsidRPr="00973478">
        <w:rPr>
          <w:rFonts w:eastAsia="Times New Roman"/>
          <w:sz w:val="22"/>
          <w:szCs w:val="20"/>
        </w:rPr>
        <w:t>St. Luke’s</w:t>
      </w:r>
      <w:r w:rsidRPr="00234FF3">
        <w:rPr>
          <w:rFonts w:eastAsia="Times New Roman"/>
          <w:sz w:val="22"/>
          <w:szCs w:val="20"/>
        </w:rPr>
        <w:t>,” 2015.</w:t>
      </w:r>
    </w:p>
    <w:p w14:paraId="3CB84C1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60"/>
        <w:ind w:left="0" w:firstLine="0"/>
        <w:rPr>
          <w:rFonts w:eastAsia="Times New Roman"/>
          <w:sz w:val="22"/>
          <w:szCs w:val="20"/>
        </w:rPr>
      </w:pPr>
      <w:r w:rsidRPr="00234FF3">
        <w:rPr>
          <w:rFonts w:eastAsia="Times New Roman"/>
          <w:sz w:val="22"/>
          <w:szCs w:val="20"/>
        </w:rPr>
        <w:t xml:space="preserve">ABA Webinar: “St. </w:t>
      </w:r>
      <w:proofErr w:type="spellStart"/>
      <w:r w:rsidRPr="00234FF3">
        <w:rPr>
          <w:rFonts w:eastAsia="Times New Roman"/>
          <w:sz w:val="22"/>
          <w:szCs w:val="20"/>
        </w:rPr>
        <w:t>Lukes</w:t>
      </w:r>
      <w:proofErr w:type="spellEnd"/>
      <w:r w:rsidRPr="00234FF3">
        <w:rPr>
          <w:rFonts w:eastAsia="Times New Roman"/>
          <w:sz w:val="22"/>
          <w:szCs w:val="20"/>
        </w:rPr>
        <w:t>: State and Federal Enforcement in Non-Reportable Program,” 2015.</w:t>
      </w:r>
    </w:p>
    <w:p w14:paraId="054B13ED"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proofErr w:type="gramStart"/>
      <w:r w:rsidRPr="00234FF3">
        <w:rPr>
          <w:rFonts w:eastAsia="Times New Roman"/>
          <w:sz w:val="22"/>
          <w:szCs w:val="20"/>
        </w:rPr>
        <w:t>NYC Bar Antitrust and Healthcare Program, 2015.</w:t>
      </w:r>
      <w:proofErr w:type="gramEnd"/>
    </w:p>
    <w:p w14:paraId="2C48263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 xml:space="preserve">NYSBA Antitrust Law Section Annual Meetings: “Efficiencies:  The Cheshire </w:t>
      </w:r>
      <w:proofErr w:type="gramStart"/>
      <w:r w:rsidRPr="00234FF3">
        <w:rPr>
          <w:rFonts w:eastAsia="Times New Roman"/>
          <w:sz w:val="22"/>
          <w:szCs w:val="20"/>
        </w:rPr>
        <w:t>Cat</w:t>
      </w:r>
      <w:proofErr w:type="gramEnd"/>
      <w:r w:rsidRPr="00234FF3">
        <w:rPr>
          <w:rFonts w:eastAsia="Times New Roman"/>
          <w:sz w:val="22"/>
          <w:szCs w:val="20"/>
        </w:rPr>
        <w:t xml:space="preserve"> of Merger Analysis,” 2014.</w:t>
      </w:r>
    </w:p>
    <w:p w14:paraId="66EEF1E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NYC Bar Antitrust &amp; Trade Regulation Committee: “Approaches to Antitrust Damages,” 2014.</w:t>
      </w:r>
    </w:p>
    <w:p w14:paraId="77C24623"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Professional Service</w:t>
      </w:r>
    </w:p>
    <w:p w14:paraId="7309A127"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Service to the American Bar Association</w:t>
      </w:r>
    </w:p>
    <w:p w14:paraId="53783959"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proofErr w:type="gramStart"/>
      <w:r w:rsidRPr="00234FF3">
        <w:rPr>
          <w:rFonts w:eastAsia="Times New Roman"/>
          <w:sz w:val="22"/>
          <w:szCs w:val="20"/>
        </w:rPr>
        <w:t>Co-editor of the ABA’s 3</w:t>
      </w:r>
      <w:r w:rsidRPr="00234FF3">
        <w:rPr>
          <w:rFonts w:eastAsia="Times New Roman"/>
          <w:sz w:val="22"/>
          <w:szCs w:val="20"/>
          <w:vertAlign w:val="superscript"/>
        </w:rPr>
        <w:t>rd</w:t>
      </w:r>
      <w:r w:rsidRPr="00234FF3">
        <w:rPr>
          <w:rFonts w:eastAsia="Times New Roman"/>
          <w:sz w:val="22"/>
          <w:szCs w:val="20"/>
        </w:rPr>
        <w:t xml:space="preserve"> edition of </w:t>
      </w:r>
      <w:r w:rsidRPr="00973478">
        <w:rPr>
          <w:rFonts w:eastAsia="Times New Roman"/>
          <w:sz w:val="22"/>
          <w:szCs w:val="20"/>
        </w:rPr>
        <w:t>Proving Antitrust Damages</w:t>
      </w:r>
      <w:r w:rsidRPr="00234FF3">
        <w:rPr>
          <w:rFonts w:eastAsia="Times New Roman"/>
          <w:sz w:val="22"/>
          <w:szCs w:val="20"/>
        </w:rPr>
        <w:t>, 2013-.</w:t>
      </w:r>
      <w:proofErr w:type="gramEnd"/>
    </w:p>
    <w:p w14:paraId="463CDFA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Vice Chair of the Antitrust Practice Group of the American Health Lawyers Association, 2014-2016.</w:t>
      </w:r>
    </w:p>
    <w:p w14:paraId="285BE43A"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proofErr w:type="gramStart"/>
      <w:r w:rsidRPr="00234FF3">
        <w:rPr>
          <w:rFonts w:eastAsia="Times New Roman"/>
          <w:sz w:val="22"/>
          <w:szCs w:val="20"/>
        </w:rPr>
        <w:t>Advisory board of the Pricing Conduct Committee, 2011-2012.</w:t>
      </w:r>
      <w:proofErr w:type="gramEnd"/>
    </w:p>
    <w:p w14:paraId="684F5C8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proofErr w:type="gramStart"/>
      <w:r w:rsidRPr="00234FF3">
        <w:rPr>
          <w:rFonts w:eastAsia="Times New Roman"/>
          <w:sz w:val="22"/>
          <w:szCs w:val="20"/>
        </w:rPr>
        <w:t xml:space="preserve">Editorial comments on a chapter of the ABA’s </w:t>
      </w:r>
      <w:r w:rsidRPr="00973478">
        <w:rPr>
          <w:rFonts w:eastAsia="Times New Roman"/>
          <w:sz w:val="22"/>
          <w:szCs w:val="20"/>
        </w:rPr>
        <w:t>Price Discrimination Handbook</w:t>
      </w:r>
      <w:r w:rsidRPr="00234FF3">
        <w:rPr>
          <w:rFonts w:eastAsia="Times New Roman"/>
          <w:sz w:val="22"/>
          <w:szCs w:val="20"/>
        </w:rPr>
        <w:t>, 2011.</w:t>
      </w:r>
      <w:proofErr w:type="gramEnd"/>
      <w:r w:rsidRPr="00234FF3">
        <w:rPr>
          <w:rFonts w:eastAsia="Times New Roman"/>
          <w:sz w:val="22"/>
          <w:szCs w:val="20"/>
        </w:rPr>
        <w:t xml:space="preserve"> </w:t>
      </w:r>
    </w:p>
    <w:p w14:paraId="479CE67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proofErr w:type="gramStart"/>
      <w:r w:rsidRPr="00234FF3">
        <w:rPr>
          <w:rFonts w:eastAsia="Times New Roman"/>
          <w:sz w:val="22"/>
          <w:szCs w:val="20"/>
        </w:rPr>
        <w:t>Plaintiffs’ expert at the ABA Mock Trial involving the issue of resale price maintenance, 2008.</w:t>
      </w:r>
      <w:proofErr w:type="gramEnd"/>
    </w:p>
    <w:p w14:paraId="6941DA5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szCs w:val="20"/>
        </w:rPr>
      </w:pPr>
      <w:proofErr w:type="gramStart"/>
      <w:r w:rsidRPr="00234FF3">
        <w:rPr>
          <w:rFonts w:eastAsia="Times New Roman"/>
          <w:sz w:val="22"/>
          <w:szCs w:val="20"/>
        </w:rPr>
        <w:t xml:space="preserve">Editorial comments on a chapter of the ABA’s book on </w:t>
      </w:r>
      <w:r w:rsidRPr="00973478">
        <w:rPr>
          <w:rFonts w:eastAsia="Times New Roman"/>
          <w:sz w:val="22"/>
          <w:szCs w:val="20"/>
        </w:rPr>
        <w:t>Market Definition</w:t>
      </w:r>
      <w:r w:rsidRPr="00234FF3">
        <w:rPr>
          <w:rFonts w:eastAsia="Times New Roman"/>
          <w:sz w:val="22"/>
          <w:szCs w:val="20"/>
        </w:rPr>
        <w:t>, 2008.</w:t>
      </w:r>
      <w:proofErr w:type="gramEnd"/>
    </w:p>
    <w:p w14:paraId="1E6117AA"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szCs w:val="20"/>
        </w:rPr>
      </w:pPr>
      <w:proofErr w:type="gramStart"/>
      <w:r w:rsidRPr="00234FF3">
        <w:rPr>
          <w:rFonts w:eastAsia="Times New Roman"/>
          <w:sz w:val="22"/>
          <w:szCs w:val="20"/>
        </w:rPr>
        <w:t xml:space="preserve">Contribution to the ABA’s </w:t>
      </w:r>
      <w:r w:rsidRPr="00973478">
        <w:rPr>
          <w:rFonts w:eastAsia="Times New Roman"/>
          <w:sz w:val="22"/>
          <w:szCs w:val="20"/>
        </w:rPr>
        <w:t>Econometrics Legal, Practical, and Technical Issues</w:t>
      </w:r>
      <w:r w:rsidRPr="00234FF3">
        <w:rPr>
          <w:rFonts w:eastAsia="Times New Roman"/>
          <w:sz w:val="22"/>
          <w:szCs w:val="20"/>
        </w:rPr>
        <w:t>, 2005.</w:t>
      </w:r>
      <w:proofErr w:type="gramEnd"/>
    </w:p>
    <w:p w14:paraId="0DD59E1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Memberships</w:t>
      </w:r>
    </w:p>
    <w:p w14:paraId="571F91B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American Bar Association</w:t>
      </w:r>
    </w:p>
    <w:p w14:paraId="7125980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American Economic Association</w:t>
      </w:r>
    </w:p>
    <w:p w14:paraId="4A473FF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Honors</w:t>
      </w:r>
    </w:p>
    <w:p w14:paraId="2A6E536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National Science Foundation Fellowship, 1989-1992</w:t>
      </w:r>
    </w:p>
    <w:p w14:paraId="6583753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Phi Beta Kappa, 1988</w:t>
      </w:r>
    </w:p>
    <w:p w14:paraId="0BE23EF4" w14:textId="77777777" w:rsidR="00EE574A" w:rsidRPr="00234FF3" w:rsidRDefault="00EE574A">
      <w:pPr>
        <w:rPr>
          <w:rFonts w:eastAsia="Times New Roman" w:cs="Arial"/>
          <w:b/>
          <w:bCs/>
          <w:kern w:val="32"/>
          <w:szCs w:val="32"/>
        </w:rPr>
      </w:pPr>
      <w:r w:rsidRPr="00234FF3">
        <w:br w:type="page"/>
      </w:r>
    </w:p>
    <w:p w14:paraId="0195D0A4" w14:textId="77777777" w:rsidR="008A5B94" w:rsidRPr="00EE574A" w:rsidRDefault="008A5B94" w:rsidP="00EE574A">
      <w:pPr>
        <w:pStyle w:val="Heading1"/>
        <w:numPr>
          <w:ilvl w:val="0"/>
          <w:numId w:val="0"/>
        </w:numPr>
        <w:spacing w:after="480"/>
        <w:jc w:val="center"/>
      </w:pPr>
      <w:bookmarkStart w:id="43" w:name="_Toc441421161"/>
      <w:r w:rsidRPr="00EE574A">
        <w:lastRenderedPageBreak/>
        <w:t xml:space="preserve">Appendix B – </w:t>
      </w:r>
      <w:r w:rsidR="000F74C9" w:rsidRPr="006447D5">
        <w:t xml:space="preserve">Masking of Root Behavior Changes in </w:t>
      </w:r>
      <w:r w:rsidR="000F74C9" w:rsidRPr="00EE574A">
        <w:t xml:space="preserve">Smoking </w:t>
      </w:r>
      <w:r w:rsidR="000F74C9" w:rsidRPr="006447D5">
        <w:t>Prevalence</w:t>
      </w:r>
      <w:bookmarkEnd w:id="43"/>
    </w:p>
    <w:p w14:paraId="6B71C751" w14:textId="6D5066C9" w:rsidR="000F74C9" w:rsidRDefault="000F74C9" w:rsidP="000F74C9">
      <w:pPr>
        <w:pStyle w:val="BodyText"/>
        <w:numPr>
          <w:ilvl w:val="3"/>
          <w:numId w:val="2"/>
        </w:numPr>
        <w:tabs>
          <w:tab w:val="clear" w:pos="1260"/>
          <w:tab w:val="num" w:pos="0"/>
          <w:tab w:val="num" w:pos="720"/>
        </w:tabs>
        <w:spacing w:before="120" w:after="0" w:line="360" w:lineRule="auto"/>
        <w:ind w:left="0" w:firstLine="720"/>
      </w:pPr>
      <w:r>
        <w:t xml:space="preserve">In this appendix, I provide an illustrative example of how overall prevalence can mask large effects on root behaviors such as initiation and cessation.  To the extent possible, my calculation is calibrated to reflect smoking trends in 2010 – the last year before </w:t>
      </w:r>
      <w:r w:rsidR="000F3AF5">
        <w:t>the TPP Act</w:t>
      </w:r>
      <w:r>
        <w:t xml:space="preserve"> </w:t>
      </w:r>
      <w:r w:rsidR="00535EA2">
        <w:t>in which</w:t>
      </w:r>
      <w:r>
        <w:t xml:space="preserve"> National Drug Strategy Household Survey (“NDSHS”) </w:t>
      </w:r>
      <w:r w:rsidR="00B044A7">
        <w:t xml:space="preserve">data from the </w:t>
      </w:r>
      <w:r w:rsidR="00B044A7" w:rsidRPr="0057282B">
        <w:t>Australian Institute of Health and Welfare</w:t>
      </w:r>
      <w:r w:rsidR="00B044A7">
        <w:t xml:space="preserve"> (“AIHW”)</w:t>
      </w:r>
      <w:r w:rsidR="00535EA2">
        <w:t xml:space="preserve"> are available</w:t>
      </w:r>
      <w:r w:rsidR="00B044A7">
        <w:t xml:space="preserve"> </w:t>
      </w:r>
      <w:r>
        <w:t xml:space="preserve">– but the actual numbers are simply a tool to demonstrate the principle at work. </w:t>
      </w:r>
    </w:p>
    <w:p w14:paraId="06F860EC" w14:textId="19E15EB4" w:rsidR="000F74C9" w:rsidRDefault="000F74C9" w:rsidP="000F74C9">
      <w:pPr>
        <w:pStyle w:val="BodyText"/>
        <w:numPr>
          <w:ilvl w:val="3"/>
          <w:numId w:val="2"/>
        </w:numPr>
        <w:tabs>
          <w:tab w:val="clear" w:pos="1260"/>
          <w:tab w:val="num" w:pos="0"/>
          <w:tab w:val="num" w:pos="720"/>
        </w:tabs>
        <w:spacing w:before="120" w:after="0" w:line="360" w:lineRule="auto"/>
        <w:ind w:left="0" w:firstLine="720"/>
      </w:pPr>
      <w:r>
        <w:t xml:space="preserve">My illustrative example, as presented in </w:t>
      </w:r>
      <w:r w:rsidR="0025500B">
        <w:fldChar w:fldCharType="begin"/>
      </w:r>
      <w:r w:rsidR="0025500B">
        <w:instrText xml:space="preserve"> REF _Ref444100920 \h </w:instrText>
      </w:r>
      <w:r w:rsidR="0025500B">
        <w:fldChar w:fldCharType="separate"/>
      </w:r>
      <w:r w:rsidR="00C62F5C">
        <w:t>Table B</w:t>
      </w:r>
      <w:r w:rsidR="00C62F5C">
        <w:rPr>
          <w:noProof/>
        </w:rPr>
        <w:t>1</w:t>
      </w:r>
      <w:r w:rsidR="0025500B">
        <w:fldChar w:fldCharType="end"/>
      </w:r>
      <w:r>
        <w:t xml:space="preserve"> below, is constructed by considering the prevalence of daily smoking among two subgroups of the Australian population – individuals between ages 14 and 24 (youths and young adults) and individuals over age 25 (adults).  </w:t>
      </w:r>
      <w:r w:rsidR="00535EA2">
        <w:t>I use t</w:t>
      </w:r>
      <w:r>
        <w:t xml:space="preserve">he NDSHS data to calculate youth and young adult initiation, cessation, and daily smoking prevalence rates.  For each age group, I obtain population size from the Australian Bureau of Statistics (“ABS”).  </w:t>
      </w:r>
      <w:r w:rsidR="00535EA2">
        <w:t>I then calculate t</w:t>
      </w:r>
      <w:r>
        <w:t xml:space="preserve">he number of daily smokers in the base year (“Year 0”) for each age </w:t>
      </w:r>
      <w:r w:rsidR="00535EA2">
        <w:t>by multiplying</w:t>
      </w:r>
      <w:r>
        <w:t xml:space="preserve"> </w:t>
      </w:r>
      <w:r w:rsidR="00F81BC1">
        <w:t xml:space="preserve">the </w:t>
      </w:r>
      <w:r>
        <w:t xml:space="preserve">daily smoking prevalence rate from the NDSHS data and the population size from the ABS data.  </w:t>
      </w:r>
      <w:r w:rsidR="00535EA2">
        <w:t>Finally, I calculate t</w:t>
      </w:r>
      <w:r>
        <w:t xml:space="preserve">he number of smokers </w:t>
      </w:r>
      <w:r w:rsidR="00535EA2">
        <w:t>in</w:t>
      </w:r>
      <w:r>
        <w:t xml:space="preserve"> each age group in each of the three following years, Years 1 to 3 by applying the cessation rate to the stock of smokers and initiation rate to the stock of non-smokers in the previous year.</w:t>
      </w:r>
    </w:p>
    <w:p w14:paraId="01AAEB5F" w14:textId="77777777" w:rsidR="000F74C9" w:rsidRDefault="000F74C9" w:rsidP="00467DD9">
      <w:pPr>
        <w:pStyle w:val="BodyText"/>
        <w:numPr>
          <w:ilvl w:val="3"/>
          <w:numId w:val="2"/>
        </w:numPr>
        <w:tabs>
          <w:tab w:val="clear" w:pos="1260"/>
          <w:tab w:val="num" w:pos="0"/>
          <w:tab w:val="num" w:pos="720"/>
        </w:tabs>
        <w:spacing w:before="120" w:after="0" w:line="360" w:lineRule="auto"/>
        <w:ind w:left="0" w:firstLine="720"/>
      </w:pPr>
      <w:r>
        <w:t>Now suppose that a policy introduced in the base year reduces the initiation rate of youths and young adults by 20 percent (from 1.0 percent to 0.8 percent) and increases their cessation rate by 20 percent (from 7.6 percent to 9.2 percent)</w:t>
      </w:r>
      <w:r w:rsidR="00535EA2">
        <w:t>, but has no other effects on other demographic subgroups</w:t>
      </w:r>
      <w:r>
        <w:t>.  In other words, as a result of the policy,</w:t>
      </w:r>
      <w:r w:rsidR="00535EA2">
        <w:t xml:space="preserve"> assume that</w:t>
      </w:r>
      <w:r>
        <w:t xml:space="preserve"> fewer youths and young adults take up smoking, and more of them quit smoking.  </w:t>
      </w:r>
      <w:r w:rsidR="00535EA2">
        <w:t xml:space="preserve">Under these assumptions, </w:t>
      </w:r>
      <w:r>
        <w:t>I can then re-calculate the number of smokers in each of the three following years based on the initiation and cessation rates under the policy.  Comparison of the smoking prevalence rates with and without the policy shows that the policy would have reduced overall daily smoking prevalence by 0.07, 0.13, and 0.18 percentage points one year, two years, and three years after the implementation of the policy, respectively.</w:t>
      </w:r>
    </w:p>
    <w:p w14:paraId="2C8E6784" w14:textId="77777777" w:rsidR="0025500B" w:rsidRDefault="0025500B" w:rsidP="00973478">
      <w:pPr>
        <w:pStyle w:val="BodyText"/>
        <w:numPr>
          <w:ilvl w:val="0"/>
          <w:numId w:val="0"/>
        </w:numPr>
        <w:spacing w:before="120" w:after="0" w:line="360" w:lineRule="auto"/>
        <w:ind w:left="1800"/>
      </w:pPr>
    </w:p>
    <w:p w14:paraId="15144061" w14:textId="75FAD14A" w:rsidR="000F74C9" w:rsidRDefault="0025500B" w:rsidP="005962DA">
      <w:pPr>
        <w:pStyle w:val="Caption"/>
        <w:spacing w:before="840"/>
        <w:ind w:left="0" w:firstLine="0"/>
        <w:jc w:val="center"/>
      </w:pPr>
      <w:bookmarkStart w:id="44" w:name="_Ref444100920"/>
      <w:r>
        <w:lastRenderedPageBreak/>
        <w:t>Table B</w:t>
      </w:r>
      <w:r w:rsidR="004D5480">
        <w:fldChar w:fldCharType="begin"/>
      </w:r>
      <w:r w:rsidR="004D5480">
        <w:instrText xml:space="preserve"> SEQ Table_B \* ARABIC </w:instrText>
      </w:r>
      <w:r w:rsidR="004D5480">
        <w:fldChar w:fldCharType="separate"/>
      </w:r>
      <w:r w:rsidR="00C62F5C">
        <w:rPr>
          <w:noProof/>
        </w:rPr>
        <w:t>1</w:t>
      </w:r>
      <w:r w:rsidR="004D5480">
        <w:rPr>
          <w:noProof/>
        </w:rPr>
        <w:fldChar w:fldCharType="end"/>
      </w:r>
      <w:bookmarkEnd w:id="44"/>
      <w:r w:rsidRPr="0042054E">
        <w:t>: Illustrative Calculation of the Policy Effect on Smoking Prevalence</w:t>
      </w:r>
    </w:p>
    <w:tbl>
      <w:tblPr>
        <w:tblW w:w="8389" w:type="dxa"/>
        <w:jc w:val="center"/>
        <w:tblInd w:w="93" w:type="dxa"/>
        <w:tblLook w:val="04A0" w:firstRow="1" w:lastRow="0" w:firstColumn="1" w:lastColumn="0" w:noHBand="0" w:noVBand="1"/>
        <w:tblDescription w:val="Table B1 describes an illustrative calculation of a policy effect on smoking prevalence.  The table contains eight columns.  The first column describes what is reported in each row: initiation rate; cessation rate; total population; number of smokers; and prevalence rate in each year from Year 0 to Year 3.  The second to fourth columns report values, for each of these constructs, for three different age groups (14-24, 24+, and overall) under the “Without Policy” scenario.  The fifth to seventh columns report values, for each of the constructs, for these age groups under the “With Policy” scenario.  The eighth column reports the percentage point difference in overall prevalence rates between the “Without Policy” and “With Policy” scenarios. "/>
      </w:tblPr>
      <w:tblGrid>
        <w:gridCol w:w="340"/>
        <w:gridCol w:w="1520"/>
        <w:gridCol w:w="833"/>
        <w:gridCol w:w="1016"/>
        <w:gridCol w:w="900"/>
        <w:gridCol w:w="810"/>
        <w:gridCol w:w="900"/>
        <w:gridCol w:w="900"/>
        <w:gridCol w:w="1170"/>
      </w:tblGrid>
      <w:tr w:rsidR="00097927" w:rsidRPr="00EF61B8" w14:paraId="3A58A85E" w14:textId="77777777" w:rsidTr="00636D03">
        <w:trPr>
          <w:trHeight w:val="600"/>
          <w:jc w:val="center"/>
        </w:trPr>
        <w:tc>
          <w:tcPr>
            <w:tcW w:w="340" w:type="dxa"/>
            <w:tcBorders>
              <w:top w:val="single" w:sz="12" w:space="0" w:color="auto"/>
              <w:left w:val="single" w:sz="12" w:space="0" w:color="auto"/>
            </w:tcBorders>
            <w:shd w:val="clear" w:color="auto" w:fill="auto"/>
            <w:noWrap/>
            <w:vAlign w:val="bottom"/>
            <w:hideMark/>
          </w:tcPr>
          <w:p w14:paraId="35E363CE" w14:textId="77777777" w:rsidR="008B6152" w:rsidRPr="006A602D" w:rsidRDefault="008B6152" w:rsidP="006A602D">
            <w:pPr>
              <w:ind w:left="1080" w:firstLine="0"/>
            </w:pPr>
          </w:p>
        </w:tc>
        <w:tc>
          <w:tcPr>
            <w:tcW w:w="1520" w:type="dxa"/>
            <w:tcBorders>
              <w:top w:val="single" w:sz="12" w:space="0" w:color="auto"/>
              <w:right w:val="single" w:sz="12" w:space="0" w:color="auto"/>
            </w:tcBorders>
            <w:shd w:val="clear" w:color="auto" w:fill="auto"/>
            <w:noWrap/>
            <w:vAlign w:val="bottom"/>
            <w:hideMark/>
          </w:tcPr>
          <w:p w14:paraId="6F78ACFA" w14:textId="77777777" w:rsidR="008B6152" w:rsidRPr="006A602D" w:rsidRDefault="008B6152" w:rsidP="006A602D">
            <w:pPr>
              <w:ind w:left="1080" w:firstLine="0"/>
            </w:pPr>
          </w:p>
        </w:tc>
        <w:tc>
          <w:tcPr>
            <w:tcW w:w="2749" w:type="dxa"/>
            <w:gridSpan w:val="3"/>
            <w:tcBorders>
              <w:top w:val="single" w:sz="12" w:space="0" w:color="auto"/>
              <w:left w:val="single" w:sz="12" w:space="0" w:color="auto"/>
              <w:bottom w:val="single" w:sz="2" w:space="0" w:color="auto"/>
              <w:right w:val="single" w:sz="12" w:space="0" w:color="auto"/>
            </w:tcBorders>
            <w:shd w:val="clear" w:color="auto" w:fill="auto"/>
            <w:noWrap/>
            <w:vAlign w:val="bottom"/>
            <w:hideMark/>
          </w:tcPr>
          <w:p w14:paraId="667550A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Without Policy</w:t>
            </w:r>
          </w:p>
        </w:tc>
        <w:tc>
          <w:tcPr>
            <w:tcW w:w="2610" w:type="dxa"/>
            <w:gridSpan w:val="3"/>
            <w:tcBorders>
              <w:top w:val="single" w:sz="12" w:space="0" w:color="auto"/>
              <w:left w:val="single" w:sz="12" w:space="0" w:color="auto"/>
              <w:bottom w:val="single" w:sz="2" w:space="0" w:color="auto"/>
              <w:right w:val="single" w:sz="12" w:space="0" w:color="auto"/>
            </w:tcBorders>
            <w:shd w:val="clear" w:color="auto" w:fill="auto"/>
            <w:noWrap/>
            <w:vAlign w:val="bottom"/>
            <w:hideMark/>
          </w:tcPr>
          <w:p w14:paraId="460C0CA7"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With Policy</w:t>
            </w:r>
          </w:p>
        </w:tc>
        <w:tc>
          <w:tcPr>
            <w:tcW w:w="1170" w:type="dxa"/>
            <w:vMerge w:val="restart"/>
            <w:tcBorders>
              <w:top w:val="single" w:sz="12" w:space="0" w:color="auto"/>
              <w:left w:val="single" w:sz="12" w:space="0" w:color="auto"/>
              <w:right w:val="single" w:sz="12" w:space="0" w:color="auto"/>
            </w:tcBorders>
            <w:shd w:val="clear" w:color="auto" w:fill="auto"/>
            <w:vAlign w:val="bottom"/>
            <w:hideMark/>
          </w:tcPr>
          <w:p w14:paraId="6F4EBA9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Policy Effect on Overall Prevalence</w:t>
            </w:r>
          </w:p>
        </w:tc>
      </w:tr>
      <w:tr w:rsidR="00097927" w:rsidRPr="00EF61B8" w14:paraId="04312122" w14:textId="77777777" w:rsidTr="00636D03">
        <w:trPr>
          <w:trHeight w:val="450"/>
          <w:jc w:val="center"/>
        </w:trPr>
        <w:tc>
          <w:tcPr>
            <w:tcW w:w="340" w:type="dxa"/>
            <w:tcBorders>
              <w:left w:val="single" w:sz="12" w:space="0" w:color="auto"/>
              <w:bottom w:val="single" w:sz="2" w:space="0" w:color="auto"/>
            </w:tcBorders>
            <w:shd w:val="clear" w:color="auto" w:fill="auto"/>
            <w:noWrap/>
            <w:vAlign w:val="bottom"/>
            <w:hideMark/>
          </w:tcPr>
          <w:p w14:paraId="763FE780" w14:textId="77777777" w:rsidR="008B6152" w:rsidRPr="006A602D" w:rsidRDefault="008B6152" w:rsidP="006A602D">
            <w:pPr>
              <w:ind w:left="1080" w:firstLine="0"/>
            </w:pPr>
          </w:p>
        </w:tc>
        <w:tc>
          <w:tcPr>
            <w:tcW w:w="1520" w:type="dxa"/>
            <w:tcBorders>
              <w:bottom w:val="single" w:sz="2" w:space="0" w:color="auto"/>
              <w:right w:val="single" w:sz="12" w:space="0" w:color="auto"/>
            </w:tcBorders>
            <w:shd w:val="clear" w:color="auto" w:fill="auto"/>
            <w:noWrap/>
            <w:vAlign w:val="bottom"/>
            <w:hideMark/>
          </w:tcPr>
          <w:p w14:paraId="0CA1130A" w14:textId="77777777" w:rsidR="008B6152" w:rsidRPr="006A602D" w:rsidRDefault="008B6152" w:rsidP="006A602D">
            <w:pPr>
              <w:ind w:left="1080" w:firstLine="0"/>
            </w:pPr>
          </w:p>
        </w:tc>
        <w:tc>
          <w:tcPr>
            <w:tcW w:w="833"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0B1CCEF0"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14-24</w:t>
            </w:r>
          </w:p>
        </w:tc>
        <w:tc>
          <w:tcPr>
            <w:tcW w:w="101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B3B7A11"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25+</w:t>
            </w:r>
          </w:p>
        </w:tc>
        <w:tc>
          <w:tcPr>
            <w:tcW w:w="90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63C6D6CF"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Overall</w:t>
            </w:r>
          </w:p>
        </w:tc>
        <w:tc>
          <w:tcPr>
            <w:tcW w:w="81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4CBDFD1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14-24</w:t>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FA2B70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25+</w:t>
            </w:r>
          </w:p>
        </w:tc>
        <w:tc>
          <w:tcPr>
            <w:tcW w:w="900" w:type="dxa"/>
            <w:tcBorders>
              <w:top w:val="single" w:sz="2" w:space="0" w:color="auto"/>
              <w:left w:val="single" w:sz="2" w:space="0" w:color="auto"/>
              <w:bottom w:val="single" w:sz="4" w:space="0" w:color="auto"/>
              <w:right w:val="single" w:sz="12" w:space="0" w:color="auto"/>
            </w:tcBorders>
            <w:shd w:val="clear" w:color="auto" w:fill="auto"/>
            <w:vAlign w:val="bottom"/>
            <w:hideMark/>
          </w:tcPr>
          <w:p w14:paraId="1053EAA0"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Overall</w:t>
            </w:r>
          </w:p>
        </w:tc>
        <w:tc>
          <w:tcPr>
            <w:tcW w:w="1170" w:type="dxa"/>
            <w:vMerge/>
            <w:tcBorders>
              <w:left w:val="single" w:sz="12" w:space="0" w:color="auto"/>
              <w:bottom w:val="single" w:sz="2" w:space="0" w:color="auto"/>
              <w:right w:val="single" w:sz="12" w:space="0" w:color="auto"/>
            </w:tcBorders>
            <w:vAlign w:val="center"/>
            <w:hideMark/>
          </w:tcPr>
          <w:p w14:paraId="4422C01E" w14:textId="77777777" w:rsidR="008B6152" w:rsidRPr="00EF61B8" w:rsidRDefault="008B6152" w:rsidP="002F146D">
            <w:pPr>
              <w:spacing w:before="0" w:after="0"/>
              <w:ind w:left="0" w:firstLine="0"/>
              <w:rPr>
                <w:rFonts w:eastAsia="Times New Roman"/>
                <w:b/>
                <w:bCs/>
                <w:color w:val="000000"/>
                <w:sz w:val="18"/>
                <w:szCs w:val="18"/>
                <w:lang w:eastAsia="zh-TW"/>
              </w:rPr>
            </w:pPr>
          </w:p>
        </w:tc>
      </w:tr>
      <w:tr w:rsidR="00097927" w:rsidRPr="00EF61B8" w14:paraId="0289949E" w14:textId="77777777" w:rsidTr="00636D03">
        <w:trPr>
          <w:trHeight w:val="264"/>
          <w:jc w:val="center"/>
        </w:trPr>
        <w:tc>
          <w:tcPr>
            <w:tcW w:w="1860" w:type="dxa"/>
            <w:gridSpan w:val="2"/>
            <w:tcBorders>
              <w:top w:val="single" w:sz="2" w:space="0" w:color="auto"/>
              <w:left w:val="single" w:sz="12" w:space="0" w:color="auto"/>
              <w:right w:val="single" w:sz="12" w:space="0" w:color="auto"/>
            </w:tcBorders>
            <w:shd w:val="clear" w:color="auto" w:fill="auto"/>
            <w:noWrap/>
            <w:vAlign w:val="center"/>
            <w:hideMark/>
          </w:tcPr>
          <w:p w14:paraId="6BD0CDD8" w14:textId="77777777" w:rsidR="008B6152" w:rsidRPr="00973478" w:rsidRDefault="008B6152" w:rsidP="002F146D">
            <w:pPr>
              <w:spacing w:before="0" w:after="0"/>
              <w:ind w:left="0" w:firstLine="0"/>
              <w:rPr>
                <w:rStyle w:val="Strong"/>
                <w:sz w:val="20"/>
                <w:szCs w:val="20"/>
              </w:rPr>
            </w:pPr>
            <w:r w:rsidRPr="00973478">
              <w:rPr>
                <w:rStyle w:val="Strong"/>
                <w:sz w:val="20"/>
                <w:szCs w:val="20"/>
              </w:rPr>
              <w:t>Targeted Metrics</w:t>
            </w:r>
          </w:p>
        </w:tc>
        <w:tc>
          <w:tcPr>
            <w:tcW w:w="833" w:type="dxa"/>
            <w:tcBorders>
              <w:top w:val="single" w:sz="2" w:space="0" w:color="auto"/>
              <w:left w:val="single" w:sz="12" w:space="0" w:color="auto"/>
              <w:right w:val="single" w:sz="2" w:space="0" w:color="auto"/>
            </w:tcBorders>
            <w:shd w:val="clear" w:color="auto" w:fill="auto"/>
            <w:noWrap/>
            <w:vAlign w:val="bottom"/>
            <w:hideMark/>
          </w:tcPr>
          <w:p w14:paraId="77A07613" w14:textId="77777777" w:rsidR="008B6152" w:rsidRPr="00EF61B8" w:rsidRDefault="008B6152" w:rsidP="002F146D">
            <w:pPr>
              <w:spacing w:before="0" w:after="0"/>
              <w:ind w:left="0" w:firstLine="0"/>
              <w:jc w:val="right"/>
              <w:rPr>
                <w:rFonts w:eastAsia="Times New Roman"/>
                <w:sz w:val="18"/>
                <w:szCs w:val="18"/>
                <w:lang w:eastAsia="zh-TW"/>
              </w:rPr>
            </w:pPr>
          </w:p>
        </w:tc>
        <w:tc>
          <w:tcPr>
            <w:tcW w:w="1016" w:type="dxa"/>
            <w:tcBorders>
              <w:top w:val="single" w:sz="2" w:space="0" w:color="auto"/>
              <w:left w:val="single" w:sz="2" w:space="0" w:color="auto"/>
              <w:right w:val="single" w:sz="2" w:space="0" w:color="auto"/>
            </w:tcBorders>
            <w:shd w:val="clear" w:color="auto" w:fill="auto"/>
            <w:noWrap/>
            <w:vAlign w:val="bottom"/>
            <w:hideMark/>
          </w:tcPr>
          <w:p w14:paraId="61DEA532"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top w:val="single" w:sz="2" w:space="0" w:color="auto"/>
              <w:left w:val="single" w:sz="2" w:space="0" w:color="auto"/>
              <w:right w:val="single" w:sz="12" w:space="0" w:color="auto"/>
            </w:tcBorders>
            <w:shd w:val="clear" w:color="auto" w:fill="auto"/>
            <w:noWrap/>
            <w:vAlign w:val="bottom"/>
            <w:hideMark/>
          </w:tcPr>
          <w:p w14:paraId="35745764" w14:textId="77777777" w:rsidR="008B6152" w:rsidRPr="00EF61B8" w:rsidRDefault="008B6152" w:rsidP="002F146D">
            <w:pPr>
              <w:spacing w:before="0" w:after="0"/>
              <w:ind w:left="0" w:firstLine="0"/>
              <w:jc w:val="right"/>
              <w:rPr>
                <w:rFonts w:eastAsia="Times New Roman"/>
                <w:sz w:val="18"/>
                <w:szCs w:val="18"/>
                <w:lang w:eastAsia="zh-TW"/>
              </w:rPr>
            </w:pPr>
          </w:p>
        </w:tc>
        <w:tc>
          <w:tcPr>
            <w:tcW w:w="810" w:type="dxa"/>
            <w:tcBorders>
              <w:top w:val="single" w:sz="2" w:space="0" w:color="auto"/>
              <w:left w:val="single" w:sz="12" w:space="0" w:color="auto"/>
              <w:right w:val="single" w:sz="2" w:space="0" w:color="auto"/>
            </w:tcBorders>
            <w:shd w:val="clear" w:color="auto" w:fill="auto"/>
            <w:noWrap/>
            <w:vAlign w:val="bottom"/>
            <w:hideMark/>
          </w:tcPr>
          <w:p w14:paraId="599606AA"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top w:val="single" w:sz="2" w:space="0" w:color="auto"/>
              <w:left w:val="single" w:sz="2" w:space="0" w:color="auto"/>
              <w:right w:val="single" w:sz="2" w:space="0" w:color="auto"/>
            </w:tcBorders>
            <w:shd w:val="clear" w:color="auto" w:fill="auto"/>
            <w:noWrap/>
            <w:vAlign w:val="bottom"/>
            <w:hideMark/>
          </w:tcPr>
          <w:p w14:paraId="6B8A978C"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left w:val="single" w:sz="2" w:space="0" w:color="auto"/>
              <w:right w:val="single" w:sz="12" w:space="0" w:color="auto"/>
            </w:tcBorders>
            <w:shd w:val="clear" w:color="auto" w:fill="auto"/>
            <w:noWrap/>
            <w:vAlign w:val="bottom"/>
            <w:hideMark/>
          </w:tcPr>
          <w:p w14:paraId="3EE4D65D" w14:textId="77777777" w:rsidR="008B6152" w:rsidRPr="00EF61B8" w:rsidRDefault="008B6152" w:rsidP="002F146D">
            <w:pPr>
              <w:spacing w:before="0" w:after="0"/>
              <w:ind w:left="0" w:firstLine="0"/>
              <w:jc w:val="right"/>
              <w:rPr>
                <w:rFonts w:eastAsia="Times New Roman"/>
                <w:sz w:val="18"/>
                <w:szCs w:val="18"/>
                <w:lang w:eastAsia="zh-TW"/>
              </w:rPr>
            </w:pPr>
          </w:p>
        </w:tc>
        <w:tc>
          <w:tcPr>
            <w:tcW w:w="1170" w:type="dxa"/>
            <w:tcBorders>
              <w:top w:val="single" w:sz="2" w:space="0" w:color="auto"/>
              <w:left w:val="single" w:sz="12" w:space="0" w:color="auto"/>
              <w:right w:val="single" w:sz="12" w:space="0" w:color="auto"/>
            </w:tcBorders>
            <w:shd w:val="clear" w:color="auto" w:fill="auto"/>
            <w:noWrap/>
            <w:vAlign w:val="bottom"/>
            <w:hideMark/>
          </w:tcPr>
          <w:p w14:paraId="6896F6DE" w14:textId="77777777" w:rsidR="008B6152" w:rsidRPr="00EF61B8" w:rsidRDefault="008B6152" w:rsidP="002F146D">
            <w:pPr>
              <w:spacing w:before="0" w:after="0"/>
              <w:ind w:left="0" w:firstLine="0"/>
              <w:jc w:val="right"/>
              <w:rPr>
                <w:rFonts w:eastAsia="Times New Roman"/>
                <w:sz w:val="18"/>
                <w:szCs w:val="18"/>
                <w:lang w:eastAsia="zh-TW"/>
              </w:rPr>
            </w:pPr>
          </w:p>
        </w:tc>
      </w:tr>
      <w:tr w:rsidR="00097927" w:rsidRPr="00EF61B8" w14:paraId="49A90E57" w14:textId="77777777" w:rsidTr="00636D03">
        <w:trPr>
          <w:trHeight w:val="264"/>
          <w:jc w:val="center"/>
        </w:trPr>
        <w:tc>
          <w:tcPr>
            <w:tcW w:w="340" w:type="dxa"/>
            <w:tcBorders>
              <w:left w:val="single" w:sz="12" w:space="0" w:color="auto"/>
            </w:tcBorders>
            <w:shd w:val="clear" w:color="auto" w:fill="auto"/>
            <w:noWrap/>
            <w:vAlign w:val="center"/>
            <w:hideMark/>
          </w:tcPr>
          <w:p w14:paraId="73172F70"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5B83C4D0"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Annual Initiation</w:t>
            </w:r>
          </w:p>
        </w:tc>
        <w:tc>
          <w:tcPr>
            <w:tcW w:w="833" w:type="dxa"/>
            <w:tcBorders>
              <w:left w:val="single" w:sz="12" w:space="0" w:color="auto"/>
              <w:right w:val="single" w:sz="2" w:space="0" w:color="auto"/>
            </w:tcBorders>
            <w:shd w:val="clear" w:color="000000" w:fill="FFFFFF"/>
            <w:noWrap/>
            <w:vAlign w:val="bottom"/>
            <w:hideMark/>
          </w:tcPr>
          <w:p w14:paraId="638A98DC"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1.0%</w:t>
            </w:r>
          </w:p>
        </w:tc>
        <w:tc>
          <w:tcPr>
            <w:tcW w:w="1016" w:type="dxa"/>
            <w:tcBorders>
              <w:left w:val="single" w:sz="2" w:space="0" w:color="auto"/>
              <w:right w:val="single" w:sz="2" w:space="0" w:color="auto"/>
            </w:tcBorders>
            <w:shd w:val="clear" w:color="000000" w:fill="FFFFFF"/>
            <w:noWrap/>
            <w:vAlign w:val="bottom"/>
            <w:hideMark/>
          </w:tcPr>
          <w:p w14:paraId="57172509"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w:t>
            </w:r>
          </w:p>
        </w:tc>
        <w:tc>
          <w:tcPr>
            <w:tcW w:w="900" w:type="dxa"/>
            <w:tcBorders>
              <w:left w:val="single" w:sz="2" w:space="0" w:color="auto"/>
              <w:right w:val="single" w:sz="12" w:space="0" w:color="auto"/>
            </w:tcBorders>
            <w:shd w:val="clear" w:color="000000" w:fill="FFFFFF"/>
            <w:noWrap/>
            <w:vAlign w:val="bottom"/>
            <w:hideMark/>
          </w:tcPr>
          <w:p w14:paraId="2DF4A070"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810" w:type="dxa"/>
            <w:tcBorders>
              <w:left w:val="single" w:sz="12" w:space="0" w:color="auto"/>
              <w:right w:val="single" w:sz="2" w:space="0" w:color="auto"/>
            </w:tcBorders>
            <w:shd w:val="clear" w:color="000000" w:fill="FFFFFF"/>
            <w:noWrap/>
            <w:vAlign w:val="bottom"/>
            <w:hideMark/>
          </w:tcPr>
          <w:p w14:paraId="697BCE37"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0.8%</w:t>
            </w:r>
          </w:p>
        </w:tc>
        <w:tc>
          <w:tcPr>
            <w:tcW w:w="900" w:type="dxa"/>
            <w:tcBorders>
              <w:left w:val="single" w:sz="2" w:space="0" w:color="auto"/>
              <w:right w:val="single" w:sz="2" w:space="0" w:color="auto"/>
            </w:tcBorders>
            <w:shd w:val="clear" w:color="000000" w:fill="FFFFFF"/>
            <w:noWrap/>
            <w:vAlign w:val="bottom"/>
            <w:hideMark/>
          </w:tcPr>
          <w:p w14:paraId="4DA2F636"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w:t>
            </w:r>
          </w:p>
        </w:tc>
        <w:tc>
          <w:tcPr>
            <w:tcW w:w="900" w:type="dxa"/>
            <w:tcBorders>
              <w:left w:val="single" w:sz="2" w:space="0" w:color="auto"/>
              <w:right w:val="single" w:sz="12" w:space="0" w:color="auto"/>
            </w:tcBorders>
            <w:shd w:val="clear" w:color="000000" w:fill="FFFFFF"/>
            <w:noWrap/>
            <w:vAlign w:val="bottom"/>
            <w:hideMark/>
          </w:tcPr>
          <w:p w14:paraId="7FCC5479"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1170" w:type="dxa"/>
            <w:tcBorders>
              <w:left w:val="single" w:sz="12" w:space="0" w:color="auto"/>
              <w:right w:val="single" w:sz="12" w:space="0" w:color="auto"/>
            </w:tcBorders>
            <w:shd w:val="clear" w:color="000000" w:fill="FFFFFF"/>
            <w:noWrap/>
            <w:vAlign w:val="bottom"/>
            <w:hideMark/>
          </w:tcPr>
          <w:p w14:paraId="71A1077C"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r>
      <w:tr w:rsidR="00097927" w:rsidRPr="00EF61B8" w14:paraId="2D00DF8F" w14:textId="77777777" w:rsidTr="00636D03">
        <w:trPr>
          <w:trHeight w:val="276"/>
          <w:jc w:val="center"/>
        </w:trPr>
        <w:tc>
          <w:tcPr>
            <w:tcW w:w="340" w:type="dxa"/>
            <w:tcBorders>
              <w:left w:val="single" w:sz="12" w:space="0" w:color="auto"/>
            </w:tcBorders>
            <w:shd w:val="clear" w:color="auto" w:fill="auto"/>
            <w:noWrap/>
            <w:vAlign w:val="bottom"/>
            <w:hideMark/>
          </w:tcPr>
          <w:p w14:paraId="759807D4"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64714341"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Annual Cessation</w:t>
            </w:r>
          </w:p>
        </w:tc>
        <w:tc>
          <w:tcPr>
            <w:tcW w:w="833" w:type="dxa"/>
            <w:tcBorders>
              <w:left w:val="single" w:sz="12" w:space="0" w:color="auto"/>
              <w:right w:val="single" w:sz="2" w:space="0" w:color="auto"/>
            </w:tcBorders>
            <w:shd w:val="clear" w:color="000000" w:fill="FFFFFF"/>
            <w:noWrap/>
            <w:vAlign w:val="bottom"/>
            <w:hideMark/>
          </w:tcPr>
          <w:p w14:paraId="473851C2"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7.6%</w:t>
            </w:r>
          </w:p>
        </w:tc>
        <w:tc>
          <w:tcPr>
            <w:tcW w:w="1016" w:type="dxa"/>
            <w:tcBorders>
              <w:left w:val="single" w:sz="2" w:space="0" w:color="auto"/>
              <w:right w:val="single" w:sz="2" w:space="0" w:color="auto"/>
            </w:tcBorders>
            <w:shd w:val="clear" w:color="000000" w:fill="FFFFFF"/>
            <w:noWrap/>
            <w:vAlign w:val="bottom"/>
            <w:hideMark/>
          </w:tcPr>
          <w:p w14:paraId="56A5599D"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6.1%</w:t>
            </w:r>
          </w:p>
        </w:tc>
        <w:tc>
          <w:tcPr>
            <w:tcW w:w="900" w:type="dxa"/>
            <w:tcBorders>
              <w:left w:val="single" w:sz="2" w:space="0" w:color="auto"/>
              <w:right w:val="single" w:sz="12" w:space="0" w:color="auto"/>
            </w:tcBorders>
            <w:shd w:val="clear" w:color="000000" w:fill="FFFFFF"/>
            <w:noWrap/>
            <w:vAlign w:val="bottom"/>
            <w:hideMark/>
          </w:tcPr>
          <w:p w14:paraId="206BC995"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810" w:type="dxa"/>
            <w:tcBorders>
              <w:left w:val="single" w:sz="12" w:space="0" w:color="auto"/>
              <w:right w:val="single" w:sz="2" w:space="0" w:color="auto"/>
            </w:tcBorders>
            <w:shd w:val="clear" w:color="000000" w:fill="FFFFFF"/>
            <w:noWrap/>
            <w:vAlign w:val="bottom"/>
            <w:hideMark/>
          </w:tcPr>
          <w:p w14:paraId="2C2382FF"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9.2%</w:t>
            </w:r>
          </w:p>
        </w:tc>
        <w:tc>
          <w:tcPr>
            <w:tcW w:w="900" w:type="dxa"/>
            <w:tcBorders>
              <w:left w:val="single" w:sz="2" w:space="0" w:color="auto"/>
              <w:right w:val="single" w:sz="2" w:space="0" w:color="auto"/>
            </w:tcBorders>
            <w:shd w:val="clear" w:color="000000" w:fill="FFFFFF"/>
            <w:noWrap/>
            <w:vAlign w:val="bottom"/>
            <w:hideMark/>
          </w:tcPr>
          <w:p w14:paraId="69652E4D"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6.1%</w:t>
            </w:r>
          </w:p>
        </w:tc>
        <w:tc>
          <w:tcPr>
            <w:tcW w:w="900" w:type="dxa"/>
            <w:tcBorders>
              <w:left w:val="single" w:sz="2" w:space="0" w:color="auto"/>
              <w:right w:val="single" w:sz="12" w:space="0" w:color="auto"/>
            </w:tcBorders>
            <w:shd w:val="clear" w:color="000000" w:fill="FFFFFF"/>
            <w:noWrap/>
            <w:vAlign w:val="bottom"/>
            <w:hideMark/>
          </w:tcPr>
          <w:p w14:paraId="69AE2C9E"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1170" w:type="dxa"/>
            <w:tcBorders>
              <w:left w:val="single" w:sz="12" w:space="0" w:color="auto"/>
              <w:right w:val="single" w:sz="12" w:space="0" w:color="auto"/>
            </w:tcBorders>
            <w:shd w:val="clear" w:color="000000" w:fill="FFFFFF"/>
            <w:noWrap/>
            <w:vAlign w:val="bottom"/>
            <w:hideMark/>
          </w:tcPr>
          <w:p w14:paraId="49CF33BE"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r>
      <w:tr w:rsidR="00097927" w:rsidRPr="00EF61B8" w14:paraId="4B65A845"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4AF6D414"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0</w:t>
            </w:r>
          </w:p>
        </w:tc>
        <w:tc>
          <w:tcPr>
            <w:tcW w:w="833" w:type="dxa"/>
            <w:tcBorders>
              <w:left w:val="single" w:sz="12" w:space="0" w:color="auto"/>
              <w:right w:val="single" w:sz="2" w:space="0" w:color="auto"/>
            </w:tcBorders>
            <w:shd w:val="clear" w:color="auto" w:fill="auto"/>
            <w:noWrap/>
            <w:vAlign w:val="bottom"/>
            <w:hideMark/>
          </w:tcPr>
          <w:p w14:paraId="0ED469E7"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05EF7FF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500DC1CF"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7FC08D8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19024964"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07C6309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11BAEEBE"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28C9682D" w14:textId="77777777" w:rsidTr="00636D03">
        <w:trPr>
          <w:trHeight w:val="264"/>
          <w:jc w:val="center"/>
        </w:trPr>
        <w:tc>
          <w:tcPr>
            <w:tcW w:w="340" w:type="dxa"/>
            <w:tcBorders>
              <w:left w:val="single" w:sz="12" w:space="0" w:color="auto"/>
            </w:tcBorders>
            <w:shd w:val="clear" w:color="auto" w:fill="auto"/>
            <w:noWrap/>
            <w:vAlign w:val="center"/>
            <w:hideMark/>
          </w:tcPr>
          <w:p w14:paraId="15F53037" w14:textId="77777777" w:rsidR="008B6152" w:rsidRPr="00EF61B8" w:rsidRDefault="008B6152" w:rsidP="002F146D">
            <w:pPr>
              <w:spacing w:before="0" w:after="0"/>
              <w:ind w:left="0" w:firstLine="0"/>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7A477CF4"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Total Population</w:t>
            </w:r>
          </w:p>
        </w:tc>
        <w:tc>
          <w:tcPr>
            <w:tcW w:w="833" w:type="dxa"/>
            <w:tcBorders>
              <w:left w:val="single" w:sz="12" w:space="0" w:color="auto"/>
              <w:right w:val="single" w:sz="2" w:space="0" w:color="auto"/>
            </w:tcBorders>
            <w:shd w:val="clear" w:color="auto" w:fill="auto"/>
            <w:noWrap/>
            <w:vAlign w:val="bottom"/>
            <w:hideMark/>
          </w:tcPr>
          <w:p w14:paraId="211040B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3,345 K</w:t>
            </w:r>
          </w:p>
        </w:tc>
        <w:tc>
          <w:tcPr>
            <w:tcW w:w="1016" w:type="dxa"/>
            <w:tcBorders>
              <w:left w:val="single" w:sz="2" w:space="0" w:color="auto"/>
              <w:right w:val="single" w:sz="2" w:space="0" w:color="auto"/>
            </w:tcBorders>
            <w:shd w:val="clear" w:color="auto" w:fill="auto"/>
            <w:noWrap/>
            <w:vAlign w:val="bottom"/>
            <w:hideMark/>
          </w:tcPr>
          <w:p w14:paraId="078E652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14,768 K</w:t>
            </w:r>
          </w:p>
        </w:tc>
        <w:tc>
          <w:tcPr>
            <w:tcW w:w="900" w:type="dxa"/>
            <w:tcBorders>
              <w:left w:val="single" w:sz="2" w:space="0" w:color="auto"/>
              <w:right w:val="single" w:sz="12" w:space="0" w:color="auto"/>
            </w:tcBorders>
            <w:shd w:val="clear" w:color="auto" w:fill="auto"/>
            <w:noWrap/>
            <w:vAlign w:val="bottom"/>
            <w:hideMark/>
          </w:tcPr>
          <w:p w14:paraId="7CCC1C8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18,113 K</w:t>
            </w:r>
          </w:p>
        </w:tc>
        <w:tc>
          <w:tcPr>
            <w:tcW w:w="810" w:type="dxa"/>
            <w:tcBorders>
              <w:left w:val="single" w:sz="12" w:space="0" w:color="auto"/>
              <w:right w:val="single" w:sz="2" w:space="0" w:color="auto"/>
            </w:tcBorders>
            <w:shd w:val="clear" w:color="auto" w:fill="auto"/>
            <w:noWrap/>
            <w:vAlign w:val="bottom"/>
            <w:hideMark/>
          </w:tcPr>
          <w:p w14:paraId="7323ECB9"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3,345 K</w:t>
            </w:r>
          </w:p>
        </w:tc>
        <w:tc>
          <w:tcPr>
            <w:tcW w:w="900" w:type="dxa"/>
            <w:tcBorders>
              <w:left w:val="single" w:sz="2" w:space="0" w:color="auto"/>
              <w:right w:val="single" w:sz="2" w:space="0" w:color="auto"/>
            </w:tcBorders>
            <w:shd w:val="clear" w:color="auto" w:fill="auto"/>
            <w:noWrap/>
            <w:vAlign w:val="bottom"/>
            <w:hideMark/>
          </w:tcPr>
          <w:p w14:paraId="443D70B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14,768 K</w:t>
            </w:r>
          </w:p>
        </w:tc>
        <w:tc>
          <w:tcPr>
            <w:tcW w:w="900" w:type="dxa"/>
            <w:tcBorders>
              <w:left w:val="single" w:sz="2" w:space="0" w:color="auto"/>
              <w:right w:val="single" w:sz="12" w:space="0" w:color="auto"/>
            </w:tcBorders>
            <w:shd w:val="clear" w:color="auto" w:fill="auto"/>
            <w:noWrap/>
            <w:vAlign w:val="bottom"/>
            <w:hideMark/>
          </w:tcPr>
          <w:p w14:paraId="0418F6F8"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18,113 K</w:t>
            </w:r>
          </w:p>
        </w:tc>
        <w:tc>
          <w:tcPr>
            <w:tcW w:w="1170" w:type="dxa"/>
            <w:tcBorders>
              <w:left w:val="single" w:sz="12" w:space="0" w:color="auto"/>
              <w:right w:val="single" w:sz="12" w:space="0" w:color="auto"/>
            </w:tcBorders>
            <w:shd w:val="clear" w:color="auto" w:fill="auto"/>
            <w:noWrap/>
            <w:vAlign w:val="bottom"/>
            <w:hideMark/>
          </w:tcPr>
          <w:p w14:paraId="10DDD1E1"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52AABACB" w14:textId="77777777" w:rsidTr="00636D03">
        <w:trPr>
          <w:trHeight w:val="264"/>
          <w:jc w:val="center"/>
        </w:trPr>
        <w:tc>
          <w:tcPr>
            <w:tcW w:w="340" w:type="dxa"/>
            <w:tcBorders>
              <w:left w:val="single" w:sz="12" w:space="0" w:color="auto"/>
            </w:tcBorders>
            <w:shd w:val="clear" w:color="auto" w:fill="auto"/>
            <w:vAlign w:val="center"/>
            <w:hideMark/>
          </w:tcPr>
          <w:p w14:paraId="51AE4C1B"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26AA85C5"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3D66A632"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2602AEFF"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2,358 K</w:t>
            </w:r>
          </w:p>
        </w:tc>
        <w:tc>
          <w:tcPr>
            <w:tcW w:w="900" w:type="dxa"/>
            <w:tcBorders>
              <w:left w:val="single" w:sz="2" w:space="0" w:color="auto"/>
              <w:right w:val="single" w:sz="12" w:space="0" w:color="auto"/>
            </w:tcBorders>
            <w:shd w:val="clear" w:color="auto" w:fill="auto"/>
            <w:noWrap/>
            <w:vAlign w:val="bottom"/>
            <w:hideMark/>
          </w:tcPr>
          <w:p w14:paraId="50003684"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2,748 K</w:t>
            </w:r>
          </w:p>
        </w:tc>
        <w:tc>
          <w:tcPr>
            <w:tcW w:w="810" w:type="dxa"/>
            <w:tcBorders>
              <w:left w:val="single" w:sz="12" w:space="0" w:color="auto"/>
              <w:right w:val="single" w:sz="2" w:space="0" w:color="auto"/>
            </w:tcBorders>
            <w:shd w:val="clear" w:color="auto" w:fill="auto"/>
            <w:noWrap/>
            <w:vAlign w:val="bottom"/>
            <w:hideMark/>
          </w:tcPr>
          <w:p w14:paraId="1083D9F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900" w:type="dxa"/>
            <w:tcBorders>
              <w:left w:val="single" w:sz="2" w:space="0" w:color="auto"/>
              <w:right w:val="single" w:sz="2" w:space="0" w:color="auto"/>
            </w:tcBorders>
            <w:shd w:val="clear" w:color="auto" w:fill="auto"/>
            <w:noWrap/>
            <w:vAlign w:val="bottom"/>
            <w:hideMark/>
          </w:tcPr>
          <w:p w14:paraId="2D4D30C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2,358 K</w:t>
            </w:r>
          </w:p>
        </w:tc>
        <w:tc>
          <w:tcPr>
            <w:tcW w:w="900" w:type="dxa"/>
            <w:tcBorders>
              <w:left w:val="single" w:sz="2" w:space="0" w:color="auto"/>
              <w:right w:val="single" w:sz="12" w:space="0" w:color="auto"/>
            </w:tcBorders>
            <w:shd w:val="clear" w:color="auto" w:fill="auto"/>
            <w:noWrap/>
            <w:vAlign w:val="bottom"/>
            <w:hideMark/>
          </w:tcPr>
          <w:p w14:paraId="0555BCB5"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2,748 K</w:t>
            </w:r>
          </w:p>
        </w:tc>
        <w:tc>
          <w:tcPr>
            <w:tcW w:w="1170" w:type="dxa"/>
            <w:tcBorders>
              <w:left w:val="single" w:sz="12" w:space="0" w:color="auto"/>
              <w:right w:val="single" w:sz="12" w:space="0" w:color="auto"/>
            </w:tcBorders>
            <w:shd w:val="clear" w:color="auto" w:fill="auto"/>
            <w:noWrap/>
            <w:vAlign w:val="bottom"/>
            <w:hideMark/>
          </w:tcPr>
          <w:p w14:paraId="223B2943"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333942E4" w14:textId="77777777" w:rsidTr="00636D03">
        <w:trPr>
          <w:trHeight w:val="276"/>
          <w:jc w:val="center"/>
        </w:trPr>
        <w:tc>
          <w:tcPr>
            <w:tcW w:w="340" w:type="dxa"/>
            <w:tcBorders>
              <w:left w:val="single" w:sz="12" w:space="0" w:color="auto"/>
            </w:tcBorders>
            <w:shd w:val="clear" w:color="auto" w:fill="auto"/>
            <w:noWrap/>
            <w:vAlign w:val="center"/>
            <w:hideMark/>
          </w:tcPr>
          <w:p w14:paraId="7ACCD436"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EF60CFC"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68D56846"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5E0E3871"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15.96%</w:t>
            </w:r>
          </w:p>
        </w:tc>
        <w:tc>
          <w:tcPr>
            <w:tcW w:w="900" w:type="dxa"/>
            <w:tcBorders>
              <w:left w:val="single" w:sz="2" w:space="0" w:color="auto"/>
              <w:right w:val="single" w:sz="12" w:space="0" w:color="auto"/>
            </w:tcBorders>
            <w:shd w:val="clear" w:color="auto" w:fill="auto"/>
            <w:noWrap/>
            <w:vAlign w:val="bottom"/>
            <w:hideMark/>
          </w:tcPr>
          <w:p w14:paraId="62984048"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15.17%</w:t>
            </w:r>
          </w:p>
        </w:tc>
        <w:tc>
          <w:tcPr>
            <w:tcW w:w="810" w:type="dxa"/>
            <w:tcBorders>
              <w:left w:val="single" w:sz="12" w:space="0" w:color="auto"/>
              <w:right w:val="single" w:sz="2" w:space="0" w:color="auto"/>
            </w:tcBorders>
            <w:shd w:val="clear" w:color="auto" w:fill="auto"/>
            <w:noWrap/>
            <w:vAlign w:val="bottom"/>
            <w:hideMark/>
          </w:tcPr>
          <w:p w14:paraId="0AEA0415"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900" w:type="dxa"/>
            <w:tcBorders>
              <w:left w:val="single" w:sz="2" w:space="0" w:color="auto"/>
              <w:right w:val="single" w:sz="2" w:space="0" w:color="auto"/>
            </w:tcBorders>
            <w:shd w:val="clear" w:color="auto" w:fill="auto"/>
            <w:noWrap/>
            <w:vAlign w:val="bottom"/>
            <w:hideMark/>
          </w:tcPr>
          <w:p w14:paraId="4EAB450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15.96%</w:t>
            </w:r>
          </w:p>
        </w:tc>
        <w:tc>
          <w:tcPr>
            <w:tcW w:w="900" w:type="dxa"/>
            <w:tcBorders>
              <w:left w:val="single" w:sz="2" w:space="0" w:color="auto"/>
              <w:right w:val="single" w:sz="12" w:space="0" w:color="auto"/>
            </w:tcBorders>
            <w:shd w:val="clear" w:color="auto" w:fill="auto"/>
            <w:noWrap/>
            <w:vAlign w:val="bottom"/>
            <w:hideMark/>
          </w:tcPr>
          <w:p w14:paraId="1B836473"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15.17%</w:t>
            </w:r>
          </w:p>
        </w:tc>
        <w:tc>
          <w:tcPr>
            <w:tcW w:w="1170" w:type="dxa"/>
            <w:tcBorders>
              <w:left w:val="single" w:sz="12" w:space="0" w:color="auto"/>
              <w:right w:val="single" w:sz="12" w:space="0" w:color="auto"/>
            </w:tcBorders>
            <w:shd w:val="clear" w:color="auto" w:fill="auto"/>
            <w:noWrap/>
            <w:vAlign w:val="bottom"/>
            <w:hideMark/>
          </w:tcPr>
          <w:p w14:paraId="20D1FF3B"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266100ED"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2E66A30E"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1</w:t>
            </w:r>
          </w:p>
        </w:tc>
        <w:tc>
          <w:tcPr>
            <w:tcW w:w="833" w:type="dxa"/>
            <w:tcBorders>
              <w:left w:val="single" w:sz="12" w:space="0" w:color="auto"/>
              <w:right w:val="single" w:sz="2" w:space="0" w:color="auto"/>
            </w:tcBorders>
            <w:shd w:val="clear" w:color="auto" w:fill="auto"/>
            <w:noWrap/>
            <w:vAlign w:val="bottom"/>
            <w:hideMark/>
          </w:tcPr>
          <w:p w14:paraId="76E2188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5AD34E1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776826A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2C8B1ED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702A5D24"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24441BC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2F4FE06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58DFBFC1" w14:textId="77777777" w:rsidTr="00636D03">
        <w:trPr>
          <w:trHeight w:val="264"/>
          <w:jc w:val="center"/>
        </w:trPr>
        <w:tc>
          <w:tcPr>
            <w:tcW w:w="340" w:type="dxa"/>
            <w:tcBorders>
              <w:left w:val="single" w:sz="12" w:space="0" w:color="auto"/>
            </w:tcBorders>
            <w:shd w:val="clear" w:color="auto" w:fill="auto"/>
            <w:vAlign w:val="center"/>
            <w:hideMark/>
          </w:tcPr>
          <w:p w14:paraId="726D4356"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64BD1FC5"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1DB3392E"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7FA5518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2,215 K</w:t>
            </w:r>
          </w:p>
        </w:tc>
        <w:tc>
          <w:tcPr>
            <w:tcW w:w="900" w:type="dxa"/>
            <w:tcBorders>
              <w:left w:val="single" w:sz="2" w:space="0" w:color="auto"/>
              <w:right w:val="single" w:sz="12" w:space="0" w:color="auto"/>
            </w:tcBorders>
            <w:shd w:val="clear" w:color="auto" w:fill="auto"/>
            <w:noWrap/>
            <w:vAlign w:val="bottom"/>
            <w:hideMark/>
          </w:tcPr>
          <w:p w14:paraId="0435B49D"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2,605 K</w:t>
            </w:r>
          </w:p>
        </w:tc>
        <w:tc>
          <w:tcPr>
            <w:tcW w:w="810" w:type="dxa"/>
            <w:tcBorders>
              <w:left w:val="single" w:sz="12" w:space="0" w:color="auto"/>
              <w:right w:val="single" w:sz="2" w:space="0" w:color="auto"/>
            </w:tcBorders>
            <w:shd w:val="clear" w:color="auto" w:fill="auto"/>
            <w:noWrap/>
            <w:vAlign w:val="bottom"/>
            <w:hideMark/>
          </w:tcPr>
          <w:p w14:paraId="168F694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378 K</w:t>
            </w:r>
          </w:p>
        </w:tc>
        <w:tc>
          <w:tcPr>
            <w:tcW w:w="900" w:type="dxa"/>
            <w:tcBorders>
              <w:left w:val="single" w:sz="2" w:space="0" w:color="auto"/>
              <w:right w:val="single" w:sz="2" w:space="0" w:color="auto"/>
            </w:tcBorders>
            <w:shd w:val="clear" w:color="auto" w:fill="auto"/>
            <w:noWrap/>
            <w:vAlign w:val="bottom"/>
            <w:hideMark/>
          </w:tcPr>
          <w:p w14:paraId="16C76E4A"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2,215 K</w:t>
            </w:r>
          </w:p>
        </w:tc>
        <w:tc>
          <w:tcPr>
            <w:tcW w:w="900" w:type="dxa"/>
            <w:tcBorders>
              <w:left w:val="single" w:sz="2" w:space="0" w:color="auto"/>
              <w:right w:val="single" w:sz="12" w:space="0" w:color="auto"/>
            </w:tcBorders>
            <w:shd w:val="clear" w:color="auto" w:fill="auto"/>
            <w:noWrap/>
            <w:vAlign w:val="bottom"/>
            <w:hideMark/>
          </w:tcPr>
          <w:p w14:paraId="7BDED303"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2,593 K</w:t>
            </w:r>
          </w:p>
        </w:tc>
        <w:tc>
          <w:tcPr>
            <w:tcW w:w="1170" w:type="dxa"/>
            <w:tcBorders>
              <w:left w:val="single" w:sz="12" w:space="0" w:color="auto"/>
              <w:right w:val="single" w:sz="12" w:space="0" w:color="auto"/>
            </w:tcBorders>
            <w:shd w:val="clear" w:color="auto" w:fill="auto"/>
            <w:noWrap/>
            <w:vAlign w:val="bottom"/>
            <w:hideMark/>
          </w:tcPr>
          <w:p w14:paraId="1EDE7FF6"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73CB9EEB" w14:textId="77777777" w:rsidTr="00636D03">
        <w:trPr>
          <w:trHeight w:val="276"/>
          <w:jc w:val="center"/>
        </w:trPr>
        <w:tc>
          <w:tcPr>
            <w:tcW w:w="340" w:type="dxa"/>
            <w:tcBorders>
              <w:left w:val="single" w:sz="12" w:space="0" w:color="auto"/>
            </w:tcBorders>
            <w:shd w:val="clear" w:color="auto" w:fill="auto"/>
            <w:noWrap/>
            <w:vAlign w:val="bottom"/>
            <w:hideMark/>
          </w:tcPr>
          <w:p w14:paraId="1ACC4295" w14:textId="77777777" w:rsidR="008B6152" w:rsidRPr="00EF61B8" w:rsidRDefault="008B6152" w:rsidP="002F146D">
            <w:pPr>
              <w:spacing w:before="0" w:after="0"/>
              <w:ind w:left="0" w:firstLine="0"/>
              <w:jc w:val="right"/>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2922FE16"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7537CDB5"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78DBA218"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15.00%</w:t>
            </w:r>
          </w:p>
        </w:tc>
        <w:tc>
          <w:tcPr>
            <w:tcW w:w="900" w:type="dxa"/>
            <w:tcBorders>
              <w:left w:val="single" w:sz="2" w:space="0" w:color="auto"/>
              <w:right w:val="single" w:sz="12" w:space="0" w:color="auto"/>
            </w:tcBorders>
            <w:shd w:val="clear" w:color="auto" w:fill="auto"/>
            <w:noWrap/>
            <w:vAlign w:val="bottom"/>
            <w:hideMark/>
          </w:tcPr>
          <w:p w14:paraId="1CE670FA"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14.38%</w:t>
            </w:r>
          </w:p>
        </w:tc>
        <w:tc>
          <w:tcPr>
            <w:tcW w:w="810" w:type="dxa"/>
            <w:tcBorders>
              <w:left w:val="single" w:sz="12" w:space="0" w:color="auto"/>
              <w:right w:val="single" w:sz="2" w:space="0" w:color="auto"/>
            </w:tcBorders>
            <w:shd w:val="clear" w:color="auto" w:fill="auto"/>
            <w:noWrap/>
            <w:vAlign w:val="bottom"/>
            <w:hideMark/>
          </w:tcPr>
          <w:p w14:paraId="508D22E2"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11.31%</w:t>
            </w:r>
          </w:p>
        </w:tc>
        <w:tc>
          <w:tcPr>
            <w:tcW w:w="900" w:type="dxa"/>
            <w:tcBorders>
              <w:left w:val="single" w:sz="2" w:space="0" w:color="auto"/>
              <w:right w:val="single" w:sz="2" w:space="0" w:color="auto"/>
            </w:tcBorders>
            <w:shd w:val="clear" w:color="auto" w:fill="auto"/>
            <w:noWrap/>
            <w:vAlign w:val="bottom"/>
            <w:hideMark/>
          </w:tcPr>
          <w:p w14:paraId="51801ED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15.00%</w:t>
            </w:r>
          </w:p>
        </w:tc>
        <w:tc>
          <w:tcPr>
            <w:tcW w:w="900" w:type="dxa"/>
            <w:tcBorders>
              <w:left w:val="single" w:sz="2" w:space="0" w:color="auto"/>
              <w:right w:val="single" w:sz="12" w:space="0" w:color="auto"/>
            </w:tcBorders>
            <w:shd w:val="clear" w:color="auto" w:fill="auto"/>
            <w:noWrap/>
            <w:vAlign w:val="bottom"/>
            <w:hideMark/>
          </w:tcPr>
          <w:p w14:paraId="3B2B85FB"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14.31%</w:t>
            </w:r>
          </w:p>
        </w:tc>
        <w:tc>
          <w:tcPr>
            <w:tcW w:w="1170" w:type="dxa"/>
            <w:tcBorders>
              <w:left w:val="single" w:sz="12" w:space="0" w:color="auto"/>
              <w:right w:val="single" w:sz="12" w:space="0" w:color="auto"/>
            </w:tcBorders>
            <w:shd w:val="clear" w:color="auto" w:fill="auto"/>
            <w:noWrap/>
            <w:vAlign w:val="bottom"/>
            <w:hideMark/>
          </w:tcPr>
          <w:p w14:paraId="489AC02F"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-0.07%</w:t>
            </w:r>
          </w:p>
        </w:tc>
      </w:tr>
      <w:tr w:rsidR="00097927" w:rsidRPr="00EF61B8" w14:paraId="2B894964"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4B0794FE"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2</w:t>
            </w:r>
          </w:p>
        </w:tc>
        <w:tc>
          <w:tcPr>
            <w:tcW w:w="833" w:type="dxa"/>
            <w:tcBorders>
              <w:left w:val="single" w:sz="12" w:space="0" w:color="auto"/>
              <w:right w:val="single" w:sz="2" w:space="0" w:color="auto"/>
            </w:tcBorders>
            <w:shd w:val="clear" w:color="auto" w:fill="auto"/>
            <w:noWrap/>
            <w:vAlign w:val="bottom"/>
            <w:hideMark/>
          </w:tcPr>
          <w:p w14:paraId="76333AD8"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2665752B"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1D4CC07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781C050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65F9497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278419FF"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42C8C70E"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017C6802" w14:textId="77777777" w:rsidTr="00636D03">
        <w:trPr>
          <w:trHeight w:val="264"/>
          <w:jc w:val="center"/>
        </w:trPr>
        <w:tc>
          <w:tcPr>
            <w:tcW w:w="340" w:type="dxa"/>
            <w:tcBorders>
              <w:left w:val="single" w:sz="12" w:space="0" w:color="auto"/>
            </w:tcBorders>
            <w:shd w:val="clear" w:color="auto" w:fill="auto"/>
            <w:vAlign w:val="center"/>
            <w:hideMark/>
          </w:tcPr>
          <w:p w14:paraId="4CD14AFB"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4366E3B"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458AEFA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7E185219"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2,080 K</w:t>
            </w:r>
          </w:p>
        </w:tc>
        <w:tc>
          <w:tcPr>
            <w:tcW w:w="900" w:type="dxa"/>
            <w:tcBorders>
              <w:left w:val="single" w:sz="2" w:space="0" w:color="auto"/>
              <w:right w:val="single" w:sz="12" w:space="0" w:color="auto"/>
            </w:tcBorders>
            <w:shd w:val="clear" w:color="auto" w:fill="auto"/>
            <w:noWrap/>
            <w:vAlign w:val="bottom"/>
            <w:hideMark/>
          </w:tcPr>
          <w:p w14:paraId="06127C0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2,471 K</w:t>
            </w:r>
          </w:p>
        </w:tc>
        <w:tc>
          <w:tcPr>
            <w:tcW w:w="810" w:type="dxa"/>
            <w:tcBorders>
              <w:left w:val="single" w:sz="12" w:space="0" w:color="auto"/>
              <w:right w:val="single" w:sz="2" w:space="0" w:color="auto"/>
            </w:tcBorders>
            <w:shd w:val="clear" w:color="auto" w:fill="auto"/>
            <w:noWrap/>
            <w:vAlign w:val="bottom"/>
            <w:hideMark/>
          </w:tcPr>
          <w:p w14:paraId="6585058A"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368 K</w:t>
            </w:r>
          </w:p>
        </w:tc>
        <w:tc>
          <w:tcPr>
            <w:tcW w:w="900" w:type="dxa"/>
            <w:tcBorders>
              <w:left w:val="single" w:sz="2" w:space="0" w:color="auto"/>
              <w:right w:val="single" w:sz="2" w:space="0" w:color="auto"/>
            </w:tcBorders>
            <w:shd w:val="clear" w:color="auto" w:fill="auto"/>
            <w:noWrap/>
            <w:vAlign w:val="bottom"/>
            <w:hideMark/>
          </w:tcPr>
          <w:p w14:paraId="3B327E2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2,080 K</w:t>
            </w:r>
          </w:p>
        </w:tc>
        <w:tc>
          <w:tcPr>
            <w:tcW w:w="900" w:type="dxa"/>
            <w:tcBorders>
              <w:left w:val="single" w:sz="2" w:space="0" w:color="auto"/>
              <w:right w:val="single" w:sz="12" w:space="0" w:color="auto"/>
            </w:tcBorders>
            <w:shd w:val="clear" w:color="auto" w:fill="auto"/>
            <w:noWrap/>
            <w:vAlign w:val="bottom"/>
            <w:hideMark/>
          </w:tcPr>
          <w:p w14:paraId="1B1DD9FC"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2,448 K</w:t>
            </w:r>
          </w:p>
        </w:tc>
        <w:tc>
          <w:tcPr>
            <w:tcW w:w="1170" w:type="dxa"/>
            <w:tcBorders>
              <w:left w:val="single" w:sz="12" w:space="0" w:color="auto"/>
              <w:right w:val="single" w:sz="12" w:space="0" w:color="auto"/>
            </w:tcBorders>
            <w:shd w:val="clear" w:color="auto" w:fill="auto"/>
            <w:noWrap/>
            <w:vAlign w:val="bottom"/>
            <w:hideMark/>
          </w:tcPr>
          <w:p w14:paraId="38C1E509" w14:textId="77777777" w:rsidR="008B6152" w:rsidRPr="00EF61B8" w:rsidRDefault="008B6152" w:rsidP="002F146D">
            <w:pPr>
              <w:spacing w:before="0" w:after="0"/>
              <w:ind w:left="0" w:firstLine="0"/>
              <w:jc w:val="right"/>
              <w:rPr>
                <w:rFonts w:eastAsia="Times New Roman"/>
                <w:b/>
                <w:bCs/>
                <w:color w:val="000000"/>
                <w:sz w:val="18"/>
                <w:szCs w:val="18"/>
                <w:lang w:eastAsia="zh-TW"/>
              </w:rPr>
            </w:pPr>
          </w:p>
        </w:tc>
      </w:tr>
      <w:tr w:rsidR="00097927" w:rsidRPr="00EF61B8" w14:paraId="375FD2B5" w14:textId="77777777" w:rsidTr="00636D03">
        <w:trPr>
          <w:trHeight w:val="276"/>
          <w:jc w:val="center"/>
        </w:trPr>
        <w:tc>
          <w:tcPr>
            <w:tcW w:w="340" w:type="dxa"/>
            <w:tcBorders>
              <w:left w:val="single" w:sz="12" w:space="0" w:color="auto"/>
            </w:tcBorders>
            <w:shd w:val="clear" w:color="auto" w:fill="auto"/>
            <w:noWrap/>
            <w:vAlign w:val="center"/>
            <w:hideMark/>
          </w:tcPr>
          <w:p w14:paraId="1CAED11F"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7999552C"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6F0E48EE"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1210B83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14.09%</w:t>
            </w:r>
          </w:p>
        </w:tc>
        <w:tc>
          <w:tcPr>
            <w:tcW w:w="900" w:type="dxa"/>
            <w:tcBorders>
              <w:left w:val="single" w:sz="2" w:space="0" w:color="auto"/>
              <w:right w:val="single" w:sz="12" w:space="0" w:color="auto"/>
            </w:tcBorders>
            <w:shd w:val="clear" w:color="auto" w:fill="auto"/>
            <w:noWrap/>
            <w:vAlign w:val="bottom"/>
            <w:hideMark/>
          </w:tcPr>
          <w:p w14:paraId="2677E315"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13.64%</w:t>
            </w:r>
          </w:p>
        </w:tc>
        <w:tc>
          <w:tcPr>
            <w:tcW w:w="810" w:type="dxa"/>
            <w:tcBorders>
              <w:left w:val="single" w:sz="12" w:space="0" w:color="auto"/>
              <w:right w:val="single" w:sz="2" w:space="0" w:color="auto"/>
            </w:tcBorders>
            <w:shd w:val="clear" w:color="auto" w:fill="auto"/>
            <w:noWrap/>
            <w:vAlign w:val="bottom"/>
            <w:hideMark/>
          </w:tcPr>
          <w:p w14:paraId="62F99158"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10.99%</w:t>
            </w:r>
          </w:p>
        </w:tc>
        <w:tc>
          <w:tcPr>
            <w:tcW w:w="900" w:type="dxa"/>
            <w:tcBorders>
              <w:left w:val="single" w:sz="2" w:space="0" w:color="auto"/>
              <w:right w:val="single" w:sz="2" w:space="0" w:color="auto"/>
            </w:tcBorders>
            <w:shd w:val="clear" w:color="auto" w:fill="auto"/>
            <w:noWrap/>
            <w:vAlign w:val="bottom"/>
            <w:hideMark/>
          </w:tcPr>
          <w:p w14:paraId="1B49B83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14.09%</w:t>
            </w:r>
          </w:p>
        </w:tc>
        <w:tc>
          <w:tcPr>
            <w:tcW w:w="900" w:type="dxa"/>
            <w:tcBorders>
              <w:left w:val="single" w:sz="2" w:space="0" w:color="auto"/>
              <w:right w:val="single" w:sz="12" w:space="0" w:color="auto"/>
            </w:tcBorders>
            <w:shd w:val="clear" w:color="auto" w:fill="auto"/>
            <w:noWrap/>
            <w:vAlign w:val="bottom"/>
            <w:hideMark/>
          </w:tcPr>
          <w:p w14:paraId="762D9269"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13.52%</w:t>
            </w:r>
          </w:p>
        </w:tc>
        <w:tc>
          <w:tcPr>
            <w:tcW w:w="1170" w:type="dxa"/>
            <w:tcBorders>
              <w:left w:val="single" w:sz="12" w:space="0" w:color="auto"/>
              <w:right w:val="single" w:sz="12" w:space="0" w:color="auto"/>
            </w:tcBorders>
            <w:shd w:val="clear" w:color="auto" w:fill="auto"/>
            <w:noWrap/>
            <w:vAlign w:val="bottom"/>
            <w:hideMark/>
          </w:tcPr>
          <w:p w14:paraId="14B6798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-0.13%</w:t>
            </w:r>
          </w:p>
        </w:tc>
      </w:tr>
      <w:tr w:rsidR="00097927" w:rsidRPr="00EF61B8" w14:paraId="6F6C68CF"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36540F01"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3</w:t>
            </w:r>
          </w:p>
        </w:tc>
        <w:tc>
          <w:tcPr>
            <w:tcW w:w="833" w:type="dxa"/>
            <w:tcBorders>
              <w:left w:val="single" w:sz="12" w:space="0" w:color="auto"/>
              <w:right w:val="single" w:sz="2" w:space="0" w:color="auto"/>
            </w:tcBorders>
            <w:shd w:val="clear" w:color="auto" w:fill="auto"/>
            <w:noWrap/>
            <w:vAlign w:val="bottom"/>
            <w:hideMark/>
          </w:tcPr>
          <w:p w14:paraId="460E35FC"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2A39D33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076900E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633A3D52"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4C4F588B"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1B04999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08B052F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2289B2A3" w14:textId="77777777" w:rsidTr="00636D03">
        <w:trPr>
          <w:trHeight w:val="264"/>
          <w:jc w:val="center"/>
        </w:trPr>
        <w:tc>
          <w:tcPr>
            <w:tcW w:w="340" w:type="dxa"/>
            <w:tcBorders>
              <w:left w:val="single" w:sz="12" w:space="0" w:color="auto"/>
            </w:tcBorders>
            <w:shd w:val="clear" w:color="auto" w:fill="auto"/>
            <w:vAlign w:val="center"/>
            <w:hideMark/>
          </w:tcPr>
          <w:p w14:paraId="2CFDB02E"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B5CAC9B"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0783F16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6BD1A71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1,954 K</w:t>
            </w:r>
          </w:p>
        </w:tc>
        <w:tc>
          <w:tcPr>
            <w:tcW w:w="900" w:type="dxa"/>
            <w:tcBorders>
              <w:left w:val="single" w:sz="2" w:space="0" w:color="auto"/>
              <w:right w:val="single" w:sz="12" w:space="0" w:color="auto"/>
            </w:tcBorders>
            <w:shd w:val="clear" w:color="auto" w:fill="auto"/>
            <w:noWrap/>
            <w:vAlign w:val="bottom"/>
            <w:hideMark/>
          </w:tcPr>
          <w:p w14:paraId="6503AB3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2,345 K</w:t>
            </w:r>
          </w:p>
        </w:tc>
        <w:tc>
          <w:tcPr>
            <w:tcW w:w="810" w:type="dxa"/>
            <w:tcBorders>
              <w:left w:val="single" w:sz="12" w:space="0" w:color="auto"/>
              <w:right w:val="single" w:sz="2" w:space="0" w:color="auto"/>
            </w:tcBorders>
            <w:shd w:val="clear" w:color="auto" w:fill="auto"/>
            <w:noWrap/>
            <w:vAlign w:val="bottom"/>
            <w:hideMark/>
          </w:tcPr>
          <w:p w14:paraId="30DAFFDF"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358 K</w:t>
            </w:r>
          </w:p>
        </w:tc>
        <w:tc>
          <w:tcPr>
            <w:tcW w:w="900" w:type="dxa"/>
            <w:tcBorders>
              <w:left w:val="single" w:sz="2" w:space="0" w:color="auto"/>
              <w:right w:val="single" w:sz="2" w:space="0" w:color="auto"/>
            </w:tcBorders>
            <w:shd w:val="clear" w:color="auto" w:fill="auto"/>
            <w:noWrap/>
            <w:vAlign w:val="bottom"/>
            <w:hideMark/>
          </w:tcPr>
          <w:p w14:paraId="5C96DBD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1,954 K</w:t>
            </w:r>
          </w:p>
        </w:tc>
        <w:tc>
          <w:tcPr>
            <w:tcW w:w="900" w:type="dxa"/>
            <w:tcBorders>
              <w:left w:val="single" w:sz="2" w:space="0" w:color="auto"/>
              <w:right w:val="single" w:sz="12" w:space="0" w:color="auto"/>
            </w:tcBorders>
            <w:shd w:val="clear" w:color="auto" w:fill="auto"/>
            <w:noWrap/>
            <w:vAlign w:val="bottom"/>
            <w:hideMark/>
          </w:tcPr>
          <w:p w14:paraId="227D7C9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2,312 K</w:t>
            </w:r>
          </w:p>
        </w:tc>
        <w:tc>
          <w:tcPr>
            <w:tcW w:w="1170" w:type="dxa"/>
            <w:tcBorders>
              <w:left w:val="single" w:sz="12" w:space="0" w:color="auto"/>
              <w:right w:val="single" w:sz="12" w:space="0" w:color="auto"/>
            </w:tcBorders>
            <w:shd w:val="clear" w:color="auto" w:fill="auto"/>
            <w:noWrap/>
            <w:vAlign w:val="bottom"/>
            <w:hideMark/>
          </w:tcPr>
          <w:p w14:paraId="4B3DF26A" w14:textId="77777777" w:rsidR="008B6152" w:rsidRPr="00EF61B8" w:rsidRDefault="008B6152" w:rsidP="002F146D">
            <w:pPr>
              <w:spacing w:before="0" w:after="0"/>
              <w:ind w:left="0" w:firstLine="0"/>
              <w:jc w:val="right"/>
              <w:rPr>
                <w:rFonts w:eastAsia="Times New Roman"/>
                <w:b/>
                <w:bCs/>
                <w:color w:val="000000"/>
                <w:sz w:val="18"/>
                <w:szCs w:val="18"/>
                <w:lang w:eastAsia="zh-TW"/>
              </w:rPr>
            </w:pPr>
          </w:p>
        </w:tc>
      </w:tr>
      <w:tr w:rsidR="00097927" w:rsidRPr="00EF61B8" w14:paraId="3D0323FB" w14:textId="77777777" w:rsidTr="00636D03">
        <w:trPr>
          <w:trHeight w:val="276"/>
          <w:jc w:val="center"/>
        </w:trPr>
        <w:tc>
          <w:tcPr>
            <w:tcW w:w="340" w:type="dxa"/>
            <w:tcBorders>
              <w:left w:val="single" w:sz="12" w:space="0" w:color="auto"/>
              <w:bottom w:val="single" w:sz="12" w:space="0" w:color="auto"/>
            </w:tcBorders>
            <w:shd w:val="clear" w:color="auto" w:fill="auto"/>
            <w:noWrap/>
            <w:vAlign w:val="center"/>
            <w:hideMark/>
          </w:tcPr>
          <w:p w14:paraId="1796E0CC"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bottom w:val="single" w:sz="12" w:space="0" w:color="auto"/>
              <w:right w:val="single" w:sz="12" w:space="0" w:color="auto"/>
            </w:tcBorders>
            <w:shd w:val="clear" w:color="auto" w:fill="auto"/>
            <w:noWrap/>
            <w:vAlign w:val="bottom"/>
            <w:hideMark/>
          </w:tcPr>
          <w:p w14:paraId="123AB3D3"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bottom w:val="single" w:sz="12" w:space="0" w:color="auto"/>
              <w:right w:val="single" w:sz="2" w:space="0" w:color="auto"/>
            </w:tcBorders>
            <w:shd w:val="clear" w:color="auto" w:fill="auto"/>
            <w:noWrap/>
            <w:vAlign w:val="bottom"/>
            <w:hideMark/>
          </w:tcPr>
          <w:p w14:paraId="434CE4E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11.67%</w:t>
            </w:r>
          </w:p>
        </w:tc>
        <w:tc>
          <w:tcPr>
            <w:tcW w:w="1016" w:type="dxa"/>
            <w:tcBorders>
              <w:left w:val="single" w:sz="2" w:space="0" w:color="auto"/>
              <w:bottom w:val="single" w:sz="12" w:space="0" w:color="auto"/>
              <w:right w:val="single" w:sz="2" w:space="0" w:color="auto"/>
            </w:tcBorders>
            <w:shd w:val="clear" w:color="auto" w:fill="auto"/>
            <w:noWrap/>
            <w:vAlign w:val="bottom"/>
            <w:hideMark/>
          </w:tcPr>
          <w:p w14:paraId="77F52E21"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13.23%</w:t>
            </w:r>
          </w:p>
        </w:tc>
        <w:tc>
          <w:tcPr>
            <w:tcW w:w="900" w:type="dxa"/>
            <w:tcBorders>
              <w:left w:val="single" w:sz="2" w:space="0" w:color="auto"/>
              <w:bottom w:val="single" w:sz="12" w:space="0" w:color="auto"/>
              <w:right w:val="single" w:sz="12" w:space="0" w:color="auto"/>
            </w:tcBorders>
            <w:shd w:val="clear" w:color="auto" w:fill="auto"/>
            <w:noWrap/>
            <w:vAlign w:val="bottom"/>
            <w:hideMark/>
          </w:tcPr>
          <w:p w14:paraId="13F79024"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12.94%</w:t>
            </w:r>
          </w:p>
        </w:tc>
        <w:tc>
          <w:tcPr>
            <w:tcW w:w="810" w:type="dxa"/>
            <w:tcBorders>
              <w:left w:val="single" w:sz="12" w:space="0" w:color="auto"/>
              <w:bottom w:val="single" w:sz="12" w:space="0" w:color="auto"/>
              <w:right w:val="single" w:sz="2" w:space="0" w:color="auto"/>
            </w:tcBorders>
            <w:shd w:val="clear" w:color="auto" w:fill="auto"/>
            <w:noWrap/>
            <w:vAlign w:val="bottom"/>
            <w:hideMark/>
          </w:tcPr>
          <w:p w14:paraId="05B8017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10.70%</w:t>
            </w:r>
          </w:p>
        </w:tc>
        <w:tc>
          <w:tcPr>
            <w:tcW w:w="900" w:type="dxa"/>
            <w:tcBorders>
              <w:left w:val="single" w:sz="2" w:space="0" w:color="auto"/>
              <w:bottom w:val="single" w:sz="12" w:space="0" w:color="auto"/>
              <w:right w:val="single" w:sz="2" w:space="0" w:color="auto"/>
            </w:tcBorders>
            <w:shd w:val="clear" w:color="auto" w:fill="auto"/>
            <w:noWrap/>
            <w:vAlign w:val="bottom"/>
            <w:hideMark/>
          </w:tcPr>
          <w:p w14:paraId="7F1C3B7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13.23%</w:t>
            </w:r>
          </w:p>
        </w:tc>
        <w:tc>
          <w:tcPr>
            <w:tcW w:w="900" w:type="dxa"/>
            <w:tcBorders>
              <w:left w:val="single" w:sz="2" w:space="0" w:color="auto"/>
              <w:bottom w:val="single" w:sz="12" w:space="0" w:color="auto"/>
              <w:right w:val="single" w:sz="12" w:space="0" w:color="auto"/>
            </w:tcBorders>
            <w:shd w:val="clear" w:color="auto" w:fill="auto"/>
            <w:noWrap/>
            <w:vAlign w:val="bottom"/>
            <w:hideMark/>
          </w:tcPr>
          <w:p w14:paraId="7922484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12.77%</w:t>
            </w:r>
          </w:p>
        </w:tc>
        <w:tc>
          <w:tcPr>
            <w:tcW w:w="1170" w:type="dxa"/>
            <w:tcBorders>
              <w:left w:val="single" w:sz="12" w:space="0" w:color="auto"/>
              <w:bottom w:val="single" w:sz="12" w:space="0" w:color="auto"/>
              <w:right w:val="single" w:sz="12" w:space="0" w:color="auto"/>
            </w:tcBorders>
            <w:shd w:val="clear" w:color="auto" w:fill="auto"/>
            <w:noWrap/>
            <w:vAlign w:val="bottom"/>
            <w:hideMark/>
          </w:tcPr>
          <w:p w14:paraId="701A5386"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-0.18%</w:t>
            </w:r>
          </w:p>
        </w:tc>
      </w:tr>
    </w:tbl>
    <w:p w14:paraId="43A29045" w14:textId="77777777" w:rsidR="000F74C9" w:rsidRDefault="000F74C9" w:rsidP="000F74C9">
      <w:pPr>
        <w:pStyle w:val="BodyText"/>
        <w:keepLines/>
        <w:numPr>
          <w:ilvl w:val="0"/>
          <w:numId w:val="0"/>
        </w:numPr>
        <w:tabs>
          <w:tab w:val="num" w:pos="1080"/>
          <w:tab w:val="num" w:pos="1260"/>
        </w:tabs>
        <w:spacing w:before="120" w:after="0" w:line="240" w:lineRule="auto"/>
        <w:rPr>
          <w:sz w:val="20"/>
        </w:rPr>
      </w:pPr>
      <w:r>
        <w:rPr>
          <w:i/>
          <w:sz w:val="20"/>
        </w:rPr>
        <w:t>Note:</w:t>
      </w:r>
      <w:r>
        <w:rPr>
          <w:sz w:val="20"/>
        </w:rPr>
        <w:t xml:space="preserve"> Due to rounding, calculations based on displayed precision may not replicate exactly the numbers presented.  </w:t>
      </w:r>
    </w:p>
    <w:p w14:paraId="4E8579F0" w14:textId="17BB6AB2" w:rsidR="000F74C9" w:rsidRPr="006773C0" w:rsidRDefault="000F74C9" w:rsidP="000F74C9">
      <w:pPr>
        <w:pStyle w:val="BodyText"/>
        <w:numPr>
          <w:ilvl w:val="0"/>
          <w:numId w:val="0"/>
        </w:numPr>
        <w:tabs>
          <w:tab w:val="num" w:pos="1080"/>
          <w:tab w:val="num" w:pos="1260"/>
        </w:tabs>
        <w:spacing w:before="120" w:after="360" w:line="240" w:lineRule="auto"/>
        <w:rPr>
          <w:sz w:val="20"/>
        </w:rPr>
      </w:pPr>
      <w:r w:rsidRPr="006325F7">
        <w:rPr>
          <w:i/>
          <w:sz w:val="20"/>
        </w:rPr>
        <w:t xml:space="preserve">Sources: </w:t>
      </w:r>
      <w:r>
        <w:rPr>
          <w:color w:val="000000"/>
          <w:sz w:val="20"/>
        </w:rPr>
        <w:t>ABS</w:t>
      </w:r>
      <w:r w:rsidRPr="00B96257">
        <w:rPr>
          <w:sz w:val="20"/>
        </w:rPr>
        <w:t xml:space="preserve">, Australian Demographic Statistics, </w:t>
      </w:r>
      <w:r>
        <w:rPr>
          <w:sz w:val="20"/>
        </w:rPr>
        <w:t>June</w:t>
      </w:r>
      <w:r w:rsidRPr="00B96257">
        <w:rPr>
          <w:sz w:val="20"/>
        </w:rPr>
        <w:t xml:space="preserve"> 2014</w:t>
      </w:r>
      <w:r>
        <w:rPr>
          <w:sz w:val="20"/>
        </w:rPr>
        <w:t>,</w:t>
      </w:r>
      <w:r w:rsidRPr="00B96257">
        <w:rPr>
          <w:sz w:val="20"/>
        </w:rPr>
        <w:t xml:space="preserve"> Table 59</w:t>
      </w:r>
      <w:r>
        <w:rPr>
          <w:sz w:val="20"/>
        </w:rPr>
        <w:t>,</w:t>
      </w:r>
      <w:r w:rsidRPr="00B96257">
        <w:rPr>
          <w:sz w:val="20"/>
        </w:rPr>
        <w:t xml:space="preserve"> </w:t>
      </w:r>
      <w:r>
        <w:rPr>
          <w:sz w:val="20"/>
        </w:rPr>
        <w:t>“</w:t>
      </w:r>
      <w:r w:rsidRPr="00B96257">
        <w:rPr>
          <w:sz w:val="20"/>
        </w:rPr>
        <w:t>Estimated Resident Population By Single Year Of Age Australia</w:t>
      </w:r>
      <w:r>
        <w:rPr>
          <w:sz w:val="20"/>
        </w:rPr>
        <w:t>”</w:t>
      </w:r>
      <w:r w:rsidR="002B7E34">
        <w:rPr>
          <w:sz w:val="20"/>
        </w:rPr>
        <w:t>; and</w:t>
      </w:r>
      <w:r w:rsidRPr="006325F7">
        <w:rPr>
          <w:sz w:val="20"/>
        </w:rPr>
        <w:t xml:space="preserve"> </w:t>
      </w:r>
      <w:r w:rsidR="00B044A7">
        <w:rPr>
          <w:sz w:val="20"/>
        </w:rPr>
        <w:t xml:space="preserve">AIHW, </w:t>
      </w:r>
      <w:r>
        <w:rPr>
          <w:sz w:val="20"/>
        </w:rPr>
        <w:t>NDSHS</w:t>
      </w:r>
      <w:r w:rsidR="00B044A7">
        <w:rPr>
          <w:sz w:val="20"/>
        </w:rPr>
        <w:t xml:space="preserve"> Data</w:t>
      </w:r>
      <w:r w:rsidRPr="006325F7">
        <w:rPr>
          <w:sz w:val="20"/>
        </w:rPr>
        <w:t xml:space="preserve"> </w:t>
      </w:r>
      <w:r w:rsidR="00B044A7">
        <w:rPr>
          <w:sz w:val="20"/>
        </w:rPr>
        <w:t>(</w:t>
      </w:r>
      <w:r w:rsidRPr="006325F7">
        <w:rPr>
          <w:sz w:val="20"/>
        </w:rPr>
        <w:t>2010</w:t>
      </w:r>
      <w:r>
        <w:rPr>
          <w:sz w:val="20"/>
        </w:rPr>
        <w:t xml:space="preserve"> and 2013</w:t>
      </w:r>
      <w:r w:rsidR="00B044A7">
        <w:rPr>
          <w:sz w:val="20"/>
        </w:rPr>
        <w:t>)</w:t>
      </w:r>
      <w:r w:rsidRPr="006325F7">
        <w:rPr>
          <w:sz w:val="20"/>
        </w:rPr>
        <w:t>.</w:t>
      </w:r>
    </w:p>
    <w:p w14:paraId="32559333" w14:textId="77777777" w:rsidR="00EE574A" w:rsidRPr="00DD2B8D" w:rsidRDefault="00EE574A" w:rsidP="00DD2B8D">
      <w:r w:rsidRPr="00DD2B8D">
        <w:br w:type="page"/>
      </w:r>
    </w:p>
    <w:p w14:paraId="17FCDD47" w14:textId="77777777" w:rsidR="00EE574A" w:rsidRDefault="00EE574A" w:rsidP="00EE574A">
      <w:pPr>
        <w:pStyle w:val="Heading1"/>
        <w:numPr>
          <w:ilvl w:val="0"/>
          <w:numId w:val="0"/>
        </w:numPr>
        <w:spacing w:after="480"/>
        <w:jc w:val="center"/>
      </w:pPr>
      <w:bookmarkStart w:id="45" w:name="_Appendix_C_–"/>
      <w:bookmarkStart w:id="46" w:name="_Toc441421162"/>
      <w:bookmarkEnd w:id="45"/>
      <w:r w:rsidRPr="00640057">
        <w:lastRenderedPageBreak/>
        <w:t xml:space="preserve">Appendix </w:t>
      </w:r>
      <w:r>
        <w:t>C – Multiple Regression Model</w:t>
      </w:r>
      <w:bookmarkEnd w:id="46"/>
    </w:p>
    <w:p w14:paraId="5AC1A6C9" w14:textId="51057C79" w:rsidR="00EE574A" w:rsidRDefault="00D53759" w:rsidP="00EE574A">
      <w:pPr>
        <w:pStyle w:val="BodyText"/>
        <w:numPr>
          <w:ilvl w:val="3"/>
          <w:numId w:val="2"/>
        </w:numPr>
        <w:tabs>
          <w:tab w:val="clear" w:pos="1260"/>
          <w:tab w:val="num" w:pos="0"/>
          <w:tab w:val="num" w:pos="720"/>
        </w:tabs>
        <w:spacing w:before="120" w:after="0" w:line="360" w:lineRule="auto"/>
        <w:ind w:left="0" w:firstLine="720"/>
      </w:pPr>
      <w:r>
        <w:t xml:space="preserve">A </w:t>
      </w:r>
      <w:r w:rsidR="00EE574A" w:rsidRPr="000417ED">
        <w:t>regression model relates a dependent variable</w:t>
      </w:r>
      <w:r w:rsidR="00EE574A">
        <w:t xml:space="preserve">, </w:t>
      </w:r>
      <w:r w:rsidR="00EE574A" w:rsidRPr="000417ED">
        <w:t>the outcome of interest</w:t>
      </w:r>
      <w:r w:rsidR="00EE574A">
        <w:t>,</w:t>
      </w:r>
      <w:r w:rsidR="00EE574A" w:rsidRPr="000417ED">
        <w:t xml:space="preserve"> to a set of factors that can potentially explain the observed outcome.</w:t>
      </w:r>
      <w:r w:rsidR="00EE574A" w:rsidRPr="000417ED">
        <w:rPr>
          <w:rStyle w:val="FootnoteReference"/>
        </w:rPr>
        <w:footnoteReference w:id="37"/>
      </w:r>
      <w:r w:rsidR="00EE574A" w:rsidRPr="000417ED">
        <w:t xml:space="preserve">  Statisticians typically use </w:t>
      </w:r>
      <w:r w:rsidR="00EA50A2" w:rsidRPr="00785176">
        <w:rPr>
          <w:i/>
          <w:position w:val="1"/>
        </w:rPr>
        <w:t>y</w:t>
      </w:r>
      <w:r w:rsidR="00EA50A2" w:rsidRPr="000417ED">
        <w:t xml:space="preserve"> </w:t>
      </w:r>
      <w:r w:rsidR="00EE574A" w:rsidRPr="000417ED">
        <w:t xml:space="preserve">to represent the dependent variable and </w:t>
      </w:r>
      <w:r w:rsidR="00D84A86" w:rsidRPr="00EA50A2">
        <w:rPr>
          <w:i/>
          <w:position w:val="1"/>
        </w:rPr>
        <w:t>x</w:t>
      </w:r>
      <w:r w:rsidR="00EE574A" w:rsidRPr="000417ED">
        <w:t xml:space="preserve"> to represent explanatory variables.  In the case of multi</w:t>
      </w:r>
      <w:r w:rsidR="00EE574A">
        <w:t>ple</w:t>
      </w:r>
      <w:r w:rsidR="00EE574A" w:rsidRPr="000417ED">
        <w:t xml:space="preserve"> regression, the explanatory variables are </w:t>
      </w:r>
      <w:r w:rsidR="00EE574A">
        <w:t xml:space="preserve">commonly </w:t>
      </w:r>
      <w:r w:rsidR="00EE574A" w:rsidRPr="000417ED">
        <w:t>distinguished using subscripts</w:t>
      </w:r>
      <w:r w:rsidR="00EA50A2">
        <w:t xml:space="preserve"> </w:t>
      </w:r>
      <w:r w:rsidR="00EA50A2" w:rsidRPr="00785176">
        <w:t xml:space="preserve">(e.g., </w:t>
      </w:r>
      <w:r w:rsidR="00EA50A2" w:rsidRPr="00785176">
        <w:rPr>
          <w:i/>
          <w:spacing w:val="-14"/>
        </w:rPr>
        <w:t>x</w:t>
      </w:r>
      <w:r w:rsidR="00EA50A2" w:rsidRPr="00DC643D">
        <w:rPr>
          <w:position w:val="-5"/>
          <w:vertAlign w:val="subscript"/>
        </w:rPr>
        <w:t>1</w:t>
      </w:r>
      <w:r w:rsidR="00EA50A2" w:rsidRPr="00785176">
        <w:rPr>
          <w:position w:val="-5"/>
        </w:rPr>
        <w:t xml:space="preserve"> </w:t>
      </w:r>
      <w:r w:rsidR="00EA50A2" w:rsidRPr="00785176">
        <w:t xml:space="preserve">and </w:t>
      </w:r>
      <w:r w:rsidR="00EA50A2" w:rsidRPr="00785176">
        <w:rPr>
          <w:i/>
          <w:spacing w:val="3"/>
        </w:rPr>
        <w:t>x</w:t>
      </w:r>
      <w:r w:rsidR="00EA50A2" w:rsidRPr="00DC643D">
        <w:rPr>
          <w:position w:val="-5"/>
          <w:vertAlign w:val="subscript"/>
        </w:rPr>
        <w:t>2</w:t>
      </w:r>
      <w:r w:rsidR="00DD2B8D">
        <w:t>).</w:t>
      </w:r>
      <w:r w:rsidR="00EE574A" w:rsidRPr="000417ED">
        <w:t xml:space="preserve">The dependent variable is often expressed as a linear combination of the explanatory variables plus a disturbance or error term: </w:t>
      </w:r>
      <w:r w:rsidR="00EA50A2" w:rsidRPr="00EA50A2">
        <w:rPr>
          <w:i/>
          <w:position w:val="1"/>
        </w:rPr>
        <w:t>y</w:t>
      </w:r>
      <w:r w:rsidR="00EA50A2" w:rsidRPr="000E1CBE">
        <w:rPr>
          <w:i/>
          <w:position w:val="-5"/>
          <w:vertAlign w:val="subscript"/>
        </w:rPr>
        <w:t>it</w:t>
      </w:r>
      <w:r w:rsidR="00EA50A2" w:rsidRPr="00EA50A2">
        <w:rPr>
          <w:i/>
          <w:position w:val="-5"/>
        </w:rPr>
        <w:t xml:space="preserve"> </w:t>
      </w:r>
      <w:r w:rsidR="00EA50A2" w:rsidRPr="00136C13">
        <w:rPr>
          <w:rFonts w:ascii="Symbol" w:eastAsia="Symbol" w:hAnsi="Symbol" w:cs="Symbol"/>
          <w:i/>
          <w:position w:val="1"/>
        </w:rPr>
        <w:t></w:t>
      </w:r>
      <w:r w:rsidR="00EA50A2" w:rsidRPr="00136C13">
        <w:rPr>
          <w:rFonts w:ascii="Symbol" w:eastAsia="Symbol" w:hAnsi="Symbol" w:cs="Symbol"/>
          <w:i/>
          <w:spacing w:val="-13"/>
          <w:position w:val="1"/>
        </w:rPr>
        <w:t></w:t>
      </w:r>
      <w:r w:rsidR="00EA50A2" w:rsidRPr="00136C13">
        <w:rPr>
          <w:rFonts w:ascii="Symbol" w:eastAsia="Symbol" w:hAnsi="Symbol" w:cs="Symbol"/>
          <w:i/>
          <w:spacing w:val="10"/>
          <w:position w:val="1"/>
        </w:rPr>
        <w:t></w:t>
      </w:r>
      <w:r w:rsidR="00136C13" w:rsidRPr="00973478">
        <w:rPr>
          <w:position w:val="-5"/>
          <w:vertAlign w:val="subscript"/>
        </w:rPr>
        <w:t>0</w:t>
      </w:r>
      <w:r w:rsidR="00EA50A2" w:rsidRPr="00EA50A2">
        <w:rPr>
          <w:i/>
          <w:spacing w:val="30"/>
          <w:position w:val="-5"/>
        </w:rPr>
        <w:t xml:space="preserve"> </w:t>
      </w:r>
      <w:r w:rsidR="00EA50A2" w:rsidRPr="00EA50A2">
        <w:rPr>
          <w:rFonts w:ascii="Symbol" w:eastAsia="Symbol" w:hAnsi="Symbol" w:cs="Symbol"/>
          <w:position w:val="1"/>
        </w:rPr>
        <w:t></w:t>
      </w:r>
      <w:r w:rsidR="00EA50A2" w:rsidRPr="00136C13">
        <w:rPr>
          <w:rFonts w:ascii="Symbol" w:eastAsia="Symbol" w:hAnsi="Symbol" w:cs="Symbol"/>
          <w:i/>
          <w:spacing w:val="-23"/>
          <w:position w:val="1"/>
        </w:rPr>
        <w:t></w:t>
      </w:r>
      <w:r w:rsidR="00EA50A2" w:rsidRPr="00136C13">
        <w:rPr>
          <w:rFonts w:ascii="Symbol" w:eastAsia="Symbol" w:hAnsi="Symbol" w:cs="Symbol"/>
          <w:i/>
          <w:spacing w:val="-4"/>
          <w:position w:val="1"/>
        </w:rPr>
        <w:t></w:t>
      </w:r>
      <w:r w:rsidR="00EA50A2" w:rsidRPr="00973478">
        <w:rPr>
          <w:position w:val="-5"/>
          <w:vertAlign w:val="subscript"/>
        </w:rPr>
        <w:t>1</w:t>
      </w:r>
      <w:r w:rsidR="00EA50A2" w:rsidRPr="00136C13">
        <w:rPr>
          <w:i/>
          <w:spacing w:val="-25"/>
          <w:position w:val="-5"/>
        </w:rPr>
        <w:t xml:space="preserve"> </w:t>
      </w:r>
      <w:r w:rsidR="00EA50A2" w:rsidRPr="00EA50A2">
        <w:rPr>
          <w:i/>
          <w:spacing w:val="-16"/>
          <w:position w:val="1"/>
        </w:rPr>
        <w:t>x</w:t>
      </w:r>
      <w:r w:rsidR="00EA50A2" w:rsidRPr="00973478">
        <w:rPr>
          <w:spacing w:val="-11"/>
          <w:position w:val="-5"/>
          <w:vertAlign w:val="subscript"/>
        </w:rPr>
        <w:t>1</w:t>
      </w:r>
      <w:proofErr w:type="gramStart"/>
      <w:r w:rsidR="00EA50A2" w:rsidRPr="00973478">
        <w:rPr>
          <w:i/>
          <w:spacing w:val="-3"/>
          <w:position w:val="-5"/>
          <w:vertAlign w:val="subscript"/>
        </w:rPr>
        <w:t>,</w:t>
      </w:r>
      <w:r w:rsidR="00EA50A2" w:rsidRPr="00973478">
        <w:rPr>
          <w:i/>
          <w:position w:val="-5"/>
          <w:vertAlign w:val="subscript"/>
        </w:rPr>
        <w:t>it</w:t>
      </w:r>
      <w:proofErr w:type="gramEnd"/>
      <w:r w:rsidR="00EA50A2" w:rsidRPr="00EA50A2">
        <w:rPr>
          <w:i/>
          <w:spacing w:val="35"/>
          <w:position w:val="-5"/>
        </w:rPr>
        <w:t xml:space="preserve"> </w:t>
      </w:r>
      <w:r w:rsidR="00EA50A2" w:rsidRPr="00EA50A2">
        <w:rPr>
          <w:rFonts w:ascii="Symbol" w:eastAsia="Symbol" w:hAnsi="Symbol" w:cs="Symbol"/>
          <w:spacing w:val="16"/>
          <w:position w:val="1"/>
        </w:rPr>
        <w:t></w:t>
      </w:r>
      <w:r w:rsidR="00EA50A2" w:rsidRPr="00EA50A2">
        <w:rPr>
          <w:rFonts w:ascii="MT Extra" w:eastAsia="MT Extra" w:hAnsi="MT Extra" w:cs="MT Extra"/>
          <w:spacing w:val="10"/>
          <w:position w:val="1"/>
        </w:rPr>
        <w:t></w:t>
      </w:r>
      <w:r w:rsidR="00EA50A2" w:rsidRPr="00EA50A2">
        <w:rPr>
          <w:rFonts w:ascii="Symbol" w:eastAsia="Symbol" w:hAnsi="Symbol" w:cs="Symbol"/>
          <w:position w:val="1"/>
        </w:rPr>
        <w:t></w:t>
      </w:r>
      <w:r w:rsidR="00EA50A2" w:rsidRPr="00136C13">
        <w:rPr>
          <w:rFonts w:ascii="Symbol" w:eastAsia="Symbol" w:hAnsi="Symbol" w:cs="Symbol"/>
          <w:i/>
          <w:spacing w:val="-22"/>
          <w:position w:val="1"/>
        </w:rPr>
        <w:t></w:t>
      </w:r>
      <w:r w:rsidR="00EA50A2" w:rsidRPr="00136C13">
        <w:rPr>
          <w:rFonts w:ascii="Symbol" w:eastAsia="Symbol" w:hAnsi="Symbol" w:cs="Symbol"/>
          <w:i/>
          <w:spacing w:val="13"/>
          <w:position w:val="1"/>
        </w:rPr>
        <w:t></w:t>
      </w:r>
      <w:r w:rsidR="00EA50A2" w:rsidRPr="00EA50A2">
        <w:rPr>
          <w:i/>
          <w:position w:val="-5"/>
          <w:vertAlign w:val="subscript"/>
        </w:rPr>
        <w:t>k</w:t>
      </w:r>
      <w:r w:rsidR="00EA50A2" w:rsidRPr="00EA50A2">
        <w:rPr>
          <w:i/>
          <w:spacing w:val="-3"/>
          <w:position w:val="-5"/>
        </w:rPr>
        <w:t xml:space="preserve"> </w:t>
      </w:r>
      <w:r w:rsidR="00EA50A2" w:rsidRPr="00EA50A2">
        <w:rPr>
          <w:i/>
          <w:position w:val="1"/>
        </w:rPr>
        <w:t>x</w:t>
      </w:r>
      <w:r w:rsidR="00EA50A2" w:rsidRPr="00EA50A2">
        <w:rPr>
          <w:i/>
          <w:position w:val="-5"/>
          <w:vertAlign w:val="subscript"/>
        </w:rPr>
        <w:t>k</w:t>
      </w:r>
      <w:r w:rsidR="00EA50A2" w:rsidRPr="00EA50A2">
        <w:rPr>
          <w:i/>
          <w:spacing w:val="-24"/>
          <w:position w:val="-5"/>
          <w:vertAlign w:val="subscript"/>
        </w:rPr>
        <w:t xml:space="preserve"> </w:t>
      </w:r>
      <w:r w:rsidR="00EA50A2" w:rsidRPr="00136C13">
        <w:rPr>
          <w:i/>
          <w:spacing w:val="-3"/>
          <w:position w:val="-5"/>
        </w:rPr>
        <w:t>,</w:t>
      </w:r>
      <w:r w:rsidR="00EA50A2" w:rsidRPr="00EA50A2">
        <w:rPr>
          <w:i/>
          <w:position w:val="-5"/>
          <w:vertAlign w:val="subscript"/>
        </w:rPr>
        <w:t>it</w:t>
      </w:r>
      <w:r w:rsidR="00EA50A2" w:rsidRPr="00EA50A2">
        <w:rPr>
          <w:i/>
          <w:spacing w:val="35"/>
          <w:position w:val="-5"/>
        </w:rPr>
        <w:t xml:space="preserve"> </w:t>
      </w:r>
      <w:r w:rsidR="00EA50A2" w:rsidRPr="00136C13">
        <w:rPr>
          <w:rFonts w:ascii="Symbol" w:eastAsia="Symbol" w:hAnsi="Symbol" w:cs="Symbol"/>
          <w:i/>
          <w:position w:val="1"/>
        </w:rPr>
        <w:t></w:t>
      </w:r>
      <w:r w:rsidR="00EA50A2" w:rsidRPr="00136C13">
        <w:rPr>
          <w:rFonts w:ascii="Symbol" w:eastAsia="Symbol" w:hAnsi="Symbol" w:cs="Symbol"/>
          <w:i/>
          <w:spacing w:val="-36"/>
          <w:position w:val="1"/>
        </w:rPr>
        <w:t></w:t>
      </w:r>
      <w:r w:rsidR="00EA50A2" w:rsidRPr="00136C13">
        <w:rPr>
          <w:rFonts w:ascii="Symbol" w:eastAsia="Symbol" w:hAnsi="Symbol" w:cs="Symbol"/>
          <w:i/>
          <w:spacing w:val="19"/>
          <w:position w:val="1"/>
        </w:rPr>
        <w:t></w:t>
      </w:r>
      <w:proofErr w:type="spellStart"/>
      <w:r w:rsidR="00EA50A2" w:rsidRPr="00EA50A2">
        <w:rPr>
          <w:i/>
          <w:position w:val="-5"/>
          <w:vertAlign w:val="subscript"/>
        </w:rPr>
        <w:t>it</w:t>
      </w:r>
      <w:proofErr w:type="spellEnd"/>
      <w:r w:rsidR="00EA50A2" w:rsidRPr="00EA50A2">
        <w:rPr>
          <w:i/>
          <w:position w:val="-5"/>
        </w:rPr>
        <w:t xml:space="preserve"> </w:t>
      </w:r>
      <w:r w:rsidR="00EA50A2" w:rsidRPr="00136C13">
        <w:rPr>
          <w:i/>
        </w:rPr>
        <w:t>,</w:t>
      </w:r>
      <w:r w:rsidR="00EA50A2" w:rsidRPr="00785176">
        <w:rPr>
          <w:spacing w:val="-3"/>
        </w:rPr>
        <w:t xml:space="preserve"> </w:t>
      </w:r>
      <w:r w:rsidR="00EE574A">
        <w:t xml:space="preserve">where </w:t>
      </w:r>
      <w:proofErr w:type="spellStart"/>
      <w:r w:rsidR="00EE574A" w:rsidRPr="00596371">
        <w:rPr>
          <w:i/>
        </w:rPr>
        <w:t>i</w:t>
      </w:r>
      <w:proofErr w:type="spellEnd"/>
      <w:r w:rsidR="00EE574A">
        <w:t xml:space="preserve"> denotes the individual respondent and </w:t>
      </w:r>
      <w:r w:rsidR="00EE574A" w:rsidRPr="00596371">
        <w:rPr>
          <w:i/>
        </w:rPr>
        <w:t>t</w:t>
      </w:r>
      <w:r w:rsidR="00EE574A">
        <w:t xml:space="preserve"> denotes the month in which the individual was surveyed.</w:t>
      </w:r>
      <w:r w:rsidR="006B3214">
        <w:t xml:space="preserve">  In this equation, the</w:t>
      </w:r>
      <w:r w:rsidR="00EA50A2">
        <w:t xml:space="preserve"> </w:t>
      </w:r>
      <w:r w:rsidR="00EA50A2" w:rsidRPr="00136C13">
        <w:rPr>
          <w:rFonts w:ascii="Symbol" w:eastAsia="Symbol" w:hAnsi="Symbol" w:cs="Symbol"/>
          <w:i/>
          <w:spacing w:val="13"/>
          <w:position w:val="1"/>
        </w:rPr>
        <w:t></w:t>
      </w:r>
      <w:r w:rsidR="00EA50A2" w:rsidRPr="00DC643D">
        <w:rPr>
          <w:i/>
          <w:position w:val="-5"/>
          <w:vertAlign w:val="subscript"/>
        </w:rPr>
        <w:t>k</w:t>
      </w:r>
      <w:r w:rsidR="00EE574A">
        <w:t>’s</w:t>
      </w:r>
      <w:r w:rsidR="00EE574A" w:rsidRPr="000417ED">
        <w:t xml:space="preserve"> are referred to as “parameters” or “coefficients.”  These parameters quantify the effect that a change in the associated explanatory variable has on the dependent variable and provide a measure of how much the individual factor matters, controlling for the other factors.</w:t>
      </w:r>
      <w:r w:rsidR="00EE574A" w:rsidRPr="000417ED">
        <w:rPr>
          <w:rStyle w:val="FootnoteReference"/>
        </w:rPr>
        <w:footnoteReference w:id="38"/>
      </w:r>
      <w:r w:rsidR="00EE574A" w:rsidRPr="000417ED">
        <w:t xml:space="preserve">  The effect of one explanatory variable on the dependent variable is measured as the partial effect of that variable, accounting for </w:t>
      </w:r>
      <w:r w:rsidR="00EE574A">
        <w:t>the correlation between that variable and all the variables that also may potentially affect the dependent variable</w:t>
      </w:r>
      <w:r w:rsidR="00EE574A" w:rsidRPr="000417ED">
        <w:t>.</w:t>
      </w:r>
      <w:r w:rsidR="00EE574A">
        <w:rPr>
          <w:rStyle w:val="FootnoteReference"/>
        </w:rPr>
        <w:footnoteReference w:id="39"/>
      </w:r>
      <w:r w:rsidR="00EE574A">
        <w:t xml:space="preserve">  </w:t>
      </w:r>
      <w:r w:rsidR="00EE574A" w:rsidRPr="00715887">
        <w:t>In this way, the regression arithmetic uniquely organizes the information and influence of the explanatory variables.</w:t>
      </w:r>
      <w:r w:rsidR="00EE574A">
        <w:t xml:space="preserve">  Finally, the regression model ac</w:t>
      </w:r>
      <w:r w:rsidR="00EE574A" w:rsidRPr="000417ED">
        <w:t>counts for omitted factors through the disturbance term.  More generally, the disturbance or error term, (denoted</w:t>
      </w:r>
      <w:r w:rsidR="00136C13">
        <w:t xml:space="preserve"> </w:t>
      </w:r>
      <w:r w:rsidR="00EA50A2" w:rsidRPr="00E22150">
        <w:rPr>
          <w:rFonts w:ascii="Symbol" w:eastAsia="Symbol" w:hAnsi="Symbol" w:cs="Symbol"/>
          <w:i/>
          <w:spacing w:val="19"/>
          <w:position w:val="1"/>
        </w:rPr>
        <w:t></w:t>
      </w:r>
      <w:r w:rsidR="00EE574A" w:rsidRPr="000417ED">
        <w:t>) reflect</w:t>
      </w:r>
      <w:r w:rsidR="00EE574A">
        <w:t>s</w:t>
      </w:r>
      <w:r w:rsidR="00EE574A" w:rsidRPr="000417ED">
        <w:t xml:space="preserve"> the fact that no model can perfectly predict </w:t>
      </w:r>
      <w:r w:rsidR="00EE574A">
        <w:t>the</w:t>
      </w:r>
      <w:r w:rsidR="00EE574A" w:rsidRPr="000417ED">
        <w:t xml:space="preserve"> dependent variable.</w:t>
      </w:r>
      <w:r w:rsidR="00EE574A" w:rsidRPr="000417ED">
        <w:rPr>
          <w:rStyle w:val="FootnoteReference"/>
        </w:rPr>
        <w:footnoteReference w:id="40"/>
      </w:r>
      <w:r w:rsidR="00EE574A" w:rsidRPr="000417ED">
        <w:t xml:space="preserve">  </w:t>
      </w:r>
    </w:p>
    <w:p w14:paraId="52285D7C" w14:textId="06D08B24" w:rsidR="00D53759" w:rsidRDefault="00EE574A" w:rsidP="00EE574A">
      <w:pPr>
        <w:pStyle w:val="BodyText"/>
        <w:numPr>
          <w:ilvl w:val="3"/>
          <w:numId w:val="2"/>
        </w:numPr>
        <w:tabs>
          <w:tab w:val="clear" w:pos="1260"/>
          <w:tab w:val="num" w:pos="0"/>
          <w:tab w:val="num" w:pos="720"/>
        </w:tabs>
        <w:spacing w:before="120" w:after="0" w:line="360" w:lineRule="auto"/>
        <w:ind w:left="0" w:firstLine="720"/>
      </w:pPr>
      <w:r>
        <w:t xml:space="preserve">The model parameters are estimated using a well-known statistical technique known as </w:t>
      </w:r>
      <w:r w:rsidR="0030077B">
        <w:t>p</w:t>
      </w:r>
      <w:r>
        <w:t>robit estimation that accounts for the binary nature of the dependent variable</w:t>
      </w:r>
      <w:r w:rsidR="00D53759">
        <w:t xml:space="preserve"> (in this case, smoking status)</w:t>
      </w:r>
      <w:r>
        <w:t>.</w:t>
      </w:r>
      <w:r>
        <w:rPr>
          <w:rStyle w:val="FootnoteReference"/>
        </w:rPr>
        <w:footnoteReference w:id="41"/>
      </w:r>
      <w:r>
        <w:t xml:space="preserve">  Here the dependent variable measures whether or not the respondent </w:t>
      </w:r>
      <w:r w:rsidR="0023355B">
        <w:t xml:space="preserve">smokes: (a) it takes the value </w:t>
      </w:r>
      <w:r>
        <w:t xml:space="preserve">zero if the respondent is not a smoker; and (b) it takes the value one if the respondent is a smoker.  The estimation procedure also produces standard errors associated </w:t>
      </w:r>
      <w:r>
        <w:lastRenderedPageBreak/>
        <w:t>with each of the estimated parameters.  Standard errors measure the precision of the estimate and form the basis for hypothesis testing.  In particular, one can use the parameter estimates in conjunction with the standard errors to determine</w:t>
      </w:r>
      <w:r w:rsidR="00535EA2">
        <w:t xml:space="preserve"> p-value</w:t>
      </w:r>
      <w:r w:rsidR="00D53759">
        <w:t>s</w:t>
      </w:r>
      <w:r w:rsidR="00535EA2">
        <w:t xml:space="preserve"> for the</w:t>
      </w:r>
      <w:r>
        <w:t xml:space="preserve"> estimated</w:t>
      </w:r>
      <w:r w:rsidR="00535EA2">
        <w:t xml:space="preserve"> coefficient</w:t>
      </w:r>
      <w:r w:rsidR="00D53759">
        <w:t xml:space="preserve">.  A p-value is the minimum significance level at which the estimated coefficient is statistically different from zero. </w:t>
      </w:r>
    </w:p>
    <w:p w14:paraId="71975089" w14:textId="77777777" w:rsidR="00EE574A" w:rsidRPr="00640057" w:rsidRDefault="00FD0A9F" w:rsidP="00EE574A">
      <w:pPr>
        <w:pStyle w:val="BodyText"/>
        <w:numPr>
          <w:ilvl w:val="3"/>
          <w:numId w:val="2"/>
        </w:numPr>
        <w:tabs>
          <w:tab w:val="clear" w:pos="1260"/>
          <w:tab w:val="num" w:pos="0"/>
          <w:tab w:val="num" w:pos="720"/>
        </w:tabs>
        <w:spacing w:before="120" w:after="0" w:line="360" w:lineRule="auto"/>
        <w:ind w:left="0" w:firstLine="720"/>
      </w:pPr>
      <w:r>
        <w:t xml:space="preserve">A finding that the estimated effect of the 2012 packaging changes is </w:t>
      </w:r>
      <w:r w:rsidRPr="00F5525B">
        <w:rPr>
          <w:i/>
        </w:rPr>
        <w:t>negative</w:t>
      </w:r>
      <w:r>
        <w:t xml:space="preserve"> and associated with a relatively small p-value would lead to the conclusion that the 2012 packaging changes are associated with a statistically significant reduction in the probability of smoking.  </w:t>
      </w:r>
      <w:r w:rsidR="00D53759">
        <w:t>T</w:t>
      </w:r>
      <w:r w:rsidR="00D53759" w:rsidRPr="00D53759">
        <w:t>here is no bright line in deciding when something is statistically different from zero (i.e., whether one should insist on a particular minimum significance level).  An estimate with a p-value of 0.05 is statistically different from zero at the five-percent significance level.  Similarly, an estimate with a p-value of 0.06 is statistically significant at the six-percent significance level.  As a general matter, the smaller the p-value, the more confident one can be that the true parameter is different from zero.</w:t>
      </w:r>
    </w:p>
    <w:p w14:paraId="54F98696" w14:textId="77777777" w:rsidR="00EE574A" w:rsidRDefault="00EE574A">
      <w:pPr>
        <w:rPr>
          <w:rFonts w:eastAsia="Times New Roman" w:cs="Arial"/>
          <w:b/>
          <w:bCs/>
          <w:kern w:val="32"/>
          <w:szCs w:val="32"/>
        </w:rPr>
      </w:pPr>
      <w:r>
        <w:br w:type="page"/>
      </w:r>
    </w:p>
    <w:p w14:paraId="03AD1B36" w14:textId="78A94036" w:rsidR="008A5B94" w:rsidRDefault="008A5B94" w:rsidP="001C4553">
      <w:pPr>
        <w:pStyle w:val="Heading1"/>
        <w:numPr>
          <w:ilvl w:val="0"/>
          <w:numId w:val="0"/>
        </w:numPr>
        <w:spacing w:after="480"/>
        <w:jc w:val="center"/>
      </w:pPr>
      <w:bookmarkStart w:id="47" w:name="_Appendix_D_–"/>
      <w:bookmarkStart w:id="48" w:name="_Toc441421163"/>
      <w:bookmarkEnd w:id="47"/>
      <w:r w:rsidRPr="00EE574A">
        <w:lastRenderedPageBreak/>
        <w:t xml:space="preserve">Appendix </w:t>
      </w:r>
      <w:r w:rsidR="00EE574A" w:rsidRPr="00EE574A">
        <w:t>D</w:t>
      </w:r>
      <w:r w:rsidRPr="00EE574A">
        <w:t xml:space="preserve"> – </w:t>
      </w:r>
      <w:r w:rsidR="00EF61B8">
        <w:t>Full</w:t>
      </w:r>
      <w:r w:rsidRPr="00624757">
        <w:t xml:space="preserve"> Estimation Results</w:t>
      </w:r>
      <w:bookmarkEnd w:id="48"/>
    </w:p>
    <w:tbl>
      <w:tblPr>
        <w:tblStyle w:val="TableGrid"/>
        <w:tblW w:w="9206"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Description w:val="Appendix D table provides detailed estimation results from the regression analysis of smoking prevalence summarized in Table 3 of the main report.  It contains five columns.  The first column lists the name of the explanatory variable described in each row.  The second column, labeled (1), reports estimation results using a policy start date of December 2012 and excluding the transition months of October and November 2012.  The third to fifth columns, labeled (2) to (4), report estimation results using start dates of December, November and October 2012, respectively, without excluding October and November 2012."/>
      </w:tblPr>
      <w:tblGrid>
        <w:gridCol w:w="2385"/>
        <w:gridCol w:w="1710"/>
        <w:gridCol w:w="1980"/>
        <w:gridCol w:w="1530"/>
        <w:gridCol w:w="1601"/>
      </w:tblGrid>
      <w:tr w:rsidR="005F41B4" w:rsidRPr="00AF7C38" w14:paraId="4167B294" w14:textId="77777777" w:rsidTr="00636D03">
        <w:trPr>
          <w:tblHeader/>
          <w:jc w:val="center"/>
        </w:trPr>
        <w:tc>
          <w:tcPr>
            <w:tcW w:w="2385" w:type="dxa"/>
            <w:tcBorders>
              <w:top w:val="single" w:sz="12" w:space="0" w:color="auto"/>
              <w:bottom w:val="nil"/>
              <w:right w:val="single" w:sz="2" w:space="0" w:color="auto"/>
            </w:tcBorders>
            <w:vAlign w:val="center"/>
          </w:tcPr>
          <w:p w14:paraId="22F99D9E" w14:textId="77777777" w:rsidR="005F41B4" w:rsidRPr="00AF7C38" w:rsidRDefault="005F41B4" w:rsidP="005F41B4">
            <w:pPr>
              <w:pStyle w:val="BodyText"/>
              <w:keepNext/>
              <w:numPr>
                <w:ilvl w:val="0"/>
                <w:numId w:val="0"/>
              </w:numPr>
              <w:tabs>
                <w:tab w:val="num" w:pos="1080"/>
              </w:tabs>
              <w:spacing w:line="240" w:lineRule="auto"/>
              <w:rPr>
                <w:b/>
                <w:sz w:val="22"/>
                <w:szCs w:val="22"/>
              </w:rPr>
            </w:pPr>
          </w:p>
        </w:tc>
        <w:tc>
          <w:tcPr>
            <w:tcW w:w="6821" w:type="dxa"/>
            <w:gridSpan w:val="4"/>
            <w:tcBorders>
              <w:top w:val="single" w:sz="12" w:space="0" w:color="auto"/>
              <w:left w:val="single" w:sz="2" w:space="0" w:color="auto"/>
              <w:bottom w:val="single" w:sz="2" w:space="0" w:color="auto"/>
            </w:tcBorders>
            <w:vAlign w:val="center"/>
          </w:tcPr>
          <w:p w14:paraId="5D207650"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Start Date</w:t>
            </w:r>
            <w:r w:rsidR="00535EA2">
              <w:rPr>
                <w:b/>
                <w:sz w:val="22"/>
                <w:szCs w:val="22"/>
              </w:rPr>
              <w:t xml:space="preserve"> for Packaging Changes</w:t>
            </w:r>
            <w:r w:rsidRPr="00AF7C38">
              <w:rPr>
                <w:b/>
                <w:sz w:val="22"/>
                <w:szCs w:val="22"/>
              </w:rPr>
              <w:t>:</w:t>
            </w:r>
          </w:p>
        </w:tc>
      </w:tr>
      <w:tr w:rsidR="005F41B4" w:rsidRPr="00AF7C38" w14:paraId="7A6F1E03" w14:textId="77777777" w:rsidTr="00636D03">
        <w:trPr>
          <w:trHeight w:val="414"/>
          <w:tblHeader/>
          <w:jc w:val="center"/>
        </w:trPr>
        <w:tc>
          <w:tcPr>
            <w:tcW w:w="2385" w:type="dxa"/>
            <w:tcBorders>
              <w:top w:val="nil"/>
              <w:bottom w:val="nil"/>
              <w:right w:val="single" w:sz="2" w:space="0" w:color="auto"/>
            </w:tcBorders>
            <w:vAlign w:val="center"/>
          </w:tcPr>
          <w:p w14:paraId="423AB79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single" w:sz="2" w:space="0" w:color="auto"/>
              <w:left w:val="single" w:sz="2" w:space="0" w:color="auto"/>
              <w:bottom w:val="single" w:sz="2" w:space="0" w:color="auto"/>
              <w:right w:val="single" w:sz="2" w:space="0" w:color="auto"/>
            </w:tcBorders>
            <w:vAlign w:val="center"/>
          </w:tcPr>
          <w:p w14:paraId="61A24EA2"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Dec 2012, Excluding Oct and Nov 2012</w:t>
            </w:r>
          </w:p>
        </w:tc>
        <w:tc>
          <w:tcPr>
            <w:tcW w:w="1980" w:type="dxa"/>
            <w:tcBorders>
              <w:top w:val="single" w:sz="2" w:space="0" w:color="auto"/>
              <w:left w:val="single" w:sz="2" w:space="0" w:color="auto"/>
              <w:bottom w:val="single" w:sz="2" w:space="0" w:color="auto"/>
              <w:right w:val="single" w:sz="2" w:space="0" w:color="auto"/>
            </w:tcBorders>
            <w:vAlign w:val="center"/>
          </w:tcPr>
          <w:p w14:paraId="2AAF85D4"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Dec 2012</w:t>
            </w:r>
          </w:p>
        </w:tc>
        <w:tc>
          <w:tcPr>
            <w:tcW w:w="1530" w:type="dxa"/>
            <w:tcBorders>
              <w:top w:val="single" w:sz="2" w:space="0" w:color="auto"/>
              <w:left w:val="single" w:sz="2" w:space="0" w:color="auto"/>
              <w:bottom w:val="single" w:sz="2" w:space="0" w:color="auto"/>
              <w:right w:val="single" w:sz="2" w:space="0" w:color="auto"/>
            </w:tcBorders>
            <w:vAlign w:val="center"/>
          </w:tcPr>
          <w:p w14:paraId="2AADDBDA"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Nov 2012</w:t>
            </w:r>
          </w:p>
        </w:tc>
        <w:tc>
          <w:tcPr>
            <w:tcW w:w="1601" w:type="dxa"/>
            <w:tcBorders>
              <w:top w:val="single" w:sz="2" w:space="0" w:color="auto"/>
              <w:left w:val="single" w:sz="2" w:space="0" w:color="auto"/>
              <w:bottom w:val="single" w:sz="2" w:space="0" w:color="auto"/>
            </w:tcBorders>
            <w:vAlign w:val="center"/>
          </w:tcPr>
          <w:p w14:paraId="6AD7F8C2"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Oct 2012</w:t>
            </w:r>
          </w:p>
        </w:tc>
      </w:tr>
      <w:tr w:rsidR="005F41B4" w:rsidRPr="00AF7C38" w14:paraId="7B08EA18" w14:textId="77777777" w:rsidTr="00636D03">
        <w:trPr>
          <w:trHeight w:val="414"/>
          <w:tblHeader/>
          <w:jc w:val="center"/>
        </w:trPr>
        <w:tc>
          <w:tcPr>
            <w:tcW w:w="2385" w:type="dxa"/>
            <w:tcBorders>
              <w:top w:val="nil"/>
              <w:bottom w:val="single" w:sz="2" w:space="0" w:color="auto"/>
              <w:right w:val="single" w:sz="2" w:space="0" w:color="auto"/>
            </w:tcBorders>
            <w:vAlign w:val="center"/>
          </w:tcPr>
          <w:p w14:paraId="13DF5CE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single" w:sz="2" w:space="0" w:color="auto"/>
              <w:left w:val="single" w:sz="2" w:space="0" w:color="auto"/>
              <w:bottom w:val="single" w:sz="2" w:space="0" w:color="auto"/>
              <w:right w:val="single" w:sz="2" w:space="0" w:color="auto"/>
            </w:tcBorders>
            <w:vAlign w:val="center"/>
          </w:tcPr>
          <w:p w14:paraId="7AFB5DC8"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(1)</w:t>
            </w:r>
          </w:p>
        </w:tc>
        <w:tc>
          <w:tcPr>
            <w:tcW w:w="1980" w:type="dxa"/>
            <w:tcBorders>
              <w:top w:val="single" w:sz="2" w:space="0" w:color="auto"/>
              <w:left w:val="single" w:sz="2" w:space="0" w:color="auto"/>
              <w:bottom w:val="single" w:sz="2" w:space="0" w:color="auto"/>
              <w:right w:val="single" w:sz="2" w:space="0" w:color="auto"/>
            </w:tcBorders>
            <w:vAlign w:val="center"/>
          </w:tcPr>
          <w:p w14:paraId="1849C263"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(2)</w:t>
            </w:r>
          </w:p>
        </w:tc>
        <w:tc>
          <w:tcPr>
            <w:tcW w:w="1530" w:type="dxa"/>
            <w:tcBorders>
              <w:top w:val="single" w:sz="2" w:space="0" w:color="auto"/>
              <w:left w:val="single" w:sz="2" w:space="0" w:color="auto"/>
              <w:bottom w:val="single" w:sz="2" w:space="0" w:color="auto"/>
              <w:right w:val="single" w:sz="2" w:space="0" w:color="auto"/>
            </w:tcBorders>
            <w:vAlign w:val="center"/>
          </w:tcPr>
          <w:p w14:paraId="60B305D6"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(3)</w:t>
            </w:r>
          </w:p>
        </w:tc>
        <w:tc>
          <w:tcPr>
            <w:tcW w:w="1601" w:type="dxa"/>
            <w:tcBorders>
              <w:top w:val="single" w:sz="2" w:space="0" w:color="auto"/>
              <w:left w:val="single" w:sz="2" w:space="0" w:color="auto"/>
              <w:bottom w:val="single" w:sz="2" w:space="0" w:color="auto"/>
            </w:tcBorders>
            <w:vAlign w:val="center"/>
          </w:tcPr>
          <w:p w14:paraId="4EF3D395"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(4)</w:t>
            </w:r>
          </w:p>
        </w:tc>
      </w:tr>
      <w:tr w:rsidR="005F41B4" w:rsidRPr="00AF7C38" w14:paraId="366FDFE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099B4C" w14:textId="77777777" w:rsidR="005F41B4" w:rsidRPr="00AF7C38" w:rsidRDefault="00A553B3" w:rsidP="005F41B4">
            <w:pPr>
              <w:pStyle w:val="BodyText"/>
              <w:keepNext/>
              <w:numPr>
                <w:ilvl w:val="0"/>
                <w:numId w:val="0"/>
              </w:numPr>
              <w:tabs>
                <w:tab w:val="num" w:pos="1080"/>
              </w:tabs>
              <w:spacing w:line="240" w:lineRule="auto"/>
              <w:rPr>
                <w:sz w:val="22"/>
                <w:szCs w:val="22"/>
              </w:rPr>
            </w:pPr>
            <w:r>
              <w:rPr>
                <w:sz w:val="22"/>
                <w:szCs w:val="22"/>
              </w:rPr>
              <w:t xml:space="preserve">2012 </w:t>
            </w:r>
            <w:r w:rsidR="005075CB">
              <w:rPr>
                <w:sz w:val="22"/>
                <w:szCs w:val="22"/>
              </w:rPr>
              <w:t>Packaging Changes</w:t>
            </w:r>
          </w:p>
        </w:tc>
        <w:tc>
          <w:tcPr>
            <w:tcW w:w="1710" w:type="dxa"/>
            <w:tcBorders>
              <w:top w:val="single" w:sz="2" w:space="0" w:color="auto"/>
              <w:left w:val="single" w:sz="2" w:space="0" w:color="auto"/>
              <w:bottom w:val="nil"/>
              <w:right w:val="single" w:sz="2" w:space="0" w:color="auto"/>
            </w:tcBorders>
            <w:vAlign w:val="bottom"/>
          </w:tcPr>
          <w:p w14:paraId="2B9780C3"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-0.0237**</w:t>
            </w:r>
          </w:p>
        </w:tc>
        <w:tc>
          <w:tcPr>
            <w:tcW w:w="1980" w:type="dxa"/>
            <w:tcBorders>
              <w:top w:val="single" w:sz="2" w:space="0" w:color="auto"/>
              <w:left w:val="single" w:sz="2" w:space="0" w:color="auto"/>
              <w:bottom w:val="nil"/>
              <w:right w:val="single" w:sz="2" w:space="0" w:color="auto"/>
            </w:tcBorders>
            <w:vAlign w:val="bottom"/>
          </w:tcPr>
          <w:p w14:paraId="6E337D9F"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-0.0215**</w:t>
            </w:r>
          </w:p>
        </w:tc>
        <w:tc>
          <w:tcPr>
            <w:tcW w:w="1530" w:type="dxa"/>
            <w:tcBorders>
              <w:top w:val="single" w:sz="2" w:space="0" w:color="auto"/>
              <w:left w:val="single" w:sz="2" w:space="0" w:color="auto"/>
              <w:bottom w:val="nil"/>
              <w:right w:val="single" w:sz="2" w:space="0" w:color="auto"/>
            </w:tcBorders>
            <w:vAlign w:val="bottom"/>
          </w:tcPr>
          <w:p w14:paraId="48673339"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-0.0232**</w:t>
            </w:r>
          </w:p>
        </w:tc>
        <w:tc>
          <w:tcPr>
            <w:tcW w:w="1601" w:type="dxa"/>
            <w:tcBorders>
              <w:top w:val="single" w:sz="2" w:space="0" w:color="auto"/>
              <w:left w:val="single" w:sz="2" w:space="0" w:color="auto"/>
              <w:bottom w:val="nil"/>
            </w:tcBorders>
            <w:vAlign w:val="bottom"/>
          </w:tcPr>
          <w:p w14:paraId="3A24F24A"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-0.0239**</w:t>
            </w:r>
          </w:p>
        </w:tc>
      </w:tr>
      <w:tr w:rsidR="005F41B4" w:rsidRPr="00AF7C38" w14:paraId="1FC31F61" w14:textId="77777777" w:rsidTr="00636D03">
        <w:trPr>
          <w:trHeight w:val="360"/>
          <w:jc w:val="center"/>
        </w:trPr>
        <w:tc>
          <w:tcPr>
            <w:tcW w:w="2385" w:type="dxa"/>
            <w:vMerge/>
            <w:tcBorders>
              <w:top w:val="nil"/>
              <w:bottom w:val="single" w:sz="2" w:space="0" w:color="auto"/>
              <w:right w:val="single" w:sz="2" w:space="0" w:color="auto"/>
            </w:tcBorders>
            <w:vAlign w:val="center"/>
          </w:tcPr>
          <w:p w14:paraId="7CED13F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E2367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(0.017)</w:t>
            </w:r>
          </w:p>
        </w:tc>
        <w:tc>
          <w:tcPr>
            <w:tcW w:w="1980" w:type="dxa"/>
            <w:tcBorders>
              <w:top w:val="nil"/>
              <w:left w:val="single" w:sz="2" w:space="0" w:color="auto"/>
              <w:bottom w:val="single" w:sz="2" w:space="0" w:color="auto"/>
              <w:right w:val="single" w:sz="2" w:space="0" w:color="auto"/>
            </w:tcBorders>
          </w:tcPr>
          <w:p w14:paraId="1F49A75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(0.029)</w:t>
            </w:r>
          </w:p>
        </w:tc>
        <w:tc>
          <w:tcPr>
            <w:tcW w:w="1530" w:type="dxa"/>
            <w:tcBorders>
              <w:top w:val="nil"/>
              <w:left w:val="single" w:sz="2" w:space="0" w:color="auto"/>
              <w:bottom w:val="single" w:sz="2" w:space="0" w:color="auto"/>
              <w:right w:val="single" w:sz="2" w:space="0" w:color="auto"/>
            </w:tcBorders>
          </w:tcPr>
          <w:p w14:paraId="67A61A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(0.016)</w:t>
            </w:r>
          </w:p>
        </w:tc>
        <w:tc>
          <w:tcPr>
            <w:tcW w:w="1601" w:type="dxa"/>
            <w:tcBorders>
              <w:top w:val="nil"/>
              <w:left w:val="single" w:sz="2" w:space="0" w:color="auto"/>
              <w:bottom w:val="single" w:sz="2" w:space="0" w:color="auto"/>
            </w:tcBorders>
          </w:tcPr>
          <w:p w14:paraId="6A642A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(0.011)</w:t>
            </w:r>
          </w:p>
        </w:tc>
      </w:tr>
      <w:tr w:rsidR="005F41B4" w:rsidRPr="00AF7C38" w14:paraId="1162A10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B97800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2010</w:t>
            </w:r>
          </w:p>
        </w:tc>
        <w:tc>
          <w:tcPr>
            <w:tcW w:w="1710" w:type="dxa"/>
            <w:tcBorders>
              <w:top w:val="single" w:sz="2" w:space="0" w:color="auto"/>
              <w:left w:val="single" w:sz="2" w:space="0" w:color="auto"/>
              <w:bottom w:val="nil"/>
              <w:right w:val="single" w:sz="2" w:space="0" w:color="auto"/>
            </w:tcBorders>
            <w:vAlign w:val="bottom"/>
          </w:tcPr>
          <w:p w14:paraId="1E16E0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-0.0344***</w:t>
            </w:r>
          </w:p>
        </w:tc>
        <w:tc>
          <w:tcPr>
            <w:tcW w:w="1980" w:type="dxa"/>
            <w:tcBorders>
              <w:top w:val="single" w:sz="2" w:space="0" w:color="auto"/>
              <w:left w:val="single" w:sz="2" w:space="0" w:color="auto"/>
              <w:bottom w:val="nil"/>
              <w:right w:val="single" w:sz="2" w:space="0" w:color="auto"/>
            </w:tcBorders>
            <w:vAlign w:val="bottom"/>
          </w:tcPr>
          <w:p w14:paraId="6EB496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-0.0350***</w:t>
            </w:r>
          </w:p>
        </w:tc>
        <w:tc>
          <w:tcPr>
            <w:tcW w:w="1530" w:type="dxa"/>
            <w:tcBorders>
              <w:top w:val="single" w:sz="2" w:space="0" w:color="auto"/>
              <w:left w:val="single" w:sz="2" w:space="0" w:color="auto"/>
              <w:bottom w:val="nil"/>
              <w:right w:val="single" w:sz="2" w:space="0" w:color="auto"/>
            </w:tcBorders>
            <w:vAlign w:val="bottom"/>
          </w:tcPr>
          <w:p w14:paraId="20EFF2F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-0.0347***</w:t>
            </w:r>
          </w:p>
        </w:tc>
        <w:tc>
          <w:tcPr>
            <w:tcW w:w="1601" w:type="dxa"/>
            <w:tcBorders>
              <w:top w:val="single" w:sz="2" w:space="0" w:color="auto"/>
              <w:left w:val="single" w:sz="2" w:space="0" w:color="auto"/>
              <w:bottom w:val="nil"/>
            </w:tcBorders>
            <w:vAlign w:val="bottom"/>
          </w:tcPr>
          <w:p w14:paraId="3049919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-0.0343***</w:t>
            </w:r>
          </w:p>
        </w:tc>
      </w:tr>
      <w:tr w:rsidR="005F41B4" w:rsidRPr="00AF7C38" w14:paraId="6D93B311" w14:textId="77777777" w:rsidTr="00636D03">
        <w:trPr>
          <w:trHeight w:val="360"/>
          <w:jc w:val="center"/>
        </w:trPr>
        <w:tc>
          <w:tcPr>
            <w:tcW w:w="2385" w:type="dxa"/>
            <w:vMerge/>
            <w:tcBorders>
              <w:top w:val="nil"/>
              <w:bottom w:val="single" w:sz="2" w:space="0" w:color="auto"/>
              <w:right w:val="single" w:sz="2" w:space="0" w:color="auto"/>
            </w:tcBorders>
            <w:vAlign w:val="center"/>
          </w:tcPr>
          <w:p w14:paraId="0FC931BD"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485D4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D2715B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2F788A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601" w:type="dxa"/>
            <w:tcBorders>
              <w:top w:val="nil"/>
              <w:left w:val="single" w:sz="2" w:space="0" w:color="auto"/>
              <w:bottom w:val="single" w:sz="2" w:space="0" w:color="auto"/>
            </w:tcBorders>
          </w:tcPr>
          <w:p w14:paraId="3E76C5E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r>
      <w:tr w:rsidR="005F41B4" w:rsidRPr="00AF7C38" w14:paraId="54F8598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649863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2013</w:t>
            </w:r>
          </w:p>
        </w:tc>
        <w:tc>
          <w:tcPr>
            <w:tcW w:w="1710" w:type="dxa"/>
            <w:tcBorders>
              <w:top w:val="single" w:sz="2" w:space="0" w:color="auto"/>
              <w:left w:val="single" w:sz="2" w:space="0" w:color="auto"/>
              <w:bottom w:val="nil"/>
              <w:right w:val="single" w:sz="2" w:space="0" w:color="auto"/>
            </w:tcBorders>
            <w:vAlign w:val="bottom"/>
          </w:tcPr>
          <w:p w14:paraId="5DADD8B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-0.0218*</w:t>
            </w:r>
          </w:p>
        </w:tc>
        <w:tc>
          <w:tcPr>
            <w:tcW w:w="1980" w:type="dxa"/>
            <w:tcBorders>
              <w:top w:val="single" w:sz="2" w:space="0" w:color="auto"/>
              <w:left w:val="single" w:sz="2" w:space="0" w:color="auto"/>
              <w:bottom w:val="nil"/>
              <w:right w:val="single" w:sz="2" w:space="0" w:color="auto"/>
            </w:tcBorders>
            <w:vAlign w:val="bottom"/>
          </w:tcPr>
          <w:p w14:paraId="7160F4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-0.0215*</w:t>
            </w:r>
          </w:p>
        </w:tc>
        <w:tc>
          <w:tcPr>
            <w:tcW w:w="1530" w:type="dxa"/>
            <w:tcBorders>
              <w:top w:val="single" w:sz="2" w:space="0" w:color="auto"/>
              <w:left w:val="single" w:sz="2" w:space="0" w:color="auto"/>
              <w:bottom w:val="nil"/>
              <w:right w:val="single" w:sz="2" w:space="0" w:color="auto"/>
            </w:tcBorders>
            <w:vAlign w:val="bottom"/>
          </w:tcPr>
          <w:p w14:paraId="2F832A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-0.0212*</w:t>
            </w:r>
          </w:p>
        </w:tc>
        <w:tc>
          <w:tcPr>
            <w:tcW w:w="1601" w:type="dxa"/>
            <w:tcBorders>
              <w:top w:val="single" w:sz="2" w:space="0" w:color="auto"/>
              <w:left w:val="single" w:sz="2" w:space="0" w:color="auto"/>
              <w:bottom w:val="nil"/>
            </w:tcBorders>
            <w:vAlign w:val="bottom"/>
          </w:tcPr>
          <w:p w14:paraId="5609E7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-0.0215*</w:t>
            </w:r>
          </w:p>
        </w:tc>
      </w:tr>
      <w:tr w:rsidR="005F41B4" w:rsidRPr="00AF7C38" w14:paraId="0E386177" w14:textId="77777777" w:rsidTr="00636D03">
        <w:trPr>
          <w:trHeight w:val="360"/>
          <w:jc w:val="center"/>
        </w:trPr>
        <w:tc>
          <w:tcPr>
            <w:tcW w:w="2385" w:type="dxa"/>
            <w:vMerge/>
            <w:tcBorders>
              <w:top w:val="nil"/>
              <w:bottom w:val="single" w:sz="2" w:space="0" w:color="auto"/>
              <w:right w:val="single" w:sz="2" w:space="0" w:color="auto"/>
            </w:tcBorders>
            <w:vAlign w:val="center"/>
          </w:tcPr>
          <w:p w14:paraId="568ECE5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F8E61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(0.084)</w:t>
            </w:r>
          </w:p>
        </w:tc>
        <w:tc>
          <w:tcPr>
            <w:tcW w:w="1980" w:type="dxa"/>
            <w:tcBorders>
              <w:top w:val="nil"/>
              <w:left w:val="single" w:sz="2" w:space="0" w:color="auto"/>
              <w:bottom w:val="single" w:sz="2" w:space="0" w:color="auto"/>
              <w:right w:val="single" w:sz="2" w:space="0" w:color="auto"/>
            </w:tcBorders>
          </w:tcPr>
          <w:p w14:paraId="5435D4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(0.087)</w:t>
            </w:r>
          </w:p>
        </w:tc>
        <w:tc>
          <w:tcPr>
            <w:tcW w:w="1530" w:type="dxa"/>
            <w:tcBorders>
              <w:top w:val="nil"/>
              <w:left w:val="single" w:sz="2" w:space="0" w:color="auto"/>
              <w:bottom w:val="single" w:sz="2" w:space="0" w:color="auto"/>
              <w:right w:val="single" w:sz="2" w:space="0" w:color="auto"/>
            </w:tcBorders>
          </w:tcPr>
          <w:p w14:paraId="301E781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(0.087)</w:t>
            </w:r>
          </w:p>
        </w:tc>
        <w:tc>
          <w:tcPr>
            <w:tcW w:w="1601" w:type="dxa"/>
            <w:tcBorders>
              <w:top w:val="nil"/>
              <w:left w:val="single" w:sz="2" w:space="0" w:color="auto"/>
              <w:bottom w:val="single" w:sz="2" w:space="0" w:color="auto"/>
            </w:tcBorders>
          </w:tcPr>
          <w:p w14:paraId="1BF12C2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(0.078)</w:t>
            </w:r>
          </w:p>
        </w:tc>
      </w:tr>
      <w:tr w:rsidR="005F41B4" w:rsidRPr="00AF7C38" w14:paraId="46D6181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3FFBEA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2014</w:t>
            </w:r>
          </w:p>
        </w:tc>
        <w:tc>
          <w:tcPr>
            <w:tcW w:w="1710" w:type="dxa"/>
            <w:tcBorders>
              <w:top w:val="single" w:sz="2" w:space="0" w:color="auto"/>
              <w:left w:val="single" w:sz="2" w:space="0" w:color="auto"/>
              <w:bottom w:val="nil"/>
              <w:right w:val="single" w:sz="2" w:space="0" w:color="auto"/>
            </w:tcBorders>
            <w:vAlign w:val="bottom"/>
          </w:tcPr>
          <w:p w14:paraId="25424E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-0.0222*</w:t>
            </w:r>
          </w:p>
        </w:tc>
        <w:tc>
          <w:tcPr>
            <w:tcW w:w="1980" w:type="dxa"/>
            <w:tcBorders>
              <w:top w:val="single" w:sz="2" w:space="0" w:color="auto"/>
              <w:left w:val="single" w:sz="2" w:space="0" w:color="auto"/>
              <w:bottom w:val="nil"/>
              <w:right w:val="single" w:sz="2" w:space="0" w:color="auto"/>
            </w:tcBorders>
            <w:vAlign w:val="bottom"/>
          </w:tcPr>
          <w:p w14:paraId="7BCD87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-0.0220*</w:t>
            </w:r>
          </w:p>
        </w:tc>
        <w:tc>
          <w:tcPr>
            <w:tcW w:w="1530" w:type="dxa"/>
            <w:tcBorders>
              <w:top w:val="single" w:sz="2" w:space="0" w:color="auto"/>
              <w:left w:val="single" w:sz="2" w:space="0" w:color="auto"/>
              <w:bottom w:val="nil"/>
              <w:right w:val="single" w:sz="2" w:space="0" w:color="auto"/>
            </w:tcBorders>
            <w:vAlign w:val="bottom"/>
          </w:tcPr>
          <w:p w14:paraId="16CB0D1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-0.0221*</w:t>
            </w:r>
          </w:p>
        </w:tc>
        <w:tc>
          <w:tcPr>
            <w:tcW w:w="1601" w:type="dxa"/>
            <w:tcBorders>
              <w:top w:val="single" w:sz="2" w:space="0" w:color="auto"/>
              <w:left w:val="single" w:sz="2" w:space="0" w:color="auto"/>
              <w:bottom w:val="nil"/>
            </w:tcBorders>
            <w:vAlign w:val="bottom"/>
          </w:tcPr>
          <w:p w14:paraId="06C175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-0.0222*</w:t>
            </w:r>
          </w:p>
        </w:tc>
      </w:tr>
      <w:tr w:rsidR="005F41B4" w:rsidRPr="00AF7C38" w14:paraId="45618389" w14:textId="77777777" w:rsidTr="00636D03">
        <w:trPr>
          <w:trHeight w:val="360"/>
          <w:jc w:val="center"/>
        </w:trPr>
        <w:tc>
          <w:tcPr>
            <w:tcW w:w="2385" w:type="dxa"/>
            <w:vMerge/>
            <w:tcBorders>
              <w:top w:val="nil"/>
              <w:bottom w:val="single" w:sz="2" w:space="0" w:color="auto"/>
              <w:right w:val="single" w:sz="2" w:space="0" w:color="auto"/>
            </w:tcBorders>
            <w:vAlign w:val="center"/>
          </w:tcPr>
          <w:p w14:paraId="1E67AC3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A4561E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(0.076)</w:t>
            </w:r>
          </w:p>
        </w:tc>
        <w:tc>
          <w:tcPr>
            <w:tcW w:w="1980" w:type="dxa"/>
            <w:tcBorders>
              <w:top w:val="nil"/>
              <w:left w:val="single" w:sz="2" w:space="0" w:color="auto"/>
              <w:bottom w:val="single" w:sz="2" w:space="0" w:color="auto"/>
              <w:right w:val="single" w:sz="2" w:space="0" w:color="auto"/>
            </w:tcBorders>
          </w:tcPr>
          <w:p w14:paraId="22C9210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(0.079)</w:t>
            </w:r>
          </w:p>
        </w:tc>
        <w:tc>
          <w:tcPr>
            <w:tcW w:w="1530" w:type="dxa"/>
            <w:tcBorders>
              <w:top w:val="nil"/>
              <w:left w:val="single" w:sz="2" w:space="0" w:color="auto"/>
              <w:bottom w:val="single" w:sz="2" w:space="0" w:color="auto"/>
              <w:right w:val="single" w:sz="2" w:space="0" w:color="auto"/>
            </w:tcBorders>
          </w:tcPr>
          <w:p w14:paraId="1903C72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(0.077)</w:t>
            </w:r>
          </w:p>
        </w:tc>
        <w:tc>
          <w:tcPr>
            <w:tcW w:w="1601" w:type="dxa"/>
            <w:tcBorders>
              <w:top w:val="nil"/>
              <w:left w:val="single" w:sz="2" w:space="0" w:color="auto"/>
              <w:bottom w:val="single" w:sz="2" w:space="0" w:color="auto"/>
            </w:tcBorders>
          </w:tcPr>
          <w:p w14:paraId="40FD02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(0.076)</w:t>
            </w:r>
          </w:p>
        </w:tc>
      </w:tr>
      <w:tr w:rsidR="005F41B4" w:rsidRPr="00AF7C38" w14:paraId="3CA1ADE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FFEB6C"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GHW 2006</w:t>
            </w:r>
          </w:p>
        </w:tc>
        <w:tc>
          <w:tcPr>
            <w:tcW w:w="1710" w:type="dxa"/>
            <w:tcBorders>
              <w:top w:val="single" w:sz="2" w:space="0" w:color="auto"/>
              <w:left w:val="single" w:sz="2" w:space="0" w:color="auto"/>
              <w:bottom w:val="nil"/>
              <w:right w:val="single" w:sz="2" w:space="0" w:color="auto"/>
            </w:tcBorders>
            <w:vAlign w:val="bottom"/>
          </w:tcPr>
          <w:p w14:paraId="1CF761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0.0023</w:t>
            </w:r>
          </w:p>
        </w:tc>
        <w:tc>
          <w:tcPr>
            <w:tcW w:w="1980" w:type="dxa"/>
            <w:tcBorders>
              <w:top w:val="single" w:sz="2" w:space="0" w:color="auto"/>
              <w:left w:val="single" w:sz="2" w:space="0" w:color="auto"/>
              <w:bottom w:val="nil"/>
              <w:right w:val="single" w:sz="2" w:space="0" w:color="auto"/>
            </w:tcBorders>
            <w:vAlign w:val="bottom"/>
          </w:tcPr>
          <w:p w14:paraId="59551E9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0.0036</w:t>
            </w:r>
          </w:p>
        </w:tc>
        <w:tc>
          <w:tcPr>
            <w:tcW w:w="1530" w:type="dxa"/>
            <w:tcBorders>
              <w:top w:val="single" w:sz="2" w:space="0" w:color="auto"/>
              <w:left w:val="single" w:sz="2" w:space="0" w:color="auto"/>
              <w:bottom w:val="nil"/>
              <w:right w:val="single" w:sz="2" w:space="0" w:color="auto"/>
            </w:tcBorders>
            <w:vAlign w:val="bottom"/>
          </w:tcPr>
          <w:p w14:paraId="3183D2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0.0027</w:t>
            </w:r>
          </w:p>
        </w:tc>
        <w:tc>
          <w:tcPr>
            <w:tcW w:w="1601" w:type="dxa"/>
            <w:tcBorders>
              <w:top w:val="single" w:sz="2" w:space="0" w:color="auto"/>
              <w:left w:val="single" w:sz="2" w:space="0" w:color="auto"/>
              <w:bottom w:val="nil"/>
            </w:tcBorders>
            <w:vAlign w:val="bottom"/>
          </w:tcPr>
          <w:p w14:paraId="2940F9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0.0022</w:t>
            </w:r>
          </w:p>
        </w:tc>
      </w:tr>
      <w:tr w:rsidR="005F41B4" w:rsidRPr="00AF7C38" w14:paraId="3887AE0F" w14:textId="77777777" w:rsidTr="00636D03">
        <w:trPr>
          <w:trHeight w:val="360"/>
          <w:jc w:val="center"/>
        </w:trPr>
        <w:tc>
          <w:tcPr>
            <w:tcW w:w="2385" w:type="dxa"/>
            <w:vMerge/>
            <w:tcBorders>
              <w:top w:val="nil"/>
              <w:bottom w:val="single" w:sz="2" w:space="0" w:color="auto"/>
              <w:right w:val="single" w:sz="2" w:space="0" w:color="auto"/>
            </w:tcBorders>
            <w:vAlign w:val="center"/>
          </w:tcPr>
          <w:p w14:paraId="2198F44C"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3E0D3B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(0.801)</w:t>
            </w:r>
          </w:p>
        </w:tc>
        <w:tc>
          <w:tcPr>
            <w:tcW w:w="1980" w:type="dxa"/>
            <w:tcBorders>
              <w:top w:val="nil"/>
              <w:left w:val="single" w:sz="2" w:space="0" w:color="auto"/>
              <w:bottom w:val="single" w:sz="2" w:space="0" w:color="auto"/>
              <w:right w:val="single" w:sz="2" w:space="0" w:color="auto"/>
            </w:tcBorders>
          </w:tcPr>
          <w:p w14:paraId="6327C21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(0.691)</w:t>
            </w:r>
          </w:p>
        </w:tc>
        <w:tc>
          <w:tcPr>
            <w:tcW w:w="1530" w:type="dxa"/>
            <w:tcBorders>
              <w:top w:val="nil"/>
              <w:left w:val="single" w:sz="2" w:space="0" w:color="auto"/>
              <w:bottom w:val="single" w:sz="2" w:space="0" w:color="auto"/>
              <w:right w:val="single" w:sz="2" w:space="0" w:color="auto"/>
            </w:tcBorders>
          </w:tcPr>
          <w:p w14:paraId="074EC52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(0.759)</w:t>
            </w:r>
          </w:p>
        </w:tc>
        <w:tc>
          <w:tcPr>
            <w:tcW w:w="1601" w:type="dxa"/>
            <w:tcBorders>
              <w:top w:val="nil"/>
              <w:left w:val="single" w:sz="2" w:space="0" w:color="auto"/>
              <w:bottom w:val="single" w:sz="2" w:space="0" w:color="auto"/>
            </w:tcBorders>
          </w:tcPr>
          <w:p w14:paraId="73EF25B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(0.804)</w:t>
            </w:r>
          </w:p>
        </w:tc>
      </w:tr>
      <w:tr w:rsidR="005F41B4" w:rsidRPr="00AF7C38" w14:paraId="75734BE1"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2D4C97"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Time Trend</w:t>
            </w:r>
          </w:p>
        </w:tc>
        <w:tc>
          <w:tcPr>
            <w:tcW w:w="1710" w:type="dxa"/>
            <w:tcBorders>
              <w:top w:val="single" w:sz="2" w:space="0" w:color="auto"/>
              <w:left w:val="single" w:sz="2" w:space="0" w:color="auto"/>
              <w:bottom w:val="nil"/>
              <w:right w:val="single" w:sz="2" w:space="0" w:color="auto"/>
            </w:tcBorders>
            <w:vAlign w:val="bottom"/>
          </w:tcPr>
          <w:p w14:paraId="0CE020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980" w:type="dxa"/>
            <w:tcBorders>
              <w:top w:val="single" w:sz="2" w:space="0" w:color="auto"/>
              <w:left w:val="single" w:sz="2" w:space="0" w:color="auto"/>
              <w:bottom w:val="nil"/>
              <w:right w:val="single" w:sz="2" w:space="0" w:color="auto"/>
            </w:tcBorders>
            <w:vAlign w:val="bottom"/>
          </w:tcPr>
          <w:p w14:paraId="0D408BE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530" w:type="dxa"/>
            <w:tcBorders>
              <w:top w:val="single" w:sz="2" w:space="0" w:color="auto"/>
              <w:left w:val="single" w:sz="2" w:space="0" w:color="auto"/>
              <w:bottom w:val="nil"/>
              <w:right w:val="single" w:sz="2" w:space="0" w:color="auto"/>
            </w:tcBorders>
            <w:vAlign w:val="bottom"/>
          </w:tcPr>
          <w:p w14:paraId="004450C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601" w:type="dxa"/>
            <w:tcBorders>
              <w:top w:val="single" w:sz="2" w:space="0" w:color="auto"/>
              <w:left w:val="single" w:sz="2" w:space="0" w:color="auto"/>
              <w:bottom w:val="nil"/>
            </w:tcBorders>
            <w:vAlign w:val="bottom"/>
          </w:tcPr>
          <w:p w14:paraId="57DA86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r>
      <w:tr w:rsidR="005F41B4" w:rsidRPr="00AF7C38" w14:paraId="5793BD07" w14:textId="77777777" w:rsidTr="00636D03">
        <w:trPr>
          <w:trHeight w:val="360"/>
          <w:jc w:val="center"/>
        </w:trPr>
        <w:tc>
          <w:tcPr>
            <w:tcW w:w="2385" w:type="dxa"/>
            <w:vMerge/>
            <w:tcBorders>
              <w:top w:val="nil"/>
              <w:bottom w:val="single" w:sz="2" w:space="0" w:color="auto"/>
              <w:right w:val="single" w:sz="2" w:space="0" w:color="auto"/>
            </w:tcBorders>
            <w:vAlign w:val="center"/>
          </w:tcPr>
          <w:p w14:paraId="6332EF4C"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4131A7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(0.052)</w:t>
            </w:r>
          </w:p>
        </w:tc>
        <w:tc>
          <w:tcPr>
            <w:tcW w:w="1980" w:type="dxa"/>
            <w:tcBorders>
              <w:top w:val="nil"/>
              <w:left w:val="single" w:sz="2" w:space="0" w:color="auto"/>
              <w:bottom w:val="single" w:sz="2" w:space="0" w:color="auto"/>
              <w:right w:val="single" w:sz="2" w:space="0" w:color="auto"/>
            </w:tcBorders>
          </w:tcPr>
          <w:p w14:paraId="5BEC0C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w:t>
            </w:r>
          </w:p>
        </w:tc>
        <w:tc>
          <w:tcPr>
            <w:tcW w:w="1530" w:type="dxa"/>
            <w:tcBorders>
              <w:top w:val="nil"/>
              <w:left w:val="single" w:sz="2" w:space="0" w:color="auto"/>
              <w:bottom w:val="single" w:sz="2" w:space="0" w:color="auto"/>
              <w:right w:val="single" w:sz="2" w:space="0" w:color="auto"/>
            </w:tcBorders>
          </w:tcPr>
          <w:p w14:paraId="0999CB8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(0.045)</w:t>
            </w:r>
          </w:p>
        </w:tc>
        <w:tc>
          <w:tcPr>
            <w:tcW w:w="1601" w:type="dxa"/>
            <w:tcBorders>
              <w:top w:val="nil"/>
              <w:left w:val="single" w:sz="2" w:space="0" w:color="auto"/>
              <w:bottom w:val="single" w:sz="2" w:space="0" w:color="auto"/>
            </w:tcBorders>
          </w:tcPr>
          <w:p w14:paraId="6C21610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(0.053)</w:t>
            </w:r>
          </w:p>
        </w:tc>
      </w:tr>
      <w:tr w:rsidR="005F41B4" w:rsidRPr="00AF7C38" w14:paraId="17A10CB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9C7A902"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Female</w:t>
            </w:r>
          </w:p>
        </w:tc>
        <w:tc>
          <w:tcPr>
            <w:tcW w:w="1710" w:type="dxa"/>
            <w:tcBorders>
              <w:top w:val="single" w:sz="2" w:space="0" w:color="auto"/>
              <w:left w:val="single" w:sz="2" w:space="0" w:color="auto"/>
              <w:bottom w:val="nil"/>
              <w:right w:val="single" w:sz="2" w:space="0" w:color="auto"/>
            </w:tcBorders>
            <w:vAlign w:val="bottom"/>
          </w:tcPr>
          <w:p w14:paraId="5BAB880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-0.141***</w:t>
            </w:r>
          </w:p>
        </w:tc>
        <w:tc>
          <w:tcPr>
            <w:tcW w:w="1980" w:type="dxa"/>
            <w:tcBorders>
              <w:top w:val="single" w:sz="2" w:space="0" w:color="auto"/>
              <w:left w:val="single" w:sz="2" w:space="0" w:color="auto"/>
              <w:bottom w:val="nil"/>
              <w:right w:val="single" w:sz="2" w:space="0" w:color="auto"/>
            </w:tcBorders>
            <w:vAlign w:val="bottom"/>
          </w:tcPr>
          <w:p w14:paraId="5E8EF16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c>
          <w:tcPr>
            <w:tcW w:w="1530" w:type="dxa"/>
            <w:tcBorders>
              <w:top w:val="single" w:sz="2" w:space="0" w:color="auto"/>
              <w:left w:val="single" w:sz="2" w:space="0" w:color="auto"/>
              <w:bottom w:val="nil"/>
              <w:right w:val="single" w:sz="2" w:space="0" w:color="auto"/>
            </w:tcBorders>
            <w:vAlign w:val="bottom"/>
          </w:tcPr>
          <w:p w14:paraId="2CD0BDD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c>
          <w:tcPr>
            <w:tcW w:w="1601" w:type="dxa"/>
            <w:tcBorders>
              <w:top w:val="single" w:sz="2" w:space="0" w:color="auto"/>
              <w:left w:val="single" w:sz="2" w:space="0" w:color="auto"/>
              <w:bottom w:val="nil"/>
            </w:tcBorders>
            <w:vAlign w:val="bottom"/>
          </w:tcPr>
          <w:p w14:paraId="5F1083E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r>
      <w:tr w:rsidR="005F41B4" w:rsidRPr="00AF7C38" w14:paraId="0C6B3EEA" w14:textId="77777777" w:rsidTr="00636D03">
        <w:trPr>
          <w:trHeight w:val="360"/>
          <w:jc w:val="center"/>
        </w:trPr>
        <w:tc>
          <w:tcPr>
            <w:tcW w:w="2385" w:type="dxa"/>
            <w:vMerge/>
            <w:tcBorders>
              <w:top w:val="nil"/>
              <w:bottom w:val="single" w:sz="2" w:space="0" w:color="auto"/>
              <w:right w:val="single" w:sz="2" w:space="0" w:color="auto"/>
            </w:tcBorders>
            <w:vAlign w:val="center"/>
          </w:tcPr>
          <w:p w14:paraId="18725DA5"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67F32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8B39FE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E0AB23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B62E8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1EE422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959549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Married</w:t>
            </w:r>
          </w:p>
        </w:tc>
        <w:tc>
          <w:tcPr>
            <w:tcW w:w="1710" w:type="dxa"/>
            <w:tcBorders>
              <w:top w:val="single" w:sz="2" w:space="0" w:color="auto"/>
              <w:left w:val="single" w:sz="2" w:space="0" w:color="auto"/>
              <w:bottom w:val="nil"/>
              <w:right w:val="single" w:sz="2" w:space="0" w:color="auto"/>
            </w:tcBorders>
            <w:vAlign w:val="bottom"/>
          </w:tcPr>
          <w:p w14:paraId="430F57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980" w:type="dxa"/>
            <w:tcBorders>
              <w:top w:val="single" w:sz="2" w:space="0" w:color="auto"/>
              <w:left w:val="single" w:sz="2" w:space="0" w:color="auto"/>
              <w:bottom w:val="nil"/>
              <w:right w:val="single" w:sz="2" w:space="0" w:color="auto"/>
            </w:tcBorders>
            <w:vAlign w:val="bottom"/>
          </w:tcPr>
          <w:p w14:paraId="3E936B7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530" w:type="dxa"/>
            <w:tcBorders>
              <w:top w:val="single" w:sz="2" w:space="0" w:color="auto"/>
              <w:left w:val="single" w:sz="2" w:space="0" w:color="auto"/>
              <w:bottom w:val="nil"/>
              <w:right w:val="single" w:sz="2" w:space="0" w:color="auto"/>
            </w:tcBorders>
            <w:vAlign w:val="bottom"/>
          </w:tcPr>
          <w:p w14:paraId="388EDB6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601" w:type="dxa"/>
            <w:tcBorders>
              <w:top w:val="single" w:sz="2" w:space="0" w:color="auto"/>
              <w:left w:val="single" w:sz="2" w:space="0" w:color="auto"/>
              <w:bottom w:val="nil"/>
            </w:tcBorders>
            <w:vAlign w:val="bottom"/>
          </w:tcPr>
          <w:p w14:paraId="5B8394B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r>
      <w:tr w:rsidR="005F41B4" w:rsidRPr="00AF7C38" w14:paraId="1051AD1B" w14:textId="77777777" w:rsidTr="00636D03">
        <w:trPr>
          <w:trHeight w:val="360"/>
          <w:jc w:val="center"/>
        </w:trPr>
        <w:tc>
          <w:tcPr>
            <w:tcW w:w="2385" w:type="dxa"/>
            <w:vMerge/>
            <w:tcBorders>
              <w:top w:val="nil"/>
              <w:bottom w:val="single" w:sz="2" w:space="0" w:color="auto"/>
              <w:right w:val="single" w:sz="2" w:space="0" w:color="auto"/>
            </w:tcBorders>
            <w:vAlign w:val="center"/>
          </w:tcPr>
          <w:p w14:paraId="0C6D6336"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B83BE3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8246B1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82E27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w:t>
            </w:r>
            <w:r w:rsidRPr="00D14A90">
              <w:rPr>
                <w:color w:val="000000"/>
                <w:sz w:val="22"/>
                <w:szCs w:val="22"/>
              </w:rPr>
              <w:t>0.000)</w:t>
            </w:r>
          </w:p>
        </w:tc>
        <w:tc>
          <w:tcPr>
            <w:tcW w:w="1601" w:type="dxa"/>
            <w:tcBorders>
              <w:top w:val="nil"/>
              <w:left w:val="single" w:sz="2" w:space="0" w:color="auto"/>
              <w:bottom w:val="single" w:sz="2" w:space="0" w:color="auto"/>
            </w:tcBorders>
          </w:tcPr>
          <w:p w14:paraId="7DAA7B8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2F22DD4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86AAE2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Foreign</w:t>
            </w:r>
          </w:p>
        </w:tc>
        <w:tc>
          <w:tcPr>
            <w:tcW w:w="1710" w:type="dxa"/>
            <w:tcBorders>
              <w:top w:val="single" w:sz="2" w:space="0" w:color="auto"/>
              <w:left w:val="single" w:sz="2" w:space="0" w:color="auto"/>
              <w:bottom w:val="nil"/>
              <w:right w:val="single" w:sz="2" w:space="0" w:color="auto"/>
            </w:tcBorders>
            <w:vAlign w:val="bottom"/>
          </w:tcPr>
          <w:p w14:paraId="1FA854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-0.0752***</w:t>
            </w:r>
          </w:p>
        </w:tc>
        <w:tc>
          <w:tcPr>
            <w:tcW w:w="1980" w:type="dxa"/>
            <w:tcBorders>
              <w:top w:val="single" w:sz="2" w:space="0" w:color="auto"/>
              <w:left w:val="single" w:sz="2" w:space="0" w:color="auto"/>
              <w:bottom w:val="nil"/>
              <w:right w:val="single" w:sz="2" w:space="0" w:color="auto"/>
            </w:tcBorders>
            <w:vAlign w:val="bottom"/>
          </w:tcPr>
          <w:p w14:paraId="17BBCB4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c>
          <w:tcPr>
            <w:tcW w:w="1530" w:type="dxa"/>
            <w:tcBorders>
              <w:top w:val="single" w:sz="2" w:space="0" w:color="auto"/>
              <w:left w:val="single" w:sz="2" w:space="0" w:color="auto"/>
              <w:bottom w:val="nil"/>
              <w:right w:val="single" w:sz="2" w:space="0" w:color="auto"/>
            </w:tcBorders>
            <w:vAlign w:val="bottom"/>
          </w:tcPr>
          <w:p w14:paraId="1A71B83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c>
          <w:tcPr>
            <w:tcW w:w="1601" w:type="dxa"/>
            <w:tcBorders>
              <w:top w:val="single" w:sz="2" w:space="0" w:color="auto"/>
              <w:left w:val="single" w:sz="2" w:space="0" w:color="auto"/>
              <w:bottom w:val="nil"/>
            </w:tcBorders>
            <w:vAlign w:val="bottom"/>
          </w:tcPr>
          <w:p w14:paraId="17B5A90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r>
      <w:tr w:rsidR="005F41B4" w:rsidRPr="00AF7C38" w14:paraId="7F99E9D6" w14:textId="77777777" w:rsidTr="00636D03">
        <w:trPr>
          <w:trHeight w:val="360"/>
          <w:jc w:val="center"/>
        </w:trPr>
        <w:tc>
          <w:tcPr>
            <w:tcW w:w="2385" w:type="dxa"/>
            <w:vMerge/>
            <w:tcBorders>
              <w:top w:val="nil"/>
              <w:bottom w:val="single" w:sz="2" w:space="0" w:color="auto"/>
              <w:right w:val="single" w:sz="2" w:space="0" w:color="auto"/>
            </w:tcBorders>
            <w:vAlign w:val="center"/>
          </w:tcPr>
          <w:p w14:paraId="678F647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30E6FF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BE93F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E2E43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FD2A89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w:t>
            </w:r>
            <w:r w:rsidRPr="00D14A90">
              <w:rPr>
                <w:color w:val="000000"/>
                <w:sz w:val="22"/>
                <w:szCs w:val="22"/>
              </w:rPr>
              <w:t>0.000)</w:t>
            </w:r>
          </w:p>
        </w:tc>
      </w:tr>
      <w:tr w:rsidR="00D3777F" w:rsidRPr="00AF7C38" w14:paraId="772D215B" w14:textId="77777777" w:rsidTr="00636D03">
        <w:trPr>
          <w:trHeight w:val="360"/>
          <w:jc w:val="center"/>
        </w:trPr>
        <w:tc>
          <w:tcPr>
            <w:tcW w:w="6075" w:type="dxa"/>
            <w:gridSpan w:val="3"/>
            <w:tcBorders>
              <w:top w:val="single" w:sz="2" w:space="0" w:color="auto"/>
              <w:bottom w:val="single" w:sz="2" w:space="0" w:color="auto"/>
            </w:tcBorders>
            <w:vAlign w:val="bottom"/>
          </w:tcPr>
          <w:p w14:paraId="4EACC03C" w14:textId="77777777" w:rsidR="00D3777F" w:rsidRPr="00973478" w:rsidRDefault="00D3777F" w:rsidP="00162D3C">
            <w:pPr>
              <w:pStyle w:val="BodyText"/>
              <w:keepNext/>
              <w:numPr>
                <w:ilvl w:val="0"/>
                <w:numId w:val="0"/>
              </w:numPr>
              <w:tabs>
                <w:tab w:val="num" w:pos="1080"/>
              </w:tabs>
              <w:spacing w:line="240" w:lineRule="auto"/>
              <w:rPr>
                <w:rStyle w:val="Emphasis"/>
              </w:rPr>
            </w:pPr>
            <w:r w:rsidRPr="00973478">
              <w:rPr>
                <w:rStyle w:val="Emphasis"/>
              </w:rPr>
              <w:t>Age Groups (Reference Category: 14 -17)</w:t>
            </w:r>
          </w:p>
        </w:tc>
        <w:tc>
          <w:tcPr>
            <w:tcW w:w="1530" w:type="dxa"/>
            <w:tcBorders>
              <w:top w:val="single" w:sz="2" w:space="0" w:color="auto"/>
              <w:bottom w:val="single" w:sz="2" w:space="0" w:color="auto"/>
            </w:tcBorders>
            <w:vAlign w:val="bottom"/>
          </w:tcPr>
          <w:p w14:paraId="5457A3A0" w14:textId="77777777" w:rsidR="00D3777F" w:rsidRPr="00AF7C38" w:rsidRDefault="00D3777F"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vAlign w:val="bottom"/>
          </w:tcPr>
          <w:p w14:paraId="412D0532" w14:textId="77777777" w:rsidR="00D3777F" w:rsidRPr="00AF7C38" w:rsidRDefault="00D3777F" w:rsidP="005F41B4">
            <w:pPr>
              <w:pStyle w:val="BodyText"/>
              <w:keepNext/>
              <w:numPr>
                <w:ilvl w:val="0"/>
                <w:numId w:val="0"/>
              </w:numPr>
              <w:tabs>
                <w:tab w:val="num" w:pos="1080"/>
              </w:tabs>
              <w:spacing w:line="240" w:lineRule="auto"/>
              <w:jc w:val="center"/>
              <w:rPr>
                <w:color w:val="000000"/>
                <w:sz w:val="22"/>
                <w:szCs w:val="22"/>
              </w:rPr>
            </w:pPr>
          </w:p>
        </w:tc>
      </w:tr>
      <w:tr w:rsidR="005F41B4" w:rsidRPr="00AF7C38" w14:paraId="6C5CFD3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965AA3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18-19</w:t>
            </w:r>
          </w:p>
        </w:tc>
        <w:tc>
          <w:tcPr>
            <w:tcW w:w="1710" w:type="dxa"/>
            <w:tcBorders>
              <w:top w:val="single" w:sz="2" w:space="0" w:color="auto"/>
              <w:left w:val="single" w:sz="2" w:space="0" w:color="auto"/>
              <w:bottom w:val="nil"/>
              <w:right w:val="single" w:sz="2" w:space="0" w:color="auto"/>
            </w:tcBorders>
            <w:vAlign w:val="bottom"/>
          </w:tcPr>
          <w:p w14:paraId="6C404A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0.714***</w:t>
            </w:r>
          </w:p>
        </w:tc>
        <w:tc>
          <w:tcPr>
            <w:tcW w:w="1980" w:type="dxa"/>
            <w:tcBorders>
              <w:top w:val="single" w:sz="2" w:space="0" w:color="auto"/>
              <w:left w:val="single" w:sz="2" w:space="0" w:color="auto"/>
              <w:bottom w:val="nil"/>
              <w:right w:val="single" w:sz="2" w:space="0" w:color="auto"/>
            </w:tcBorders>
            <w:vAlign w:val="bottom"/>
          </w:tcPr>
          <w:p w14:paraId="7982DB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c>
          <w:tcPr>
            <w:tcW w:w="1530" w:type="dxa"/>
            <w:tcBorders>
              <w:top w:val="single" w:sz="2" w:space="0" w:color="auto"/>
              <w:left w:val="single" w:sz="2" w:space="0" w:color="auto"/>
              <w:bottom w:val="nil"/>
              <w:right w:val="single" w:sz="2" w:space="0" w:color="auto"/>
            </w:tcBorders>
            <w:vAlign w:val="bottom"/>
          </w:tcPr>
          <w:p w14:paraId="2C3C600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c>
          <w:tcPr>
            <w:tcW w:w="1601" w:type="dxa"/>
            <w:tcBorders>
              <w:top w:val="single" w:sz="2" w:space="0" w:color="auto"/>
              <w:left w:val="single" w:sz="2" w:space="0" w:color="auto"/>
              <w:bottom w:val="nil"/>
            </w:tcBorders>
            <w:vAlign w:val="bottom"/>
          </w:tcPr>
          <w:p w14:paraId="233CBE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r>
      <w:tr w:rsidR="005F41B4" w:rsidRPr="00AF7C38" w14:paraId="3E28951F" w14:textId="77777777" w:rsidTr="00636D03">
        <w:trPr>
          <w:trHeight w:val="360"/>
          <w:jc w:val="center"/>
        </w:trPr>
        <w:tc>
          <w:tcPr>
            <w:tcW w:w="2385" w:type="dxa"/>
            <w:vMerge/>
            <w:tcBorders>
              <w:top w:val="nil"/>
              <w:bottom w:val="single" w:sz="2" w:space="0" w:color="auto"/>
              <w:right w:val="single" w:sz="2" w:space="0" w:color="auto"/>
            </w:tcBorders>
            <w:vAlign w:val="center"/>
          </w:tcPr>
          <w:p w14:paraId="466BFDA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7EDD5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A2BB6B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A0DC5B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D67475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FE9D0F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35ED88C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20-24</w:t>
            </w:r>
          </w:p>
        </w:tc>
        <w:tc>
          <w:tcPr>
            <w:tcW w:w="1710" w:type="dxa"/>
            <w:tcBorders>
              <w:top w:val="single" w:sz="2" w:space="0" w:color="auto"/>
              <w:left w:val="single" w:sz="2" w:space="0" w:color="auto"/>
              <w:bottom w:val="nil"/>
              <w:right w:val="single" w:sz="2" w:space="0" w:color="auto"/>
            </w:tcBorders>
            <w:vAlign w:val="bottom"/>
          </w:tcPr>
          <w:p w14:paraId="74A5DF5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980" w:type="dxa"/>
            <w:tcBorders>
              <w:top w:val="single" w:sz="2" w:space="0" w:color="auto"/>
              <w:left w:val="single" w:sz="2" w:space="0" w:color="auto"/>
              <w:bottom w:val="nil"/>
              <w:right w:val="single" w:sz="2" w:space="0" w:color="auto"/>
            </w:tcBorders>
            <w:vAlign w:val="bottom"/>
          </w:tcPr>
          <w:p w14:paraId="1A75CF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530" w:type="dxa"/>
            <w:tcBorders>
              <w:top w:val="single" w:sz="2" w:space="0" w:color="auto"/>
              <w:left w:val="single" w:sz="2" w:space="0" w:color="auto"/>
              <w:bottom w:val="nil"/>
              <w:right w:val="single" w:sz="2" w:space="0" w:color="auto"/>
            </w:tcBorders>
            <w:vAlign w:val="bottom"/>
          </w:tcPr>
          <w:p w14:paraId="349E3D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601" w:type="dxa"/>
            <w:tcBorders>
              <w:top w:val="single" w:sz="2" w:space="0" w:color="auto"/>
              <w:left w:val="single" w:sz="2" w:space="0" w:color="auto"/>
              <w:bottom w:val="nil"/>
            </w:tcBorders>
            <w:vAlign w:val="bottom"/>
          </w:tcPr>
          <w:p w14:paraId="359E95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r>
      <w:tr w:rsidR="005F41B4" w:rsidRPr="00AF7C38" w14:paraId="21558709" w14:textId="77777777" w:rsidTr="00636D03">
        <w:trPr>
          <w:trHeight w:val="360"/>
          <w:jc w:val="center"/>
        </w:trPr>
        <w:tc>
          <w:tcPr>
            <w:tcW w:w="2385" w:type="dxa"/>
            <w:vMerge/>
            <w:tcBorders>
              <w:top w:val="nil"/>
              <w:bottom w:val="single" w:sz="2" w:space="0" w:color="auto"/>
              <w:right w:val="single" w:sz="2" w:space="0" w:color="auto"/>
            </w:tcBorders>
            <w:vAlign w:val="center"/>
          </w:tcPr>
          <w:p w14:paraId="6801FB27"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0CF13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E8DBF7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EF709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640DC7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7D0393F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92A2FA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25-29</w:t>
            </w:r>
          </w:p>
        </w:tc>
        <w:tc>
          <w:tcPr>
            <w:tcW w:w="1710" w:type="dxa"/>
            <w:tcBorders>
              <w:top w:val="single" w:sz="2" w:space="0" w:color="auto"/>
              <w:left w:val="single" w:sz="2" w:space="0" w:color="auto"/>
              <w:bottom w:val="nil"/>
              <w:right w:val="single" w:sz="2" w:space="0" w:color="auto"/>
            </w:tcBorders>
            <w:vAlign w:val="bottom"/>
          </w:tcPr>
          <w:p w14:paraId="1272C2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1.096***</w:t>
            </w:r>
          </w:p>
        </w:tc>
        <w:tc>
          <w:tcPr>
            <w:tcW w:w="1980" w:type="dxa"/>
            <w:tcBorders>
              <w:top w:val="single" w:sz="2" w:space="0" w:color="auto"/>
              <w:left w:val="single" w:sz="2" w:space="0" w:color="auto"/>
              <w:bottom w:val="nil"/>
              <w:right w:val="single" w:sz="2" w:space="0" w:color="auto"/>
            </w:tcBorders>
            <w:vAlign w:val="bottom"/>
          </w:tcPr>
          <w:p w14:paraId="57A827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c>
          <w:tcPr>
            <w:tcW w:w="1530" w:type="dxa"/>
            <w:tcBorders>
              <w:top w:val="single" w:sz="2" w:space="0" w:color="auto"/>
              <w:left w:val="single" w:sz="2" w:space="0" w:color="auto"/>
              <w:bottom w:val="nil"/>
              <w:right w:val="single" w:sz="2" w:space="0" w:color="auto"/>
            </w:tcBorders>
            <w:vAlign w:val="bottom"/>
          </w:tcPr>
          <w:p w14:paraId="6911DB0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c>
          <w:tcPr>
            <w:tcW w:w="1601" w:type="dxa"/>
            <w:tcBorders>
              <w:top w:val="single" w:sz="2" w:space="0" w:color="auto"/>
              <w:left w:val="single" w:sz="2" w:space="0" w:color="auto"/>
              <w:bottom w:val="nil"/>
            </w:tcBorders>
            <w:vAlign w:val="bottom"/>
          </w:tcPr>
          <w:p w14:paraId="6D0BE9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r>
      <w:tr w:rsidR="005F41B4" w:rsidRPr="00AF7C38" w14:paraId="54C4AD71" w14:textId="77777777" w:rsidTr="00636D03">
        <w:trPr>
          <w:trHeight w:val="360"/>
          <w:jc w:val="center"/>
        </w:trPr>
        <w:tc>
          <w:tcPr>
            <w:tcW w:w="2385" w:type="dxa"/>
            <w:vMerge/>
            <w:tcBorders>
              <w:top w:val="nil"/>
              <w:bottom w:val="single" w:sz="2" w:space="0" w:color="auto"/>
              <w:right w:val="single" w:sz="2" w:space="0" w:color="auto"/>
            </w:tcBorders>
            <w:vAlign w:val="center"/>
          </w:tcPr>
          <w:p w14:paraId="0D50FB4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6C36B7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1FF7E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1B0DA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8C265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651F33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83EACF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30-34</w:t>
            </w:r>
          </w:p>
        </w:tc>
        <w:tc>
          <w:tcPr>
            <w:tcW w:w="1710" w:type="dxa"/>
            <w:tcBorders>
              <w:top w:val="single" w:sz="2" w:space="0" w:color="auto"/>
              <w:left w:val="single" w:sz="2" w:space="0" w:color="auto"/>
              <w:bottom w:val="nil"/>
              <w:right w:val="single" w:sz="2" w:space="0" w:color="auto"/>
            </w:tcBorders>
            <w:vAlign w:val="bottom"/>
          </w:tcPr>
          <w:p w14:paraId="377EE65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1.083***</w:t>
            </w:r>
          </w:p>
        </w:tc>
        <w:tc>
          <w:tcPr>
            <w:tcW w:w="1980" w:type="dxa"/>
            <w:tcBorders>
              <w:top w:val="single" w:sz="2" w:space="0" w:color="auto"/>
              <w:left w:val="single" w:sz="2" w:space="0" w:color="auto"/>
              <w:bottom w:val="nil"/>
              <w:right w:val="single" w:sz="2" w:space="0" w:color="auto"/>
            </w:tcBorders>
            <w:vAlign w:val="bottom"/>
          </w:tcPr>
          <w:p w14:paraId="1A5834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1.084***</w:t>
            </w:r>
          </w:p>
        </w:tc>
        <w:tc>
          <w:tcPr>
            <w:tcW w:w="1530" w:type="dxa"/>
            <w:tcBorders>
              <w:top w:val="single" w:sz="2" w:space="0" w:color="auto"/>
              <w:left w:val="single" w:sz="2" w:space="0" w:color="auto"/>
              <w:bottom w:val="nil"/>
              <w:right w:val="single" w:sz="2" w:space="0" w:color="auto"/>
            </w:tcBorders>
            <w:vAlign w:val="bottom"/>
          </w:tcPr>
          <w:p w14:paraId="44EAE3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1.084***</w:t>
            </w:r>
          </w:p>
        </w:tc>
        <w:tc>
          <w:tcPr>
            <w:tcW w:w="1601" w:type="dxa"/>
            <w:tcBorders>
              <w:top w:val="single" w:sz="2" w:space="0" w:color="auto"/>
              <w:left w:val="single" w:sz="2" w:space="0" w:color="auto"/>
              <w:bottom w:val="nil"/>
            </w:tcBorders>
            <w:vAlign w:val="bottom"/>
          </w:tcPr>
          <w:p w14:paraId="0215B8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1.085***</w:t>
            </w:r>
          </w:p>
        </w:tc>
      </w:tr>
      <w:tr w:rsidR="005F41B4" w:rsidRPr="00AF7C38" w14:paraId="47F02E8B" w14:textId="77777777" w:rsidTr="00636D03">
        <w:trPr>
          <w:trHeight w:val="360"/>
          <w:jc w:val="center"/>
        </w:trPr>
        <w:tc>
          <w:tcPr>
            <w:tcW w:w="2385" w:type="dxa"/>
            <w:vMerge/>
            <w:tcBorders>
              <w:top w:val="nil"/>
              <w:bottom w:val="single" w:sz="2" w:space="0" w:color="auto"/>
              <w:right w:val="single" w:sz="2" w:space="0" w:color="auto"/>
            </w:tcBorders>
            <w:vAlign w:val="center"/>
          </w:tcPr>
          <w:p w14:paraId="60ED2E5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618E0B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372473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221F3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B92C08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12D5E5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43652F3" w14:textId="77777777" w:rsidR="005F41B4" w:rsidRPr="00AF7C38" w:rsidRDefault="005F41B4" w:rsidP="005B1690">
            <w:pPr>
              <w:pStyle w:val="BodyText"/>
              <w:keepNext/>
              <w:numPr>
                <w:ilvl w:val="0"/>
                <w:numId w:val="0"/>
              </w:numPr>
              <w:tabs>
                <w:tab w:val="num" w:pos="1080"/>
              </w:tabs>
              <w:spacing w:line="240" w:lineRule="auto"/>
              <w:rPr>
                <w:sz w:val="22"/>
                <w:szCs w:val="22"/>
              </w:rPr>
            </w:pPr>
            <w:r w:rsidRPr="00D14A90">
              <w:rPr>
                <w:color w:val="000000"/>
                <w:sz w:val="22"/>
                <w:szCs w:val="22"/>
              </w:rPr>
              <w:t>35-39</w:t>
            </w:r>
          </w:p>
        </w:tc>
        <w:tc>
          <w:tcPr>
            <w:tcW w:w="1710" w:type="dxa"/>
            <w:tcBorders>
              <w:top w:val="single" w:sz="2" w:space="0" w:color="auto"/>
              <w:left w:val="single" w:sz="2" w:space="0" w:color="auto"/>
              <w:bottom w:val="nil"/>
              <w:right w:val="single" w:sz="2" w:space="0" w:color="auto"/>
            </w:tcBorders>
            <w:vAlign w:val="bottom"/>
          </w:tcPr>
          <w:p w14:paraId="131926EC"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1.050***</w:t>
            </w:r>
          </w:p>
        </w:tc>
        <w:tc>
          <w:tcPr>
            <w:tcW w:w="1980" w:type="dxa"/>
            <w:tcBorders>
              <w:top w:val="single" w:sz="2" w:space="0" w:color="auto"/>
              <w:left w:val="single" w:sz="2" w:space="0" w:color="auto"/>
              <w:bottom w:val="nil"/>
              <w:right w:val="single" w:sz="2" w:space="0" w:color="auto"/>
            </w:tcBorders>
            <w:vAlign w:val="bottom"/>
          </w:tcPr>
          <w:p w14:paraId="46F6DBC3"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c>
          <w:tcPr>
            <w:tcW w:w="1530" w:type="dxa"/>
            <w:tcBorders>
              <w:top w:val="single" w:sz="2" w:space="0" w:color="auto"/>
              <w:left w:val="single" w:sz="2" w:space="0" w:color="auto"/>
              <w:bottom w:val="nil"/>
              <w:right w:val="single" w:sz="2" w:space="0" w:color="auto"/>
            </w:tcBorders>
            <w:vAlign w:val="bottom"/>
          </w:tcPr>
          <w:p w14:paraId="0759B23E"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c>
          <w:tcPr>
            <w:tcW w:w="1601" w:type="dxa"/>
            <w:tcBorders>
              <w:top w:val="single" w:sz="2" w:space="0" w:color="auto"/>
              <w:left w:val="single" w:sz="2" w:space="0" w:color="auto"/>
              <w:bottom w:val="nil"/>
            </w:tcBorders>
            <w:vAlign w:val="bottom"/>
          </w:tcPr>
          <w:p w14:paraId="1717A54E"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r>
      <w:tr w:rsidR="005F41B4" w:rsidRPr="00AF7C38" w14:paraId="76209332" w14:textId="77777777" w:rsidTr="00636D03">
        <w:trPr>
          <w:trHeight w:val="360"/>
          <w:jc w:val="center"/>
        </w:trPr>
        <w:tc>
          <w:tcPr>
            <w:tcW w:w="2385" w:type="dxa"/>
            <w:vMerge/>
            <w:tcBorders>
              <w:top w:val="nil"/>
              <w:bottom w:val="single" w:sz="2" w:space="0" w:color="auto"/>
              <w:right w:val="single" w:sz="2" w:space="0" w:color="auto"/>
            </w:tcBorders>
            <w:vAlign w:val="center"/>
          </w:tcPr>
          <w:p w14:paraId="448890C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6283C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09E38E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20F8E0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6CCB3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11FA68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ABBD328"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40-44</w:t>
            </w:r>
          </w:p>
        </w:tc>
        <w:tc>
          <w:tcPr>
            <w:tcW w:w="1710" w:type="dxa"/>
            <w:tcBorders>
              <w:top w:val="single" w:sz="2" w:space="0" w:color="auto"/>
              <w:left w:val="single" w:sz="2" w:space="0" w:color="auto"/>
              <w:bottom w:val="nil"/>
              <w:right w:val="single" w:sz="2" w:space="0" w:color="auto"/>
            </w:tcBorders>
            <w:vAlign w:val="bottom"/>
          </w:tcPr>
          <w:p w14:paraId="72A0983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1.027***</w:t>
            </w:r>
          </w:p>
        </w:tc>
        <w:tc>
          <w:tcPr>
            <w:tcW w:w="1980" w:type="dxa"/>
            <w:tcBorders>
              <w:top w:val="single" w:sz="2" w:space="0" w:color="auto"/>
              <w:left w:val="single" w:sz="2" w:space="0" w:color="auto"/>
              <w:bottom w:val="nil"/>
              <w:right w:val="single" w:sz="2" w:space="0" w:color="auto"/>
            </w:tcBorders>
            <w:vAlign w:val="bottom"/>
          </w:tcPr>
          <w:p w14:paraId="15FD86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1.029***</w:t>
            </w:r>
          </w:p>
        </w:tc>
        <w:tc>
          <w:tcPr>
            <w:tcW w:w="1530" w:type="dxa"/>
            <w:tcBorders>
              <w:top w:val="single" w:sz="2" w:space="0" w:color="auto"/>
              <w:left w:val="single" w:sz="2" w:space="0" w:color="auto"/>
              <w:bottom w:val="nil"/>
              <w:right w:val="single" w:sz="2" w:space="0" w:color="auto"/>
            </w:tcBorders>
            <w:vAlign w:val="bottom"/>
          </w:tcPr>
          <w:p w14:paraId="3A14055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1.029***</w:t>
            </w:r>
          </w:p>
        </w:tc>
        <w:tc>
          <w:tcPr>
            <w:tcW w:w="1601" w:type="dxa"/>
            <w:tcBorders>
              <w:top w:val="single" w:sz="2" w:space="0" w:color="auto"/>
              <w:left w:val="single" w:sz="2" w:space="0" w:color="auto"/>
              <w:bottom w:val="nil"/>
            </w:tcBorders>
            <w:vAlign w:val="bottom"/>
          </w:tcPr>
          <w:p w14:paraId="2D1CB38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1.030***</w:t>
            </w:r>
          </w:p>
        </w:tc>
      </w:tr>
      <w:tr w:rsidR="005F41B4" w:rsidRPr="00AF7C38" w14:paraId="4D643FA3" w14:textId="77777777" w:rsidTr="00636D03">
        <w:trPr>
          <w:trHeight w:val="360"/>
          <w:jc w:val="center"/>
        </w:trPr>
        <w:tc>
          <w:tcPr>
            <w:tcW w:w="2385" w:type="dxa"/>
            <w:vMerge/>
            <w:tcBorders>
              <w:top w:val="nil"/>
              <w:bottom w:val="single" w:sz="2" w:space="0" w:color="auto"/>
              <w:right w:val="single" w:sz="2" w:space="0" w:color="auto"/>
            </w:tcBorders>
            <w:vAlign w:val="center"/>
          </w:tcPr>
          <w:p w14:paraId="7645094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1828A8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809B98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8206C3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EE4DF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3CB4E2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9EA3EB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45-49</w:t>
            </w:r>
          </w:p>
        </w:tc>
        <w:tc>
          <w:tcPr>
            <w:tcW w:w="1710" w:type="dxa"/>
            <w:tcBorders>
              <w:top w:val="single" w:sz="2" w:space="0" w:color="auto"/>
              <w:left w:val="single" w:sz="2" w:space="0" w:color="auto"/>
              <w:bottom w:val="nil"/>
              <w:right w:val="single" w:sz="2" w:space="0" w:color="auto"/>
            </w:tcBorders>
            <w:vAlign w:val="bottom"/>
          </w:tcPr>
          <w:p w14:paraId="4A7589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0.962***</w:t>
            </w:r>
          </w:p>
        </w:tc>
        <w:tc>
          <w:tcPr>
            <w:tcW w:w="1980" w:type="dxa"/>
            <w:tcBorders>
              <w:top w:val="single" w:sz="2" w:space="0" w:color="auto"/>
              <w:left w:val="single" w:sz="2" w:space="0" w:color="auto"/>
              <w:bottom w:val="nil"/>
              <w:right w:val="single" w:sz="2" w:space="0" w:color="auto"/>
            </w:tcBorders>
            <w:vAlign w:val="bottom"/>
          </w:tcPr>
          <w:p w14:paraId="1A1811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c>
          <w:tcPr>
            <w:tcW w:w="1530" w:type="dxa"/>
            <w:tcBorders>
              <w:top w:val="single" w:sz="2" w:space="0" w:color="auto"/>
              <w:left w:val="single" w:sz="2" w:space="0" w:color="auto"/>
              <w:bottom w:val="nil"/>
              <w:right w:val="single" w:sz="2" w:space="0" w:color="auto"/>
            </w:tcBorders>
            <w:vAlign w:val="bottom"/>
          </w:tcPr>
          <w:p w14:paraId="286B75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c>
          <w:tcPr>
            <w:tcW w:w="1601" w:type="dxa"/>
            <w:tcBorders>
              <w:top w:val="single" w:sz="2" w:space="0" w:color="auto"/>
              <w:left w:val="single" w:sz="2" w:space="0" w:color="auto"/>
              <w:bottom w:val="nil"/>
            </w:tcBorders>
            <w:vAlign w:val="bottom"/>
          </w:tcPr>
          <w:p w14:paraId="3D9477F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r>
      <w:tr w:rsidR="005F41B4" w:rsidRPr="00AF7C38" w14:paraId="5BB426FB" w14:textId="77777777" w:rsidTr="00636D03">
        <w:trPr>
          <w:trHeight w:val="360"/>
          <w:jc w:val="center"/>
        </w:trPr>
        <w:tc>
          <w:tcPr>
            <w:tcW w:w="2385" w:type="dxa"/>
            <w:vMerge/>
            <w:tcBorders>
              <w:top w:val="nil"/>
              <w:bottom w:val="single" w:sz="2" w:space="0" w:color="auto"/>
              <w:right w:val="single" w:sz="2" w:space="0" w:color="auto"/>
            </w:tcBorders>
            <w:vAlign w:val="center"/>
          </w:tcPr>
          <w:p w14:paraId="2981AE3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F06615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2D0C7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7E7FA0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148AA2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528B151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9484759"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50-54</w:t>
            </w:r>
          </w:p>
        </w:tc>
        <w:tc>
          <w:tcPr>
            <w:tcW w:w="1710" w:type="dxa"/>
            <w:tcBorders>
              <w:top w:val="single" w:sz="2" w:space="0" w:color="auto"/>
              <w:left w:val="single" w:sz="2" w:space="0" w:color="auto"/>
              <w:bottom w:val="nil"/>
              <w:right w:val="single" w:sz="2" w:space="0" w:color="auto"/>
            </w:tcBorders>
            <w:vAlign w:val="bottom"/>
          </w:tcPr>
          <w:p w14:paraId="54E5F04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0.870***</w:t>
            </w:r>
          </w:p>
        </w:tc>
        <w:tc>
          <w:tcPr>
            <w:tcW w:w="1980" w:type="dxa"/>
            <w:tcBorders>
              <w:top w:val="single" w:sz="2" w:space="0" w:color="auto"/>
              <w:left w:val="single" w:sz="2" w:space="0" w:color="auto"/>
              <w:bottom w:val="nil"/>
              <w:right w:val="single" w:sz="2" w:space="0" w:color="auto"/>
            </w:tcBorders>
            <w:vAlign w:val="bottom"/>
          </w:tcPr>
          <w:p w14:paraId="1440CB6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0.872***</w:t>
            </w:r>
          </w:p>
        </w:tc>
        <w:tc>
          <w:tcPr>
            <w:tcW w:w="1530" w:type="dxa"/>
            <w:tcBorders>
              <w:top w:val="single" w:sz="2" w:space="0" w:color="auto"/>
              <w:left w:val="single" w:sz="2" w:space="0" w:color="auto"/>
              <w:bottom w:val="nil"/>
              <w:right w:val="single" w:sz="2" w:space="0" w:color="auto"/>
            </w:tcBorders>
            <w:vAlign w:val="bottom"/>
          </w:tcPr>
          <w:p w14:paraId="14C8444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0.873***</w:t>
            </w:r>
          </w:p>
        </w:tc>
        <w:tc>
          <w:tcPr>
            <w:tcW w:w="1601" w:type="dxa"/>
            <w:tcBorders>
              <w:top w:val="single" w:sz="2" w:space="0" w:color="auto"/>
              <w:left w:val="single" w:sz="2" w:space="0" w:color="auto"/>
              <w:bottom w:val="nil"/>
            </w:tcBorders>
            <w:vAlign w:val="bottom"/>
          </w:tcPr>
          <w:p w14:paraId="61F0160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0.873***</w:t>
            </w:r>
          </w:p>
        </w:tc>
      </w:tr>
      <w:tr w:rsidR="005F41B4" w:rsidRPr="00AF7C38" w14:paraId="5E6CA9FE" w14:textId="77777777" w:rsidTr="00636D03">
        <w:trPr>
          <w:trHeight w:val="360"/>
          <w:jc w:val="center"/>
        </w:trPr>
        <w:tc>
          <w:tcPr>
            <w:tcW w:w="2385" w:type="dxa"/>
            <w:vMerge/>
            <w:tcBorders>
              <w:top w:val="nil"/>
              <w:bottom w:val="single" w:sz="2" w:space="0" w:color="auto"/>
              <w:right w:val="single" w:sz="2" w:space="0" w:color="auto"/>
            </w:tcBorders>
            <w:vAlign w:val="center"/>
          </w:tcPr>
          <w:p w14:paraId="3CB5E74E"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977792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76F6A2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848B26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7F148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C7EC86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9C255B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55-59</w:t>
            </w:r>
          </w:p>
        </w:tc>
        <w:tc>
          <w:tcPr>
            <w:tcW w:w="1710" w:type="dxa"/>
            <w:tcBorders>
              <w:top w:val="single" w:sz="2" w:space="0" w:color="auto"/>
              <w:left w:val="single" w:sz="2" w:space="0" w:color="auto"/>
              <w:bottom w:val="nil"/>
              <w:right w:val="single" w:sz="2" w:space="0" w:color="auto"/>
            </w:tcBorders>
            <w:vAlign w:val="bottom"/>
          </w:tcPr>
          <w:p w14:paraId="7F5ED1D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0.733***</w:t>
            </w:r>
          </w:p>
        </w:tc>
        <w:tc>
          <w:tcPr>
            <w:tcW w:w="1980" w:type="dxa"/>
            <w:tcBorders>
              <w:top w:val="single" w:sz="2" w:space="0" w:color="auto"/>
              <w:left w:val="single" w:sz="2" w:space="0" w:color="auto"/>
              <w:bottom w:val="nil"/>
              <w:right w:val="single" w:sz="2" w:space="0" w:color="auto"/>
            </w:tcBorders>
            <w:vAlign w:val="bottom"/>
          </w:tcPr>
          <w:p w14:paraId="73A47A0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c>
          <w:tcPr>
            <w:tcW w:w="1530" w:type="dxa"/>
            <w:tcBorders>
              <w:top w:val="single" w:sz="2" w:space="0" w:color="auto"/>
              <w:left w:val="single" w:sz="2" w:space="0" w:color="auto"/>
              <w:bottom w:val="nil"/>
              <w:right w:val="single" w:sz="2" w:space="0" w:color="auto"/>
            </w:tcBorders>
            <w:vAlign w:val="bottom"/>
          </w:tcPr>
          <w:p w14:paraId="07EA01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c>
          <w:tcPr>
            <w:tcW w:w="1601" w:type="dxa"/>
            <w:tcBorders>
              <w:top w:val="single" w:sz="2" w:space="0" w:color="auto"/>
              <w:left w:val="single" w:sz="2" w:space="0" w:color="auto"/>
              <w:bottom w:val="nil"/>
            </w:tcBorders>
            <w:vAlign w:val="bottom"/>
          </w:tcPr>
          <w:p w14:paraId="373878C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r>
      <w:tr w:rsidR="005F41B4" w:rsidRPr="00AF7C38" w14:paraId="15D6C097" w14:textId="77777777" w:rsidTr="00636D03">
        <w:trPr>
          <w:trHeight w:val="360"/>
          <w:jc w:val="center"/>
        </w:trPr>
        <w:tc>
          <w:tcPr>
            <w:tcW w:w="2385" w:type="dxa"/>
            <w:vMerge/>
            <w:tcBorders>
              <w:top w:val="nil"/>
              <w:bottom w:val="single" w:sz="2" w:space="0" w:color="auto"/>
              <w:right w:val="single" w:sz="2" w:space="0" w:color="auto"/>
            </w:tcBorders>
            <w:vAlign w:val="center"/>
          </w:tcPr>
          <w:p w14:paraId="76DA19C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81B36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70A164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9063A7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EFE1E2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862847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AA72A3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60-64</w:t>
            </w:r>
          </w:p>
        </w:tc>
        <w:tc>
          <w:tcPr>
            <w:tcW w:w="1710" w:type="dxa"/>
            <w:tcBorders>
              <w:top w:val="single" w:sz="2" w:space="0" w:color="auto"/>
              <w:left w:val="single" w:sz="2" w:space="0" w:color="auto"/>
              <w:bottom w:val="nil"/>
              <w:right w:val="single" w:sz="2" w:space="0" w:color="auto"/>
            </w:tcBorders>
            <w:vAlign w:val="bottom"/>
          </w:tcPr>
          <w:p w14:paraId="2A0B2CC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0.534***</w:t>
            </w:r>
          </w:p>
        </w:tc>
        <w:tc>
          <w:tcPr>
            <w:tcW w:w="1980" w:type="dxa"/>
            <w:tcBorders>
              <w:top w:val="single" w:sz="2" w:space="0" w:color="auto"/>
              <w:left w:val="single" w:sz="2" w:space="0" w:color="auto"/>
              <w:bottom w:val="nil"/>
              <w:right w:val="single" w:sz="2" w:space="0" w:color="auto"/>
            </w:tcBorders>
            <w:vAlign w:val="bottom"/>
          </w:tcPr>
          <w:p w14:paraId="09C20C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c>
          <w:tcPr>
            <w:tcW w:w="1530" w:type="dxa"/>
            <w:tcBorders>
              <w:top w:val="single" w:sz="2" w:space="0" w:color="auto"/>
              <w:left w:val="single" w:sz="2" w:space="0" w:color="auto"/>
              <w:bottom w:val="nil"/>
              <w:right w:val="single" w:sz="2" w:space="0" w:color="auto"/>
            </w:tcBorders>
            <w:vAlign w:val="bottom"/>
          </w:tcPr>
          <w:p w14:paraId="746D847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c>
          <w:tcPr>
            <w:tcW w:w="1601" w:type="dxa"/>
            <w:tcBorders>
              <w:top w:val="single" w:sz="2" w:space="0" w:color="auto"/>
              <w:left w:val="single" w:sz="2" w:space="0" w:color="auto"/>
              <w:bottom w:val="nil"/>
            </w:tcBorders>
            <w:vAlign w:val="bottom"/>
          </w:tcPr>
          <w:p w14:paraId="287FC2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r>
      <w:tr w:rsidR="005F41B4" w:rsidRPr="00AF7C38" w14:paraId="47C64395" w14:textId="77777777" w:rsidTr="00636D03">
        <w:trPr>
          <w:trHeight w:val="360"/>
          <w:jc w:val="center"/>
        </w:trPr>
        <w:tc>
          <w:tcPr>
            <w:tcW w:w="2385" w:type="dxa"/>
            <w:vMerge/>
            <w:tcBorders>
              <w:top w:val="nil"/>
              <w:bottom w:val="single" w:sz="2" w:space="0" w:color="auto"/>
              <w:right w:val="single" w:sz="2" w:space="0" w:color="auto"/>
            </w:tcBorders>
            <w:vAlign w:val="center"/>
          </w:tcPr>
          <w:p w14:paraId="06802186"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C92BA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415B30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F82CC5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7E719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236A5D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C1B89B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Over 65</w:t>
            </w:r>
          </w:p>
        </w:tc>
        <w:tc>
          <w:tcPr>
            <w:tcW w:w="1710" w:type="dxa"/>
            <w:tcBorders>
              <w:top w:val="single" w:sz="2" w:space="0" w:color="auto"/>
              <w:left w:val="single" w:sz="2" w:space="0" w:color="auto"/>
              <w:bottom w:val="nil"/>
              <w:right w:val="single" w:sz="2" w:space="0" w:color="auto"/>
            </w:tcBorders>
            <w:vAlign w:val="bottom"/>
          </w:tcPr>
          <w:p w14:paraId="677E079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0.0379***</w:t>
            </w:r>
          </w:p>
        </w:tc>
        <w:tc>
          <w:tcPr>
            <w:tcW w:w="1980" w:type="dxa"/>
            <w:tcBorders>
              <w:top w:val="single" w:sz="2" w:space="0" w:color="auto"/>
              <w:left w:val="single" w:sz="2" w:space="0" w:color="auto"/>
              <w:bottom w:val="nil"/>
              <w:right w:val="single" w:sz="2" w:space="0" w:color="auto"/>
            </w:tcBorders>
            <w:vAlign w:val="bottom"/>
          </w:tcPr>
          <w:p w14:paraId="68F71A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0.0408***</w:t>
            </w:r>
          </w:p>
        </w:tc>
        <w:tc>
          <w:tcPr>
            <w:tcW w:w="1530" w:type="dxa"/>
            <w:tcBorders>
              <w:top w:val="single" w:sz="2" w:space="0" w:color="auto"/>
              <w:left w:val="single" w:sz="2" w:space="0" w:color="auto"/>
              <w:bottom w:val="nil"/>
              <w:right w:val="single" w:sz="2" w:space="0" w:color="auto"/>
            </w:tcBorders>
            <w:vAlign w:val="bottom"/>
          </w:tcPr>
          <w:p w14:paraId="6AC851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0.0409***</w:t>
            </w:r>
          </w:p>
        </w:tc>
        <w:tc>
          <w:tcPr>
            <w:tcW w:w="1601" w:type="dxa"/>
            <w:tcBorders>
              <w:top w:val="single" w:sz="2" w:space="0" w:color="auto"/>
              <w:left w:val="single" w:sz="2" w:space="0" w:color="auto"/>
              <w:bottom w:val="nil"/>
            </w:tcBorders>
            <w:vAlign w:val="bottom"/>
          </w:tcPr>
          <w:p w14:paraId="21E0A5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0.0409***</w:t>
            </w:r>
          </w:p>
        </w:tc>
      </w:tr>
      <w:tr w:rsidR="005F41B4" w:rsidRPr="00AF7C38" w14:paraId="7724367D" w14:textId="77777777" w:rsidTr="00636D03">
        <w:trPr>
          <w:trHeight w:val="360"/>
          <w:jc w:val="center"/>
        </w:trPr>
        <w:tc>
          <w:tcPr>
            <w:tcW w:w="2385" w:type="dxa"/>
            <w:vMerge/>
            <w:tcBorders>
              <w:top w:val="nil"/>
              <w:bottom w:val="single" w:sz="2" w:space="0" w:color="auto"/>
              <w:right w:val="single" w:sz="2" w:space="0" w:color="auto"/>
            </w:tcBorders>
            <w:vAlign w:val="center"/>
          </w:tcPr>
          <w:p w14:paraId="45858DF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A2FF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(0.010</w:t>
            </w:r>
            <w:r w:rsidRPr="00D14A90">
              <w:rPr>
                <w:color w:val="000000"/>
                <w:sz w:val="22"/>
                <w:szCs w:val="22"/>
              </w:rPr>
              <w:t>)</w:t>
            </w:r>
          </w:p>
        </w:tc>
        <w:tc>
          <w:tcPr>
            <w:tcW w:w="1980" w:type="dxa"/>
            <w:tcBorders>
              <w:top w:val="nil"/>
              <w:left w:val="single" w:sz="2" w:space="0" w:color="auto"/>
              <w:bottom w:val="single" w:sz="2" w:space="0" w:color="auto"/>
              <w:right w:val="single" w:sz="2" w:space="0" w:color="auto"/>
            </w:tcBorders>
          </w:tcPr>
          <w:p w14:paraId="1B37D2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c>
          <w:tcPr>
            <w:tcW w:w="1530" w:type="dxa"/>
            <w:tcBorders>
              <w:top w:val="nil"/>
              <w:left w:val="single" w:sz="2" w:space="0" w:color="auto"/>
              <w:bottom w:val="single" w:sz="2" w:space="0" w:color="auto"/>
              <w:right w:val="single" w:sz="2" w:space="0" w:color="auto"/>
            </w:tcBorders>
          </w:tcPr>
          <w:p w14:paraId="4782827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c>
          <w:tcPr>
            <w:tcW w:w="1601" w:type="dxa"/>
            <w:tcBorders>
              <w:top w:val="nil"/>
              <w:left w:val="single" w:sz="2" w:space="0" w:color="auto"/>
              <w:bottom w:val="single" w:sz="2" w:space="0" w:color="auto"/>
            </w:tcBorders>
          </w:tcPr>
          <w:p w14:paraId="74D3A9C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r>
      <w:tr w:rsidR="00DB0034" w:rsidRPr="00AF7C38" w14:paraId="18F7D4D3" w14:textId="77777777" w:rsidTr="00636D03">
        <w:trPr>
          <w:trHeight w:val="360"/>
          <w:jc w:val="center"/>
        </w:trPr>
        <w:tc>
          <w:tcPr>
            <w:tcW w:w="9206" w:type="dxa"/>
            <w:gridSpan w:val="5"/>
            <w:tcBorders>
              <w:top w:val="single" w:sz="2" w:space="0" w:color="auto"/>
              <w:bottom w:val="single" w:sz="2" w:space="0" w:color="auto"/>
            </w:tcBorders>
            <w:vAlign w:val="bottom"/>
          </w:tcPr>
          <w:p w14:paraId="2CBE3B5B" w14:textId="1911FD3D" w:rsidR="00DB0034" w:rsidRPr="00AF7C38" w:rsidRDefault="00DB0034" w:rsidP="00636D03">
            <w:pPr>
              <w:pStyle w:val="BodyText"/>
              <w:keepNext/>
              <w:numPr>
                <w:ilvl w:val="0"/>
                <w:numId w:val="0"/>
              </w:numPr>
              <w:tabs>
                <w:tab w:val="num" w:pos="1080"/>
              </w:tabs>
              <w:spacing w:line="240" w:lineRule="auto"/>
              <w:rPr>
                <w:color w:val="000000"/>
                <w:sz w:val="22"/>
                <w:szCs w:val="22"/>
              </w:rPr>
            </w:pPr>
            <w:r w:rsidRPr="00973478">
              <w:rPr>
                <w:rStyle w:val="Emphasis"/>
              </w:rPr>
              <w:t>Educational Groups (Reference Category: Tertiary Education)</w:t>
            </w:r>
          </w:p>
        </w:tc>
      </w:tr>
      <w:tr w:rsidR="005F41B4" w:rsidRPr="00AF7C38" w14:paraId="5087125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6AC500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High School</w:t>
            </w:r>
          </w:p>
        </w:tc>
        <w:tc>
          <w:tcPr>
            <w:tcW w:w="1710" w:type="dxa"/>
            <w:tcBorders>
              <w:top w:val="single" w:sz="2" w:space="0" w:color="auto"/>
              <w:left w:val="single" w:sz="2" w:space="0" w:color="auto"/>
              <w:bottom w:val="nil"/>
              <w:right w:val="single" w:sz="2" w:space="0" w:color="auto"/>
            </w:tcBorders>
            <w:vAlign w:val="bottom"/>
          </w:tcPr>
          <w:p w14:paraId="4B882C2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0.365***</w:t>
            </w:r>
          </w:p>
        </w:tc>
        <w:tc>
          <w:tcPr>
            <w:tcW w:w="1980" w:type="dxa"/>
            <w:tcBorders>
              <w:top w:val="single" w:sz="2" w:space="0" w:color="auto"/>
              <w:left w:val="single" w:sz="2" w:space="0" w:color="auto"/>
              <w:bottom w:val="nil"/>
              <w:right w:val="single" w:sz="2" w:space="0" w:color="auto"/>
            </w:tcBorders>
            <w:vAlign w:val="bottom"/>
          </w:tcPr>
          <w:p w14:paraId="421208B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c>
          <w:tcPr>
            <w:tcW w:w="1530" w:type="dxa"/>
            <w:tcBorders>
              <w:top w:val="single" w:sz="2" w:space="0" w:color="auto"/>
              <w:left w:val="single" w:sz="2" w:space="0" w:color="auto"/>
              <w:bottom w:val="nil"/>
              <w:right w:val="single" w:sz="2" w:space="0" w:color="auto"/>
            </w:tcBorders>
            <w:vAlign w:val="bottom"/>
          </w:tcPr>
          <w:p w14:paraId="48E531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c>
          <w:tcPr>
            <w:tcW w:w="1601" w:type="dxa"/>
            <w:tcBorders>
              <w:top w:val="single" w:sz="2" w:space="0" w:color="auto"/>
              <w:left w:val="single" w:sz="2" w:space="0" w:color="auto"/>
              <w:bottom w:val="nil"/>
            </w:tcBorders>
            <w:vAlign w:val="bottom"/>
          </w:tcPr>
          <w:p w14:paraId="1BB02BA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r>
      <w:tr w:rsidR="005F41B4" w:rsidRPr="00AF7C38" w14:paraId="76187AE5" w14:textId="77777777" w:rsidTr="00636D03">
        <w:trPr>
          <w:trHeight w:val="360"/>
          <w:jc w:val="center"/>
        </w:trPr>
        <w:tc>
          <w:tcPr>
            <w:tcW w:w="2385" w:type="dxa"/>
            <w:vMerge/>
            <w:tcBorders>
              <w:top w:val="nil"/>
              <w:bottom w:val="single" w:sz="2" w:space="0" w:color="auto"/>
              <w:right w:val="single" w:sz="2" w:space="0" w:color="auto"/>
            </w:tcBorders>
            <w:vAlign w:val="center"/>
          </w:tcPr>
          <w:p w14:paraId="68D74C5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697F9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F41D1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B16F53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AC9ADA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240CBE8"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42F941C"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Year 10/11/Trade</w:t>
            </w:r>
          </w:p>
        </w:tc>
        <w:tc>
          <w:tcPr>
            <w:tcW w:w="1710" w:type="dxa"/>
            <w:tcBorders>
              <w:top w:val="single" w:sz="2" w:space="0" w:color="auto"/>
              <w:left w:val="single" w:sz="2" w:space="0" w:color="auto"/>
              <w:bottom w:val="nil"/>
              <w:right w:val="single" w:sz="2" w:space="0" w:color="auto"/>
            </w:tcBorders>
            <w:vAlign w:val="bottom"/>
          </w:tcPr>
          <w:p w14:paraId="5051C5D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0.579***</w:t>
            </w:r>
          </w:p>
        </w:tc>
        <w:tc>
          <w:tcPr>
            <w:tcW w:w="1980" w:type="dxa"/>
            <w:tcBorders>
              <w:top w:val="single" w:sz="2" w:space="0" w:color="auto"/>
              <w:left w:val="single" w:sz="2" w:space="0" w:color="auto"/>
              <w:bottom w:val="nil"/>
              <w:right w:val="single" w:sz="2" w:space="0" w:color="auto"/>
            </w:tcBorders>
            <w:vAlign w:val="bottom"/>
          </w:tcPr>
          <w:p w14:paraId="6C1EE65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c>
          <w:tcPr>
            <w:tcW w:w="1530" w:type="dxa"/>
            <w:tcBorders>
              <w:top w:val="single" w:sz="2" w:space="0" w:color="auto"/>
              <w:left w:val="single" w:sz="2" w:space="0" w:color="auto"/>
              <w:bottom w:val="nil"/>
              <w:right w:val="single" w:sz="2" w:space="0" w:color="auto"/>
            </w:tcBorders>
            <w:vAlign w:val="bottom"/>
          </w:tcPr>
          <w:p w14:paraId="7877D51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c>
          <w:tcPr>
            <w:tcW w:w="1601" w:type="dxa"/>
            <w:tcBorders>
              <w:top w:val="single" w:sz="2" w:space="0" w:color="auto"/>
              <w:left w:val="single" w:sz="2" w:space="0" w:color="auto"/>
              <w:bottom w:val="nil"/>
            </w:tcBorders>
            <w:vAlign w:val="bottom"/>
          </w:tcPr>
          <w:p w14:paraId="2837082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r>
      <w:tr w:rsidR="005F41B4" w:rsidRPr="00AF7C38" w14:paraId="154DB5BA" w14:textId="77777777" w:rsidTr="00636D03">
        <w:trPr>
          <w:trHeight w:val="360"/>
          <w:jc w:val="center"/>
        </w:trPr>
        <w:tc>
          <w:tcPr>
            <w:tcW w:w="2385" w:type="dxa"/>
            <w:vMerge/>
            <w:tcBorders>
              <w:top w:val="nil"/>
              <w:bottom w:val="single" w:sz="2" w:space="0" w:color="auto"/>
              <w:right w:val="single" w:sz="2" w:space="0" w:color="auto"/>
            </w:tcBorders>
            <w:vAlign w:val="center"/>
          </w:tcPr>
          <w:p w14:paraId="6ADB7A4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0EE6DA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5F074C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4BC03F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BF085E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9BC9BF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1416CF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Less Education</w:t>
            </w:r>
          </w:p>
        </w:tc>
        <w:tc>
          <w:tcPr>
            <w:tcW w:w="1710" w:type="dxa"/>
            <w:tcBorders>
              <w:top w:val="single" w:sz="2" w:space="0" w:color="auto"/>
              <w:left w:val="single" w:sz="2" w:space="0" w:color="auto"/>
              <w:bottom w:val="nil"/>
              <w:right w:val="single" w:sz="2" w:space="0" w:color="auto"/>
            </w:tcBorders>
            <w:vAlign w:val="bottom"/>
          </w:tcPr>
          <w:p w14:paraId="25FF56F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0.538***</w:t>
            </w:r>
          </w:p>
        </w:tc>
        <w:tc>
          <w:tcPr>
            <w:tcW w:w="1980" w:type="dxa"/>
            <w:tcBorders>
              <w:top w:val="single" w:sz="2" w:space="0" w:color="auto"/>
              <w:left w:val="single" w:sz="2" w:space="0" w:color="auto"/>
              <w:bottom w:val="nil"/>
              <w:right w:val="single" w:sz="2" w:space="0" w:color="auto"/>
            </w:tcBorders>
            <w:vAlign w:val="bottom"/>
          </w:tcPr>
          <w:p w14:paraId="4FB823E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c>
          <w:tcPr>
            <w:tcW w:w="1530" w:type="dxa"/>
            <w:tcBorders>
              <w:top w:val="single" w:sz="2" w:space="0" w:color="auto"/>
              <w:left w:val="single" w:sz="2" w:space="0" w:color="auto"/>
              <w:bottom w:val="nil"/>
              <w:right w:val="single" w:sz="2" w:space="0" w:color="auto"/>
            </w:tcBorders>
            <w:vAlign w:val="bottom"/>
          </w:tcPr>
          <w:p w14:paraId="6645935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c>
          <w:tcPr>
            <w:tcW w:w="1601" w:type="dxa"/>
            <w:tcBorders>
              <w:top w:val="single" w:sz="2" w:space="0" w:color="auto"/>
              <w:left w:val="single" w:sz="2" w:space="0" w:color="auto"/>
              <w:bottom w:val="nil"/>
            </w:tcBorders>
            <w:vAlign w:val="bottom"/>
          </w:tcPr>
          <w:p w14:paraId="1632E66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r>
      <w:tr w:rsidR="005F41B4" w:rsidRPr="00AF7C38" w14:paraId="567623E2" w14:textId="77777777" w:rsidTr="00636D03">
        <w:trPr>
          <w:trHeight w:val="360"/>
          <w:jc w:val="center"/>
        </w:trPr>
        <w:tc>
          <w:tcPr>
            <w:tcW w:w="2385" w:type="dxa"/>
            <w:vMerge/>
            <w:tcBorders>
              <w:top w:val="nil"/>
              <w:bottom w:val="single" w:sz="2" w:space="0" w:color="auto"/>
              <w:right w:val="single" w:sz="2" w:space="0" w:color="auto"/>
            </w:tcBorders>
            <w:vAlign w:val="center"/>
          </w:tcPr>
          <w:p w14:paraId="13B7F0D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29FB5C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40DAA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B5878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C20EEC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D3EDFCC" w14:textId="77777777" w:rsidTr="00636D03">
        <w:trPr>
          <w:trHeight w:val="360"/>
          <w:jc w:val="center"/>
        </w:trPr>
        <w:tc>
          <w:tcPr>
            <w:tcW w:w="6075" w:type="dxa"/>
            <w:gridSpan w:val="3"/>
            <w:tcBorders>
              <w:top w:val="single" w:sz="2" w:space="0" w:color="auto"/>
              <w:bottom w:val="single" w:sz="2" w:space="0" w:color="auto"/>
            </w:tcBorders>
            <w:vAlign w:val="bottom"/>
          </w:tcPr>
          <w:p w14:paraId="0D4B8725" w14:textId="77777777" w:rsidR="005F41B4" w:rsidRPr="00973478" w:rsidRDefault="005F41B4" w:rsidP="005F41B4">
            <w:pPr>
              <w:pStyle w:val="BodyText"/>
              <w:keepNext/>
              <w:numPr>
                <w:ilvl w:val="0"/>
                <w:numId w:val="0"/>
              </w:numPr>
              <w:tabs>
                <w:tab w:val="num" w:pos="1080"/>
              </w:tabs>
              <w:spacing w:line="240" w:lineRule="auto"/>
              <w:rPr>
                <w:rStyle w:val="Emphasis"/>
              </w:rPr>
            </w:pPr>
            <w:r w:rsidRPr="00973478">
              <w:rPr>
                <w:rStyle w:val="Emphasis"/>
              </w:rPr>
              <w:t>Job Status (</w:t>
            </w:r>
            <w:r w:rsidR="00D3777F" w:rsidRPr="00973478">
              <w:rPr>
                <w:rStyle w:val="Emphasis"/>
              </w:rPr>
              <w:t>Reference Category</w:t>
            </w:r>
            <w:r w:rsidRPr="00973478">
              <w:rPr>
                <w:rStyle w:val="Emphasis"/>
              </w:rPr>
              <w:t>: Employed Full Time)</w:t>
            </w:r>
          </w:p>
        </w:tc>
        <w:tc>
          <w:tcPr>
            <w:tcW w:w="1530" w:type="dxa"/>
            <w:tcBorders>
              <w:top w:val="single" w:sz="2" w:space="0" w:color="auto"/>
              <w:bottom w:val="single" w:sz="2" w:space="0" w:color="auto"/>
            </w:tcBorders>
            <w:vAlign w:val="bottom"/>
          </w:tcPr>
          <w:p w14:paraId="258C5B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vAlign w:val="bottom"/>
          </w:tcPr>
          <w:p w14:paraId="149D2FC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p>
        </w:tc>
      </w:tr>
      <w:tr w:rsidR="005F41B4" w:rsidRPr="00AF7C38" w14:paraId="638244A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1C94A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Employed Part Time</w:t>
            </w:r>
          </w:p>
        </w:tc>
        <w:tc>
          <w:tcPr>
            <w:tcW w:w="1710" w:type="dxa"/>
            <w:tcBorders>
              <w:top w:val="single" w:sz="2" w:space="0" w:color="auto"/>
              <w:left w:val="single" w:sz="2" w:space="0" w:color="auto"/>
              <w:bottom w:val="nil"/>
              <w:right w:val="single" w:sz="2" w:space="0" w:color="auto"/>
            </w:tcBorders>
            <w:vAlign w:val="bottom"/>
          </w:tcPr>
          <w:p w14:paraId="037F110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980" w:type="dxa"/>
            <w:tcBorders>
              <w:top w:val="single" w:sz="2" w:space="0" w:color="auto"/>
              <w:left w:val="single" w:sz="2" w:space="0" w:color="auto"/>
              <w:bottom w:val="nil"/>
              <w:right w:val="single" w:sz="2" w:space="0" w:color="auto"/>
            </w:tcBorders>
            <w:vAlign w:val="bottom"/>
          </w:tcPr>
          <w:p w14:paraId="3CBDDF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530" w:type="dxa"/>
            <w:tcBorders>
              <w:top w:val="single" w:sz="2" w:space="0" w:color="auto"/>
              <w:left w:val="single" w:sz="2" w:space="0" w:color="auto"/>
              <w:bottom w:val="nil"/>
              <w:right w:val="single" w:sz="2" w:space="0" w:color="auto"/>
            </w:tcBorders>
            <w:vAlign w:val="bottom"/>
          </w:tcPr>
          <w:p w14:paraId="5B30A8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601" w:type="dxa"/>
            <w:tcBorders>
              <w:top w:val="single" w:sz="2" w:space="0" w:color="auto"/>
              <w:left w:val="single" w:sz="2" w:space="0" w:color="auto"/>
              <w:bottom w:val="nil"/>
            </w:tcBorders>
            <w:vAlign w:val="bottom"/>
          </w:tcPr>
          <w:p w14:paraId="74AE731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r>
      <w:tr w:rsidR="005F41B4" w:rsidRPr="00AF7C38" w14:paraId="7DFF310C" w14:textId="77777777" w:rsidTr="00636D03">
        <w:trPr>
          <w:trHeight w:val="360"/>
          <w:jc w:val="center"/>
        </w:trPr>
        <w:tc>
          <w:tcPr>
            <w:tcW w:w="2385" w:type="dxa"/>
            <w:vMerge/>
            <w:tcBorders>
              <w:top w:val="nil"/>
              <w:bottom w:val="single" w:sz="2" w:space="0" w:color="auto"/>
              <w:right w:val="single" w:sz="2" w:space="0" w:color="auto"/>
            </w:tcBorders>
            <w:vAlign w:val="center"/>
          </w:tcPr>
          <w:p w14:paraId="1790618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8FB68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FF1DB4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7C76A8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F21C7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513AAD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2099FD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Unemployed</w:t>
            </w:r>
          </w:p>
        </w:tc>
        <w:tc>
          <w:tcPr>
            <w:tcW w:w="1710" w:type="dxa"/>
            <w:tcBorders>
              <w:top w:val="single" w:sz="2" w:space="0" w:color="auto"/>
              <w:left w:val="single" w:sz="2" w:space="0" w:color="auto"/>
              <w:bottom w:val="nil"/>
              <w:right w:val="single" w:sz="2" w:space="0" w:color="auto"/>
            </w:tcBorders>
            <w:vAlign w:val="bottom"/>
          </w:tcPr>
          <w:p w14:paraId="064670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980" w:type="dxa"/>
            <w:tcBorders>
              <w:top w:val="single" w:sz="2" w:space="0" w:color="auto"/>
              <w:left w:val="single" w:sz="2" w:space="0" w:color="auto"/>
              <w:bottom w:val="nil"/>
              <w:right w:val="single" w:sz="2" w:space="0" w:color="auto"/>
            </w:tcBorders>
            <w:vAlign w:val="bottom"/>
          </w:tcPr>
          <w:p w14:paraId="574B0D9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530" w:type="dxa"/>
            <w:tcBorders>
              <w:top w:val="single" w:sz="2" w:space="0" w:color="auto"/>
              <w:left w:val="single" w:sz="2" w:space="0" w:color="auto"/>
              <w:bottom w:val="nil"/>
              <w:right w:val="single" w:sz="2" w:space="0" w:color="auto"/>
            </w:tcBorders>
            <w:vAlign w:val="bottom"/>
          </w:tcPr>
          <w:p w14:paraId="7556765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601" w:type="dxa"/>
            <w:tcBorders>
              <w:top w:val="single" w:sz="2" w:space="0" w:color="auto"/>
              <w:left w:val="single" w:sz="2" w:space="0" w:color="auto"/>
              <w:bottom w:val="nil"/>
            </w:tcBorders>
            <w:vAlign w:val="bottom"/>
          </w:tcPr>
          <w:p w14:paraId="1106987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r>
      <w:tr w:rsidR="005F41B4" w:rsidRPr="00AF7C38" w14:paraId="6DB1BCD1" w14:textId="77777777" w:rsidTr="00636D03">
        <w:trPr>
          <w:trHeight w:val="360"/>
          <w:jc w:val="center"/>
        </w:trPr>
        <w:tc>
          <w:tcPr>
            <w:tcW w:w="2385" w:type="dxa"/>
            <w:vMerge/>
            <w:tcBorders>
              <w:top w:val="nil"/>
              <w:bottom w:val="single" w:sz="2" w:space="0" w:color="auto"/>
              <w:right w:val="single" w:sz="2" w:space="0" w:color="auto"/>
            </w:tcBorders>
            <w:vAlign w:val="center"/>
          </w:tcPr>
          <w:p w14:paraId="1E8D573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56B3E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C40EBE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1A7CDB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D8BF7E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0AC2A1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6A599B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Home Duties</w:t>
            </w:r>
          </w:p>
        </w:tc>
        <w:tc>
          <w:tcPr>
            <w:tcW w:w="1710" w:type="dxa"/>
            <w:tcBorders>
              <w:top w:val="single" w:sz="2" w:space="0" w:color="auto"/>
              <w:left w:val="single" w:sz="2" w:space="0" w:color="auto"/>
              <w:bottom w:val="nil"/>
              <w:right w:val="single" w:sz="2" w:space="0" w:color="auto"/>
            </w:tcBorders>
            <w:vAlign w:val="bottom"/>
          </w:tcPr>
          <w:p w14:paraId="2A0691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0.239***</w:t>
            </w:r>
          </w:p>
        </w:tc>
        <w:tc>
          <w:tcPr>
            <w:tcW w:w="1980" w:type="dxa"/>
            <w:tcBorders>
              <w:top w:val="single" w:sz="2" w:space="0" w:color="auto"/>
              <w:left w:val="single" w:sz="2" w:space="0" w:color="auto"/>
              <w:bottom w:val="nil"/>
              <w:right w:val="single" w:sz="2" w:space="0" w:color="auto"/>
            </w:tcBorders>
            <w:vAlign w:val="bottom"/>
          </w:tcPr>
          <w:p w14:paraId="5900AA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c>
          <w:tcPr>
            <w:tcW w:w="1530" w:type="dxa"/>
            <w:tcBorders>
              <w:top w:val="single" w:sz="2" w:space="0" w:color="auto"/>
              <w:left w:val="single" w:sz="2" w:space="0" w:color="auto"/>
              <w:bottom w:val="nil"/>
              <w:right w:val="single" w:sz="2" w:space="0" w:color="auto"/>
            </w:tcBorders>
            <w:vAlign w:val="bottom"/>
          </w:tcPr>
          <w:p w14:paraId="098F9E4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c>
          <w:tcPr>
            <w:tcW w:w="1601" w:type="dxa"/>
            <w:tcBorders>
              <w:top w:val="single" w:sz="2" w:space="0" w:color="auto"/>
              <w:left w:val="single" w:sz="2" w:space="0" w:color="auto"/>
              <w:bottom w:val="nil"/>
            </w:tcBorders>
            <w:vAlign w:val="bottom"/>
          </w:tcPr>
          <w:p w14:paraId="65B80BD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r>
      <w:tr w:rsidR="005F41B4" w:rsidRPr="00AF7C38" w14:paraId="28269367" w14:textId="77777777" w:rsidTr="00636D03">
        <w:trPr>
          <w:trHeight w:val="360"/>
          <w:jc w:val="center"/>
        </w:trPr>
        <w:tc>
          <w:tcPr>
            <w:tcW w:w="2385" w:type="dxa"/>
            <w:vMerge/>
            <w:tcBorders>
              <w:top w:val="nil"/>
              <w:bottom w:val="single" w:sz="2" w:space="0" w:color="auto"/>
              <w:right w:val="single" w:sz="2" w:space="0" w:color="auto"/>
            </w:tcBorders>
            <w:vAlign w:val="center"/>
          </w:tcPr>
          <w:p w14:paraId="47D7005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E357A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4AF19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C6302B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D6CF60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3F9B94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AF1A6B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Other / Doesn't Work</w:t>
            </w:r>
          </w:p>
        </w:tc>
        <w:tc>
          <w:tcPr>
            <w:tcW w:w="1710" w:type="dxa"/>
            <w:tcBorders>
              <w:top w:val="single" w:sz="2" w:space="0" w:color="auto"/>
              <w:left w:val="single" w:sz="2" w:space="0" w:color="auto"/>
              <w:bottom w:val="nil"/>
              <w:right w:val="single" w:sz="2" w:space="0" w:color="auto"/>
            </w:tcBorders>
            <w:vAlign w:val="bottom"/>
          </w:tcPr>
          <w:p w14:paraId="5396961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0.139***</w:t>
            </w:r>
          </w:p>
        </w:tc>
        <w:tc>
          <w:tcPr>
            <w:tcW w:w="1980" w:type="dxa"/>
            <w:tcBorders>
              <w:top w:val="single" w:sz="2" w:space="0" w:color="auto"/>
              <w:left w:val="single" w:sz="2" w:space="0" w:color="auto"/>
              <w:bottom w:val="nil"/>
              <w:right w:val="single" w:sz="2" w:space="0" w:color="auto"/>
            </w:tcBorders>
            <w:vAlign w:val="bottom"/>
          </w:tcPr>
          <w:p w14:paraId="530822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c>
          <w:tcPr>
            <w:tcW w:w="1530" w:type="dxa"/>
            <w:tcBorders>
              <w:top w:val="single" w:sz="2" w:space="0" w:color="auto"/>
              <w:left w:val="single" w:sz="2" w:space="0" w:color="auto"/>
              <w:bottom w:val="nil"/>
              <w:right w:val="single" w:sz="2" w:space="0" w:color="auto"/>
            </w:tcBorders>
            <w:vAlign w:val="bottom"/>
          </w:tcPr>
          <w:p w14:paraId="7A2653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c>
          <w:tcPr>
            <w:tcW w:w="1601" w:type="dxa"/>
            <w:tcBorders>
              <w:top w:val="single" w:sz="2" w:space="0" w:color="auto"/>
              <w:left w:val="single" w:sz="2" w:space="0" w:color="auto"/>
              <w:bottom w:val="nil"/>
            </w:tcBorders>
            <w:vAlign w:val="bottom"/>
          </w:tcPr>
          <w:p w14:paraId="2B4B549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r>
      <w:tr w:rsidR="005F41B4" w:rsidRPr="00AF7C38" w14:paraId="3063883A" w14:textId="77777777" w:rsidTr="00636D03">
        <w:trPr>
          <w:trHeight w:val="360"/>
          <w:jc w:val="center"/>
        </w:trPr>
        <w:tc>
          <w:tcPr>
            <w:tcW w:w="2385" w:type="dxa"/>
            <w:vMerge/>
            <w:tcBorders>
              <w:top w:val="nil"/>
              <w:bottom w:val="single" w:sz="2" w:space="0" w:color="auto"/>
              <w:right w:val="single" w:sz="2" w:space="0" w:color="auto"/>
            </w:tcBorders>
            <w:vAlign w:val="center"/>
          </w:tcPr>
          <w:p w14:paraId="1E45425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20DE46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9FF5DF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4C4A8D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78D3C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8A95103" w14:textId="77777777" w:rsidTr="00636D03">
        <w:trPr>
          <w:trHeight w:val="360"/>
          <w:jc w:val="center"/>
        </w:trPr>
        <w:tc>
          <w:tcPr>
            <w:tcW w:w="6075" w:type="dxa"/>
            <w:gridSpan w:val="3"/>
            <w:tcBorders>
              <w:top w:val="nil"/>
              <w:bottom w:val="single" w:sz="2" w:space="0" w:color="auto"/>
            </w:tcBorders>
            <w:vAlign w:val="bottom"/>
          </w:tcPr>
          <w:p w14:paraId="756DF288" w14:textId="77777777" w:rsidR="005F41B4" w:rsidRPr="00973478" w:rsidRDefault="005F41B4" w:rsidP="005F41B4">
            <w:pPr>
              <w:pStyle w:val="BodyText"/>
              <w:keepNext/>
              <w:numPr>
                <w:ilvl w:val="0"/>
                <w:numId w:val="0"/>
              </w:numPr>
              <w:tabs>
                <w:tab w:val="num" w:pos="1080"/>
              </w:tabs>
              <w:spacing w:line="240" w:lineRule="auto"/>
              <w:rPr>
                <w:rStyle w:val="Emphasis"/>
              </w:rPr>
            </w:pPr>
            <w:r w:rsidRPr="00973478">
              <w:rPr>
                <w:rStyle w:val="Emphasis"/>
              </w:rPr>
              <w:t>Income Groups (</w:t>
            </w:r>
            <w:r w:rsidR="00D3777F" w:rsidRPr="00973478">
              <w:rPr>
                <w:rStyle w:val="Emphasis"/>
              </w:rPr>
              <w:t>Reference Category</w:t>
            </w:r>
            <w:r w:rsidRPr="00973478">
              <w:rPr>
                <w:rStyle w:val="Emphasis"/>
              </w:rPr>
              <w:t>: Less than $6,000)</w:t>
            </w:r>
          </w:p>
        </w:tc>
        <w:tc>
          <w:tcPr>
            <w:tcW w:w="1530" w:type="dxa"/>
            <w:tcBorders>
              <w:top w:val="nil"/>
              <w:bottom w:val="single" w:sz="2" w:space="0" w:color="auto"/>
            </w:tcBorders>
            <w:vAlign w:val="bottom"/>
          </w:tcPr>
          <w:p w14:paraId="15FE46F7" w14:textId="77777777" w:rsidR="005F41B4" w:rsidRPr="00AF7C38" w:rsidRDefault="005F41B4" w:rsidP="005F41B4">
            <w:pPr>
              <w:pStyle w:val="BodyText"/>
              <w:keepNext/>
              <w:numPr>
                <w:ilvl w:val="0"/>
                <w:numId w:val="0"/>
              </w:numPr>
              <w:tabs>
                <w:tab w:val="num" w:pos="1080"/>
              </w:tabs>
              <w:spacing w:line="240" w:lineRule="auto"/>
              <w:rPr>
                <w:color w:val="000000"/>
                <w:sz w:val="22"/>
                <w:szCs w:val="22"/>
              </w:rPr>
            </w:pPr>
          </w:p>
        </w:tc>
        <w:tc>
          <w:tcPr>
            <w:tcW w:w="1601" w:type="dxa"/>
            <w:tcBorders>
              <w:top w:val="nil"/>
              <w:bottom w:val="single" w:sz="2" w:space="0" w:color="auto"/>
            </w:tcBorders>
            <w:vAlign w:val="bottom"/>
          </w:tcPr>
          <w:p w14:paraId="56F53970" w14:textId="77777777" w:rsidR="005F41B4" w:rsidRPr="00AF7C38" w:rsidRDefault="005F41B4" w:rsidP="005F41B4">
            <w:pPr>
              <w:pStyle w:val="BodyText"/>
              <w:keepNext/>
              <w:numPr>
                <w:ilvl w:val="0"/>
                <w:numId w:val="0"/>
              </w:numPr>
              <w:tabs>
                <w:tab w:val="num" w:pos="1080"/>
              </w:tabs>
              <w:spacing w:line="240" w:lineRule="auto"/>
              <w:rPr>
                <w:color w:val="000000"/>
                <w:sz w:val="22"/>
                <w:szCs w:val="22"/>
              </w:rPr>
            </w:pPr>
          </w:p>
        </w:tc>
      </w:tr>
      <w:tr w:rsidR="005F41B4" w:rsidRPr="00AF7C38" w14:paraId="648FF6FE" w14:textId="77777777" w:rsidTr="00636D03">
        <w:trPr>
          <w:trHeight w:val="360"/>
          <w:jc w:val="center"/>
        </w:trPr>
        <w:tc>
          <w:tcPr>
            <w:tcW w:w="2385" w:type="dxa"/>
            <w:vMerge w:val="restart"/>
            <w:tcBorders>
              <w:top w:val="single" w:sz="2" w:space="0" w:color="auto"/>
              <w:bottom w:val="single" w:sz="2" w:space="0" w:color="auto"/>
              <w:right w:val="single" w:sz="2" w:space="0" w:color="auto"/>
            </w:tcBorders>
            <w:vAlign w:val="center"/>
          </w:tcPr>
          <w:p w14:paraId="329592F8"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$6,000-$9,999</w:t>
            </w:r>
          </w:p>
        </w:tc>
        <w:tc>
          <w:tcPr>
            <w:tcW w:w="1710" w:type="dxa"/>
            <w:tcBorders>
              <w:top w:val="single" w:sz="2" w:space="0" w:color="auto"/>
              <w:left w:val="single" w:sz="2" w:space="0" w:color="auto"/>
              <w:right w:val="single" w:sz="2" w:space="0" w:color="auto"/>
            </w:tcBorders>
            <w:vAlign w:val="bottom"/>
          </w:tcPr>
          <w:p w14:paraId="2F33F46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0.338***</w:t>
            </w:r>
          </w:p>
        </w:tc>
        <w:tc>
          <w:tcPr>
            <w:tcW w:w="1980" w:type="dxa"/>
            <w:tcBorders>
              <w:top w:val="single" w:sz="2" w:space="0" w:color="auto"/>
              <w:left w:val="single" w:sz="2" w:space="0" w:color="auto"/>
              <w:right w:val="single" w:sz="2" w:space="0" w:color="auto"/>
            </w:tcBorders>
            <w:vAlign w:val="bottom"/>
          </w:tcPr>
          <w:p w14:paraId="7733279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c>
          <w:tcPr>
            <w:tcW w:w="1530" w:type="dxa"/>
            <w:tcBorders>
              <w:top w:val="single" w:sz="2" w:space="0" w:color="auto"/>
              <w:left w:val="single" w:sz="2" w:space="0" w:color="auto"/>
              <w:right w:val="single" w:sz="2" w:space="0" w:color="auto"/>
            </w:tcBorders>
            <w:vAlign w:val="bottom"/>
          </w:tcPr>
          <w:p w14:paraId="0082E3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c>
          <w:tcPr>
            <w:tcW w:w="1601" w:type="dxa"/>
            <w:tcBorders>
              <w:top w:val="single" w:sz="2" w:space="0" w:color="auto"/>
              <w:left w:val="single" w:sz="2" w:space="0" w:color="auto"/>
            </w:tcBorders>
            <w:vAlign w:val="bottom"/>
          </w:tcPr>
          <w:p w14:paraId="386A642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r>
      <w:tr w:rsidR="005F41B4" w:rsidRPr="00AF7C38" w14:paraId="0D4E08A2" w14:textId="77777777" w:rsidTr="00636D03">
        <w:trPr>
          <w:trHeight w:val="360"/>
          <w:jc w:val="center"/>
        </w:trPr>
        <w:tc>
          <w:tcPr>
            <w:tcW w:w="2385" w:type="dxa"/>
            <w:vMerge/>
            <w:tcBorders>
              <w:top w:val="single" w:sz="12" w:space="0" w:color="auto"/>
              <w:bottom w:val="single" w:sz="2" w:space="0" w:color="auto"/>
              <w:right w:val="single" w:sz="2" w:space="0" w:color="auto"/>
            </w:tcBorders>
            <w:vAlign w:val="center"/>
          </w:tcPr>
          <w:p w14:paraId="02034BA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left w:val="single" w:sz="2" w:space="0" w:color="auto"/>
              <w:bottom w:val="single" w:sz="2" w:space="0" w:color="auto"/>
              <w:right w:val="single" w:sz="2" w:space="0" w:color="auto"/>
            </w:tcBorders>
          </w:tcPr>
          <w:p w14:paraId="53796C2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left w:val="single" w:sz="2" w:space="0" w:color="auto"/>
              <w:bottom w:val="single" w:sz="2" w:space="0" w:color="auto"/>
              <w:right w:val="single" w:sz="2" w:space="0" w:color="auto"/>
            </w:tcBorders>
          </w:tcPr>
          <w:p w14:paraId="7436058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left w:val="single" w:sz="2" w:space="0" w:color="auto"/>
              <w:bottom w:val="single" w:sz="2" w:space="0" w:color="auto"/>
              <w:right w:val="single" w:sz="2" w:space="0" w:color="auto"/>
            </w:tcBorders>
          </w:tcPr>
          <w:p w14:paraId="577E1C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left w:val="single" w:sz="2" w:space="0" w:color="auto"/>
              <w:bottom w:val="single" w:sz="2" w:space="0" w:color="auto"/>
            </w:tcBorders>
          </w:tcPr>
          <w:p w14:paraId="1C1FDC2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E719C2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5ADEC5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$10,000-$14,999</w:t>
            </w:r>
          </w:p>
        </w:tc>
        <w:tc>
          <w:tcPr>
            <w:tcW w:w="1710" w:type="dxa"/>
            <w:tcBorders>
              <w:top w:val="single" w:sz="2" w:space="0" w:color="auto"/>
              <w:left w:val="single" w:sz="2" w:space="0" w:color="auto"/>
              <w:bottom w:val="nil"/>
              <w:right w:val="single" w:sz="2" w:space="0" w:color="auto"/>
            </w:tcBorders>
            <w:vAlign w:val="bottom"/>
          </w:tcPr>
          <w:p w14:paraId="7C51B0D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980" w:type="dxa"/>
            <w:tcBorders>
              <w:top w:val="single" w:sz="2" w:space="0" w:color="auto"/>
              <w:left w:val="single" w:sz="2" w:space="0" w:color="auto"/>
              <w:bottom w:val="nil"/>
              <w:right w:val="single" w:sz="2" w:space="0" w:color="auto"/>
            </w:tcBorders>
            <w:vAlign w:val="bottom"/>
          </w:tcPr>
          <w:p w14:paraId="64FAB22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530" w:type="dxa"/>
            <w:tcBorders>
              <w:top w:val="single" w:sz="2" w:space="0" w:color="auto"/>
              <w:left w:val="single" w:sz="2" w:space="0" w:color="auto"/>
              <w:bottom w:val="nil"/>
              <w:right w:val="single" w:sz="2" w:space="0" w:color="auto"/>
            </w:tcBorders>
            <w:vAlign w:val="bottom"/>
          </w:tcPr>
          <w:p w14:paraId="0092427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601" w:type="dxa"/>
            <w:tcBorders>
              <w:top w:val="single" w:sz="2" w:space="0" w:color="auto"/>
              <w:left w:val="single" w:sz="2" w:space="0" w:color="auto"/>
              <w:bottom w:val="nil"/>
            </w:tcBorders>
            <w:vAlign w:val="bottom"/>
          </w:tcPr>
          <w:p w14:paraId="060D7C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r>
      <w:tr w:rsidR="005F41B4" w:rsidRPr="00AF7C38" w14:paraId="702BC943" w14:textId="77777777" w:rsidTr="00636D03">
        <w:trPr>
          <w:trHeight w:val="360"/>
          <w:jc w:val="center"/>
        </w:trPr>
        <w:tc>
          <w:tcPr>
            <w:tcW w:w="2385" w:type="dxa"/>
            <w:vMerge/>
            <w:tcBorders>
              <w:top w:val="nil"/>
              <w:bottom w:val="single" w:sz="2" w:space="0" w:color="auto"/>
              <w:right w:val="single" w:sz="2" w:space="0" w:color="auto"/>
            </w:tcBorders>
            <w:vAlign w:val="center"/>
          </w:tcPr>
          <w:p w14:paraId="777F52D8"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A9A138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3EC84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3ABB2A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CF077A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085D58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AD50FF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$15,000-$19,999</w:t>
            </w:r>
          </w:p>
        </w:tc>
        <w:tc>
          <w:tcPr>
            <w:tcW w:w="1710" w:type="dxa"/>
            <w:tcBorders>
              <w:top w:val="single" w:sz="2" w:space="0" w:color="auto"/>
              <w:left w:val="single" w:sz="2" w:space="0" w:color="auto"/>
              <w:bottom w:val="nil"/>
              <w:right w:val="single" w:sz="2" w:space="0" w:color="auto"/>
            </w:tcBorders>
            <w:vAlign w:val="bottom"/>
          </w:tcPr>
          <w:p w14:paraId="3AD3587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980" w:type="dxa"/>
            <w:tcBorders>
              <w:top w:val="single" w:sz="2" w:space="0" w:color="auto"/>
              <w:left w:val="single" w:sz="2" w:space="0" w:color="auto"/>
              <w:bottom w:val="nil"/>
              <w:right w:val="single" w:sz="2" w:space="0" w:color="auto"/>
            </w:tcBorders>
            <w:vAlign w:val="bottom"/>
          </w:tcPr>
          <w:p w14:paraId="58F5BB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530" w:type="dxa"/>
            <w:tcBorders>
              <w:top w:val="single" w:sz="2" w:space="0" w:color="auto"/>
              <w:left w:val="single" w:sz="2" w:space="0" w:color="auto"/>
              <w:bottom w:val="nil"/>
              <w:right w:val="single" w:sz="2" w:space="0" w:color="auto"/>
            </w:tcBorders>
            <w:vAlign w:val="bottom"/>
          </w:tcPr>
          <w:p w14:paraId="661C6C6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601" w:type="dxa"/>
            <w:tcBorders>
              <w:top w:val="single" w:sz="2" w:space="0" w:color="auto"/>
              <w:left w:val="single" w:sz="2" w:space="0" w:color="auto"/>
              <w:bottom w:val="nil"/>
            </w:tcBorders>
            <w:vAlign w:val="bottom"/>
          </w:tcPr>
          <w:p w14:paraId="6B78489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r>
      <w:tr w:rsidR="005F41B4" w:rsidRPr="00AF7C38" w14:paraId="5E4B0353" w14:textId="77777777" w:rsidTr="00636D03">
        <w:trPr>
          <w:trHeight w:val="360"/>
          <w:jc w:val="center"/>
        </w:trPr>
        <w:tc>
          <w:tcPr>
            <w:tcW w:w="2385" w:type="dxa"/>
            <w:vMerge/>
            <w:tcBorders>
              <w:top w:val="nil"/>
              <w:bottom w:val="single" w:sz="2" w:space="0" w:color="auto"/>
              <w:right w:val="single" w:sz="2" w:space="0" w:color="auto"/>
            </w:tcBorders>
            <w:vAlign w:val="center"/>
          </w:tcPr>
          <w:p w14:paraId="295C40B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32C065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AFD57F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423B0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83A43E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FE1AFA7"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85959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$20,000-$24,999</w:t>
            </w:r>
          </w:p>
        </w:tc>
        <w:tc>
          <w:tcPr>
            <w:tcW w:w="1710" w:type="dxa"/>
            <w:tcBorders>
              <w:top w:val="single" w:sz="2" w:space="0" w:color="auto"/>
              <w:left w:val="single" w:sz="2" w:space="0" w:color="auto"/>
              <w:bottom w:val="nil"/>
              <w:right w:val="single" w:sz="2" w:space="0" w:color="auto"/>
            </w:tcBorders>
            <w:vAlign w:val="bottom"/>
          </w:tcPr>
          <w:p w14:paraId="47C9858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980" w:type="dxa"/>
            <w:tcBorders>
              <w:top w:val="single" w:sz="2" w:space="0" w:color="auto"/>
              <w:left w:val="single" w:sz="2" w:space="0" w:color="auto"/>
              <w:bottom w:val="nil"/>
              <w:right w:val="single" w:sz="2" w:space="0" w:color="auto"/>
            </w:tcBorders>
            <w:vAlign w:val="bottom"/>
          </w:tcPr>
          <w:p w14:paraId="191519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530" w:type="dxa"/>
            <w:tcBorders>
              <w:top w:val="single" w:sz="2" w:space="0" w:color="auto"/>
              <w:left w:val="single" w:sz="2" w:space="0" w:color="auto"/>
              <w:bottom w:val="nil"/>
              <w:right w:val="single" w:sz="2" w:space="0" w:color="auto"/>
            </w:tcBorders>
            <w:vAlign w:val="bottom"/>
          </w:tcPr>
          <w:p w14:paraId="59882A6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601" w:type="dxa"/>
            <w:tcBorders>
              <w:top w:val="single" w:sz="2" w:space="0" w:color="auto"/>
              <w:left w:val="single" w:sz="2" w:space="0" w:color="auto"/>
              <w:bottom w:val="nil"/>
            </w:tcBorders>
            <w:vAlign w:val="bottom"/>
          </w:tcPr>
          <w:p w14:paraId="57CF1E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r>
      <w:tr w:rsidR="005F41B4" w:rsidRPr="00AF7C38" w14:paraId="40ABA2E7" w14:textId="77777777" w:rsidTr="00636D03">
        <w:trPr>
          <w:trHeight w:val="360"/>
          <w:jc w:val="center"/>
        </w:trPr>
        <w:tc>
          <w:tcPr>
            <w:tcW w:w="2385" w:type="dxa"/>
            <w:vMerge/>
            <w:tcBorders>
              <w:top w:val="nil"/>
              <w:bottom w:val="single" w:sz="2" w:space="0" w:color="auto"/>
              <w:right w:val="single" w:sz="2" w:space="0" w:color="auto"/>
            </w:tcBorders>
            <w:vAlign w:val="center"/>
          </w:tcPr>
          <w:p w14:paraId="501C7FC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5F7E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A8C0E0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A026E7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A54C23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BA408F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395597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$25,000-$29,999</w:t>
            </w:r>
          </w:p>
        </w:tc>
        <w:tc>
          <w:tcPr>
            <w:tcW w:w="1710" w:type="dxa"/>
            <w:tcBorders>
              <w:top w:val="single" w:sz="2" w:space="0" w:color="auto"/>
              <w:left w:val="single" w:sz="2" w:space="0" w:color="auto"/>
              <w:bottom w:val="nil"/>
              <w:right w:val="single" w:sz="2" w:space="0" w:color="auto"/>
            </w:tcBorders>
            <w:vAlign w:val="bottom"/>
          </w:tcPr>
          <w:p w14:paraId="639663D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980" w:type="dxa"/>
            <w:tcBorders>
              <w:top w:val="single" w:sz="2" w:space="0" w:color="auto"/>
              <w:left w:val="single" w:sz="2" w:space="0" w:color="auto"/>
              <w:bottom w:val="nil"/>
              <w:right w:val="single" w:sz="2" w:space="0" w:color="auto"/>
            </w:tcBorders>
            <w:vAlign w:val="bottom"/>
          </w:tcPr>
          <w:p w14:paraId="1B8092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530" w:type="dxa"/>
            <w:tcBorders>
              <w:top w:val="single" w:sz="2" w:space="0" w:color="auto"/>
              <w:left w:val="single" w:sz="2" w:space="0" w:color="auto"/>
              <w:bottom w:val="nil"/>
              <w:right w:val="single" w:sz="2" w:space="0" w:color="auto"/>
            </w:tcBorders>
            <w:vAlign w:val="bottom"/>
          </w:tcPr>
          <w:p w14:paraId="2E91A94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601" w:type="dxa"/>
            <w:tcBorders>
              <w:top w:val="single" w:sz="2" w:space="0" w:color="auto"/>
              <w:left w:val="single" w:sz="2" w:space="0" w:color="auto"/>
              <w:bottom w:val="nil"/>
            </w:tcBorders>
            <w:vAlign w:val="bottom"/>
          </w:tcPr>
          <w:p w14:paraId="2517C3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r>
      <w:tr w:rsidR="005F41B4" w:rsidRPr="00AF7C38" w14:paraId="19607204" w14:textId="77777777" w:rsidTr="00636D03">
        <w:trPr>
          <w:trHeight w:val="360"/>
          <w:jc w:val="center"/>
        </w:trPr>
        <w:tc>
          <w:tcPr>
            <w:tcW w:w="2385" w:type="dxa"/>
            <w:vMerge/>
            <w:tcBorders>
              <w:top w:val="nil"/>
              <w:bottom w:val="single" w:sz="2" w:space="0" w:color="auto"/>
              <w:right w:val="single" w:sz="2" w:space="0" w:color="auto"/>
            </w:tcBorders>
            <w:vAlign w:val="center"/>
          </w:tcPr>
          <w:p w14:paraId="7EF8F41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B953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3C154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ADA953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E9C331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EB8BFCC"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402BE93"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$30,000-$34,999</w:t>
            </w:r>
          </w:p>
        </w:tc>
        <w:tc>
          <w:tcPr>
            <w:tcW w:w="1710" w:type="dxa"/>
            <w:tcBorders>
              <w:top w:val="single" w:sz="2" w:space="0" w:color="auto"/>
              <w:left w:val="single" w:sz="2" w:space="0" w:color="auto"/>
              <w:bottom w:val="nil"/>
              <w:right w:val="single" w:sz="2" w:space="0" w:color="auto"/>
            </w:tcBorders>
            <w:vAlign w:val="bottom"/>
          </w:tcPr>
          <w:p w14:paraId="1855CCF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980" w:type="dxa"/>
            <w:tcBorders>
              <w:top w:val="single" w:sz="2" w:space="0" w:color="auto"/>
              <w:left w:val="single" w:sz="2" w:space="0" w:color="auto"/>
              <w:bottom w:val="nil"/>
              <w:right w:val="single" w:sz="2" w:space="0" w:color="auto"/>
            </w:tcBorders>
            <w:vAlign w:val="bottom"/>
          </w:tcPr>
          <w:p w14:paraId="2EA414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530" w:type="dxa"/>
            <w:tcBorders>
              <w:top w:val="single" w:sz="2" w:space="0" w:color="auto"/>
              <w:left w:val="single" w:sz="2" w:space="0" w:color="auto"/>
              <w:bottom w:val="nil"/>
              <w:right w:val="single" w:sz="2" w:space="0" w:color="auto"/>
            </w:tcBorders>
            <w:vAlign w:val="bottom"/>
          </w:tcPr>
          <w:p w14:paraId="67B6B2E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601" w:type="dxa"/>
            <w:tcBorders>
              <w:top w:val="single" w:sz="2" w:space="0" w:color="auto"/>
              <w:left w:val="single" w:sz="2" w:space="0" w:color="auto"/>
              <w:bottom w:val="nil"/>
            </w:tcBorders>
            <w:vAlign w:val="bottom"/>
          </w:tcPr>
          <w:p w14:paraId="66FB38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r>
      <w:tr w:rsidR="005F41B4" w:rsidRPr="00AF7C38" w14:paraId="41C7F41C" w14:textId="77777777" w:rsidTr="00636D03">
        <w:trPr>
          <w:trHeight w:val="360"/>
          <w:jc w:val="center"/>
        </w:trPr>
        <w:tc>
          <w:tcPr>
            <w:tcW w:w="2385" w:type="dxa"/>
            <w:vMerge/>
            <w:tcBorders>
              <w:top w:val="nil"/>
              <w:bottom w:val="single" w:sz="2" w:space="0" w:color="auto"/>
              <w:right w:val="single" w:sz="2" w:space="0" w:color="auto"/>
            </w:tcBorders>
            <w:vAlign w:val="center"/>
          </w:tcPr>
          <w:p w14:paraId="20A2D53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1DB87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DDA2F7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65C6F6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329B31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F19441F"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EECBAF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$35,000-$39,999</w:t>
            </w:r>
          </w:p>
        </w:tc>
        <w:tc>
          <w:tcPr>
            <w:tcW w:w="1710" w:type="dxa"/>
            <w:tcBorders>
              <w:top w:val="single" w:sz="2" w:space="0" w:color="auto"/>
              <w:left w:val="single" w:sz="2" w:space="0" w:color="auto"/>
              <w:bottom w:val="nil"/>
              <w:right w:val="single" w:sz="2" w:space="0" w:color="auto"/>
            </w:tcBorders>
            <w:vAlign w:val="bottom"/>
          </w:tcPr>
          <w:p w14:paraId="4ACCE1E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0.410***</w:t>
            </w:r>
          </w:p>
        </w:tc>
        <w:tc>
          <w:tcPr>
            <w:tcW w:w="1980" w:type="dxa"/>
            <w:tcBorders>
              <w:top w:val="single" w:sz="2" w:space="0" w:color="auto"/>
              <w:left w:val="single" w:sz="2" w:space="0" w:color="auto"/>
              <w:bottom w:val="nil"/>
              <w:right w:val="single" w:sz="2" w:space="0" w:color="auto"/>
            </w:tcBorders>
            <w:vAlign w:val="bottom"/>
          </w:tcPr>
          <w:p w14:paraId="31025A4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c>
          <w:tcPr>
            <w:tcW w:w="1530" w:type="dxa"/>
            <w:tcBorders>
              <w:top w:val="single" w:sz="2" w:space="0" w:color="auto"/>
              <w:left w:val="single" w:sz="2" w:space="0" w:color="auto"/>
              <w:bottom w:val="nil"/>
              <w:right w:val="single" w:sz="2" w:space="0" w:color="auto"/>
            </w:tcBorders>
            <w:vAlign w:val="bottom"/>
          </w:tcPr>
          <w:p w14:paraId="424DC1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c>
          <w:tcPr>
            <w:tcW w:w="1601" w:type="dxa"/>
            <w:tcBorders>
              <w:top w:val="single" w:sz="2" w:space="0" w:color="auto"/>
              <w:left w:val="single" w:sz="2" w:space="0" w:color="auto"/>
              <w:bottom w:val="nil"/>
            </w:tcBorders>
            <w:vAlign w:val="bottom"/>
          </w:tcPr>
          <w:p w14:paraId="3BFC0A0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r>
      <w:tr w:rsidR="005F41B4" w:rsidRPr="00AF7C38" w14:paraId="18332D1C" w14:textId="77777777" w:rsidTr="00636D03">
        <w:trPr>
          <w:trHeight w:val="360"/>
          <w:jc w:val="center"/>
        </w:trPr>
        <w:tc>
          <w:tcPr>
            <w:tcW w:w="2385" w:type="dxa"/>
            <w:vMerge/>
            <w:tcBorders>
              <w:top w:val="nil"/>
              <w:bottom w:val="single" w:sz="2" w:space="0" w:color="auto"/>
              <w:right w:val="single" w:sz="2" w:space="0" w:color="auto"/>
            </w:tcBorders>
            <w:vAlign w:val="center"/>
          </w:tcPr>
          <w:p w14:paraId="17573F18"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91C29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86E0C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0EDAB8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48DB17F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533D56DF"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E563E7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$40,000-$44,999</w:t>
            </w:r>
          </w:p>
        </w:tc>
        <w:tc>
          <w:tcPr>
            <w:tcW w:w="1710" w:type="dxa"/>
            <w:tcBorders>
              <w:top w:val="single" w:sz="2" w:space="0" w:color="auto"/>
              <w:left w:val="single" w:sz="2" w:space="0" w:color="auto"/>
              <w:bottom w:val="nil"/>
              <w:right w:val="single" w:sz="2" w:space="0" w:color="auto"/>
            </w:tcBorders>
            <w:vAlign w:val="bottom"/>
          </w:tcPr>
          <w:p w14:paraId="4DA878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0.404***</w:t>
            </w:r>
          </w:p>
        </w:tc>
        <w:tc>
          <w:tcPr>
            <w:tcW w:w="1980" w:type="dxa"/>
            <w:tcBorders>
              <w:top w:val="single" w:sz="2" w:space="0" w:color="auto"/>
              <w:left w:val="single" w:sz="2" w:space="0" w:color="auto"/>
              <w:bottom w:val="nil"/>
              <w:right w:val="single" w:sz="2" w:space="0" w:color="auto"/>
            </w:tcBorders>
            <w:vAlign w:val="bottom"/>
          </w:tcPr>
          <w:p w14:paraId="5319776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c>
          <w:tcPr>
            <w:tcW w:w="1530" w:type="dxa"/>
            <w:tcBorders>
              <w:top w:val="single" w:sz="2" w:space="0" w:color="auto"/>
              <w:left w:val="single" w:sz="2" w:space="0" w:color="auto"/>
              <w:bottom w:val="nil"/>
              <w:right w:val="single" w:sz="2" w:space="0" w:color="auto"/>
            </w:tcBorders>
            <w:vAlign w:val="bottom"/>
          </w:tcPr>
          <w:p w14:paraId="130784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c>
          <w:tcPr>
            <w:tcW w:w="1601" w:type="dxa"/>
            <w:tcBorders>
              <w:top w:val="single" w:sz="2" w:space="0" w:color="auto"/>
              <w:left w:val="single" w:sz="2" w:space="0" w:color="auto"/>
              <w:bottom w:val="nil"/>
            </w:tcBorders>
            <w:vAlign w:val="bottom"/>
          </w:tcPr>
          <w:p w14:paraId="22708F7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r>
      <w:tr w:rsidR="005F41B4" w:rsidRPr="00AF7C38" w14:paraId="44F75130" w14:textId="77777777" w:rsidTr="00636D03">
        <w:trPr>
          <w:trHeight w:val="360"/>
          <w:jc w:val="center"/>
        </w:trPr>
        <w:tc>
          <w:tcPr>
            <w:tcW w:w="2385" w:type="dxa"/>
            <w:vMerge/>
            <w:tcBorders>
              <w:top w:val="nil"/>
              <w:bottom w:val="single" w:sz="2" w:space="0" w:color="auto"/>
              <w:right w:val="single" w:sz="2" w:space="0" w:color="auto"/>
            </w:tcBorders>
            <w:vAlign w:val="center"/>
          </w:tcPr>
          <w:p w14:paraId="733A8625"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739312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8206F6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F5DA28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630B0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2F53E0D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EF28503"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$45,000-$49,999</w:t>
            </w:r>
          </w:p>
        </w:tc>
        <w:tc>
          <w:tcPr>
            <w:tcW w:w="1710" w:type="dxa"/>
            <w:tcBorders>
              <w:top w:val="single" w:sz="2" w:space="0" w:color="auto"/>
              <w:left w:val="single" w:sz="2" w:space="0" w:color="auto"/>
              <w:bottom w:val="nil"/>
              <w:right w:val="single" w:sz="2" w:space="0" w:color="auto"/>
            </w:tcBorders>
            <w:vAlign w:val="bottom"/>
          </w:tcPr>
          <w:p w14:paraId="18E5B77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0.385***</w:t>
            </w:r>
          </w:p>
        </w:tc>
        <w:tc>
          <w:tcPr>
            <w:tcW w:w="1980" w:type="dxa"/>
            <w:tcBorders>
              <w:top w:val="single" w:sz="2" w:space="0" w:color="auto"/>
              <w:left w:val="single" w:sz="2" w:space="0" w:color="auto"/>
              <w:bottom w:val="nil"/>
              <w:right w:val="single" w:sz="2" w:space="0" w:color="auto"/>
            </w:tcBorders>
            <w:vAlign w:val="bottom"/>
          </w:tcPr>
          <w:p w14:paraId="3FBCB90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c>
          <w:tcPr>
            <w:tcW w:w="1530" w:type="dxa"/>
            <w:tcBorders>
              <w:top w:val="single" w:sz="2" w:space="0" w:color="auto"/>
              <w:left w:val="single" w:sz="2" w:space="0" w:color="auto"/>
              <w:bottom w:val="nil"/>
              <w:right w:val="single" w:sz="2" w:space="0" w:color="auto"/>
            </w:tcBorders>
            <w:vAlign w:val="bottom"/>
          </w:tcPr>
          <w:p w14:paraId="46134F7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c>
          <w:tcPr>
            <w:tcW w:w="1601" w:type="dxa"/>
            <w:tcBorders>
              <w:top w:val="single" w:sz="2" w:space="0" w:color="auto"/>
              <w:left w:val="single" w:sz="2" w:space="0" w:color="auto"/>
              <w:bottom w:val="nil"/>
            </w:tcBorders>
            <w:vAlign w:val="bottom"/>
          </w:tcPr>
          <w:p w14:paraId="6DDC166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r>
      <w:tr w:rsidR="005F41B4" w:rsidRPr="00AF7C38" w14:paraId="266F8A8D" w14:textId="77777777" w:rsidTr="00636D03">
        <w:trPr>
          <w:trHeight w:val="360"/>
          <w:jc w:val="center"/>
        </w:trPr>
        <w:tc>
          <w:tcPr>
            <w:tcW w:w="2385" w:type="dxa"/>
            <w:vMerge/>
            <w:tcBorders>
              <w:top w:val="nil"/>
              <w:bottom w:val="single" w:sz="2" w:space="0" w:color="auto"/>
              <w:right w:val="single" w:sz="2" w:space="0" w:color="auto"/>
            </w:tcBorders>
            <w:vAlign w:val="center"/>
          </w:tcPr>
          <w:p w14:paraId="3FE5117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1DAC92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163EAB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130002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98320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635BDA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230D7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$50,000-$59,999</w:t>
            </w:r>
          </w:p>
        </w:tc>
        <w:tc>
          <w:tcPr>
            <w:tcW w:w="1710" w:type="dxa"/>
            <w:tcBorders>
              <w:top w:val="single" w:sz="2" w:space="0" w:color="auto"/>
              <w:left w:val="single" w:sz="2" w:space="0" w:color="auto"/>
              <w:bottom w:val="nil"/>
              <w:right w:val="single" w:sz="2" w:space="0" w:color="auto"/>
            </w:tcBorders>
            <w:vAlign w:val="bottom"/>
          </w:tcPr>
          <w:p w14:paraId="7BC76B7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0.329***</w:t>
            </w:r>
          </w:p>
        </w:tc>
        <w:tc>
          <w:tcPr>
            <w:tcW w:w="1980" w:type="dxa"/>
            <w:tcBorders>
              <w:top w:val="single" w:sz="2" w:space="0" w:color="auto"/>
              <w:left w:val="single" w:sz="2" w:space="0" w:color="auto"/>
              <w:bottom w:val="nil"/>
              <w:right w:val="single" w:sz="2" w:space="0" w:color="auto"/>
            </w:tcBorders>
            <w:vAlign w:val="bottom"/>
          </w:tcPr>
          <w:p w14:paraId="2C71F0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c>
          <w:tcPr>
            <w:tcW w:w="1530" w:type="dxa"/>
            <w:tcBorders>
              <w:top w:val="single" w:sz="2" w:space="0" w:color="auto"/>
              <w:left w:val="single" w:sz="2" w:space="0" w:color="auto"/>
              <w:bottom w:val="nil"/>
              <w:right w:val="single" w:sz="2" w:space="0" w:color="auto"/>
            </w:tcBorders>
            <w:vAlign w:val="bottom"/>
          </w:tcPr>
          <w:p w14:paraId="2A19FAC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c>
          <w:tcPr>
            <w:tcW w:w="1601" w:type="dxa"/>
            <w:tcBorders>
              <w:top w:val="single" w:sz="2" w:space="0" w:color="auto"/>
              <w:left w:val="single" w:sz="2" w:space="0" w:color="auto"/>
              <w:bottom w:val="nil"/>
            </w:tcBorders>
            <w:vAlign w:val="bottom"/>
          </w:tcPr>
          <w:p w14:paraId="41B5602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r>
      <w:tr w:rsidR="005F41B4" w:rsidRPr="00AF7C38" w14:paraId="651BB4B5" w14:textId="77777777" w:rsidTr="00636D03">
        <w:trPr>
          <w:trHeight w:val="360"/>
          <w:jc w:val="center"/>
        </w:trPr>
        <w:tc>
          <w:tcPr>
            <w:tcW w:w="2385" w:type="dxa"/>
            <w:vMerge/>
            <w:tcBorders>
              <w:top w:val="nil"/>
              <w:bottom w:val="single" w:sz="2" w:space="0" w:color="auto"/>
              <w:right w:val="single" w:sz="2" w:space="0" w:color="auto"/>
            </w:tcBorders>
            <w:vAlign w:val="center"/>
          </w:tcPr>
          <w:p w14:paraId="36B9D6E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2766C4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425C6F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8501C9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465EC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AA7EA1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2F0757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$60,000-69,999</w:t>
            </w:r>
          </w:p>
        </w:tc>
        <w:tc>
          <w:tcPr>
            <w:tcW w:w="1710" w:type="dxa"/>
            <w:tcBorders>
              <w:top w:val="single" w:sz="2" w:space="0" w:color="auto"/>
              <w:left w:val="single" w:sz="2" w:space="0" w:color="auto"/>
              <w:bottom w:val="nil"/>
              <w:right w:val="single" w:sz="2" w:space="0" w:color="auto"/>
            </w:tcBorders>
            <w:vAlign w:val="bottom"/>
          </w:tcPr>
          <w:p w14:paraId="0DD858A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0.303***</w:t>
            </w:r>
          </w:p>
        </w:tc>
        <w:tc>
          <w:tcPr>
            <w:tcW w:w="1980" w:type="dxa"/>
            <w:tcBorders>
              <w:top w:val="single" w:sz="2" w:space="0" w:color="auto"/>
              <w:left w:val="single" w:sz="2" w:space="0" w:color="auto"/>
              <w:bottom w:val="nil"/>
              <w:right w:val="single" w:sz="2" w:space="0" w:color="auto"/>
            </w:tcBorders>
            <w:vAlign w:val="bottom"/>
          </w:tcPr>
          <w:p w14:paraId="3FCD34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c>
          <w:tcPr>
            <w:tcW w:w="1530" w:type="dxa"/>
            <w:tcBorders>
              <w:top w:val="single" w:sz="2" w:space="0" w:color="auto"/>
              <w:left w:val="single" w:sz="2" w:space="0" w:color="auto"/>
              <w:bottom w:val="nil"/>
              <w:right w:val="single" w:sz="2" w:space="0" w:color="auto"/>
            </w:tcBorders>
            <w:vAlign w:val="bottom"/>
          </w:tcPr>
          <w:p w14:paraId="3E60A01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c>
          <w:tcPr>
            <w:tcW w:w="1601" w:type="dxa"/>
            <w:tcBorders>
              <w:top w:val="single" w:sz="2" w:space="0" w:color="auto"/>
              <w:left w:val="single" w:sz="2" w:space="0" w:color="auto"/>
              <w:bottom w:val="nil"/>
            </w:tcBorders>
            <w:vAlign w:val="bottom"/>
          </w:tcPr>
          <w:p w14:paraId="1BEBA86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r>
      <w:tr w:rsidR="005F41B4" w:rsidRPr="00AF7C38" w14:paraId="6CF50300" w14:textId="77777777" w:rsidTr="00636D03">
        <w:trPr>
          <w:trHeight w:val="360"/>
          <w:jc w:val="center"/>
        </w:trPr>
        <w:tc>
          <w:tcPr>
            <w:tcW w:w="2385" w:type="dxa"/>
            <w:vMerge/>
            <w:tcBorders>
              <w:top w:val="nil"/>
              <w:bottom w:val="single" w:sz="2" w:space="0" w:color="auto"/>
              <w:right w:val="single" w:sz="2" w:space="0" w:color="auto"/>
            </w:tcBorders>
            <w:vAlign w:val="center"/>
          </w:tcPr>
          <w:p w14:paraId="56CBF4B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97880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EDCFA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E89C07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5A9C4F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FE9E02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E8112B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$70,000-$79,999</w:t>
            </w:r>
          </w:p>
        </w:tc>
        <w:tc>
          <w:tcPr>
            <w:tcW w:w="1710" w:type="dxa"/>
            <w:tcBorders>
              <w:top w:val="single" w:sz="2" w:space="0" w:color="auto"/>
              <w:left w:val="single" w:sz="2" w:space="0" w:color="auto"/>
              <w:bottom w:val="nil"/>
              <w:right w:val="single" w:sz="2" w:space="0" w:color="auto"/>
            </w:tcBorders>
            <w:vAlign w:val="bottom"/>
          </w:tcPr>
          <w:p w14:paraId="08B77F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980" w:type="dxa"/>
            <w:tcBorders>
              <w:top w:val="single" w:sz="2" w:space="0" w:color="auto"/>
              <w:left w:val="single" w:sz="2" w:space="0" w:color="auto"/>
              <w:bottom w:val="nil"/>
              <w:right w:val="single" w:sz="2" w:space="0" w:color="auto"/>
            </w:tcBorders>
            <w:vAlign w:val="bottom"/>
          </w:tcPr>
          <w:p w14:paraId="029F372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530" w:type="dxa"/>
            <w:tcBorders>
              <w:top w:val="single" w:sz="2" w:space="0" w:color="auto"/>
              <w:left w:val="single" w:sz="2" w:space="0" w:color="auto"/>
              <w:bottom w:val="nil"/>
              <w:right w:val="single" w:sz="2" w:space="0" w:color="auto"/>
            </w:tcBorders>
            <w:vAlign w:val="bottom"/>
          </w:tcPr>
          <w:p w14:paraId="3112ED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601" w:type="dxa"/>
            <w:tcBorders>
              <w:top w:val="single" w:sz="2" w:space="0" w:color="auto"/>
              <w:left w:val="single" w:sz="2" w:space="0" w:color="auto"/>
              <w:bottom w:val="nil"/>
            </w:tcBorders>
            <w:vAlign w:val="bottom"/>
          </w:tcPr>
          <w:p w14:paraId="3E2802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r>
      <w:tr w:rsidR="005F41B4" w:rsidRPr="00AF7C38" w14:paraId="60FEED25" w14:textId="77777777" w:rsidTr="00636D03">
        <w:trPr>
          <w:trHeight w:val="360"/>
          <w:jc w:val="center"/>
        </w:trPr>
        <w:tc>
          <w:tcPr>
            <w:tcW w:w="2385" w:type="dxa"/>
            <w:vMerge/>
            <w:tcBorders>
              <w:top w:val="nil"/>
              <w:bottom w:val="single" w:sz="2" w:space="0" w:color="auto"/>
              <w:right w:val="single" w:sz="2" w:space="0" w:color="auto"/>
            </w:tcBorders>
            <w:vAlign w:val="center"/>
          </w:tcPr>
          <w:p w14:paraId="6A483E42"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8955D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FB03B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6E4C8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1F4376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7B1B2ED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EDC862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$80,000-$89,999</w:t>
            </w:r>
          </w:p>
        </w:tc>
        <w:tc>
          <w:tcPr>
            <w:tcW w:w="1710" w:type="dxa"/>
            <w:tcBorders>
              <w:top w:val="single" w:sz="2" w:space="0" w:color="auto"/>
              <w:left w:val="single" w:sz="2" w:space="0" w:color="auto"/>
              <w:bottom w:val="nil"/>
              <w:right w:val="single" w:sz="2" w:space="0" w:color="auto"/>
            </w:tcBorders>
            <w:vAlign w:val="bottom"/>
          </w:tcPr>
          <w:p w14:paraId="5D13343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0.211***</w:t>
            </w:r>
          </w:p>
        </w:tc>
        <w:tc>
          <w:tcPr>
            <w:tcW w:w="1980" w:type="dxa"/>
            <w:tcBorders>
              <w:top w:val="single" w:sz="2" w:space="0" w:color="auto"/>
              <w:left w:val="single" w:sz="2" w:space="0" w:color="auto"/>
              <w:bottom w:val="nil"/>
              <w:right w:val="single" w:sz="2" w:space="0" w:color="auto"/>
            </w:tcBorders>
            <w:vAlign w:val="bottom"/>
          </w:tcPr>
          <w:p w14:paraId="44C849E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c>
          <w:tcPr>
            <w:tcW w:w="1530" w:type="dxa"/>
            <w:tcBorders>
              <w:top w:val="single" w:sz="2" w:space="0" w:color="auto"/>
              <w:left w:val="single" w:sz="2" w:space="0" w:color="auto"/>
              <w:bottom w:val="nil"/>
              <w:right w:val="single" w:sz="2" w:space="0" w:color="auto"/>
            </w:tcBorders>
            <w:vAlign w:val="bottom"/>
          </w:tcPr>
          <w:p w14:paraId="52C8D84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c>
          <w:tcPr>
            <w:tcW w:w="1601" w:type="dxa"/>
            <w:tcBorders>
              <w:top w:val="single" w:sz="2" w:space="0" w:color="auto"/>
              <w:left w:val="single" w:sz="2" w:space="0" w:color="auto"/>
              <w:bottom w:val="nil"/>
            </w:tcBorders>
            <w:vAlign w:val="bottom"/>
          </w:tcPr>
          <w:p w14:paraId="7E1EB53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r>
      <w:tr w:rsidR="005F41B4" w:rsidRPr="00AF7C38" w14:paraId="3ECE8037" w14:textId="77777777" w:rsidTr="00636D03">
        <w:trPr>
          <w:trHeight w:val="360"/>
          <w:jc w:val="center"/>
        </w:trPr>
        <w:tc>
          <w:tcPr>
            <w:tcW w:w="2385" w:type="dxa"/>
            <w:vMerge/>
            <w:tcBorders>
              <w:top w:val="nil"/>
              <w:bottom w:val="single" w:sz="2" w:space="0" w:color="auto"/>
              <w:right w:val="single" w:sz="2" w:space="0" w:color="auto"/>
            </w:tcBorders>
            <w:vAlign w:val="center"/>
          </w:tcPr>
          <w:p w14:paraId="5CE0AD9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26F8E2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CAE7A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C9455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1AE17A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22EC59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319A54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$90,000-$99,999</w:t>
            </w:r>
          </w:p>
        </w:tc>
        <w:tc>
          <w:tcPr>
            <w:tcW w:w="1710" w:type="dxa"/>
            <w:tcBorders>
              <w:top w:val="single" w:sz="2" w:space="0" w:color="auto"/>
              <w:left w:val="single" w:sz="2" w:space="0" w:color="auto"/>
              <w:bottom w:val="nil"/>
              <w:right w:val="single" w:sz="2" w:space="0" w:color="auto"/>
            </w:tcBorders>
            <w:vAlign w:val="bottom"/>
          </w:tcPr>
          <w:p w14:paraId="59E78D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980" w:type="dxa"/>
            <w:tcBorders>
              <w:top w:val="single" w:sz="2" w:space="0" w:color="auto"/>
              <w:left w:val="single" w:sz="2" w:space="0" w:color="auto"/>
              <w:bottom w:val="nil"/>
              <w:right w:val="single" w:sz="2" w:space="0" w:color="auto"/>
            </w:tcBorders>
            <w:vAlign w:val="bottom"/>
          </w:tcPr>
          <w:p w14:paraId="23333F1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530" w:type="dxa"/>
            <w:tcBorders>
              <w:top w:val="single" w:sz="2" w:space="0" w:color="auto"/>
              <w:left w:val="single" w:sz="2" w:space="0" w:color="auto"/>
              <w:bottom w:val="nil"/>
              <w:right w:val="single" w:sz="2" w:space="0" w:color="auto"/>
            </w:tcBorders>
            <w:vAlign w:val="bottom"/>
          </w:tcPr>
          <w:p w14:paraId="0007A73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601" w:type="dxa"/>
            <w:tcBorders>
              <w:top w:val="single" w:sz="2" w:space="0" w:color="auto"/>
              <w:left w:val="single" w:sz="2" w:space="0" w:color="auto"/>
              <w:bottom w:val="nil"/>
            </w:tcBorders>
            <w:vAlign w:val="bottom"/>
          </w:tcPr>
          <w:p w14:paraId="40A62D9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r>
      <w:tr w:rsidR="005F41B4" w:rsidRPr="00AF7C38" w14:paraId="0F76F8C9" w14:textId="77777777" w:rsidTr="00636D03">
        <w:trPr>
          <w:trHeight w:val="360"/>
          <w:jc w:val="center"/>
        </w:trPr>
        <w:tc>
          <w:tcPr>
            <w:tcW w:w="2385" w:type="dxa"/>
            <w:vMerge/>
            <w:tcBorders>
              <w:top w:val="nil"/>
              <w:bottom w:val="single" w:sz="2" w:space="0" w:color="auto"/>
              <w:right w:val="single" w:sz="2" w:space="0" w:color="auto"/>
            </w:tcBorders>
            <w:vAlign w:val="center"/>
          </w:tcPr>
          <w:p w14:paraId="175EA532"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4F42E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69F4B3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814F0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66298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B1E100E"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232F95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$100,000-$109,999</w:t>
            </w:r>
          </w:p>
        </w:tc>
        <w:tc>
          <w:tcPr>
            <w:tcW w:w="1710" w:type="dxa"/>
            <w:tcBorders>
              <w:top w:val="single" w:sz="2" w:space="0" w:color="auto"/>
              <w:left w:val="single" w:sz="2" w:space="0" w:color="auto"/>
              <w:bottom w:val="nil"/>
              <w:right w:val="single" w:sz="2" w:space="0" w:color="auto"/>
            </w:tcBorders>
            <w:vAlign w:val="bottom"/>
          </w:tcPr>
          <w:p w14:paraId="589402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0.192***</w:t>
            </w:r>
          </w:p>
        </w:tc>
        <w:tc>
          <w:tcPr>
            <w:tcW w:w="1980" w:type="dxa"/>
            <w:tcBorders>
              <w:top w:val="single" w:sz="2" w:space="0" w:color="auto"/>
              <w:left w:val="single" w:sz="2" w:space="0" w:color="auto"/>
              <w:bottom w:val="nil"/>
              <w:right w:val="single" w:sz="2" w:space="0" w:color="auto"/>
            </w:tcBorders>
            <w:vAlign w:val="bottom"/>
          </w:tcPr>
          <w:p w14:paraId="412553F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c>
          <w:tcPr>
            <w:tcW w:w="1530" w:type="dxa"/>
            <w:tcBorders>
              <w:top w:val="single" w:sz="2" w:space="0" w:color="auto"/>
              <w:left w:val="single" w:sz="2" w:space="0" w:color="auto"/>
              <w:bottom w:val="nil"/>
              <w:right w:val="single" w:sz="2" w:space="0" w:color="auto"/>
            </w:tcBorders>
            <w:vAlign w:val="bottom"/>
          </w:tcPr>
          <w:p w14:paraId="5012103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c>
          <w:tcPr>
            <w:tcW w:w="1601" w:type="dxa"/>
            <w:tcBorders>
              <w:top w:val="single" w:sz="2" w:space="0" w:color="auto"/>
              <w:left w:val="single" w:sz="2" w:space="0" w:color="auto"/>
              <w:bottom w:val="nil"/>
            </w:tcBorders>
            <w:vAlign w:val="bottom"/>
          </w:tcPr>
          <w:p w14:paraId="60056C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r>
      <w:tr w:rsidR="005F41B4" w:rsidRPr="00AF7C38" w14:paraId="43429987" w14:textId="77777777" w:rsidTr="00636D03">
        <w:trPr>
          <w:trHeight w:val="328"/>
          <w:jc w:val="center"/>
        </w:trPr>
        <w:tc>
          <w:tcPr>
            <w:tcW w:w="2385" w:type="dxa"/>
            <w:vMerge/>
            <w:tcBorders>
              <w:top w:val="nil"/>
              <w:bottom w:val="single" w:sz="2" w:space="0" w:color="auto"/>
              <w:right w:val="single" w:sz="2" w:space="0" w:color="auto"/>
            </w:tcBorders>
            <w:vAlign w:val="center"/>
          </w:tcPr>
          <w:p w14:paraId="5B5ABD3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31A59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4EC22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1EB62D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4E3ADD2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72B0C63" w14:textId="77777777" w:rsidTr="00636D03">
        <w:trPr>
          <w:cantSplit/>
          <w:trHeight w:val="360"/>
          <w:jc w:val="center"/>
        </w:trPr>
        <w:tc>
          <w:tcPr>
            <w:tcW w:w="2385" w:type="dxa"/>
            <w:vMerge w:val="restart"/>
            <w:tcBorders>
              <w:top w:val="single" w:sz="2" w:space="0" w:color="auto"/>
              <w:bottom w:val="nil"/>
              <w:right w:val="single" w:sz="2" w:space="0" w:color="auto"/>
            </w:tcBorders>
            <w:vAlign w:val="center"/>
          </w:tcPr>
          <w:p w14:paraId="6D0895A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$110,000-$119,999</w:t>
            </w:r>
          </w:p>
        </w:tc>
        <w:tc>
          <w:tcPr>
            <w:tcW w:w="1710" w:type="dxa"/>
            <w:tcBorders>
              <w:top w:val="single" w:sz="2" w:space="0" w:color="auto"/>
              <w:left w:val="single" w:sz="2" w:space="0" w:color="auto"/>
              <w:bottom w:val="nil"/>
              <w:right w:val="single" w:sz="2" w:space="0" w:color="auto"/>
            </w:tcBorders>
            <w:vAlign w:val="bottom"/>
          </w:tcPr>
          <w:p w14:paraId="7D61F7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0.175***</w:t>
            </w:r>
          </w:p>
        </w:tc>
        <w:tc>
          <w:tcPr>
            <w:tcW w:w="1980" w:type="dxa"/>
            <w:tcBorders>
              <w:top w:val="single" w:sz="2" w:space="0" w:color="auto"/>
              <w:left w:val="single" w:sz="2" w:space="0" w:color="auto"/>
              <w:bottom w:val="nil"/>
              <w:right w:val="single" w:sz="2" w:space="0" w:color="auto"/>
            </w:tcBorders>
            <w:vAlign w:val="bottom"/>
          </w:tcPr>
          <w:p w14:paraId="32681A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c>
          <w:tcPr>
            <w:tcW w:w="1530" w:type="dxa"/>
            <w:tcBorders>
              <w:top w:val="single" w:sz="2" w:space="0" w:color="auto"/>
              <w:left w:val="single" w:sz="2" w:space="0" w:color="auto"/>
              <w:bottom w:val="nil"/>
              <w:right w:val="single" w:sz="2" w:space="0" w:color="auto"/>
            </w:tcBorders>
            <w:vAlign w:val="bottom"/>
          </w:tcPr>
          <w:p w14:paraId="5EDA86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c>
          <w:tcPr>
            <w:tcW w:w="1601" w:type="dxa"/>
            <w:tcBorders>
              <w:top w:val="single" w:sz="2" w:space="0" w:color="auto"/>
              <w:left w:val="single" w:sz="2" w:space="0" w:color="auto"/>
              <w:bottom w:val="nil"/>
            </w:tcBorders>
            <w:vAlign w:val="bottom"/>
          </w:tcPr>
          <w:p w14:paraId="0060A8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r>
      <w:tr w:rsidR="005F41B4" w:rsidRPr="00AF7C38" w14:paraId="739D7818" w14:textId="77777777" w:rsidTr="001E6AF0">
        <w:trPr>
          <w:trHeight w:val="666"/>
          <w:jc w:val="center"/>
        </w:trPr>
        <w:tc>
          <w:tcPr>
            <w:tcW w:w="2385" w:type="dxa"/>
            <w:vMerge/>
            <w:tcBorders>
              <w:top w:val="nil"/>
              <w:bottom w:val="single" w:sz="2" w:space="0" w:color="auto"/>
              <w:right w:val="single" w:sz="2" w:space="0" w:color="auto"/>
            </w:tcBorders>
            <w:vAlign w:val="center"/>
          </w:tcPr>
          <w:p w14:paraId="6986E5D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72B5F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5F9604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AEF186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187D90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432CA43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B152468"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$120,000-$129,999</w:t>
            </w:r>
          </w:p>
        </w:tc>
        <w:tc>
          <w:tcPr>
            <w:tcW w:w="1710" w:type="dxa"/>
            <w:tcBorders>
              <w:top w:val="single" w:sz="2" w:space="0" w:color="auto"/>
              <w:left w:val="single" w:sz="2" w:space="0" w:color="auto"/>
              <w:bottom w:val="nil"/>
              <w:right w:val="single" w:sz="2" w:space="0" w:color="auto"/>
            </w:tcBorders>
            <w:vAlign w:val="bottom"/>
          </w:tcPr>
          <w:p w14:paraId="75229500"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0.164***</w:t>
            </w:r>
          </w:p>
        </w:tc>
        <w:tc>
          <w:tcPr>
            <w:tcW w:w="1980" w:type="dxa"/>
            <w:tcBorders>
              <w:top w:val="single" w:sz="2" w:space="0" w:color="auto"/>
              <w:left w:val="single" w:sz="2" w:space="0" w:color="auto"/>
              <w:bottom w:val="nil"/>
              <w:right w:val="single" w:sz="2" w:space="0" w:color="auto"/>
            </w:tcBorders>
            <w:vAlign w:val="bottom"/>
          </w:tcPr>
          <w:p w14:paraId="4ABB1E81"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c>
          <w:tcPr>
            <w:tcW w:w="1530" w:type="dxa"/>
            <w:tcBorders>
              <w:top w:val="single" w:sz="2" w:space="0" w:color="auto"/>
              <w:left w:val="single" w:sz="2" w:space="0" w:color="auto"/>
              <w:bottom w:val="nil"/>
              <w:right w:val="single" w:sz="2" w:space="0" w:color="auto"/>
            </w:tcBorders>
            <w:vAlign w:val="bottom"/>
          </w:tcPr>
          <w:p w14:paraId="078E1E4C"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c>
          <w:tcPr>
            <w:tcW w:w="1601" w:type="dxa"/>
            <w:tcBorders>
              <w:top w:val="single" w:sz="2" w:space="0" w:color="auto"/>
              <w:left w:val="single" w:sz="2" w:space="0" w:color="auto"/>
              <w:bottom w:val="nil"/>
            </w:tcBorders>
            <w:vAlign w:val="bottom"/>
          </w:tcPr>
          <w:p w14:paraId="722CFE82"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r>
      <w:tr w:rsidR="005F41B4" w:rsidRPr="003F4E2B" w14:paraId="054AD2A9" w14:textId="77777777" w:rsidTr="00636D03">
        <w:trPr>
          <w:trHeight w:val="360"/>
          <w:jc w:val="center"/>
        </w:trPr>
        <w:tc>
          <w:tcPr>
            <w:tcW w:w="2385" w:type="dxa"/>
            <w:vMerge/>
            <w:tcBorders>
              <w:top w:val="nil"/>
              <w:bottom w:val="single" w:sz="2" w:space="0" w:color="auto"/>
              <w:right w:val="single" w:sz="2" w:space="0" w:color="auto"/>
            </w:tcBorders>
            <w:vAlign w:val="center"/>
          </w:tcPr>
          <w:p w14:paraId="22A45D26"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69630C2"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AD92D90"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8B5B1CD"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D72B9B3"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2E89179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2804D93"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$130,000 or more</w:t>
            </w:r>
          </w:p>
        </w:tc>
        <w:tc>
          <w:tcPr>
            <w:tcW w:w="1710" w:type="dxa"/>
            <w:tcBorders>
              <w:top w:val="single" w:sz="2" w:space="0" w:color="auto"/>
              <w:left w:val="single" w:sz="2" w:space="0" w:color="auto"/>
              <w:bottom w:val="nil"/>
              <w:right w:val="single" w:sz="2" w:space="0" w:color="auto"/>
            </w:tcBorders>
            <w:vAlign w:val="bottom"/>
          </w:tcPr>
          <w:p w14:paraId="2F2CD26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0.123***</w:t>
            </w:r>
          </w:p>
        </w:tc>
        <w:tc>
          <w:tcPr>
            <w:tcW w:w="1980" w:type="dxa"/>
            <w:tcBorders>
              <w:top w:val="single" w:sz="2" w:space="0" w:color="auto"/>
              <w:left w:val="single" w:sz="2" w:space="0" w:color="auto"/>
              <w:bottom w:val="nil"/>
              <w:right w:val="single" w:sz="2" w:space="0" w:color="auto"/>
            </w:tcBorders>
            <w:vAlign w:val="bottom"/>
          </w:tcPr>
          <w:p w14:paraId="658F7BC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c>
          <w:tcPr>
            <w:tcW w:w="1530" w:type="dxa"/>
            <w:tcBorders>
              <w:top w:val="single" w:sz="2" w:space="0" w:color="auto"/>
              <w:left w:val="single" w:sz="2" w:space="0" w:color="auto"/>
              <w:bottom w:val="nil"/>
              <w:right w:val="single" w:sz="2" w:space="0" w:color="auto"/>
            </w:tcBorders>
            <w:vAlign w:val="bottom"/>
          </w:tcPr>
          <w:p w14:paraId="4C8C3F0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c>
          <w:tcPr>
            <w:tcW w:w="1601" w:type="dxa"/>
            <w:tcBorders>
              <w:top w:val="single" w:sz="2" w:space="0" w:color="auto"/>
              <w:left w:val="single" w:sz="2" w:space="0" w:color="auto"/>
              <w:bottom w:val="nil"/>
            </w:tcBorders>
            <w:vAlign w:val="bottom"/>
          </w:tcPr>
          <w:p w14:paraId="3B5B098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r>
      <w:tr w:rsidR="005F41B4" w:rsidRPr="003F4E2B" w14:paraId="1BF226A0" w14:textId="77777777" w:rsidTr="00636D03">
        <w:trPr>
          <w:trHeight w:val="360"/>
          <w:jc w:val="center"/>
        </w:trPr>
        <w:tc>
          <w:tcPr>
            <w:tcW w:w="2385" w:type="dxa"/>
            <w:vMerge/>
            <w:tcBorders>
              <w:top w:val="nil"/>
              <w:bottom w:val="single" w:sz="2" w:space="0" w:color="auto"/>
              <w:right w:val="single" w:sz="2" w:space="0" w:color="auto"/>
            </w:tcBorders>
            <w:vAlign w:val="center"/>
          </w:tcPr>
          <w:p w14:paraId="5C5A173A"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739E81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3894991"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4D814A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09CD70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D3777F" w:rsidRPr="003F4E2B" w14:paraId="5A307A6D" w14:textId="77777777" w:rsidTr="00636D03">
        <w:trPr>
          <w:trHeight w:val="360"/>
          <w:jc w:val="center"/>
        </w:trPr>
        <w:tc>
          <w:tcPr>
            <w:tcW w:w="6075" w:type="dxa"/>
            <w:gridSpan w:val="3"/>
            <w:tcBorders>
              <w:top w:val="single" w:sz="2" w:space="0" w:color="auto"/>
              <w:bottom w:val="single" w:sz="2" w:space="0" w:color="auto"/>
            </w:tcBorders>
            <w:vAlign w:val="bottom"/>
          </w:tcPr>
          <w:p w14:paraId="33C07E00" w14:textId="77777777" w:rsidR="00D3777F" w:rsidRPr="00973478" w:rsidRDefault="00D3777F" w:rsidP="00162D3C">
            <w:pPr>
              <w:pStyle w:val="BodyText"/>
              <w:keepNext/>
              <w:numPr>
                <w:ilvl w:val="0"/>
                <w:numId w:val="0"/>
              </w:numPr>
              <w:tabs>
                <w:tab w:val="num" w:pos="1080"/>
              </w:tabs>
              <w:spacing w:line="240" w:lineRule="auto"/>
              <w:rPr>
                <w:rStyle w:val="Emphasis"/>
              </w:rPr>
            </w:pPr>
            <w:r w:rsidRPr="00973478">
              <w:rPr>
                <w:rStyle w:val="Emphasis"/>
              </w:rPr>
              <w:t>State/Territory (Reference Category: Victoria)</w:t>
            </w:r>
          </w:p>
        </w:tc>
        <w:tc>
          <w:tcPr>
            <w:tcW w:w="1530" w:type="dxa"/>
            <w:tcBorders>
              <w:top w:val="single" w:sz="2" w:space="0" w:color="auto"/>
              <w:bottom w:val="single" w:sz="2" w:space="0" w:color="auto"/>
            </w:tcBorders>
          </w:tcPr>
          <w:p w14:paraId="7AAE9BFA" w14:textId="77777777" w:rsidR="00D3777F" w:rsidRPr="003F4E2B" w:rsidRDefault="00D3777F"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tcPr>
          <w:p w14:paraId="17A2C371" w14:textId="77777777" w:rsidR="00D3777F" w:rsidRPr="003F4E2B" w:rsidRDefault="00D3777F" w:rsidP="005F41B4">
            <w:pPr>
              <w:pStyle w:val="BodyText"/>
              <w:keepNext/>
              <w:numPr>
                <w:ilvl w:val="0"/>
                <w:numId w:val="0"/>
              </w:numPr>
              <w:tabs>
                <w:tab w:val="num" w:pos="1080"/>
              </w:tabs>
              <w:spacing w:line="240" w:lineRule="auto"/>
              <w:jc w:val="center"/>
              <w:rPr>
                <w:color w:val="000000"/>
                <w:sz w:val="22"/>
                <w:szCs w:val="22"/>
              </w:rPr>
            </w:pPr>
          </w:p>
        </w:tc>
      </w:tr>
      <w:tr w:rsidR="005F41B4" w:rsidRPr="003F4E2B" w14:paraId="59689848"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0D5802B"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New South Wales</w:t>
            </w:r>
          </w:p>
        </w:tc>
        <w:tc>
          <w:tcPr>
            <w:tcW w:w="1710" w:type="dxa"/>
            <w:tcBorders>
              <w:top w:val="single" w:sz="2" w:space="0" w:color="auto"/>
              <w:left w:val="single" w:sz="2" w:space="0" w:color="auto"/>
              <w:bottom w:val="nil"/>
              <w:right w:val="single" w:sz="2" w:space="0" w:color="auto"/>
            </w:tcBorders>
            <w:vAlign w:val="bottom"/>
          </w:tcPr>
          <w:p w14:paraId="69A2998E"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-0.0356***</w:t>
            </w:r>
          </w:p>
        </w:tc>
        <w:tc>
          <w:tcPr>
            <w:tcW w:w="1980" w:type="dxa"/>
            <w:tcBorders>
              <w:top w:val="single" w:sz="2" w:space="0" w:color="auto"/>
              <w:left w:val="single" w:sz="2" w:space="0" w:color="auto"/>
              <w:bottom w:val="nil"/>
              <w:right w:val="single" w:sz="2" w:space="0" w:color="auto"/>
            </w:tcBorders>
            <w:vAlign w:val="bottom"/>
          </w:tcPr>
          <w:p w14:paraId="1DE9D5A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530" w:type="dxa"/>
            <w:tcBorders>
              <w:top w:val="single" w:sz="2" w:space="0" w:color="auto"/>
              <w:left w:val="single" w:sz="2" w:space="0" w:color="auto"/>
              <w:bottom w:val="nil"/>
              <w:right w:val="single" w:sz="2" w:space="0" w:color="auto"/>
            </w:tcBorders>
            <w:vAlign w:val="bottom"/>
          </w:tcPr>
          <w:p w14:paraId="2EB6EF5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601" w:type="dxa"/>
            <w:tcBorders>
              <w:top w:val="single" w:sz="2" w:space="0" w:color="auto"/>
              <w:left w:val="single" w:sz="2" w:space="0" w:color="auto"/>
              <w:bottom w:val="nil"/>
            </w:tcBorders>
            <w:vAlign w:val="bottom"/>
          </w:tcPr>
          <w:p w14:paraId="3B08BDD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r>
      <w:tr w:rsidR="005F41B4" w:rsidRPr="003F4E2B" w14:paraId="64043225" w14:textId="77777777" w:rsidTr="00636D03">
        <w:trPr>
          <w:trHeight w:val="360"/>
          <w:jc w:val="center"/>
        </w:trPr>
        <w:tc>
          <w:tcPr>
            <w:tcW w:w="2385" w:type="dxa"/>
            <w:vMerge/>
            <w:tcBorders>
              <w:top w:val="nil"/>
              <w:bottom w:val="single" w:sz="2" w:space="0" w:color="auto"/>
              <w:right w:val="single" w:sz="2" w:space="0" w:color="auto"/>
            </w:tcBorders>
            <w:vAlign w:val="center"/>
          </w:tcPr>
          <w:p w14:paraId="1CA6E98F"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A5ADFE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B4C694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D70744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E29C8A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52225AA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004901C"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Queensland</w:t>
            </w:r>
          </w:p>
        </w:tc>
        <w:tc>
          <w:tcPr>
            <w:tcW w:w="1710" w:type="dxa"/>
            <w:tcBorders>
              <w:top w:val="single" w:sz="2" w:space="0" w:color="auto"/>
              <w:left w:val="single" w:sz="2" w:space="0" w:color="auto"/>
              <w:bottom w:val="nil"/>
              <w:right w:val="single" w:sz="2" w:space="0" w:color="auto"/>
            </w:tcBorders>
            <w:vAlign w:val="bottom"/>
          </w:tcPr>
          <w:p w14:paraId="1A192D6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0.0281***</w:t>
            </w:r>
          </w:p>
        </w:tc>
        <w:tc>
          <w:tcPr>
            <w:tcW w:w="1980" w:type="dxa"/>
            <w:tcBorders>
              <w:top w:val="single" w:sz="2" w:space="0" w:color="auto"/>
              <w:left w:val="single" w:sz="2" w:space="0" w:color="auto"/>
              <w:bottom w:val="nil"/>
              <w:right w:val="single" w:sz="2" w:space="0" w:color="auto"/>
            </w:tcBorders>
            <w:vAlign w:val="bottom"/>
          </w:tcPr>
          <w:p w14:paraId="52EFC13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c>
          <w:tcPr>
            <w:tcW w:w="1530" w:type="dxa"/>
            <w:tcBorders>
              <w:top w:val="single" w:sz="2" w:space="0" w:color="auto"/>
              <w:left w:val="single" w:sz="2" w:space="0" w:color="auto"/>
              <w:bottom w:val="nil"/>
              <w:right w:val="single" w:sz="2" w:space="0" w:color="auto"/>
            </w:tcBorders>
            <w:vAlign w:val="bottom"/>
          </w:tcPr>
          <w:p w14:paraId="52D3BA3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c>
          <w:tcPr>
            <w:tcW w:w="1601" w:type="dxa"/>
            <w:tcBorders>
              <w:top w:val="single" w:sz="2" w:space="0" w:color="auto"/>
              <w:left w:val="single" w:sz="2" w:space="0" w:color="auto"/>
              <w:bottom w:val="nil"/>
            </w:tcBorders>
            <w:vAlign w:val="bottom"/>
          </w:tcPr>
          <w:p w14:paraId="1F9C818A"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r>
      <w:tr w:rsidR="005F41B4" w:rsidRPr="003F4E2B" w14:paraId="07F652E7" w14:textId="77777777" w:rsidTr="00636D03">
        <w:trPr>
          <w:trHeight w:val="360"/>
          <w:jc w:val="center"/>
        </w:trPr>
        <w:tc>
          <w:tcPr>
            <w:tcW w:w="2385" w:type="dxa"/>
            <w:vMerge/>
            <w:tcBorders>
              <w:top w:val="nil"/>
              <w:bottom w:val="single" w:sz="2" w:space="0" w:color="auto"/>
              <w:right w:val="single" w:sz="2" w:space="0" w:color="auto"/>
            </w:tcBorders>
            <w:vAlign w:val="center"/>
          </w:tcPr>
          <w:p w14:paraId="0AFBC7FB"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833947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DD3807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5F4D43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C7DFA4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4B5270E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E6CCE61"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South Australia</w:t>
            </w:r>
          </w:p>
        </w:tc>
        <w:tc>
          <w:tcPr>
            <w:tcW w:w="1710" w:type="dxa"/>
            <w:tcBorders>
              <w:top w:val="single" w:sz="2" w:space="0" w:color="auto"/>
              <w:left w:val="single" w:sz="2" w:space="0" w:color="auto"/>
              <w:bottom w:val="nil"/>
              <w:right w:val="single" w:sz="2" w:space="0" w:color="auto"/>
            </w:tcBorders>
            <w:vAlign w:val="bottom"/>
          </w:tcPr>
          <w:p w14:paraId="7F361F1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-0.0042</w:t>
            </w:r>
          </w:p>
        </w:tc>
        <w:tc>
          <w:tcPr>
            <w:tcW w:w="1980" w:type="dxa"/>
            <w:tcBorders>
              <w:top w:val="single" w:sz="2" w:space="0" w:color="auto"/>
              <w:left w:val="single" w:sz="2" w:space="0" w:color="auto"/>
              <w:bottom w:val="nil"/>
              <w:right w:val="single" w:sz="2" w:space="0" w:color="auto"/>
            </w:tcBorders>
            <w:vAlign w:val="bottom"/>
          </w:tcPr>
          <w:p w14:paraId="5A5312D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c>
          <w:tcPr>
            <w:tcW w:w="1530" w:type="dxa"/>
            <w:tcBorders>
              <w:top w:val="single" w:sz="2" w:space="0" w:color="auto"/>
              <w:left w:val="single" w:sz="2" w:space="0" w:color="auto"/>
              <w:bottom w:val="nil"/>
              <w:right w:val="single" w:sz="2" w:space="0" w:color="auto"/>
            </w:tcBorders>
            <w:vAlign w:val="bottom"/>
          </w:tcPr>
          <w:p w14:paraId="4005999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c>
          <w:tcPr>
            <w:tcW w:w="1601" w:type="dxa"/>
            <w:tcBorders>
              <w:top w:val="single" w:sz="2" w:space="0" w:color="auto"/>
              <w:left w:val="single" w:sz="2" w:space="0" w:color="auto"/>
              <w:bottom w:val="nil"/>
            </w:tcBorders>
            <w:vAlign w:val="bottom"/>
          </w:tcPr>
          <w:p w14:paraId="31E22281"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r>
      <w:tr w:rsidR="005F41B4" w:rsidRPr="003F4E2B" w14:paraId="043EC47E" w14:textId="77777777" w:rsidTr="00636D03">
        <w:trPr>
          <w:trHeight w:val="360"/>
          <w:jc w:val="center"/>
        </w:trPr>
        <w:tc>
          <w:tcPr>
            <w:tcW w:w="2385" w:type="dxa"/>
            <w:vMerge/>
            <w:tcBorders>
              <w:top w:val="nil"/>
              <w:bottom w:val="single" w:sz="2" w:space="0" w:color="auto"/>
              <w:right w:val="single" w:sz="2" w:space="0" w:color="auto"/>
            </w:tcBorders>
            <w:vAlign w:val="center"/>
          </w:tcPr>
          <w:p w14:paraId="34C11C30"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F633CF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(0.597)</w:t>
            </w:r>
          </w:p>
        </w:tc>
        <w:tc>
          <w:tcPr>
            <w:tcW w:w="1980" w:type="dxa"/>
            <w:tcBorders>
              <w:top w:val="nil"/>
              <w:left w:val="single" w:sz="2" w:space="0" w:color="auto"/>
              <w:bottom w:val="single" w:sz="2" w:space="0" w:color="auto"/>
              <w:right w:val="single" w:sz="2" w:space="0" w:color="auto"/>
            </w:tcBorders>
          </w:tcPr>
          <w:p w14:paraId="4D26E6A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(0.571)</w:t>
            </w:r>
          </w:p>
        </w:tc>
        <w:tc>
          <w:tcPr>
            <w:tcW w:w="1530" w:type="dxa"/>
            <w:tcBorders>
              <w:top w:val="nil"/>
              <w:left w:val="single" w:sz="2" w:space="0" w:color="auto"/>
              <w:bottom w:val="single" w:sz="2" w:space="0" w:color="auto"/>
              <w:right w:val="single" w:sz="2" w:space="0" w:color="auto"/>
            </w:tcBorders>
          </w:tcPr>
          <w:p w14:paraId="686ACE7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(0.571)</w:t>
            </w:r>
          </w:p>
        </w:tc>
        <w:tc>
          <w:tcPr>
            <w:tcW w:w="1601" w:type="dxa"/>
            <w:tcBorders>
              <w:top w:val="nil"/>
              <w:left w:val="single" w:sz="2" w:space="0" w:color="auto"/>
              <w:bottom w:val="single" w:sz="2" w:space="0" w:color="auto"/>
            </w:tcBorders>
          </w:tcPr>
          <w:p w14:paraId="647F572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(0.570</w:t>
            </w:r>
            <w:r w:rsidRPr="00D14A90">
              <w:rPr>
                <w:color w:val="000000"/>
                <w:sz w:val="22"/>
                <w:szCs w:val="22"/>
              </w:rPr>
              <w:t>)</w:t>
            </w:r>
          </w:p>
        </w:tc>
      </w:tr>
      <w:tr w:rsidR="005F41B4" w:rsidRPr="003F4E2B" w14:paraId="243FA3F7"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704C307"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West Australia</w:t>
            </w:r>
          </w:p>
        </w:tc>
        <w:tc>
          <w:tcPr>
            <w:tcW w:w="1710" w:type="dxa"/>
            <w:tcBorders>
              <w:top w:val="single" w:sz="2" w:space="0" w:color="auto"/>
              <w:left w:val="single" w:sz="2" w:space="0" w:color="auto"/>
              <w:bottom w:val="nil"/>
              <w:right w:val="single" w:sz="2" w:space="0" w:color="auto"/>
            </w:tcBorders>
            <w:vAlign w:val="bottom"/>
          </w:tcPr>
          <w:p w14:paraId="0CBAD8A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-0.0124</w:t>
            </w:r>
          </w:p>
        </w:tc>
        <w:tc>
          <w:tcPr>
            <w:tcW w:w="1980" w:type="dxa"/>
            <w:tcBorders>
              <w:top w:val="single" w:sz="2" w:space="0" w:color="auto"/>
              <w:left w:val="single" w:sz="2" w:space="0" w:color="auto"/>
              <w:bottom w:val="nil"/>
              <w:right w:val="single" w:sz="2" w:space="0" w:color="auto"/>
            </w:tcBorders>
            <w:vAlign w:val="bottom"/>
          </w:tcPr>
          <w:p w14:paraId="77167B4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c>
          <w:tcPr>
            <w:tcW w:w="1530" w:type="dxa"/>
            <w:tcBorders>
              <w:top w:val="single" w:sz="2" w:space="0" w:color="auto"/>
              <w:left w:val="single" w:sz="2" w:space="0" w:color="auto"/>
              <w:bottom w:val="nil"/>
              <w:right w:val="single" w:sz="2" w:space="0" w:color="auto"/>
            </w:tcBorders>
            <w:vAlign w:val="bottom"/>
          </w:tcPr>
          <w:p w14:paraId="348408E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c>
          <w:tcPr>
            <w:tcW w:w="1601" w:type="dxa"/>
            <w:tcBorders>
              <w:top w:val="single" w:sz="2" w:space="0" w:color="auto"/>
              <w:left w:val="single" w:sz="2" w:space="0" w:color="auto"/>
              <w:bottom w:val="nil"/>
            </w:tcBorders>
            <w:vAlign w:val="bottom"/>
          </w:tcPr>
          <w:p w14:paraId="4855F25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r>
      <w:tr w:rsidR="005F41B4" w:rsidRPr="003F4E2B" w14:paraId="3C731C7B" w14:textId="77777777" w:rsidTr="00636D03">
        <w:trPr>
          <w:trHeight w:val="360"/>
          <w:jc w:val="center"/>
        </w:trPr>
        <w:tc>
          <w:tcPr>
            <w:tcW w:w="2385" w:type="dxa"/>
            <w:vMerge/>
            <w:tcBorders>
              <w:top w:val="nil"/>
              <w:bottom w:val="single" w:sz="2" w:space="0" w:color="auto"/>
              <w:right w:val="single" w:sz="2" w:space="0" w:color="auto"/>
            </w:tcBorders>
            <w:vAlign w:val="center"/>
          </w:tcPr>
          <w:p w14:paraId="38820DD4"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5942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(0.102)</w:t>
            </w:r>
          </w:p>
        </w:tc>
        <w:tc>
          <w:tcPr>
            <w:tcW w:w="1980" w:type="dxa"/>
            <w:tcBorders>
              <w:top w:val="nil"/>
              <w:left w:val="single" w:sz="2" w:space="0" w:color="auto"/>
              <w:bottom w:val="single" w:sz="2" w:space="0" w:color="auto"/>
              <w:right w:val="single" w:sz="2" w:space="0" w:color="auto"/>
            </w:tcBorders>
          </w:tcPr>
          <w:p w14:paraId="2B5343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c>
          <w:tcPr>
            <w:tcW w:w="1530" w:type="dxa"/>
            <w:tcBorders>
              <w:top w:val="nil"/>
              <w:left w:val="single" w:sz="2" w:space="0" w:color="auto"/>
              <w:bottom w:val="single" w:sz="2" w:space="0" w:color="auto"/>
              <w:right w:val="single" w:sz="2" w:space="0" w:color="auto"/>
            </w:tcBorders>
          </w:tcPr>
          <w:p w14:paraId="344B804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c>
          <w:tcPr>
            <w:tcW w:w="1601" w:type="dxa"/>
            <w:tcBorders>
              <w:top w:val="nil"/>
              <w:left w:val="single" w:sz="2" w:space="0" w:color="auto"/>
              <w:bottom w:val="single" w:sz="2" w:space="0" w:color="auto"/>
            </w:tcBorders>
          </w:tcPr>
          <w:p w14:paraId="4F85008E"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r>
      <w:tr w:rsidR="005F41B4" w:rsidRPr="003F4E2B" w14:paraId="790E257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7186CCF"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Tasmania</w:t>
            </w:r>
          </w:p>
        </w:tc>
        <w:tc>
          <w:tcPr>
            <w:tcW w:w="1710" w:type="dxa"/>
            <w:tcBorders>
              <w:top w:val="single" w:sz="2" w:space="0" w:color="auto"/>
              <w:left w:val="single" w:sz="2" w:space="0" w:color="auto"/>
              <w:bottom w:val="nil"/>
              <w:right w:val="single" w:sz="2" w:space="0" w:color="auto"/>
            </w:tcBorders>
            <w:vAlign w:val="bottom"/>
          </w:tcPr>
          <w:p w14:paraId="6F12F7A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0.0342***</w:t>
            </w:r>
          </w:p>
        </w:tc>
        <w:tc>
          <w:tcPr>
            <w:tcW w:w="1980" w:type="dxa"/>
            <w:tcBorders>
              <w:top w:val="single" w:sz="2" w:space="0" w:color="auto"/>
              <w:left w:val="single" w:sz="2" w:space="0" w:color="auto"/>
              <w:bottom w:val="nil"/>
              <w:right w:val="single" w:sz="2" w:space="0" w:color="auto"/>
            </w:tcBorders>
            <w:vAlign w:val="bottom"/>
          </w:tcPr>
          <w:p w14:paraId="45B45D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530" w:type="dxa"/>
            <w:tcBorders>
              <w:top w:val="single" w:sz="2" w:space="0" w:color="auto"/>
              <w:left w:val="single" w:sz="2" w:space="0" w:color="auto"/>
              <w:bottom w:val="nil"/>
              <w:right w:val="single" w:sz="2" w:space="0" w:color="auto"/>
            </w:tcBorders>
            <w:vAlign w:val="bottom"/>
          </w:tcPr>
          <w:p w14:paraId="336DED7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0.0348***</w:t>
            </w:r>
          </w:p>
        </w:tc>
        <w:tc>
          <w:tcPr>
            <w:tcW w:w="1601" w:type="dxa"/>
            <w:tcBorders>
              <w:top w:val="single" w:sz="2" w:space="0" w:color="auto"/>
              <w:left w:val="single" w:sz="2" w:space="0" w:color="auto"/>
              <w:bottom w:val="nil"/>
            </w:tcBorders>
            <w:vAlign w:val="bottom"/>
          </w:tcPr>
          <w:p w14:paraId="1B3C72D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0.0348***</w:t>
            </w:r>
          </w:p>
        </w:tc>
      </w:tr>
      <w:tr w:rsidR="005F41B4" w:rsidRPr="003F4E2B" w14:paraId="2C2190A3" w14:textId="77777777" w:rsidTr="00636D03">
        <w:trPr>
          <w:trHeight w:val="360"/>
          <w:jc w:val="center"/>
        </w:trPr>
        <w:tc>
          <w:tcPr>
            <w:tcW w:w="2385" w:type="dxa"/>
            <w:vMerge/>
            <w:tcBorders>
              <w:top w:val="nil"/>
              <w:bottom w:val="single" w:sz="2" w:space="0" w:color="auto"/>
              <w:right w:val="single" w:sz="2" w:space="0" w:color="auto"/>
            </w:tcBorders>
            <w:vAlign w:val="center"/>
          </w:tcPr>
          <w:p w14:paraId="2EC099D4"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DDA320F"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980" w:type="dxa"/>
            <w:tcBorders>
              <w:top w:val="nil"/>
              <w:left w:val="single" w:sz="2" w:space="0" w:color="auto"/>
              <w:bottom w:val="single" w:sz="2" w:space="0" w:color="auto"/>
              <w:right w:val="single" w:sz="2" w:space="0" w:color="auto"/>
            </w:tcBorders>
          </w:tcPr>
          <w:p w14:paraId="26BF2D5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530" w:type="dxa"/>
            <w:tcBorders>
              <w:top w:val="nil"/>
              <w:left w:val="single" w:sz="2" w:space="0" w:color="auto"/>
              <w:bottom w:val="single" w:sz="2" w:space="0" w:color="auto"/>
              <w:right w:val="single" w:sz="2" w:space="0" w:color="auto"/>
            </w:tcBorders>
          </w:tcPr>
          <w:p w14:paraId="0F3B057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601" w:type="dxa"/>
            <w:tcBorders>
              <w:top w:val="nil"/>
              <w:left w:val="single" w:sz="2" w:space="0" w:color="auto"/>
              <w:bottom w:val="single" w:sz="2" w:space="0" w:color="auto"/>
            </w:tcBorders>
          </w:tcPr>
          <w:p w14:paraId="664CD202"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r>
      <w:tr w:rsidR="005F41B4" w:rsidRPr="003F4E2B" w14:paraId="7493188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EB68500"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Constant</w:t>
            </w:r>
          </w:p>
        </w:tc>
        <w:tc>
          <w:tcPr>
            <w:tcW w:w="1710" w:type="dxa"/>
            <w:tcBorders>
              <w:top w:val="single" w:sz="2" w:space="0" w:color="auto"/>
              <w:left w:val="single" w:sz="2" w:space="0" w:color="auto"/>
              <w:right w:val="single" w:sz="2" w:space="0" w:color="auto"/>
            </w:tcBorders>
            <w:vAlign w:val="bottom"/>
          </w:tcPr>
          <w:p w14:paraId="5B1904E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-1.893***</w:t>
            </w:r>
          </w:p>
        </w:tc>
        <w:tc>
          <w:tcPr>
            <w:tcW w:w="1980" w:type="dxa"/>
            <w:tcBorders>
              <w:top w:val="single" w:sz="2" w:space="0" w:color="auto"/>
              <w:left w:val="single" w:sz="2" w:space="0" w:color="auto"/>
              <w:right w:val="single" w:sz="2" w:space="0" w:color="auto"/>
            </w:tcBorders>
            <w:vAlign w:val="bottom"/>
          </w:tcPr>
          <w:p w14:paraId="69DECD3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-1.884***</w:t>
            </w:r>
          </w:p>
        </w:tc>
        <w:tc>
          <w:tcPr>
            <w:tcW w:w="1530" w:type="dxa"/>
            <w:tcBorders>
              <w:top w:val="single" w:sz="2" w:space="0" w:color="auto"/>
              <w:left w:val="single" w:sz="2" w:space="0" w:color="auto"/>
              <w:right w:val="single" w:sz="2" w:space="0" w:color="auto"/>
            </w:tcBorders>
            <w:vAlign w:val="bottom"/>
          </w:tcPr>
          <w:p w14:paraId="23739E02"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-1.892***</w:t>
            </w:r>
          </w:p>
        </w:tc>
        <w:tc>
          <w:tcPr>
            <w:tcW w:w="1601" w:type="dxa"/>
            <w:tcBorders>
              <w:top w:val="single" w:sz="2" w:space="0" w:color="auto"/>
              <w:left w:val="single" w:sz="2" w:space="0" w:color="auto"/>
            </w:tcBorders>
            <w:vAlign w:val="bottom"/>
          </w:tcPr>
          <w:p w14:paraId="2581833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-1.896***</w:t>
            </w:r>
          </w:p>
        </w:tc>
      </w:tr>
      <w:tr w:rsidR="005F41B4" w:rsidRPr="003F4E2B" w14:paraId="42CA04EA" w14:textId="77777777" w:rsidTr="00636D03">
        <w:trPr>
          <w:trHeight w:val="360"/>
          <w:jc w:val="center"/>
        </w:trPr>
        <w:tc>
          <w:tcPr>
            <w:tcW w:w="2385" w:type="dxa"/>
            <w:vMerge/>
            <w:tcBorders>
              <w:top w:val="nil"/>
              <w:bottom w:val="single" w:sz="2" w:space="0" w:color="auto"/>
              <w:right w:val="single" w:sz="2" w:space="0" w:color="auto"/>
            </w:tcBorders>
            <w:vAlign w:val="center"/>
          </w:tcPr>
          <w:p w14:paraId="4A204363"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left w:val="single" w:sz="2" w:space="0" w:color="auto"/>
              <w:bottom w:val="single" w:sz="2" w:space="0" w:color="auto"/>
              <w:right w:val="single" w:sz="2" w:space="0" w:color="auto"/>
            </w:tcBorders>
          </w:tcPr>
          <w:p w14:paraId="52C6191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980" w:type="dxa"/>
            <w:tcBorders>
              <w:left w:val="single" w:sz="2" w:space="0" w:color="auto"/>
              <w:bottom w:val="single" w:sz="2" w:space="0" w:color="auto"/>
              <w:right w:val="single" w:sz="2" w:space="0" w:color="auto"/>
            </w:tcBorders>
          </w:tcPr>
          <w:p w14:paraId="14BD3EF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530" w:type="dxa"/>
            <w:tcBorders>
              <w:left w:val="single" w:sz="2" w:space="0" w:color="auto"/>
              <w:bottom w:val="single" w:sz="2" w:space="0" w:color="auto"/>
              <w:right w:val="single" w:sz="2" w:space="0" w:color="auto"/>
            </w:tcBorders>
          </w:tcPr>
          <w:p w14:paraId="3B24E7F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601" w:type="dxa"/>
            <w:tcBorders>
              <w:left w:val="single" w:sz="2" w:space="0" w:color="auto"/>
              <w:bottom w:val="single" w:sz="2" w:space="0" w:color="auto"/>
            </w:tcBorders>
          </w:tcPr>
          <w:p w14:paraId="11E2BF1A"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r>
      <w:tr w:rsidR="005F41B4" w:rsidRPr="003F4E2B" w14:paraId="719274D3" w14:textId="77777777" w:rsidTr="00636D03">
        <w:trPr>
          <w:trHeight w:val="360"/>
          <w:jc w:val="center"/>
        </w:trPr>
        <w:tc>
          <w:tcPr>
            <w:tcW w:w="2385" w:type="dxa"/>
            <w:tcBorders>
              <w:top w:val="single" w:sz="2" w:space="0" w:color="auto"/>
              <w:bottom w:val="single" w:sz="2" w:space="0" w:color="auto"/>
              <w:right w:val="single" w:sz="2" w:space="0" w:color="auto"/>
            </w:tcBorders>
            <w:vAlign w:val="center"/>
          </w:tcPr>
          <w:p w14:paraId="5B2B4EE3"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Observations</w:t>
            </w:r>
          </w:p>
        </w:tc>
        <w:tc>
          <w:tcPr>
            <w:tcW w:w="1710" w:type="dxa"/>
            <w:tcBorders>
              <w:top w:val="single" w:sz="2" w:space="0" w:color="auto"/>
              <w:left w:val="single" w:sz="2" w:space="0" w:color="auto"/>
              <w:bottom w:val="single" w:sz="2" w:space="0" w:color="auto"/>
              <w:right w:val="single" w:sz="2" w:space="0" w:color="auto"/>
            </w:tcBorders>
            <w:vAlign w:val="center"/>
          </w:tcPr>
          <w:p w14:paraId="277E380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786,518</w:t>
            </w:r>
          </w:p>
        </w:tc>
        <w:tc>
          <w:tcPr>
            <w:tcW w:w="1980" w:type="dxa"/>
            <w:tcBorders>
              <w:top w:val="single" w:sz="2" w:space="0" w:color="auto"/>
              <w:left w:val="single" w:sz="2" w:space="0" w:color="auto"/>
              <w:bottom w:val="single" w:sz="2" w:space="0" w:color="auto"/>
              <w:right w:val="single" w:sz="2" w:space="0" w:color="auto"/>
            </w:tcBorders>
            <w:vAlign w:val="center"/>
          </w:tcPr>
          <w:p w14:paraId="30391F8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c>
          <w:tcPr>
            <w:tcW w:w="1530" w:type="dxa"/>
            <w:tcBorders>
              <w:top w:val="single" w:sz="2" w:space="0" w:color="auto"/>
              <w:left w:val="single" w:sz="2" w:space="0" w:color="auto"/>
              <w:bottom w:val="single" w:sz="2" w:space="0" w:color="auto"/>
              <w:right w:val="single" w:sz="2" w:space="0" w:color="auto"/>
            </w:tcBorders>
            <w:vAlign w:val="center"/>
          </w:tcPr>
          <w:p w14:paraId="1A7BE2A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c>
          <w:tcPr>
            <w:tcW w:w="1601" w:type="dxa"/>
            <w:tcBorders>
              <w:top w:val="single" w:sz="2" w:space="0" w:color="auto"/>
              <w:left w:val="single" w:sz="2" w:space="0" w:color="auto"/>
              <w:bottom w:val="single" w:sz="2" w:space="0" w:color="auto"/>
            </w:tcBorders>
            <w:vAlign w:val="center"/>
          </w:tcPr>
          <w:p w14:paraId="1DB2DB4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r>
      <w:tr w:rsidR="005F41B4" w:rsidRPr="003F4E2B" w14:paraId="2FF0FEEB" w14:textId="77777777" w:rsidTr="00636D03">
        <w:trPr>
          <w:trHeight w:val="360"/>
          <w:jc w:val="center"/>
        </w:trPr>
        <w:tc>
          <w:tcPr>
            <w:tcW w:w="2385" w:type="dxa"/>
            <w:tcBorders>
              <w:top w:val="single" w:sz="2" w:space="0" w:color="auto"/>
              <w:bottom w:val="single" w:sz="12" w:space="0" w:color="auto"/>
              <w:right w:val="single" w:sz="2" w:space="0" w:color="auto"/>
            </w:tcBorders>
            <w:vAlign w:val="center"/>
          </w:tcPr>
          <w:p w14:paraId="1A98BA8A"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Pseudo R-squared</w:t>
            </w:r>
          </w:p>
        </w:tc>
        <w:tc>
          <w:tcPr>
            <w:tcW w:w="1710" w:type="dxa"/>
            <w:tcBorders>
              <w:top w:val="single" w:sz="2" w:space="0" w:color="auto"/>
              <w:left w:val="single" w:sz="2" w:space="0" w:color="auto"/>
              <w:bottom w:val="single" w:sz="12" w:space="0" w:color="auto"/>
              <w:right w:val="single" w:sz="2" w:space="0" w:color="auto"/>
            </w:tcBorders>
            <w:vAlign w:val="center"/>
          </w:tcPr>
          <w:p w14:paraId="70390B9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980" w:type="dxa"/>
            <w:tcBorders>
              <w:top w:val="single" w:sz="2" w:space="0" w:color="auto"/>
              <w:left w:val="single" w:sz="2" w:space="0" w:color="auto"/>
              <w:bottom w:val="single" w:sz="12" w:space="0" w:color="auto"/>
              <w:right w:val="single" w:sz="2" w:space="0" w:color="auto"/>
            </w:tcBorders>
            <w:vAlign w:val="center"/>
          </w:tcPr>
          <w:p w14:paraId="577E4FF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530" w:type="dxa"/>
            <w:tcBorders>
              <w:top w:val="single" w:sz="2" w:space="0" w:color="auto"/>
              <w:left w:val="single" w:sz="2" w:space="0" w:color="auto"/>
              <w:bottom w:val="single" w:sz="12" w:space="0" w:color="auto"/>
              <w:right w:val="single" w:sz="2" w:space="0" w:color="auto"/>
            </w:tcBorders>
            <w:vAlign w:val="center"/>
          </w:tcPr>
          <w:p w14:paraId="23CE5B8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601" w:type="dxa"/>
            <w:tcBorders>
              <w:top w:val="single" w:sz="2" w:space="0" w:color="auto"/>
              <w:left w:val="single" w:sz="2" w:space="0" w:color="auto"/>
              <w:bottom w:val="single" w:sz="12" w:space="0" w:color="auto"/>
            </w:tcBorders>
            <w:vAlign w:val="center"/>
          </w:tcPr>
          <w:p w14:paraId="3E99DE4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r>
    </w:tbl>
    <w:p w14:paraId="4B704EE5" w14:textId="77777777" w:rsidR="005F41B4" w:rsidRPr="00F60DA5" w:rsidRDefault="005F41B4" w:rsidP="00162D3C">
      <w:pPr>
        <w:pStyle w:val="BodyText"/>
        <w:keepNext/>
        <w:numPr>
          <w:ilvl w:val="0"/>
          <w:numId w:val="0"/>
        </w:numPr>
        <w:spacing w:before="120" w:after="0" w:line="240" w:lineRule="auto"/>
        <w:rPr>
          <w:bCs/>
          <w:sz w:val="20"/>
        </w:rPr>
      </w:pPr>
      <w:r w:rsidRPr="00F60DA5">
        <w:rPr>
          <w:bCs/>
          <w:i/>
          <w:sz w:val="20"/>
        </w:rPr>
        <w:t>Notes</w:t>
      </w:r>
      <w:r>
        <w:rPr>
          <w:bCs/>
          <w:sz w:val="20"/>
        </w:rPr>
        <w:t xml:space="preserve">: </w:t>
      </w:r>
      <w:r w:rsidRPr="00F60DA5">
        <w:rPr>
          <w:bCs/>
          <w:sz w:val="20"/>
        </w:rPr>
        <w:t xml:space="preserve">P-values are reported in parentheses. Asterisks ***, **, and * indicate statistical significance at </w:t>
      </w:r>
      <w:r>
        <w:rPr>
          <w:bCs/>
          <w:sz w:val="20"/>
        </w:rPr>
        <w:t xml:space="preserve">the </w:t>
      </w:r>
      <w:r w:rsidRPr="00F60DA5">
        <w:rPr>
          <w:bCs/>
          <w:sz w:val="20"/>
        </w:rPr>
        <w:t>1, 5, and 10 percent level</w:t>
      </w:r>
      <w:r>
        <w:rPr>
          <w:bCs/>
          <w:sz w:val="20"/>
        </w:rPr>
        <w:t>,</w:t>
      </w:r>
      <w:r w:rsidRPr="00F60DA5">
        <w:rPr>
          <w:bCs/>
          <w:sz w:val="20"/>
        </w:rPr>
        <w:t xml:space="preserve"> respectively.</w:t>
      </w:r>
      <w:r>
        <w:rPr>
          <w:bCs/>
          <w:sz w:val="20"/>
        </w:rPr>
        <w:t xml:space="preserve"> </w:t>
      </w:r>
    </w:p>
    <w:p w14:paraId="0EEC5927" w14:textId="30EEC847" w:rsidR="008A5B94" w:rsidRPr="00DD2B8D" w:rsidRDefault="005F41B4" w:rsidP="00DD2B8D">
      <w:pPr>
        <w:pStyle w:val="BodyText"/>
        <w:numPr>
          <w:ilvl w:val="0"/>
          <w:numId w:val="0"/>
        </w:numPr>
        <w:spacing w:before="120" w:after="360" w:line="240" w:lineRule="auto"/>
        <w:rPr>
          <w:bCs/>
          <w:sz w:val="20"/>
        </w:rPr>
      </w:pPr>
      <w:r w:rsidRPr="00F60DA5">
        <w:rPr>
          <w:bCs/>
          <w:i/>
          <w:sz w:val="20"/>
        </w:rPr>
        <w:t>Source</w:t>
      </w:r>
      <w:r w:rsidRPr="00F60DA5">
        <w:rPr>
          <w:bCs/>
          <w:sz w:val="20"/>
        </w:rPr>
        <w:t xml:space="preserve">: RMSS Data (January 2001 - </w:t>
      </w:r>
      <w:r>
        <w:rPr>
          <w:bCs/>
          <w:sz w:val="20"/>
        </w:rPr>
        <w:t>September</w:t>
      </w:r>
      <w:r w:rsidRPr="00F60DA5">
        <w:rPr>
          <w:bCs/>
          <w:sz w:val="20"/>
        </w:rPr>
        <w:t xml:space="preserve"> 2015).</w:t>
      </w:r>
    </w:p>
    <w:sectPr w:rsidR="008A5B94" w:rsidRPr="00DD2B8D" w:rsidSect="001F7A10">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A0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2E5D0" w14:textId="77777777" w:rsidR="001E6AF0" w:rsidRDefault="001E6AF0" w:rsidP="00EB1333">
      <w:pPr>
        <w:spacing w:before="0" w:after="0"/>
      </w:pPr>
      <w:r>
        <w:separator/>
      </w:r>
    </w:p>
  </w:endnote>
  <w:endnote w:type="continuationSeparator" w:id="0">
    <w:p w14:paraId="55A1C51C" w14:textId="77777777" w:rsidR="001E6AF0" w:rsidRDefault="001E6AF0" w:rsidP="00EB1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58330" w14:textId="77777777" w:rsidR="00807EC1" w:rsidRDefault="0080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Cs w:val="20"/>
      </w:rPr>
      <w:id w:val="-694464851"/>
      <w:docPartObj>
        <w:docPartGallery w:val="Page Numbers (Bottom of Page)"/>
        <w:docPartUnique/>
      </w:docPartObj>
    </w:sdtPr>
    <w:sdtEndPr/>
    <w:sdtContent>
      <w:p w14:paraId="340F5474" w14:textId="77777777" w:rsidR="001E6AF0" w:rsidRPr="001F7A10" w:rsidRDefault="001E6AF0" w:rsidP="001F7A10">
        <w:pPr>
          <w:pStyle w:val="Footer"/>
          <w:ind w:left="0" w:firstLine="0"/>
          <w:rPr>
            <w:b/>
            <w:szCs w:val="20"/>
          </w:rPr>
        </w:pPr>
        <w:r>
          <w:rPr>
            <w:b/>
            <w:szCs w:val="20"/>
          </w:rPr>
          <w:tab/>
        </w:r>
        <w:r w:rsidRPr="001F7A10">
          <w:rPr>
            <w:b/>
            <w:szCs w:val="20"/>
          </w:rPr>
          <w:t>HIGHLY CONFIDENTIAL – SUBJECT TO PROTECTIVE ORDER</w:t>
        </w:r>
        <w:r>
          <w:rPr>
            <w:b/>
            <w:szCs w:val="20"/>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63B4" w14:textId="77777777" w:rsidR="001E6AF0" w:rsidRPr="001F7A10" w:rsidRDefault="001E6AF0" w:rsidP="00C529E1">
    <w:pPr>
      <w:pStyle w:val="Footer"/>
      <w:ind w:left="0" w:firstLine="0"/>
      <w:jc w:val="center"/>
      <w:rPr>
        <w:b/>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Cs w:val="24"/>
      </w:rPr>
      <w:id w:val="-1452089083"/>
      <w:docPartObj>
        <w:docPartGallery w:val="Page Numbers (Bottom of Page)"/>
        <w:docPartUnique/>
      </w:docPartObj>
    </w:sdtPr>
    <w:sdtEndPr/>
    <w:sdtContent>
      <w:p w14:paraId="44010EEB" w14:textId="77777777" w:rsidR="001E6AF0" w:rsidRPr="004E6DF3" w:rsidRDefault="001E6AF0" w:rsidP="001F7A10">
        <w:pPr>
          <w:pStyle w:val="Footer"/>
          <w:ind w:left="0" w:firstLine="0"/>
          <w:rPr>
            <w:b/>
            <w:szCs w:val="24"/>
          </w:rPr>
        </w:pPr>
        <w:r w:rsidRPr="004E6DF3">
          <w:rPr>
            <w:b/>
            <w:szCs w:val="24"/>
          </w:rPr>
          <w:tab/>
        </w:r>
        <w:sdt>
          <w:sdtPr>
            <w:rPr>
              <w:szCs w:val="24"/>
            </w:rPr>
            <w:id w:val="-169255847"/>
            <w:docPartObj>
              <w:docPartGallery w:val="Page Numbers (Bottom of Page)"/>
              <w:docPartUnique/>
            </w:docPartObj>
          </w:sdtPr>
          <w:sdtEndPr/>
          <w:sdtContent>
            <w:r w:rsidRPr="004E6DF3">
              <w:rPr>
                <w:szCs w:val="24"/>
              </w:rPr>
              <w:fldChar w:fldCharType="begin"/>
            </w:r>
            <w:r w:rsidRPr="004E6DF3">
              <w:rPr>
                <w:szCs w:val="24"/>
              </w:rPr>
              <w:instrText xml:space="preserve"> PAGE   \* MERGEFORMAT </w:instrText>
            </w:r>
            <w:r w:rsidRPr="004E6DF3">
              <w:rPr>
                <w:szCs w:val="24"/>
              </w:rPr>
              <w:fldChar w:fldCharType="separate"/>
            </w:r>
            <w:r w:rsidR="004D5480">
              <w:rPr>
                <w:noProof/>
                <w:szCs w:val="24"/>
              </w:rPr>
              <w:t>36</w:t>
            </w:r>
            <w:r w:rsidRPr="004E6DF3">
              <w:rPr>
                <w:noProof/>
                <w:szCs w:val="24"/>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3C9D7" w14:textId="77777777" w:rsidR="001E6AF0" w:rsidRDefault="001E6AF0" w:rsidP="00743011">
      <w:pPr>
        <w:spacing w:before="0" w:after="0"/>
        <w:ind w:left="0" w:firstLine="0"/>
      </w:pPr>
      <w:r>
        <w:separator/>
      </w:r>
    </w:p>
  </w:footnote>
  <w:footnote w:type="continuationSeparator" w:id="0">
    <w:p w14:paraId="2DF77A3D" w14:textId="77777777" w:rsidR="001E6AF0" w:rsidRDefault="001E6AF0" w:rsidP="00EB1333">
      <w:pPr>
        <w:spacing w:before="0" w:after="0"/>
      </w:pPr>
      <w:r>
        <w:continuationSeparator/>
      </w:r>
    </w:p>
  </w:footnote>
  <w:footnote w:id="1">
    <w:p w14:paraId="7C67A2DD" w14:textId="77777777" w:rsidR="001E6AF0" w:rsidRDefault="001E6AF0" w:rsidP="00707B78">
      <w:pPr>
        <w:pStyle w:val="FootnoteText"/>
      </w:pPr>
      <w:r>
        <w:rPr>
          <w:rStyle w:val="FootnoteReference"/>
        </w:rPr>
        <w:footnoteRef/>
      </w:r>
      <w:r>
        <w:t xml:space="preserve"> </w:t>
      </w:r>
      <w:r>
        <w:tab/>
      </w:r>
      <w:r w:rsidRPr="00815638">
        <w:rPr>
          <w:szCs w:val="22"/>
        </w:rPr>
        <w:t>Roy Morgan Research, “Smoking Overview: Single Source,” July 23, 2014 (hereinafter “RMSS Smoking Overview”)</w:t>
      </w:r>
      <w:r>
        <w:rPr>
          <w:szCs w:val="22"/>
        </w:rPr>
        <w:t xml:space="preserve">, </w:t>
      </w:r>
      <w:r>
        <w:t>p. 2.</w:t>
      </w:r>
    </w:p>
  </w:footnote>
  <w:footnote w:id="2">
    <w:p w14:paraId="78A7CC68" w14:textId="352B63EB" w:rsidR="001E6AF0" w:rsidRDefault="001E6AF0">
      <w:pPr>
        <w:pStyle w:val="FootnoteText"/>
      </w:pPr>
      <w:r>
        <w:rPr>
          <w:rStyle w:val="FootnoteReference"/>
        </w:rPr>
        <w:footnoteRef/>
      </w:r>
      <w:r>
        <w:t xml:space="preserve"> </w:t>
      </w:r>
      <w:r>
        <w:tab/>
        <w:t xml:space="preserve">Smoking prevalence is measured using individual responses to a series of Roy Morgan survey questions asking </w:t>
      </w:r>
      <w:r w:rsidRPr="00164602">
        <w:t xml:space="preserve">respondents </w:t>
      </w:r>
      <w:r>
        <w:t xml:space="preserve">whether they now smoke factory-made cigarettes and whether they smoked any other tobacco products, like </w:t>
      </w:r>
      <w:r w:rsidRPr="00164602">
        <w:rPr>
          <w:bCs/>
          <w:lang w:val="en-AU"/>
        </w:rPr>
        <w:t>roll-your-own cigarettes</w:t>
      </w:r>
      <w:r>
        <w:rPr>
          <w:bCs/>
          <w:lang w:val="en-AU"/>
        </w:rPr>
        <w:t>, cigars, or a tobacco pipe, in the last month.  See discussion in paragraph 19 below.</w:t>
      </w:r>
    </w:p>
  </w:footnote>
  <w:footnote w:id="3">
    <w:p w14:paraId="2EDFF4D1" w14:textId="77777777" w:rsidR="001E6AF0" w:rsidRDefault="001E6AF0" w:rsidP="00DA523C">
      <w:pPr>
        <w:pStyle w:val="FootnoteText"/>
      </w:pPr>
      <w:r>
        <w:rPr>
          <w:rStyle w:val="FootnoteReference"/>
        </w:rPr>
        <w:footnoteRef/>
      </w:r>
      <w:r>
        <w:t xml:space="preserve"> </w:t>
      </w:r>
      <w:r>
        <w:tab/>
      </w:r>
      <w:proofErr w:type="gramStart"/>
      <w:r w:rsidRPr="00565647">
        <w:t>Competition and Consumer (Tobacco) Information Standard 2011</w:t>
      </w:r>
      <w:r>
        <w:t>,</w:t>
      </w:r>
      <w:r w:rsidRPr="00553520">
        <w:t xml:space="preserve"> </w:t>
      </w:r>
      <w:r w:rsidRPr="0004712B">
        <w:rPr>
          <w:rFonts w:eastAsia="Calibri"/>
        </w:rPr>
        <w:t>§§</w:t>
      </w:r>
      <w:r w:rsidRPr="00553520">
        <w:t xml:space="preserve"> 1.5 and 2.2, and Part 9, </w:t>
      </w:r>
      <w:r>
        <w:t>Division 4.</w:t>
      </w:r>
      <w:proofErr w:type="gramEnd"/>
    </w:p>
  </w:footnote>
  <w:footnote w:id="4">
    <w:p w14:paraId="60BFCB91" w14:textId="77777777" w:rsidR="001E6AF0" w:rsidRDefault="001E6AF0">
      <w:pPr>
        <w:pStyle w:val="FootnoteText"/>
      </w:pPr>
      <w:r>
        <w:rPr>
          <w:rStyle w:val="FootnoteReference"/>
        </w:rPr>
        <w:footnoteRef/>
      </w:r>
      <w:r>
        <w:t xml:space="preserve"> </w:t>
      </w:r>
      <w:r>
        <w:tab/>
        <w:t xml:space="preserve">Separating the effects is complicated by the presence of an interaction effect – that is, one of the mechanisms through which plain packaging could reduce smoking is by increasing the effectiveness of graphic health warnings. </w:t>
      </w:r>
    </w:p>
  </w:footnote>
  <w:footnote w:id="5">
    <w:p w14:paraId="38F16B1E" w14:textId="77777777" w:rsidR="001E6AF0" w:rsidRDefault="001E6AF0" w:rsidP="003D5C71">
      <w:pPr>
        <w:pStyle w:val="FootnoteText"/>
      </w:pPr>
      <w:r>
        <w:rPr>
          <w:rStyle w:val="FootnoteReference"/>
        </w:rPr>
        <w:footnoteRef/>
      </w:r>
      <w:r>
        <w:t xml:space="preserve"> </w:t>
      </w:r>
      <w:r>
        <w:tab/>
        <w:t xml:space="preserve">Tobacco Plain Packaging Act 2011, No. 148, §§ 2 and 31-39.  </w:t>
      </w:r>
    </w:p>
  </w:footnote>
  <w:footnote w:id="6">
    <w:p w14:paraId="20A737E4" w14:textId="77777777" w:rsidR="001E6AF0" w:rsidRDefault="001E6AF0" w:rsidP="00147C44">
      <w:pPr>
        <w:pStyle w:val="FootnoteText"/>
      </w:pPr>
      <w:r>
        <w:rPr>
          <w:rStyle w:val="FootnoteReference"/>
        </w:rPr>
        <w:footnoteRef/>
      </w:r>
      <w:r>
        <w:t xml:space="preserve"> </w:t>
      </w:r>
      <w:r>
        <w:tab/>
      </w:r>
      <w:r w:rsidRPr="005251EF">
        <w:t xml:space="preserve">Consistent with this timing, there is ample evidence that many smokers in Australia were already smoking from a plain pack </w:t>
      </w:r>
      <w:r>
        <w:t xml:space="preserve">before December 2012.  Melanie A. Wakefield, Linda Hayes, Sarah Durkin, and Ron Borland, “Introduction Effects of the Australian Plain Packaging Policy on Adult Smokers: a Cross-Sectional Study,” </w:t>
      </w:r>
      <w:r>
        <w:rPr>
          <w:i/>
          <w:iCs/>
        </w:rPr>
        <w:t>BMJ Open</w:t>
      </w:r>
      <w:r>
        <w:t xml:space="preserve">, Vol. 3, 2013, pp. 1-4; and Michelle </w:t>
      </w:r>
      <w:proofErr w:type="spellStart"/>
      <w:r>
        <w:t>Scollo</w:t>
      </w:r>
      <w:proofErr w:type="spellEnd"/>
      <w:r>
        <w:t xml:space="preserve">, Kylie </w:t>
      </w:r>
      <w:proofErr w:type="spellStart"/>
      <w:r>
        <w:t>Lindorff</w:t>
      </w:r>
      <w:proofErr w:type="spellEnd"/>
      <w:r>
        <w:t xml:space="preserve">, Kerri </w:t>
      </w:r>
      <w:proofErr w:type="spellStart"/>
      <w:r>
        <w:t>Coomber</w:t>
      </w:r>
      <w:proofErr w:type="spellEnd"/>
      <w:r>
        <w:t xml:space="preserve">, Megan </w:t>
      </w:r>
      <w:proofErr w:type="spellStart"/>
      <w:r>
        <w:t>Bayly</w:t>
      </w:r>
      <w:proofErr w:type="spellEnd"/>
      <w:r>
        <w:t>, and Melanie Wakefield, “</w:t>
      </w:r>
      <w:proofErr w:type="spellStart"/>
      <w:r>
        <w:t>Standardised</w:t>
      </w:r>
      <w:proofErr w:type="spellEnd"/>
      <w:r>
        <w:t xml:space="preserve"> Packaging and New Enlarged Graphic Health Warnings for Tobacco Products in Australia – Legislative Requirements and Implementation of the Tobacco Plain Packaging Act 2011 and the Competition and Consumer (Tobacco) Information Standard, 2011,” </w:t>
      </w:r>
      <w:r>
        <w:rPr>
          <w:i/>
          <w:iCs/>
        </w:rPr>
        <w:t>Tobacco Control</w:t>
      </w:r>
      <w:r>
        <w:t>, Vol. 24, 2015, pp. ii9-ii16 at ii14-ii15.</w:t>
      </w:r>
    </w:p>
  </w:footnote>
  <w:footnote w:id="7">
    <w:p w14:paraId="4A17DF13" w14:textId="593EC478" w:rsidR="001E6AF0" w:rsidRDefault="001E6AF0" w:rsidP="00421348">
      <w:pPr>
        <w:pStyle w:val="FootnoteText"/>
      </w:pPr>
      <w:r>
        <w:rPr>
          <w:rStyle w:val="FootnoteReference"/>
        </w:rPr>
        <w:footnoteRef/>
      </w:r>
      <w:r>
        <w:t xml:space="preserve"> </w:t>
      </w:r>
      <w:r>
        <w:tab/>
      </w:r>
      <w:proofErr w:type="gramStart"/>
      <w:r w:rsidRPr="00BF4626">
        <w:t xml:space="preserve">Tobacco Plain Packaging Act 2011, </w:t>
      </w:r>
      <w:r>
        <w:t xml:space="preserve">No. 148, </w:t>
      </w:r>
      <w:r w:rsidRPr="0004712B">
        <w:rPr>
          <w:rFonts w:eastAsia="Calibri"/>
        </w:rPr>
        <w:t>§</w:t>
      </w:r>
      <w:r w:rsidRPr="00BF4626">
        <w:t xml:space="preserve"> 3</w:t>
      </w:r>
      <w:r>
        <w:t>.</w:t>
      </w:r>
      <w:proofErr w:type="gramEnd"/>
      <w:r>
        <w:t xml:space="preserve">  </w:t>
      </w:r>
    </w:p>
  </w:footnote>
  <w:footnote w:id="8">
    <w:p w14:paraId="10D5AD0E" w14:textId="77777777" w:rsidR="001E6AF0" w:rsidRDefault="001E6AF0" w:rsidP="00712336">
      <w:pPr>
        <w:pStyle w:val="FootnoteText"/>
      </w:pPr>
      <w:r>
        <w:rPr>
          <w:rStyle w:val="FootnoteReference"/>
        </w:rPr>
        <w:footnoteRef/>
      </w:r>
      <w:r>
        <w:t xml:space="preserve"> </w:t>
      </w:r>
      <w:r>
        <w:tab/>
        <w:t>In this example, the only effect of the policy is to affect youth behavior.  See Appendix B.</w:t>
      </w:r>
    </w:p>
  </w:footnote>
  <w:footnote w:id="9">
    <w:p w14:paraId="705C9AB2" w14:textId="5A85179B" w:rsidR="001E6AF0" w:rsidRPr="00913D31" w:rsidRDefault="001E6AF0" w:rsidP="00A278EF">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 xml:space="preserve">See, </w:t>
      </w:r>
      <w:r>
        <w:rPr>
          <w:szCs w:val="22"/>
        </w:rPr>
        <w:t xml:space="preserve">for example, </w:t>
      </w:r>
      <w:r w:rsidRPr="00177B45">
        <w:t xml:space="preserve">Daniel L. </w:t>
      </w:r>
      <w:proofErr w:type="spellStart"/>
      <w:r w:rsidRPr="00177B45">
        <w:t>Rubinfeld</w:t>
      </w:r>
      <w:proofErr w:type="spellEnd"/>
      <w:r w:rsidRPr="00177B45">
        <w:t>, “</w:t>
      </w:r>
      <w:hyperlink r:id="rId1" w:history="1">
        <w:r w:rsidRPr="00EC6065">
          <w:rPr>
            <w:rStyle w:val="Hyperlink"/>
          </w:rPr>
          <w:t xml:space="preserve">Reference Guide on Multiple </w:t>
        </w:r>
        <w:r w:rsidRPr="00AA486C">
          <w:rPr>
            <w:rStyle w:val="Hyperlink"/>
          </w:rPr>
          <w:t>Regression</w:t>
        </w:r>
      </w:hyperlink>
      <w:r w:rsidRPr="00177B45">
        <w:t xml:space="preserve">,” </w:t>
      </w:r>
      <w:r w:rsidRPr="006D2612">
        <w:rPr>
          <w:i/>
        </w:rPr>
        <w:t>Reference Manual on Scientific Evidence</w:t>
      </w:r>
      <w:r w:rsidRPr="00177B45">
        <w:t xml:space="preserve">, </w:t>
      </w:r>
      <w:r>
        <w:t xml:space="preserve">Third Edition, </w:t>
      </w:r>
      <w:r w:rsidRPr="00177B45">
        <w:t>Washington, D.C.: The National Academi</w:t>
      </w:r>
      <w:r>
        <w:t>es</w:t>
      </w:r>
      <w:r w:rsidRPr="00177B45">
        <w:t xml:space="preserve"> Press, 2011,</w:t>
      </w:r>
      <w:r>
        <w:t xml:space="preserve"> </w:t>
      </w:r>
      <w:r w:rsidRPr="00792546">
        <w:t>available at</w:t>
      </w:r>
      <w:r>
        <w:t xml:space="preserve"> </w:t>
      </w:r>
      <w:r w:rsidRPr="00136C13">
        <w:t>http://www.fjc.gov/public/pdf.nsf/lookup/SciMan3D01.pdf/$file/SciMan3D01.pdf</w:t>
      </w:r>
      <w:r>
        <w:t xml:space="preserve">, visited on October 25, 2015 </w:t>
      </w:r>
      <w:r>
        <w:rPr>
          <w:rStyle w:val="Hyperlink"/>
          <w:color w:val="auto"/>
          <w:u w:val="none"/>
        </w:rPr>
        <w:t>(hereinafter “Reference Guide on Multiple Regression”).</w:t>
      </w:r>
    </w:p>
  </w:footnote>
  <w:footnote w:id="10">
    <w:p w14:paraId="2BA789BD" w14:textId="77777777" w:rsidR="001E6AF0" w:rsidRDefault="001E6AF0" w:rsidP="008640C5">
      <w:pPr>
        <w:pStyle w:val="FootnoteText"/>
        <w:spacing w:after="120"/>
      </w:pPr>
      <w:r>
        <w:rPr>
          <w:rStyle w:val="FootnoteReference"/>
        </w:rPr>
        <w:footnoteRef/>
      </w:r>
      <w:r>
        <w:t xml:space="preserve"> </w:t>
      </w:r>
      <w:r>
        <w:tab/>
      </w:r>
      <w:r w:rsidRPr="00650564">
        <w:t xml:space="preserve">To ensure </w:t>
      </w:r>
      <w:r>
        <w:t>a</w:t>
      </w:r>
      <w:r w:rsidRPr="00650564">
        <w:t xml:space="preserve"> representative</w:t>
      </w:r>
      <w:r>
        <w:t xml:space="preserve"> sample of</w:t>
      </w:r>
      <w:r w:rsidRPr="00650564">
        <w:t xml:space="preserve"> the overall Australian population, Roy Morgan follows </w:t>
      </w:r>
      <w:r>
        <w:t xml:space="preserve">a rigorous </w:t>
      </w:r>
      <w:r w:rsidRPr="00650564">
        <w:t>sampling procedure that offers national geographic coverage and provides sample weights based on gender, age, geography, a</w:t>
      </w:r>
      <w:r>
        <w:t xml:space="preserve">nd household size.  Weighting targets are sourced from the Labor Force Survey, a monthly publication of the Australian Bureau of Statistics containing population estimates by geography, age, and gender.  See </w:t>
      </w:r>
      <w:r w:rsidRPr="00815638">
        <w:rPr>
          <w:szCs w:val="22"/>
        </w:rPr>
        <w:t>RMSS Smoking Overview</w:t>
      </w:r>
      <w:r>
        <w:rPr>
          <w:szCs w:val="22"/>
        </w:rPr>
        <w:t xml:space="preserve">, </w:t>
      </w:r>
      <w:r>
        <w:t xml:space="preserve">pp. 2, 3, and 6.  </w:t>
      </w:r>
    </w:p>
  </w:footnote>
  <w:footnote w:id="11">
    <w:p w14:paraId="555BE0DD" w14:textId="77777777" w:rsidR="001E6AF0" w:rsidRDefault="001E6AF0" w:rsidP="006C4EEF">
      <w:pPr>
        <w:pStyle w:val="FootnoteText"/>
      </w:pPr>
      <w:r>
        <w:rPr>
          <w:rStyle w:val="FootnoteReference"/>
        </w:rPr>
        <w:footnoteRef/>
      </w:r>
      <w:r>
        <w:tab/>
        <w:t xml:space="preserve">See, for example, Jeffrey M. </w:t>
      </w:r>
      <w:r w:rsidRPr="00347A5D">
        <w:t xml:space="preserve">Wooldridge, </w:t>
      </w:r>
      <w:r w:rsidRPr="00436113">
        <w:rPr>
          <w:i/>
        </w:rPr>
        <w:t>Introductory Econometrics: A Modern Approach</w:t>
      </w:r>
      <w:r w:rsidRPr="00347A5D">
        <w:t xml:space="preserve">, </w:t>
      </w:r>
      <w:r>
        <w:t xml:space="preserve">Fourth Edition, Mason, Ohio: </w:t>
      </w:r>
      <w:r w:rsidRPr="00347A5D">
        <w:t>South-Western, 2009, p</w:t>
      </w:r>
      <w:r>
        <w:t>p</w:t>
      </w:r>
      <w:r w:rsidRPr="00347A5D">
        <w:t>.</w:t>
      </w:r>
      <w:r>
        <w:t xml:space="preserve"> </w:t>
      </w:r>
      <w:r w:rsidRPr="00347A5D">
        <w:t>97</w:t>
      </w:r>
      <w:r>
        <w:t>-98</w:t>
      </w:r>
      <w:r w:rsidRPr="00347A5D">
        <w:t xml:space="preserve">. </w:t>
      </w:r>
      <w:r>
        <w:t xml:space="preserve">Moreover, as explained by Professor </w:t>
      </w:r>
      <w:proofErr w:type="spellStart"/>
      <w:r>
        <w:t>Rubinfeld</w:t>
      </w:r>
      <w:proofErr w:type="spellEnd"/>
      <w:r>
        <w:t xml:space="preserve">, “As a general rule, the statistical significance of the magnitude of a regression coefficient increases as the sample size increases.”  </w:t>
      </w:r>
      <w:proofErr w:type="gramStart"/>
      <w:r>
        <w:t>(</w:t>
      </w:r>
      <w:r>
        <w:rPr>
          <w:rStyle w:val="Hyperlink"/>
          <w:color w:val="auto"/>
          <w:u w:val="none"/>
        </w:rPr>
        <w:t>Reference Guide on Multiple Regression</w:t>
      </w:r>
      <w:r>
        <w:t>, p. 318.)</w:t>
      </w:r>
      <w:proofErr w:type="gramEnd"/>
    </w:p>
  </w:footnote>
  <w:footnote w:id="12">
    <w:p w14:paraId="2B802FA9" w14:textId="50468EFA" w:rsidR="001E6AF0" w:rsidRDefault="001E6AF0" w:rsidP="00590B0D">
      <w:pPr>
        <w:pStyle w:val="FootnoteText"/>
      </w:pPr>
      <w:r>
        <w:rPr>
          <w:rStyle w:val="FootnoteReference"/>
        </w:rPr>
        <w:footnoteRef/>
      </w:r>
      <w:r>
        <w:t xml:space="preserve"> </w:t>
      </w:r>
      <w:r>
        <w:tab/>
        <w:t xml:space="preserve">Over these years, there were a series of sub-national tobacco control policies that went into effect.  </w:t>
      </w:r>
      <w:hyperlink r:id="rId2" w:history="1">
        <w:r w:rsidRPr="00EC6065">
          <w:rPr>
            <w:rStyle w:val="Hyperlink"/>
            <w:i/>
          </w:rPr>
          <w:t>Tobacco in Australia: Facts and Issues</w:t>
        </w:r>
      </w:hyperlink>
      <w:r>
        <w:t xml:space="preserve">, Michelle Scollo and Margaret H. Winstanley, editors, Melbourne: Cancer Council Victoria, 2015 (hereinafter “Tobacco in Australia”), § A15.7, “Legislation to Ban Smoking in Public Places,” available at </w:t>
      </w:r>
      <w:r w:rsidRPr="00136C13">
        <w:t>http://www.tobaccoinaustralia.org.au/15-7-legislation</w:t>
      </w:r>
      <w:r>
        <w:t>, visited on January 24</w:t>
      </w:r>
      <w:r w:rsidRPr="002461FE">
        <w:t>, 2016.</w:t>
      </w:r>
    </w:p>
  </w:footnote>
  <w:footnote w:id="13">
    <w:p w14:paraId="40CE69E2" w14:textId="77777777" w:rsidR="001E6AF0" w:rsidRDefault="001E6AF0" w:rsidP="006C4EEF">
      <w:pPr>
        <w:pStyle w:val="FootnoteText"/>
      </w:pPr>
      <w:r>
        <w:rPr>
          <w:rStyle w:val="FootnoteReference"/>
        </w:rPr>
        <w:footnoteRef/>
      </w:r>
      <w:r>
        <w:t xml:space="preserve"> </w:t>
      </w:r>
      <w:r>
        <w:tab/>
        <w:t>Because tobacco control policies themselves can affect the trend in smoking prevalence, using a longer time period enables the estimation of a secular time trend, that is, a trend influenced by changes other than tobacco control policies.  A shorter time period risks the possibility that the estimated trend will absorb some or all of the policy effects, including any effects associated with the 2012 packaging changes.</w:t>
      </w:r>
    </w:p>
  </w:footnote>
  <w:footnote w:id="14">
    <w:p w14:paraId="49C0D6A5" w14:textId="0324431B" w:rsidR="001E6AF0" w:rsidRDefault="001E6AF0" w:rsidP="00BB54B4">
      <w:pPr>
        <w:pStyle w:val="FootnoteText"/>
      </w:pPr>
      <w:r>
        <w:rPr>
          <w:rStyle w:val="FootnoteReference"/>
        </w:rPr>
        <w:footnoteRef/>
      </w:r>
      <w:r>
        <w:t xml:space="preserve"> </w:t>
      </w:r>
      <w:r>
        <w:tab/>
        <w:t>See for example, Australia Bureau of Statistics, “</w:t>
      </w:r>
      <w:hyperlink r:id="rId3" w:history="1">
        <w:r w:rsidRPr="00EC6065">
          <w:rPr>
            <w:rStyle w:val="Hyperlink"/>
          </w:rPr>
          <w:t>Tobacco Smoking</w:t>
        </w:r>
      </w:hyperlink>
      <w:r>
        <w:t xml:space="preserve">,” 4338.0 - Profiles of Health in Australia, 2011-13, available at </w:t>
      </w:r>
      <w:r w:rsidRPr="00136C13">
        <w:t>http://www.abs.gov.au/ausstats/abs@.nsf/Lookup/by%20Subject/4338.0~2011-13~Main%20Features~Tobacco%20smoking~10008</w:t>
      </w:r>
      <w:r>
        <w:t>, visited on January 17, 2016 (hereinafter “Profiles of Health in Australia”).</w:t>
      </w:r>
    </w:p>
  </w:footnote>
  <w:footnote w:id="15">
    <w:p w14:paraId="05F76617" w14:textId="77777777" w:rsidR="001E6AF0" w:rsidRDefault="001E6AF0" w:rsidP="006C4EEF">
      <w:pPr>
        <w:pStyle w:val="FootnoteText"/>
      </w:pPr>
      <w:r>
        <w:rPr>
          <w:rStyle w:val="FootnoteReference"/>
        </w:rPr>
        <w:footnoteRef/>
      </w:r>
      <w:r>
        <w:t xml:space="preserve"> </w:t>
      </w:r>
      <w:r>
        <w:tab/>
      </w:r>
      <w:r w:rsidRPr="00005364">
        <w:t>RMSS Smoking Overview</w:t>
      </w:r>
      <w:r>
        <w:t>,</w:t>
      </w:r>
      <w:r w:rsidRPr="00005364">
        <w:t xml:space="preserve"> p. 4.</w:t>
      </w:r>
    </w:p>
  </w:footnote>
  <w:footnote w:id="16">
    <w:p w14:paraId="7F143447" w14:textId="6210D1D2" w:rsidR="001E6AF0" w:rsidRPr="002461FE" w:rsidRDefault="001E6AF0" w:rsidP="0061329E">
      <w:pPr>
        <w:pStyle w:val="FootnoteText"/>
      </w:pPr>
      <w:r>
        <w:rPr>
          <w:rStyle w:val="FootnoteReference"/>
        </w:rPr>
        <w:footnoteRef/>
      </w:r>
      <w:r>
        <w:t xml:space="preserve"> </w:t>
      </w:r>
      <w:r>
        <w:tab/>
      </w:r>
      <w:proofErr w:type="gramStart"/>
      <w:r>
        <w:t>Tobacco in Australia, § A12.1.1, “</w:t>
      </w:r>
      <w:hyperlink r:id="rId4" w:history="1">
        <w:r>
          <w:rPr>
            <w:rStyle w:val="Hyperlink"/>
          </w:rPr>
          <w:t>History of Health Warnings in Australia</w:t>
        </w:r>
      </w:hyperlink>
      <w:r>
        <w:t xml:space="preserve">,” available at </w:t>
      </w:r>
      <w:r w:rsidRPr="00136C13">
        <w:t>http://www.tobaccoinaustralia.org.au/a12-1-1-history-health-warnings</w:t>
      </w:r>
      <w:r w:rsidRPr="002461FE">
        <w:t>, visited on January 15, 2016.</w:t>
      </w:r>
      <w:proofErr w:type="gramEnd"/>
    </w:p>
  </w:footnote>
  <w:footnote w:id="17">
    <w:p w14:paraId="45268346" w14:textId="5525640F" w:rsidR="001E6AF0" w:rsidRDefault="001E6AF0" w:rsidP="00D23FEE">
      <w:pPr>
        <w:pStyle w:val="FootnoteText"/>
      </w:pPr>
      <w:r w:rsidRPr="002461FE">
        <w:rPr>
          <w:rStyle w:val="FootnoteReference"/>
        </w:rPr>
        <w:footnoteRef/>
      </w:r>
      <w:r w:rsidRPr="002461FE">
        <w:t xml:space="preserve"> </w:t>
      </w:r>
      <w:r w:rsidRPr="002461FE">
        <w:tab/>
      </w:r>
      <w:r w:rsidRPr="0004712B">
        <w:rPr>
          <w:rFonts w:eastAsia="Calibri"/>
        </w:rPr>
        <w:t xml:space="preserve">Australian Government Department of Health, </w:t>
      </w:r>
      <w:r>
        <w:rPr>
          <w:rFonts w:eastAsia="Calibri"/>
        </w:rPr>
        <w:t>“</w:t>
      </w:r>
      <w:hyperlink r:id="rId5" w:history="1">
        <w:r w:rsidRPr="002711B4">
          <w:rPr>
            <w:rStyle w:val="Hyperlink"/>
            <w:rFonts w:eastAsia="Calibri"/>
          </w:rPr>
          <w:t>Taxation: The History of Tobacco Excise Arrangements in Australia since 1901</w:t>
        </w:r>
      </w:hyperlink>
      <w:r w:rsidRPr="0004712B">
        <w:rPr>
          <w:rFonts w:eastAsia="Calibri"/>
        </w:rPr>
        <w:t>,</w:t>
      </w:r>
      <w:r>
        <w:rPr>
          <w:rFonts w:eastAsia="Calibri"/>
        </w:rPr>
        <w:t>”</w:t>
      </w:r>
      <w:r w:rsidRPr="0004712B">
        <w:rPr>
          <w:rFonts w:eastAsia="Calibri"/>
        </w:rPr>
        <w:t xml:space="preserve"> </w:t>
      </w:r>
      <w:r>
        <w:rPr>
          <w:rFonts w:eastAsia="Calibri"/>
        </w:rPr>
        <w:t xml:space="preserve">May 20, </w:t>
      </w:r>
      <w:r w:rsidRPr="0004712B">
        <w:rPr>
          <w:rFonts w:eastAsia="Calibri"/>
        </w:rPr>
        <w:t>2014</w:t>
      </w:r>
      <w:r>
        <w:rPr>
          <w:rFonts w:eastAsia="Calibri"/>
        </w:rPr>
        <w:t xml:space="preserve">, available at </w:t>
      </w:r>
      <w:r w:rsidRPr="00136C13">
        <w:rPr>
          <w:rFonts w:eastAsia="Calibri"/>
        </w:rPr>
        <w:t>http://www.health.gov.au/internet/main/publishing.nsf/content/tobacco-tax</w:t>
      </w:r>
      <w:r w:rsidRPr="00DB227F">
        <w:rPr>
          <w:rFonts w:eastAsia="Calibri"/>
        </w:rPr>
        <w:t>,</w:t>
      </w:r>
      <w:r>
        <w:rPr>
          <w:rFonts w:eastAsia="Calibri"/>
        </w:rPr>
        <w:t xml:space="preserve"> visited on January 9, 2016 (hereinafter “Australia Taxation History”).</w:t>
      </w:r>
    </w:p>
  </w:footnote>
  <w:footnote w:id="18">
    <w:p w14:paraId="7186FB74" w14:textId="77777777" w:rsidR="001E6AF0" w:rsidRDefault="001E6AF0" w:rsidP="00D23FEE">
      <w:pPr>
        <w:pStyle w:val="FootnoteText"/>
      </w:pPr>
      <w:r>
        <w:rPr>
          <w:rStyle w:val="FootnoteReference"/>
        </w:rPr>
        <w:footnoteRef/>
      </w:r>
      <w:r>
        <w:t xml:space="preserve"> </w:t>
      </w:r>
      <w:r>
        <w:tab/>
        <w:t>The model does not control for the 12.5 percent increase in tobacco excise tax that was implemented on September 1, 2015 because the data sample contains only one month of data after this tax increase.</w:t>
      </w:r>
    </w:p>
  </w:footnote>
  <w:footnote w:id="19">
    <w:p w14:paraId="626987FA" w14:textId="77777777" w:rsidR="001E6AF0" w:rsidRDefault="001E6AF0" w:rsidP="00F7346E">
      <w:pPr>
        <w:pStyle w:val="FootnoteText"/>
      </w:pPr>
      <w:r>
        <w:rPr>
          <w:rStyle w:val="FootnoteReference"/>
        </w:rPr>
        <w:footnoteRef/>
      </w:r>
      <w:r>
        <w:t xml:space="preserve"> </w:t>
      </w:r>
      <w:r>
        <w:tab/>
        <w:t>As explained above, graphic health warnings were further enlarged in 2012, together with the move to plain packs.  As such, it is not possible to separately identify the effects of plain packaging from enlarged graphic health warnings without making restrictive assumptions.</w:t>
      </w:r>
    </w:p>
  </w:footnote>
  <w:footnote w:id="20">
    <w:p w14:paraId="05925EF6" w14:textId="77777777" w:rsidR="001E6AF0" w:rsidRDefault="001E6AF0" w:rsidP="00A768AE">
      <w:pPr>
        <w:pStyle w:val="FootnoteText"/>
      </w:pPr>
      <w:r>
        <w:rPr>
          <w:rStyle w:val="FootnoteReference"/>
        </w:rPr>
        <w:footnoteRef/>
      </w:r>
      <w:r>
        <w:t xml:space="preserve"> </w:t>
      </w:r>
      <w:r>
        <w:tab/>
        <w:t xml:space="preserve">See, for example, </w:t>
      </w:r>
      <w:r w:rsidRPr="00550ECE">
        <w:t>R.C.</w:t>
      </w:r>
      <w:r>
        <w:t xml:space="preserve"> Hill</w:t>
      </w:r>
      <w:r w:rsidRPr="00550ECE">
        <w:t xml:space="preserve">, W.E. Griffith, and G.G. Judge, </w:t>
      </w:r>
      <w:r w:rsidRPr="00550ECE">
        <w:rPr>
          <w:i/>
        </w:rPr>
        <w:t>Undergraduate Econometrics</w:t>
      </w:r>
      <w:r w:rsidRPr="00550ECE">
        <w:t>, Second Edition, Hoboken, New Jersey: John Wiley &amp; Sons, 2000, pp. 207-208.</w:t>
      </w:r>
    </w:p>
  </w:footnote>
  <w:footnote w:id="21">
    <w:p w14:paraId="5B51AE60" w14:textId="77777777" w:rsidR="001E6AF0" w:rsidRDefault="001E6AF0">
      <w:pPr>
        <w:pStyle w:val="FootnoteText"/>
      </w:pPr>
      <w:r>
        <w:rPr>
          <w:rStyle w:val="FootnoteReference"/>
        </w:rPr>
        <w:footnoteRef/>
      </w:r>
      <w:r>
        <w:t xml:space="preserve"> </w:t>
      </w:r>
      <w:r>
        <w:tab/>
        <w:t xml:space="preserve">Proportionality requires, for example, that the effect of a 25 percent tax increase on smoking prevalence is twice the effect of a 12.5 percent tax increase on smoking prevalence. </w:t>
      </w:r>
    </w:p>
  </w:footnote>
  <w:footnote w:id="22">
    <w:p w14:paraId="679B7CC1" w14:textId="167C7E86" w:rsidR="001E6AF0" w:rsidRDefault="001E6AF0">
      <w:pPr>
        <w:pStyle w:val="FootnoteText"/>
      </w:pPr>
      <w:r>
        <w:rPr>
          <w:rStyle w:val="FootnoteReference"/>
        </w:rPr>
        <w:footnoteRef/>
      </w:r>
      <w:r>
        <w:t xml:space="preserve"> </w:t>
      </w:r>
      <w:r>
        <w:tab/>
      </w:r>
      <w:proofErr w:type="gramStart"/>
      <w:r>
        <w:t>See, for example, Profiles of Health in Australia; Tobacco in Australia, § 1.3, “</w:t>
      </w:r>
      <w:hyperlink r:id="rId6" w:history="1">
        <w:r w:rsidRPr="00EC6065">
          <w:rPr>
            <w:rStyle w:val="Hyperlink"/>
          </w:rPr>
          <w:t>Prevalence of Smoking—Adults,</w:t>
        </w:r>
      </w:hyperlink>
      <w:r>
        <w:t xml:space="preserve">” available at </w:t>
      </w:r>
      <w:r w:rsidRPr="00136C13">
        <w:t>http://www.tobaccoinaustralia.org.au/chapter-1-prevalence/1-3-prevalence-of-smoking-adults</w:t>
      </w:r>
      <w:r>
        <w:rPr>
          <w:rStyle w:val="Hyperlink"/>
          <w:color w:val="auto"/>
          <w:u w:val="none"/>
        </w:rPr>
        <w:t>,</w:t>
      </w:r>
      <w:r w:rsidRPr="00C6369D">
        <w:t xml:space="preserve"> visited</w:t>
      </w:r>
      <w:r>
        <w:t xml:space="preserve"> on January 15, 2016.</w:t>
      </w:r>
      <w:proofErr w:type="gramEnd"/>
      <w:r>
        <w:t xml:space="preserve"> </w:t>
      </w:r>
    </w:p>
  </w:footnote>
  <w:footnote w:id="23">
    <w:p w14:paraId="530DD6D2" w14:textId="77777777" w:rsidR="001E6AF0" w:rsidRDefault="001E6AF0" w:rsidP="0042261B">
      <w:pPr>
        <w:pStyle w:val="FootnoteText"/>
      </w:pPr>
      <w:r>
        <w:rPr>
          <w:rStyle w:val="FootnoteReference"/>
        </w:rPr>
        <w:footnoteRef/>
      </w:r>
      <w:r>
        <w:t xml:space="preserve"> </w:t>
      </w:r>
      <w:r>
        <w:tab/>
        <w:t xml:space="preserve">See, for example, Liane McDermott,  Annette Dobson, and Neville Owen, “Determinants of Continuity and Change over 10 Years in Young Women’s Smoking,” </w:t>
      </w:r>
      <w:r w:rsidRPr="00F2471A">
        <w:rPr>
          <w:i/>
        </w:rPr>
        <w:t>Addiction</w:t>
      </w:r>
      <w:r>
        <w:t>, Vol. 104, 2009, pp. 478-487.</w:t>
      </w:r>
    </w:p>
  </w:footnote>
  <w:footnote w:id="24">
    <w:p w14:paraId="54F726E8" w14:textId="323C030A" w:rsidR="001E6AF0" w:rsidRDefault="001E6AF0">
      <w:pPr>
        <w:pStyle w:val="FootnoteText"/>
      </w:pPr>
      <w:r>
        <w:rPr>
          <w:rStyle w:val="FootnoteReference"/>
        </w:rPr>
        <w:footnoteRef/>
      </w:r>
      <w:r>
        <w:t xml:space="preserve"> </w:t>
      </w:r>
      <w:r>
        <w:tab/>
        <w:t>See, for example, Tobacco in Australia, § 1.8, “</w:t>
      </w:r>
      <w:hyperlink r:id="rId7" w:history="1">
        <w:r w:rsidRPr="00EC6065">
          <w:rPr>
            <w:rStyle w:val="Hyperlink"/>
          </w:rPr>
          <w:t>Trends in Prevalence of Smoking by Country of Birth</w:t>
        </w:r>
      </w:hyperlink>
      <w:r>
        <w:t>,” a</w:t>
      </w:r>
      <w:r w:rsidRPr="00ED4CC4">
        <w:t xml:space="preserve">vailable </w:t>
      </w:r>
      <w:r>
        <w:t xml:space="preserve">at </w:t>
      </w:r>
      <w:r w:rsidRPr="00136C13">
        <w:t>http://www.tobaccoinaustralia.org.au/1-8-trends-in-prevalence-of-smoking-by-country-of-</w:t>
      </w:r>
      <w:r>
        <w:t>, visited on January 17, 2016.</w:t>
      </w:r>
    </w:p>
  </w:footnote>
  <w:footnote w:id="25">
    <w:p w14:paraId="289C6C59" w14:textId="334D428C" w:rsidR="001E6AF0" w:rsidRDefault="001E6AF0" w:rsidP="00337555">
      <w:pPr>
        <w:pStyle w:val="FootnoteText"/>
      </w:pPr>
      <w:r>
        <w:rPr>
          <w:rStyle w:val="FootnoteReference"/>
        </w:rPr>
        <w:footnoteRef/>
      </w:r>
      <w:r>
        <w:t xml:space="preserve"> </w:t>
      </w:r>
      <w:r>
        <w:tab/>
        <w:t>See, for example, Tobacco in Australia, § 1.4, “</w:t>
      </w:r>
      <w:hyperlink r:id="rId8" w:history="1">
        <w:r w:rsidRPr="00946090">
          <w:rPr>
            <w:rStyle w:val="Hyperlink"/>
          </w:rPr>
          <w:t>Prevalence of Smoking—Young Adults</w:t>
        </w:r>
      </w:hyperlink>
      <w:r>
        <w:t>,” a</w:t>
      </w:r>
      <w:r w:rsidRPr="00ED4CC4">
        <w:t xml:space="preserve">vailable </w:t>
      </w:r>
      <w:r>
        <w:t xml:space="preserve">at </w:t>
      </w:r>
      <w:r w:rsidRPr="00337555">
        <w:t>http://www.tobaccoinaustralia.org.au/chapter-1-prevalence/1-4-prevalence-of-smoking-young-adults</w:t>
      </w:r>
      <w:r>
        <w:t>, visited on January 20, 2016; Tobacco in Australia, § 1.5, “</w:t>
      </w:r>
      <w:hyperlink r:id="rId9" w:history="1">
        <w:r w:rsidRPr="00946090">
          <w:rPr>
            <w:rStyle w:val="Hyperlink"/>
          </w:rPr>
          <w:t>Prevalence of Smoking—Middle Aged and Older Adults</w:t>
        </w:r>
      </w:hyperlink>
      <w:r>
        <w:t>,” a</w:t>
      </w:r>
      <w:r w:rsidRPr="00ED4CC4">
        <w:t xml:space="preserve">vailable </w:t>
      </w:r>
      <w:r>
        <w:t xml:space="preserve">at </w:t>
      </w:r>
      <w:r w:rsidRPr="00337555">
        <w:t>http://www.tobaccoinaustralia.org.au/chapter-1-prevalence/1-5-prevalence-of-smoking-middle-aged-and-older-ad</w:t>
      </w:r>
      <w:r>
        <w:t xml:space="preserve">, visited on January 20, 2016; and Profiles of Health in Australia; and </w:t>
      </w:r>
      <w:proofErr w:type="spellStart"/>
      <w:r>
        <w:t>Pramod</w:t>
      </w:r>
      <w:proofErr w:type="spellEnd"/>
      <w:r>
        <w:t xml:space="preserve"> </w:t>
      </w:r>
      <w:proofErr w:type="spellStart"/>
      <w:r>
        <w:t>Adhikari</w:t>
      </w:r>
      <w:proofErr w:type="spellEnd"/>
      <w:r>
        <w:t xml:space="preserve"> and Amber </w:t>
      </w:r>
      <w:proofErr w:type="spellStart"/>
      <w:r>
        <w:t>Summerill</w:t>
      </w:r>
      <w:proofErr w:type="spellEnd"/>
      <w:r>
        <w:t>, “</w:t>
      </w:r>
      <w:hyperlink r:id="rId10" w:history="1">
        <w:r w:rsidRPr="00511DF8">
          <w:rPr>
            <w:rStyle w:val="Hyperlink"/>
          </w:rPr>
          <w:t>Use of Tobacco</w:t>
        </w:r>
      </w:hyperlink>
      <w:r>
        <w:t xml:space="preserve">,” </w:t>
      </w:r>
      <w:r w:rsidRPr="00C4713E">
        <w:rPr>
          <w:i/>
        </w:rPr>
        <w:t>1998 National Drug Strategy Household Survey: Detailed Findings</w:t>
      </w:r>
      <w:r>
        <w:t xml:space="preserve">, 2000, Chapter 2, available at </w:t>
      </w:r>
      <w:r w:rsidRPr="00136C13">
        <w:t>http://www.aihw.gov.au/publication-detail/?id=6442467215</w:t>
      </w:r>
      <w:r>
        <w:t>, visited on January 14, 2016.</w:t>
      </w:r>
    </w:p>
  </w:footnote>
  <w:footnote w:id="26">
    <w:p w14:paraId="13F5528C" w14:textId="3EA3CCFB" w:rsidR="001E6AF0" w:rsidRDefault="001E6AF0" w:rsidP="0042261B">
      <w:pPr>
        <w:pStyle w:val="FootnoteText"/>
      </w:pPr>
      <w:r>
        <w:rPr>
          <w:rStyle w:val="FootnoteReference"/>
        </w:rPr>
        <w:footnoteRef/>
      </w:r>
      <w:r>
        <w:t xml:space="preserve"> </w:t>
      </w:r>
      <w:r>
        <w:tab/>
        <w:t xml:space="preserve">See, for example, Mohammad </w:t>
      </w:r>
      <w:proofErr w:type="spellStart"/>
      <w:r>
        <w:t>Siahpush</w:t>
      </w:r>
      <w:proofErr w:type="spellEnd"/>
      <w:r>
        <w:t xml:space="preserve"> and Ron Borland, “Socio-Demographic Variations in Smoking Status Among Australian Aged ≥18: Multivariate Results from the 1995 National Health Survey,” </w:t>
      </w:r>
      <w:r>
        <w:rPr>
          <w:i/>
        </w:rPr>
        <w:t>Australian and New Zealand Journal of Public Health</w:t>
      </w:r>
      <w:r>
        <w:t>, 2001, Vol. 25(5), pp. 438-442; and Tobacco in Australia, § 1.7, “</w:t>
      </w:r>
      <w:hyperlink r:id="rId11" w:history="1">
        <w:r w:rsidRPr="00EC6065">
          <w:rPr>
            <w:rStyle w:val="Hyperlink"/>
          </w:rPr>
          <w:t>Trends in the Prevalence of Smoking by Socio-Economic Status</w:t>
        </w:r>
      </w:hyperlink>
      <w:r>
        <w:t xml:space="preserve">,” available at </w:t>
      </w:r>
      <w:r w:rsidRPr="00136C13">
        <w:t>http://www.tobaccoinaustralia.org.au/1-7-trends-in-the-prevalence-of-smoking-by-socioec</w:t>
      </w:r>
      <w:r>
        <w:rPr>
          <w:rStyle w:val="Hyperlink"/>
          <w:color w:val="auto"/>
          <w:u w:val="none"/>
        </w:rPr>
        <w:t>,</w:t>
      </w:r>
      <w:r>
        <w:t xml:space="preserve"> visited on January 15, 2016. </w:t>
      </w:r>
    </w:p>
  </w:footnote>
  <w:footnote w:id="27">
    <w:p w14:paraId="456C91E3" w14:textId="7BE19681" w:rsidR="001E6AF0" w:rsidRDefault="001E6AF0" w:rsidP="0042261B">
      <w:pPr>
        <w:pStyle w:val="FootnoteText"/>
      </w:pPr>
      <w:r>
        <w:rPr>
          <w:rStyle w:val="FootnoteReference"/>
        </w:rPr>
        <w:footnoteRef/>
      </w:r>
      <w:r>
        <w:t xml:space="preserve"> </w:t>
      </w:r>
      <w:r>
        <w:tab/>
        <w:t>See, for example, Australian Institute of Health and Welfare, “</w:t>
      </w:r>
      <w:hyperlink r:id="rId12" w:history="1">
        <w:r w:rsidRPr="00EC6065">
          <w:rPr>
            <w:rStyle w:val="Hyperlink"/>
          </w:rPr>
          <w:t>National Drug Strategy - Household Survey - Detailed Report</w:t>
        </w:r>
      </w:hyperlink>
      <w:r>
        <w:t xml:space="preserve">,” 2013, available at </w:t>
      </w:r>
      <w:r w:rsidRPr="00136C13">
        <w:t>http://www.aihw.gov.au/WorkArea/DownloadAsset.aspx?id=60129549848</w:t>
      </w:r>
      <w:r>
        <w:t>, visited on January 15, 2016; and Trends in Australia, “</w:t>
      </w:r>
      <w:hyperlink r:id="rId13" w:history="1">
        <w:r w:rsidRPr="00EC6065">
          <w:rPr>
            <w:rStyle w:val="Hyperlink"/>
          </w:rPr>
          <w:t>Trends in the Prevalence of Smoking by Socio-Economic Status</w:t>
        </w:r>
      </w:hyperlink>
      <w:r>
        <w:t xml:space="preserve">,” Chapter 1.7, available at </w:t>
      </w:r>
      <w:r w:rsidRPr="00136C13">
        <w:t>http://www.tobaccoinaustralia.org.au/1-7-trends-in-the-prevalence-of-smoking-by-socioec</w:t>
      </w:r>
      <w:r>
        <w:rPr>
          <w:rStyle w:val="Hyperlink"/>
          <w:color w:val="auto"/>
          <w:u w:val="none"/>
        </w:rPr>
        <w:t>,</w:t>
      </w:r>
      <w:r>
        <w:t xml:space="preserve"> visited on January 15, 2016.</w:t>
      </w:r>
      <w:r w:rsidDel="00E72BF1">
        <w:t xml:space="preserve"> </w:t>
      </w:r>
    </w:p>
  </w:footnote>
  <w:footnote w:id="28">
    <w:p w14:paraId="712580D0" w14:textId="77777777" w:rsidR="001E6AF0" w:rsidRDefault="001E6AF0">
      <w:pPr>
        <w:pStyle w:val="FootnoteText"/>
      </w:pPr>
      <w:r>
        <w:rPr>
          <w:rStyle w:val="FootnoteReference"/>
        </w:rPr>
        <w:footnoteRef/>
      </w:r>
      <w:r>
        <w:t xml:space="preserve"> </w:t>
      </w:r>
      <w:r>
        <w:tab/>
      </w:r>
      <w:r w:rsidRPr="00337555">
        <w:rPr>
          <w:i/>
        </w:rPr>
        <w:t>Id.</w:t>
      </w:r>
    </w:p>
  </w:footnote>
  <w:footnote w:id="29">
    <w:p w14:paraId="46CB931D" w14:textId="77777777" w:rsidR="001E6AF0" w:rsidRDefault="001E6AF0">
      <w:pPr>
        <w:pStyle w:val="FootnoteText"/>
      </w:pPr>
      <w:r>
        <w:rPr>
          <w:rStyle w:val="FootnoteReference"/>
        </w:rPr>
        <w:footnoteRef/>
      </w:r>
      <w:r>
        <w:t xml:space="preserve"> </w:t>
      </w:r>
      <w:r>
        <w:tab/>
        <w:t>The p-value is the minimum significance level at which the estimated coefficient is statistically different from zero.  For example, a coefficient with a p-value value of 0.10 is statistically different from zero at the 10 percent significance level.  Similarly, a coefficient with a p-value of 0.017 is statistically different from zero at the 1.7 percent significance level.  There is no bright line in deciding when something is statistically different from zero.  As a general matter, the smaller the p-value, the more confident one can be that the true parameter is different from zero.  As a practical matter, many economists begin to recognize statistical significance for p-values less than 0.10.</w:t>
      </w:r>
    </w:p>
  </w:footnote>
  <w:footnote w:id="30">
    <w:p w14:paraId="0AD79A94" w14:textId="77777777" w:rsidR="001E6AF0" w:rsidRDefault="001E6AF0">
      <w:pPr>
        <w:pStyle w:val="FootnoteText"/>
      </w:pPr>
      <w:r>
        <w:rPr>
          <w:rStyle w:val="FootnoteReference"/>
        </w:rPr>
        <w:footnoteRef/>
      </w:r>
      <w:r>
        <w:t xml:space="preserve"> </w:t>
      </w:r>
      <w:r>
        <w:tab/>
        <w:t xml:space="preserve">The translation is required because the coefficient estimates are derived from a probit model.  In the probit model, the </w:t>
      </w:r>
      <w:r w:rsidRPr="00372611">
        <w:rPr>
          <w:i/>
        </w:rPr>
        <w:t>sign</w:t>
      </w:r>
      <w:r>
        <w:t xml:space="preserve"> of the effect of an explanatory variable (such as the indicator variable for the 2012 packaging changes) is determined solely by the </w:t>
      </w:r>
      <w:r w:rsidRPr="00372611">
        <w:rPr>
          <w:i/>
        </w:rPr>
        <w:t>sign</w:t>
      </w:r>
      <w:r>
        <w:t xml:space="preserve"> of its coefficient.  However, the </w:t>
      </w:r>
      <w:r w:rsidRPr="00372611">
        <w:rPr>
          <w:i/>
        </w:rPr>
        <w:t>magnitude</w:t>
      </w:r>
      <w:r>
        <w:t xml:space="preserve"> of the effect on the change in smoking prevalence – controlling for all other explanatory variables – depends on a complicated function of </w:t>
      </w:r>
      <w:r w:rsidRPr="00372611">
        <w:rPr>
          <w:i/>
        </w:rPr>
        <w:t>all</w:t>
      </w:r>
      <w:r>
        <w:t xml:space="preserve"> explanatory variables included in the regression model.  D.N. Gujarati, </w:t>
      </w:r>
      <w:r w:rsidRPr="002451AE">
        <w:rPr>
          <w:i/>
        </w:rPr>
        <w:t>Basic Econometrics</w:t>
      </w:r>
      <w:r>
        <w:t xml:space="preserve">, Fourth Edition, New York, New York: McGraw Hill, 2004 (hereinafter “Gujarati (2004)”), pp. 613-614; and J.M. Woolridge, </w:t>
      </w:r>
      <w:r w:rsidRPr="002451AE">
        <w:rPr>
          <w:i/>
        </w:rPr>
        <w:t>Econometric Analysis of Cross Section and Panel Data</w:t>
      </w:r>
      <w:r>
        <w:t xml:space="preserve">, Cambridge, Massachusetts: MIT Press, 2002 (hereinafter Woolridge (2002)”), pp. 458-459.  </w:t>
      </w:r>
    </w:p>
  </w:footnote>
  <w:footnote w:id="31">
    <w:p w14:paraId="0C51C77B" w14:textId="77777777" w:rsidR="001E6AF0" w:rsidRDefault="001E6AF0">
      <w:pPr>
        <w:pStyle w:val="FootnoteText"/>
      </w:pPr>
      <w:r>
        <w:rPr>
          <w:rStyle w:val="FootnoteReference"/>
        </w:rPr>
        <w:footnoteRef/>
      </w:r>
      <w:r>
        <w:t xml:space="preserve"> </w:t>
      </w:r>
      <w:r>
        <w:tab/>
        <w:t xml:space="preserve">To calculate the former, I use the model estimates to predict smoking probabilities for all individuals in the post-policy sample, given actual tobacco control policies (including the 2012 packaging changes), sociodemographic mix of the Australian population, and general trend.  To calculate the latter, I do the same except that I set the indicator variable for the 2012 packaging changes to zero.  The effect of this change in the 2012 packaging change indicator is to undo the effect of the packaging changes.  </w:t>
      </w:r>
    </w:p>
  </w:footnote>
  <w:footnote w:id="32">
    <w:p w14:paraId="385E7780" w14:textId="77777777" w:rsidR="001E6AF0" w:rsidRDefault="001E6AF0">
      <w:pPr>
        <w:pStyle w:val="FootnoteText"/>
      </w:pPr>
      <w:r>
        <w:rPr>
          <w:rStyle w:val="FootnoteReference"/>
        </w:rPr>
        <w:footnoteRef/>
      </w:r>
      <w:r>
        <w:t xml:space="preserve"> </w:t>
      </w:r>
      <w:r>
        <w:tab/>
        <w:t>Note, the difference between 0.55 percentage points and 0.56 percentage points, based on a difference between 17.77 percent and 17.21 percent, is due to rounding.  The actual difference is 0.55 percentage points.</w:t>
      </w:r>
    </w:p>
  </w:footnote>
  <w:footnote w:id="33">
    <w:p w14:paraId="1B1B3DB9" w14:textId="3026BF43" w:rsidR="001E6AF0" w:rsidRDefault="001E6AF0" w:rsidP="00F578EC">
      <w:pPr>
        <w:pStyle w:val="FootnoteText"/>
      </w:pPr>
      <w:r>
        <w:rPr>
          <w:rStyle w:val="FootnoteReference"/>
        </w:rPr>
        <w:footnoteRef/>
      </w:r>
      <w:r>
        <w:t xml:space="preserve"> </w:t>
      </w:r>
      <w:r>
        <w:tab/>
        <w:t xml:space="preserve">This inability to measure an effect is despite the fact that smoking prevalence appears to have declined relatively rapidly in the neighborhood of the policy change, as seen in Figure 1.  However, as I have explained, the inclusion of a trend line can mask policy effects.  In this case, </w:t>
      </w:r>
      <w:r w:rsidRPr="00F578EC">
        <w:t>the policy effect</w:t>
      </w:r>
      <w:r>
        <w:t xml:space="preserve"> may be entirely absorbed in the trend line, in which case it would be impossible to separately estimate the policy effect and the trend. </w:t>
      </w:r>
    </w:p>
  </w:footnote>
  <w:footnote w:id="34">
    <w:p w14:paraId="7F1B9BF9" w14:textId="77777777" w:rsidR="001E6AF0" w:rsidRDefault="001E6AF0">
      <w:pPr>
        <w:pStyle w:val="FootnoteText"/>
      </w:pPr>
      <w:r>
        <w:rPr>
          <w:rStyle w:val="FootnoteReference"/>
        </w:rPr>
        <w:footnoteRef/>
      </w:r>
      <w:r>
        <w:t xml:space="preserve"> </w:t>
      </w:r>
      <w:r>
        <w:tab/>
        <w:t xml:space="preserve">See, for example, D. </w:t>
      </w:r>
      <w:proofErr w:type="spellStart"/>
      <w:r>
        <w:t>Momperousse</w:t>
      </w:r>
      <w:proofErr w:type="spellEnd"/>
      <w:r>
        <w:t xml:space="preserve">, C.D. </w:t>
      </w:r>
      <w:proofErr w:type="spellStart"/>
      <w:r>
        <w:t>Delveno</w:t>
      </w:r>
      <w:proofErr w:type="spellEnd"/>
      <w:r>
        <w:t xml:space="preserve">, and M.J. Lewis, “Exploring the Seasonality of Cigarette-Smoking </w:t>
      </w:r>
      <w:proofErr w:type="spellStart"/>
      <w:r>
        <w:t>Behaviour</w:t>
      </w:r>
      <w:proofErr w:type="spellEnd"/>
      <w:r>
        <w:t xml:space="preserve">,” </w:t>
      </w:r>
      <w:r w:rsidRPr="002451AE">
        <w:rPr>
          <w:i/>
        </w:rPr>
        <w:t>Tobacco Control</w:t>
      </w:r>
      <w:r>
        <w:t xml:space="preserve">, Vol. 16(1), 2007, pp. 69-70.  </w:t>
      </w:r>
    </w:p>
  </w:footnote>
  <w:footnote w:id="35">
    <w:p w14:paraId="613BA162" w14:textId="77777777" w:rsidR="001E6AF0" w:rsidRDefault="001E6AF0">
      <w:pPr>
        <w:pStyle w:val="FootnoteText"/>
      </w:pPr>
      <w:r>
        <w:rPr>
          <w:rStyle w:val="FootnoteReference"/>
        </w:rPr>
        <w:footnoteRef/>
      </w:r>
      <w:r>
        <w:t xml:space="preserve"> </w:t>
      </w:r>
      <w:r>
        <w:tab/>
        <w:t>The more restrictive model would produce biased parameter estimates if the imposed assumption does not hold.  In this case, statistical testing cannot reject the restriction that the effect of tax increases on smoking prevalence is proportional to the size of the tax increase.</w:t>
      </w:r>
    </w:p>
  </w:footnote>
  <w:footnote w:id="36">
    <w:p w14:paraId="47AB053E" w14:textId="77777777" w:rsidR="001E6AF0" w:rsidRDefault="001E6AF0">
      <w:pPr>
        <w:pStyle w:val="FootnoteText"/>
      </w:pPr>
      <w:r>
        <w:rPr>
          <w:rStyle w:val="FootnoteReference"/>
        </w:rPr>
        <w:footnoteRef/>
      </w:r>
      <w:r>
        <w:t xml:space="preserve"> </w:t>
      </w:r>
      <w:r>
        <w:tab/>
        <w:t xml:space="preserve">Woolridge (2002), pp. 453-461; and Gujarati (2004), pp. 595-615.  </w:t>
      </w:r>
    </w:p>
  </w:footnote>
  <w:footnote w:id="37">
    <w:p w14:paraId="06F4F0CC" w14:textId="3172E67F"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Reference Guide on Multiple Regression, pp. 181-</w:t>
      </w:r>
      <w:r>
        <w:rPr>
          <w:szCs w:val="22"/>
        </w:rPr>
        <w:t>18</w:t>
      </w:r>
      <w:r w:rsidRPr="00913D31">
        <w:rPr>
          <w:szCs w:val="22"/>
        </w:rPr>
        <w:t xml:space="preserve">2. </w:t>
      </w:r>
    </w:p>
  </w:footnote>
  <w:footnote w:id="38">
    <w:p w14:paraId="7DC66A58" w14:textId="77777777"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r>
      <w:r w:rsidRPr="00913D31">
        <w:rPr>
          <w:i/>
          <w:szCs w:val="22"/>
        </w:rPr>
        <w:t>Id.</w:t>
      </w:r>
      <w:r w:rsidRPr="00913D31">
        <w:rPr>
          <w:szCs w:val="22"/>
        </w:rPr>
        <w:t xml:space="preserve">, p. 225. </w:t>
      </w:r>
    </w:p>
  </w:footnote>
  <w:footnote w:id="39">
    <w:p w14:paraId="3FEAA090" w14:textId="77777777" w:rsidR="001E6AF0" w:rsidRDefault="001E6AF0" w:rsidP="00EE574A">
      <w:pPr>
        <w:pStyle w:val="FootnoteText"/>
      </w:pPr>
      <w:r>
        <w:rPr>
          <w:rStyle w:val="FootnoteReference"/>
        </w:rPr>
        <w:footnoteRef/>
      </w:r>
      <w:r>
        <w:t xml:space="preserve"> </w:t>
      </w:r>
      <w:r>
        <w:tab/>
        <w:t xml:space="preserve">The regression model may have trouble disentangling the effects of the two highly correlated explanatory variables since they contain redundant information. </w:t>
      </w:r>
      <w:proofErr w:type="gramStart"/>
      <w:r>
        <w:t>(</w:t>
      </w:r>
      <w:r w:rsidRPr="00913D31">
        <w:rPr>
          <w:szCs w:val="22"/>
        </w:rPr>
        <w:t>Referen</w:t>
      </w:r>
      <w:r>
        <w:rPr>
          <w:szCs w:val="22"/>
        </w:rPr>
        <w:t xml:space="preserve">ce Guide on Multiple Regression, p.197; </w:t>
      </w:r>
      <w:r>
        <w:t>Gujarati (2004), pp. 341-345).</w:t>
      </w:r>
      <w:proofErr w:type="gramEnd"/>
    </w:p>
  </w:footnote>
  <w:footnote w:id="40">
    <w:p w14:paraId="271E920D" w14:textId="77777777"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 xml:space="preserve">Reference Guide on Multiple Regression, p. 222. </w:t>
      </w:r>
    </w:p>
  </w:footnote>
  <w:footnote w:id="41">
    <w:p w14:paraId="5AD5B91D" w14:textId="77777777" w:rsidR="001E6AF0" w:rsidRDefault="001E6AF0" w:rsidP="00EE574A">
      <w:pPr>
        <w:pStyle w:val="FootnoteText"/>
      </w:pPr>
      <w:r>
        <w:rPr>
          <w:rStyle w:val="FootnoteReference"/>
        </w:rPr>
        <w:footnoteRef/>
      </w:r>
      <w:r>
        <w:t xml:space="preserve"> </w:t>
      </w:r>
      <w:r>
        <w:tab/>
        <w:t xml:space="preserve">Wooldridge (2002), pp. 453-461; and Gujarati (2004), pp. 595-615.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AEDD" w14:textId="77777777" w:rsidR="00807EC1" w:rsidRDefault="00807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F900" w14:textId="77777777" w:rsidR="001E6AF0" w:rsidRDefault="001E6AF0" w:rsidP="00725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B1BA" w14:textId="77777777" w:rsidR="001E6AF0" w:rsidRDefault="001E6AF0" w:rsidP="00961C32">
    <w:pPr>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4749" w14:textId="438562E8" w:rsidR="001E6AF0" w:rsidRPr="003347B9" w:rsidRDefault="001E6AF0" w:rsidP="00334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653"/>
    <w:multiLevelType w:val="hybridMultilevel"/>
    <w:tmpl w:val="E1561C02"/>
    <w:lvl w:ilvl="0" w:tplc="FFFFFFFF">
      <w:start w:val="1"/>
      <w:numFmt w:val="decimal"/>
      <w:pStyle w:val="BodyText"/>
      <w:lvlText w:val="%1."/>
      <w:lvlJc w:val="left"/>
      <w:pPr>
        <w:tabs>
          <w:tab w:val="num" w:pos="1080"/>
        </w:tabs>
        <w:ind w:left="0" w:firstLine="72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
    <w:nsid w:val="1DB30DE7"/>
    <w:multiLevelType w:val="hybridMultilevel"/>
    <w:tmpl w:val="0074A05A"/>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61CF"/>
    <w:multiLevelType w:val="hybridMultilevel"/>
    <w:tmpl w:val="37028F1C"/>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3120E"/>
    <w:multiLevelType w:val="hybridMultilevel"/>
    <w:tmpl w:val="4A46EE60"/>
    <w:lvl w:ilvl="0" w:tplc="1F209712">
      <w:start w:val="1"/>
      <w:numFmt w:val="bullet"/>
      <w:pStyle w:val="Text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007A7"/>
    <w:multiLevelType w:val="hybridMultilevel"/>
    <w:tmpl w:val="EC60C0D4"/>
    <w:lvl w:ilvl="0" w:tplc="22D6E800">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0EF0096"/>
    <w:multiLevelType w:val="hybridMultilevel"/>
    <w:tmpl w:val="498CDE20"/>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41353"/>
    <w:multiLevelType w:val="hybridMultilevel"/>
    <w:tmpl w:val="1ECA783A"/>
    <w:lvl w:ilvl="0" w:tplc="04090001">
      <w:start w:val="1"/>
      <w:numFmt w:val="upperRoman"/>
      <w:lvlText w:val="%1."/>
      <w:lvlJc w:val="left"/>
      <w:pPr>
        <w:tabs>
          <w:tab w:val="num" w:pos="1080"/>
        </w:tabs>
        <w:ind w:left="1080" w:hanging="720"/>
      </w:pPr>
      <w:rPr>
        <w:rFonts w:hint="default"/>
        <w:b/>
      </w:rPr>
    </w:lvl>
    <w:lvl w:ilvl="1" w:tplc="04090003">
      <w:start w:val="1"/>
      <w:numFmt w:val="lowerLetter"/>
      <w:lvlText w:val="%2."/>
      <w:lvlJc w:val="left"/>
      <w:pPr>
        <w:tabs>
          <w:tab w:val="num" w:pos="1440"/>
        </w:tabs>
        <w:ind w:left="1440" w:hanging="360"/>
      </w:pPr>
      <w:rPr>
        <w:b/>
      </w:rPr>
    </w:lvl>
    <w:lvl w:ilvl="2" w:tplc="04090005">
      <w:start w:val="1"/>
      <w:numFmt w:val="lowerRoman"/>
      <w:lvlText w:val="%3."/>
      <w:lvlJc w:val="right"/>
      <w:pPr>
        <w:tabs>
          <w:tab w:val="num" w:pos="1800"/>
        </w:tabs>
        <w:ind w:left="1800" w:hanging="180"/>
      </w:pPr>
      <w:rPr>
        <w:b/>
      </w:rPr>
    </w:lvl>
    <w:lvl w:ilvl="3" w:tplc="8522D32C">
      <w:start w:val="1"/>
      <w:numFmt w:val="decimal"/>
      <w:pStyle w:val="Paragraph"/>
      <w:lvlText w:val="%4."/>
      <w:lvlJc w:val="left"/>
      <w:pPr>
        <w:tabs>
          <w:tab w:val="num" w:pos="1260"/>
        </w:tabs>
        <w:ind w:left="1260" w:hanging="360"/>
      </w:pPr>
      <w:rPr>
        <w:rFonts w:ascii="Times New Roman" w:eastAsia="Times New Roman" w:hAnsi="Times New Roman" w:cs="Times New Roman"/>
        <w:b w:val="0"/>
      </w:rPr>
    </w:lvl>
    <w:lvl w:ilvl="4" w:tplc="04090001">
      <w:start w:val="1"/>
      <w:numFmt w:val="bullet"/>
      <w:lvlText w:val=""/>
      <w:lvlJc w:val="left"/>
      <w:pPr>
        <w:tabs>
          <w:tab w:val="num" w:pos="3600"/>
        </w:tabs>
        <w:ind w:left="3600" w:hanging="360"/>
      </w:pPr>
      <w:rPr>
        <w:rFonts w:ascii="Symbol" w:hAnsi="Symbol" w:hint="default"/>
      </w:rPr>
    </w:lvl>
    <w:lvl w:ilvl="5" w:tplc="5112A9E2">
      <w:start w:val="1"/>
      <w:numFmt w:val="lowerRoman"/>
      <w:lvlText w:val="%6."/>
      <w:lvlJc w:val="right"/>
      <w:pPr>
        <w:tabs>
          <w:tab w:val="num" w:pos="1260"/>
        </w:tabs>
        <w:ind w:left="1260" w:hanging="360"/>
      </w:pPr>
      <w:rPr>
        <w:rFonts w:hint="default"/>
        <w:b w:val="0"/>
        <w:sz w:val="24"/>
        <w:szCs w:val="24"/>
      </w:rPr>
    </w:lvl>
    <w:lvl w:ilvl="6" w:tplc="04090001">
      <w:start w:val="8"/>
      <w:numFmt w:val="upperRoman"/>
      <w:lvlText w:val="%7."/>
      <w:lvlJc w:val="left"/>
      <w:pPr>
        <w:tabs>
          <w:tab w:val="num" w:pos="5400"/>
        </w:tabs>
        <w:ind w:left="5400" w:hanging="720"/>
      </w:pPr>
      <w:rPr>
        <w:rFonts w:hint="default"/>
      </w:r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5F3419C8"/>
    <w:multiLevelType w:val="hybridMultilevel"/>
    <w:tmpl w:val="80F484F6"/>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32AE9"/>
    <w:multiLevelType w:val="hybridMultilevel"/>
    <w:tmpl w:val="33A0E636"/>
    <w:lvl w:ilvl="0" w:tplc="668690BE">
      <w:start w:val="1"/>
      <w:numFmt w:val="decimal"/>
      <w:pStyle w:val="NumberedParagraph"/>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3D64F1C"/>
    <w:multiLevelType w:val="multilevel"/>
    <w:tmpl w:val="C344A7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9AC424C"/>
    <w:multiLevelType w:val="hybridMultilevel"/>
    <w:tmpl w:val="6048169E"/>
    <w:lvl w:ilvl="0" w:tplc="06BE0C3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909F6"/>
    <w:multiLevelType w:val="hybridMultilevel"/>
    <w:tmpl w:val="BEF69A66"/>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3"/>
  </w:num>
  <w:num w:numId="6">
    <w:abstractNumId w:val="10"/>
    <w:lvlOverride w:ilvl="0">
      <w:startOverride w:val="1"/>
    </w:lvlOverride>
  </w:num>
  <w:num w:numId="7">
    <w:abstractNumId w:val="7"/>
  </w:num>
  <w:num w:numId="8">
    <w:abstractNumId w:val="1"/>
  </w:num>
  <w:num w:numId="9">
    <w:abstractNumId w:val="5"/>
  </w:num>
  <w:num w:numId="10">
    <w:abstractNumId w:val="2"/>
  </w:num>
  <w:num w:numId="11">
    <w:abstractNumId w:val="11"/>
  </w:num>
  <w:num w:numId="12">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wood, Simon">
    <w15:presenceInfo w15:providerId="None" w15:userId="Sherwood, 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13"/>
    <w:rsid w:val="00000819"/>
    <w:rsid w:val="000018C8"/>
    <w:rsid w:val="00002393"/>
    <w:rsid w:val="000024C6"/>
    <w:rsid w:val="000030D6"/>
    <w:rsid w:val="000033CD"/>
    <w:rsid w:val="000038FD"/>
    <w:rsid w:val="0000399A"/>
    <w:rsid w:val="0000480C"/>
    <w:rsid w:val="000049A3"/>
    <w:rsid w:val="00004A6B"/>
    <w:rsid w:val="000052A5"/>
    <w:rsid w:val="00005364"/>
    <w:rsid w:val="00006302"/>
    <w:rsid w:val="00006F1E"/>
    <w:rsid w:val="00006FDB"/>
    <w:rsid w:val="00007213"/>
    <w:rsid w:val="00007E8B"/>
    <w:rsid w:val="0001001D"/>
    <w:rsid w:val="000114F7"/>
    <w:rsid w:val="00012EBA"/>
    <w:rsid w:val="00014244"/>
    <w:rsid w:val="0001487B"/>
    <w:rsid w:val="00014FAB"/>
    <w:rsid w:val="00015CE2"/>
    <w:rsid w:val="00015EA2"/>
    <w:rsid w:val="00015FC8"/>
    <w:rsid w:val="00017015"/>
    <w:rsid w:val="000174DD"/>
    <w:rsid w:val="00017ED2"/>
    <w:rsid w:val="000202A0"/>
    <w:rsid w:val="00020357"/>
    <w:rsid w:val="00020830"/>
    <w:rsid w:val="0002124E"/>
    <w:rsid w:val="0002175A"/>
    <w:rsid w:val="0002199D"/>
    <w:rsid w:val="00021AE6"/>
    <w:rsid w:val="00021F4E"/>
    <w:rsid w:val="00022023"/>
    <w:rsid w:val="000233BC"/>
    <w:rsid w:val="00023509"/>
    <w:rsid w:val="00023A68"/>
    <w:rsid w:val="00023A8A"/>
    <w:rsid w:val="00024302"/>
    <w:rsid w:val="000246B6"/>
    <w:rsid w:val="00024CB1"/>
    <w:rsid w:val="00024EED"/>
    <w:rsid w:val="00026291"/>
    <w:rsid w:val="000268C1"/>
    <w:rsid w:val="00026D46"/>
    <w:rsid w:val="00031208"/>
    <w:rsid w:val="000315EA"/>
    <w:rsid w:val="00031961"/>
    <w:rsid w:val="00031E04"/>
    <w:rsid w:val="000327BE"/>
    <w:rsid w:val="00032BC4"/>
    <w:rsid w:val="00032CAD"/>
    <w:rsid w:val="00032E4A"/>
    <w:rsid w:val="000334C9"/>
    <w:rsid w:val="000336A5"/>
    <w:rsid w:val="0003423F"/>
    <w:rsid w:val="00034974"/>
    <w:rsid w:val="000356D0"/>
    <w:rsid w:val="00035774"/>
    <w:rsid w:val="00035E1F"/>
    <w:rsid w:val="0003736D"/>
    <w:rsid w:val="00040885"/>
    <w:rsid w:val="00040CCE"/>
    <w:rsid w:val="00040D10"/>
    <w:rsid w:val="000413C2"/>
    <w:rsid w:val="000417ED"/>
    <w:rsid w:val="00041ED2"/>
    <w:rsid w:val="0004272B"/>
    <w:rsid w:val="000428E2"/>
    <w:rsid w:val="00042D6F"/>
    <w:rsid w:val="000443E4"/>
    <w:rsid w:val="00045AB6"/>
    <w:rsid w:val="00046A66"/>
    <w:rsid w:val="00046AE0"/>
    <w:rsid w:val="0004712B"/>
    <w:rsid w:val="000501FF"/>
    <w:rsid w:val="0005083A"/>
    <w:rsid w:val="00050D7A"/>
    <w:rsid w:val="00051113"/>
    <w:rsid w:val="00052820"/>
    <w:rsid w:val="000530E6"/>
    <w:rsid w:val="0005372B"/>
    <w:rsid w:val="00053F2B"/>
    <w:rsid w:val="00054657"/>
    <w:rsid w:val="00055391"/>
    <w:rsid w:val="0005650F"/>
    <w:rsid w:val="000565E3"/>
    <w:rsid w:val="00056E3A"/>
    <w:rsid w:val="0005721A"/>
    <w:rsid w:val="00057525"/>
    <w:rsid w:val="00057678"/>
    <w:rsid w:val="0006011B"/>
    <w:rsid w:val="000601DC"/>
    <w:rsid w:val="000604BF"/>
    <w:rsid w:val="00060F7F"/>
    <w:rsid w:val="000610A2"/>
    <w:rsid w:val="00061744"/>
    <w:rsid w:val="00061DD1"/>
    <w:rsid w:val="0006275C"/>
    <w:rsid w:val="0006290E"/>
    <w:rsid w:val="00062F9B"/>
    <w:rsid w:val="0006317C"/>
    <w:rsid w:val="0006371E"/>
    <w:rsid w:val="00063A8B"/>
    <w:rsid w:val="00065631"/>
    <w:rsid w:val="00070B47"/>
    <w:rsid w:val="00072FBA"/>
    <w:rsid w:val="000732FD"/>
    <w:rsid w:val="000734B8"/>
    <w:rsid w:val="00074A19"/>
    <w:rsid w:val="00075FB5"/>
    <w:rsid w:val="00076756"/>
    <w:rsid w:val="00076B91"/>
    <w:rsid w:val="00077309"/>
    <w:rsid w:val="00080329"/>
    <w:rsid w:val="000806D9"/>
    <w:rsid w:val="00081026"/>
    <w:rsid w:val="000812EC"/>
    <w:rsid w:val="00081368"/>
    <w:rsid w:val="0008154C"/>
    <w:rsid w:val="00081C56"/>
    <w:rsid w:val="00081EC1"/>
    <w:rsid w:val="000820ED"/>
    <w:rsid w:val="00082519"/>
    <w:rsid w:val="00082EDD"/>
    <w:rsid w:val="00083D26"/>
    <w:rsid w:val="000841F6"/>
    <w:rsid w:val="000842FF"/>
    <w:rsid w:val="00084763"/>
    <w:rsid w:val="00085624"/>
    <w:rsid w:val="0008569B"/>
    <w:rsid w:val="00085B6D"/>
    <w:rsid w:val="00085BB2"/>
    <w:rsid w:val="00085D6F"/>
    <w:rsid w:val="000860DB"/>
    <w:rsid w:val="00086145"/>
    <w:rsid w:val="00086151"/>
    <w:rsid w:val="00087194"/>
    <w:rsid w:val="000877E0"/>
    <w:rsid w:val="00087C38"/>
    <w:rsid w:val="00087C47"/>
    <w:rsid w:val="00087D60"/>
    <w:rsid w:val="000902D0"/>
    <w:rsid w:val="00090E87"/>
    <w:rsid w:val="00091BBE"/>
    <w:rsid w:val="00092132"/>
    <w:rsid w:val="00092A5D"/>
    <w:rsid w:val="00092EBF"/>
    <w:rsid w:val="000931B3"/>
    <w:rsid w:val="000932F3"/>
    <w:rsid w:val="00093314"/>
    <w:rsid w:val="00094119"/>
    <w:rsid w:val="000941BF"/>
    <w:rsid w:val="00094314"/>
    <w:rsid w:val="00095812"/>
    <w:rsid w:val="00095E47"/>
    <w:rsid w:val="00096043"/>
    <w:rsid w:val="00096217"/>
    <w:rsid w:val="00097927"/>
    <w:rsid w:val="000A01BB"/>
    <w:rsid w:val="000A05BE"/>
    <w:rsid w:val="000A0A7E"/>
    <w:rsid w:val="000A119B"/>
    <w:rsid w:val="000A16E6"/>
    <w:rsid w:val="000A1FAC"/>
    <w:rsid w:val="000A2460"/>
    <w:rsid w:val="000A266C"/>
    <w:rsid w:val="000A3085"/>
    <w:rsid w:val="000A3D85"/>
    <w:rsid w:val="000A4BD7"/>
    <w:rsid w:val="000A5C41"/>
    <w:rsid w:val="000A5D4C"/>
    <w:rsid w:val="000A74D5"/>
    <w:rsid w:val="000A76F4"/>
    <w:rsid w:val="000B03AF"/>
    <w:rsid w:val="000B077C"/>
    <w:rsid w:val="000B0A16"/>
    <w:rsid w:val="000B2109"/>
    <w:rsid w:val="000B23BB"/>
    <w:rsid w:val="000B257A"/>
    <w:rsid w:val="000B25FB"/>
    <w:rsid w:val="000B3201"/>
    <w:rsid w:val="000B36F4"/>
    <w:rsid w:val="000B37DF"/>
    <w:rsid w:val="000B3929"/>
    <w:rsid w:val="000B39F6"/>
    <w:rsid w:val="000B4CD7"/>
    <w:rsid w:val="000B5C54"/>
    <w:rsid w:val="000B5D3F"/>
    <w:rsid w:val="000B5EC1"/>
    <w:rsid w:val="000B6DA2"/>
    <w:rsid w:val="000B7261"/>
    <w:rsid w:val="000B7F29"/>
    <w:rsid w:val="000C0B64"/>
    <w:rsid w:val="000C1E8A"/>
    <w:rsid w:val="000C247D"/>
    <w:rsid w:val="000C2997"/>
    <w:rsid w:val="000C2B8C"/>
    <w:rsid w:val="000C30BC"/>
    <w:rsid w:val="000C4AAB"/>
    <w:rsid w:val="000C5E04"/>
    <w:rsid w:val="000C5F33"/>
    <w:rsid w:val="000C6256"/>
    <w:rsid w:val="000C6A62"/>
    <w:rsid w:val="000C6EF6"/>
    <w:rsid w:val="000C70CB"/>
    <w:rsid w:val="000C7222"/>
    <w:rsid w:val="000C755E"/>
    <w:rsid w:val="000C787C"/>
    <w:rsid w:val="000C7FD4"/>
    <w:rsid w:val="000D0106"/>
    <w:rsid w:val="000D0476"/>
    <w:rsid w:val="000D0A1C"/>
    <w:rsid w:val="000D0D7B"/>
    <w:rsid w:val="000D17DA"/>
    <w:rsid w:val="000D1C3C"/>
    <w:rsid w:val="000D2035"/>
    <w:rsid w:val="000D3645"/>
    <w:rsid w:val="000D3FB5"/>
    <w:rsid w:val="000D4413"/>
    <w:rsid w:val="000D460A"/>
    <w:rsid w:val="000D4C9A"/>
    <w:rsid w:val="000D51AE"/>
    <w:rsid w:val="000D52C1"/>
    <w:rsid w:val="000D5500"/>
    <w:rsid w:val="000D5DA2"/>
    <w:rsid w:val="000D5E1D"/>
    <w:rsid w:val="000D62F7"/>
    <w:rsid w:val="000D694F"/>
    <w:rsid w:val="000D7ED2"/>
    <w:rsid w:val="000E057E"/>
    <w:rsid w:val="000E0AF0"/>
    <w:rsid w:val="000E1375"/>
    <w:rsid w:val="000E15EE"/>
    <w:rsid w:val="000E1991"/>
    <w:rsid w:val="000E1CBE"/>
    <w:rsid w:val="000E2248"/>
    <w:rsid w:val="000E225D"/>
    <w:rsid w:val="000E272B"/>
    <w:rsid w:val="000E2798"/>
    <w:rsid w:val="000E27E3"/>
    <w:rsid w:val="000E3303"/>
    <w:rsid w:val="000E3EA4"/>
    <w:rsid w:val="000E3F53"/>
    <w:rsid w:val="000E3FC8"/>
    <w:rsid w:val="000E4E85"/>
    <w:rsid w:val="000E4FC5"/>
    <w:rsid w:val="000E5331"/>
    <w:rsid w:val="000E5727"/>
    <w:rsid w:val="000E5749"/>
    <w:rsid w:val="000E6A30"/>
    <w:rsid w:val="000E6F7E"/>
    <w:rsid w:val="000E758E"/>
    <w:rsid w:val="000E769A"/>
    <w:rsid w:val="000E7D67"/>
    <w:rsid w:val="000E7DB0"/>
    <w:rsid w:val="000F186F"/>
    <w:rsid w:val="000F190E"/>
    <w:rsid w:val="000F2237"/>
    <w:rsid w:val="000F24E2"/>
    <w:rsid w:val="000F2960"/>
    <w:rsid w:val="000F2FEF"/>
    <w:rsid w:val="000F3AF5"/>
    <w:rsid w:val="000F3F9F"/>
    <w:rsid w:val="000F40C5"/>
    <w:rsid w:val="000F5508"/>
    <w:rsid w:val="000F554A"/>
    <w:rsid w:val="000F574C"/>
    <w:rsid w:val="000F61AD"/>
    <w:rsid w:val="000F61F2"/>
    <w:rsid w:val="000F67E1"/>
    <w:rsid w:val="000F74C9"/>
    <w:rsid w:val="000F7ACC"/>
    <w:rsid w:val="0010074B"/>
    <w:rsid w:val="00100864"/>
    <w:rsid w:val="001012DC"/>
    <w:rsid w:val="00101E3F"/>
    <w:rsid w:val="00102661"/>
    <w:rsid w:val="001026DC"/>
    <w:rsid w:val="00103073"/>
    <w:rsid w:val="001033A8"/>
    <w:rsid w:val="00103F81"/>
    <w:rsid w:val="001045F7"/>
    <w:rsid w:val="0010470A"/>
    <w:rsid w:val="001052D9"/>
    <w:rsid w:val="001057C4"/>
    <w:rsid w:val="00105D50"/>
    <w:rsid w:val="00105FEE"/>
    <w:rsid w:val="001069EE"/>
    <w:rsid w:val="00107244"/>
    <w:rsid w:val="00107DF6"/>
    <w:rsid w:val="00110430"/>
    <w:rsid w:val="0011047E"/>
    <w:rsid w:val="001106EC"/>
    <w:rsid w:val="00110C2E"/>
    <w:rsid w:val="00111FD1"/>
    <w:rsid w:val="00112BBA"/>
    <w:rsid w:val="00112CE8"/>
    <w:rsid w:val="00114371"/>
    <w:rsid w:val="00115726"/>
    <w:rsid w:val="001163DA"/>
    <w:rsid w:val="001176D5"/>
    <w:rsid w:val="00121D28"/>
    <w:rsid w:val="00123BE0"/>
    <w:rsid w:val="00123D1E"/>
    <w:rsid w:val="00123D2B"/>
    <w:rsid w:val="00124911"/>
    <w:rsid w:val="001259BC"/>
    <w:rsid w:val="00125E5A"/>
    <w:rsid w:val="00130058"/>
    <w:rsid w:val="001304CD"/>
    <w:rsid w:val="00130B8A"/>
    <w:rsid w:val="0013171A"/>
    <w:rsid w:val="00132D8F"/>
    <w:rsid w:val="00132EAD"/>
    <w:rsid w:val="0013363A"/>
    <w:rsid w:val="00133815"/>
    <w:rsid w:val="00133BC9"/>
    <w:rsid w:val="00133E6F"/>
    <w:rsid w:val="001344DB"/>
    <w:rsid w:val="00134D79"/>
    <w:rsid w:val="001350E6"/>
    <w:rsid w:val="001357F2"/>
    <w:rsid w:val="00136285"/>
    <w:rsid w:val="001367F1"/>
    <w:rsid w:val="00136C13"/>
    <w:rsid w:val="001379C0"/>
    <w:rsid w:val="00141440"/>
    <w:rsid w:val="00141510"/>
    <w:rsid w:val="00141E56"/>
    <w:rsid w:val="00141EB3"/>
    <w:rsid w:val="00142441"/>
    <w:rsid w:val="001428E4"/>
    <w:rsid w:val="00142E7F"/>
    <w:rsid w:val="001431AD"/>
    <w:rsid w:val="001431B8"/>
    <w:rsid w:val="00143E03"/>
    <w:rsid w:val="00144E44"/>
    <w:rsid w:val="00145C50"/>
    <w:rsid w:val="001465EC"/>
    <w:rsid w:val="001474BA"/>
    <w:rsid w:val="001479BE"/>
    <w:rsid w:val="00147C44"/>
    <w:rsid w:val="00150780"/>
    <w:rsid w:val="00150C36"/>
    <w:rsid w:val="00151B70"/>
    <w:rsid w:val="00151CDF"/>
    <w:rsid w:val="00152382"/>
    <w:rsid w:val="00152D0B"/>
    <w:rsid w:val="00154704"/>
    <w:rsid w:val="00154D4D"/>
    <w:rsid w:val="0015552E"/>
    <w:rsid w:val="00157C0A"/>
    <w:rsid w:val="001603C8"/>
    <w:rsid w:val="001616D5"/>
    <w:rsid w:val="00161B7B"/>
    <w:rsid w:val="001620D6"/>
    <w:rsid w:val="00162AD9"/>
    <w:rsid w:val="00162B96"/>
    <w:rsid w:val="00162D3C"/>
    <w:rsid w:val="00162E70"/>
    <w:rsid w:val="00162F1E"/>
    <w:rsid w:val="001631B4"/>
    <w:rsid w:val="0016334E"/>
    <w:rsid w:val="00163396"/>
    <w:rsid w:val="001639D7"/>
    <w:rsid w:val="00163CC8"/>
    <w:rsid w:val="0016458D"/>
    <w:rsid w:val="00164602"/>
    <w:rsid w:val="00164D16"/>
    <w:rsid w:val="00165712"/>
    <w:rsid w:val="0016709A"/>
    <w:rsid w:val="001673A7"/>
    <w:rsid w:val="00167A03"/>
    <w:rsid w:val="00167BE7"/>
    <w:rsid w:val="00167C59"/>
    <w:rsid w:val="001703DA"/>
    <w:rsid w:val="00171D24"/>
    <w:rsid w:val="00172AEC"/>
    <w:rsid w:val="00172B41"/>
    <w:rsid w:val="001730FA"/>
    <w:rsid w:val="0017429A"/>
    <w:rsid w:val="00174502"/>
    <w:rsid w:val="00174DFE"/>
    <w:rsid w:val="001751AB"/>
    <w:rsid w:val="0017584C"/>
    <w:rsid w:val="00175A1A"/>
    <w:rsid w:val="00175A87"/>
    <w:rsid w:val="001761B9"/>
    <w:rsid w:val="00176767"/>
    <w:rsid w:val="00176F15"/>
    <w:rsid w:val="001775B6"/>
    <w:rsid w:val="001802C3"/>
    <w:rsid w:val="00180BB1"/>
    <w:rsid w:val="00180D47"/>
    <w:rsid w:val="001813E2"/>
    <w:rsid w:val="00182609"/>
    <w:rsid w:val="001833BB"/>
    <w:rsid w:val="00183C1F"/>
    <w:rsid w:val="0018418D"/>
    <w:rsid w:val="00184390"/>
    <w:rsid w:val="001844E5"/>
    <w:rsid w:val="00184D81"/>
    <w:rsid w:val="00184F08"/>
    <w:rsid w:val="00184F73"/>
    <w:rsid w:val="00186686"/>
    <w:rsid w:val="00187211"/>
    <w:rsid w:val="0018791C"/>
    <w:rsid w:val="00187D3F"/>
    <w:rsid w:val="001906C6"/>
    <w:rsid w:val="00190D8E"/>
    <w:rsid w:val="001910BB"/>
    <w:rsid w:val="00191368"/>
    <w:rsid w:val="001914DF"/>
    <w:rsid w:val="0019173D"/>
    <w:rsid w:val="00191A3C"/>
    <w:rsid w:val="00192678"/>
    <w:rsid w:val="00194591"/>
    <w:rsid w:val="0019485F"/>
    <w:rsid w:val="00195C1C"/>
    <w:rsid w:val="00196819"/>
    <w:rsid w:val="00196CFE"/>
    <w:rsid w:val="00197345"/>
    <w:rsid w:val="00197930"/>
    <w:rsid w:val="00197AE9"/>
    <w:rsid w:val="001A280D"/>
    <w:rsid w:val="001A2A23"/>
    <w:rsid w:val="001A2DC7"/>
    <w:rsid w:val="001A3089"/>
    <w:rsid w:val="001A3152"/>
    <w:rsid w:val="001A3262"/>
    <w:rsid w:val="001A3479"/>
    <w:rsid w:val="001A43E2"/>
    <w:rsid w:val="001A5175"/>
    <w:rsid w:val="001A6C75"/>
    <w:rsid w:val="001A7165"/>
    <w:rsid w:val="001B04A4"/>
    <w:rsid w:val="001B16DB"/>
    <w:rsid w:val="001B1913"/>
    <w:rsid w:val="001B1DDD"/>
    <w:rsid w:val="001B22CA"/>
    <w:rsid w:val="001B39BB"/>
    <w:rsid w:val="001B3BF0"/>
    <w:rsid w:val="001B5165"/>
    <w:rsid w:val="001B5785"/>
    <w:rsid w:val="001B5AE0"/>
    <w:rsid w:val="001B5BA7"/>
    <w:rsid w:val="001B5C3E"/>
    <w:rsid w:val="001B62DC"/>
    <w:rsid w:val="001B65A9"/>
    <w:rsid w:val="001B7041"/>
    <w:rsid w:val="001B763B"/>
    <w:rsid w:val="001B767C"/>
    <w:rsid w:val="001C0400"/>
    <w:rsid w:val="001C0785"/>
    <w:rsid w:val="001C09CF"/>
    <w:rsid w:val="001C0B1A"/>
    <w:rsid w:val="001C0B8D"/>
    <w:rsid w:val="001C20B0"/>
    <w:rsid w:val="001C2A76"/>
    <w:rsid w:val="001C2BAB"/>
    <w:rsid w:val="001C2E57"/>
    <w:rsid w:val="001C31CE"/>
    <w:rsid w:val="001C4194"/>
    <w:rsid w:val="001C4553"/>
    <w:rsid w:val="001C45AD"/>
    <w:rsid w:val="001C49F4"/>
    <w:rsid w:val="001C4B40"/>
    <w:rsid w:val="001C53DA"/>
    <w:rsid w:val="001C5531"/>
    <w:rsid w:val="001C56B5"/>
    <w:rsid w:val="001C5767"/>
    <w:rsid w:val="001C5A46"/>
    <w:rsid w:val="001C65E3"/>
    <w:rsid w:val="001C68EF"/>
    <w:rsid w:val="001C6A7A"/>
    <w:rsid w:val="001C740F"/>
    <w:rsid w:val="001C77A4"/>
    <w:rsid w:val="001D05D4"/>
    <w:rsid w:val="001D0A57"/>
    <w:rsid w:val="001D2959"/>
    <w:rsid w:val="001D2CFC"/>
    <w:rsid w:val="001D3C84"/>
    <w:rsid w:val="001D531A"/>
    <w:rsid w:val="001D5867"/>
    <w:rsid w:val="001D5C1A"/>
    <w:rsid w:val="001D6424"/>
    <w:rsid w:val="001D7684"/>
    <w:rsid w:val="001E05A5"/>
    <w:rsid w:val="001E0942"/>
    <w:rsid w:val="001E0A24"/>
    <w:rsid w:val="001E122D"/>
    <w:rsid w:val="001E12B4"/>
    <w:rsid w:val="001E1DF1"/>
    <w:rsid w:val="001E23B0"/>
    <w:rsid w:val="001E2717"/>
    <w:rsid w:val="001E2B51"/>
    <w:rsid w:val="001E3032"/>
    <w:rsid w:val="001E3194"/>
    <w:rsid w:val="001E339E"/>
    <w:rsid w:val="001E3CB6"/>
    <w:rsid w:val="001E4789"/>
    <w:rsid w:val="001E4F20"/>
    <w:rsid w:val="001E656B"/>
    <w:rsid w:val="001E6746"/>
    <w:rsid w:val="001E6909"/>
    <w:rsid w:val="001E6AF0"/>
    <w:rsid w:val="001E7134"/>
    <w:rsid w:val="001E7C74"/>
    <w:rsid w:val="001E7FDD"/>
    <w:rsid w:val="001F0ACA"/>
    <w:rsid w:val="001F0CFC"/>
    <w:rsid w:val="001F0D2D"/>
    <w:rsid w:val="001F0DBA"/>
    <w:rsid w:val="001F1070"/>
    <w:rsid w:val="001F1973"/>
    <w:rsid w:val="001F2427"/>
    <w:rsid w:val="001F2826"/>
    <w:rsid w:val="001F2B07"/>
    <w:rsid w:val="001F3176"/>
    <w:rsid w:val="001F4540"/>
    <w:rsid w:val="001F4E0A"/>
    <w:rsid w:val="001F5127"/>
    <w:rsid w:val="001F5249"/>
    <w:rsid w:val="001F60D6"/>
    <w:rsid w:val="001F624A"/>
    <w:rsid w:val="001F6332"/>
    <w:rsid w:val="001F6447"/>
    <w:rsid w:val="001F6675"/>
    <w:rsid w:val="001F6D91"/>
    <w:rsid w:val="001F7655"/>
    <w:rsid w:val="001F7A0D"/>
    <w:rsid w:val="001F7A10"/>
    <w:rsid w:val="002003F0"/>
    <w:rsid w:val="00200C1F"/>
    <w:rsid w:val="0020135C"/>
    <w:rsid w:val="00202837"/>
    <w:rsid w:val="00202CAF"/>
    <w:rsid w:val="00203252"/>
    <w:rsid w:val="002032D3"/>
    <w:rsid w:val="002035E1"/>
    <w:rsid w:val="00203912"/>
    <w:rsid w:val="002042F5"/>
    <w:rsid w:val="002043AA"/>
    <w:rsid w:val="00204B80"/>
    <w:rsid w:val="00205033"/>
    <w:rsid w:val="00205058"/>
    <w:rsid w:val="0020581F"/>
    <w:rsid w:val="00205A97"/>
    <w:rsid w:val="00206C52"/>
    <w:rsid w:val="00206F61"/>
    <w:rsid w:val="00210CDA"/>
    <w:rsid w:val="00210D0C"/>
    <w:rsid w:val="00210E5F"/>
    <w:rsid w:val="0021124F"/>
    <w:rsid w:val="002113D5"/>
    <w:rsid w:val="0021187C"/>
    <w:rsid w:val="002128FC"/>
    <w:rsid w:val="00212B2D"/>
    <w:rsid w:val="00212B6C"/>
    <w:rsid w:val="002131B5"/>
    <w:rsid w:val="00214943"/>
    <w:rsid w:val="002150CA"/>
    <w:rsid w:val="002168FD"/>
    <w:rsid w:val="002200E0"/>
    <w:rsid w:val="00220F08"/>
    <w:rsid w:val="00220F36"/>
    <w:rsid w:val="002218E3"/>
    <w:rsid w:val="00222CCC"/>
    <w:rsid w:val="002234D9"/>
    <w:rsid w:val="002235E0"/>
    <w:rsid w:val="00223FF9"/>
    <w:rsid w:val="0022438C"/>
    <w:rsid w:val="00224551"/>
    <w:rsid w:val="00224639"/>
    <w:rsid w:val="002250C2"/>
    <w:rsid w:val="002253DE"/>
    <w:rsid w:val="00226EF8"/>
    <w:rsid w:val="002271F2"/>
    <w:rsid w:val="002273E9"/>
    <w:rsid w:val="00227E49"/>
    <w:rsid w:val="00227F3A"/>
    <w:rsid w:val="0023067F"/>
    <w:rsid w:val="00231655"/>
    <w:rsid w:val="002318D2"/>
    <w:rsid w:val="00231A48"/>
    <w:rsid w:val="00231AE8"/>
    <w:rsid w:val="00232B4E"/>
    <w:rsid w:val="0023355B"/>
    <w:rsid w:val="002338FA"/>
    <w:rsid w:val="0023466E"/>
    <w:rsid w:val="00234FF3"/>
    <w:rsid w:val="00235777"/>
    <w:rsid w:val="0023613B"/>
    <w:rsid w:val="0023613C"/>
    <w:rsid w:val="00236E5E"/>
    <w:rsid w:val="0024121D"/>
    <w:rsid w:val="0024167A"/>
    <w:rsid w:val="00241DEF"/>
    <w:rsid w:val="002420AA"/>
    <w:rsid w:val="002422D8"/>
    <w:rsid w:val="00243000"/>
    <w:rsid w:val="002439DA"/>
    <w:rsid w:val="002448AE"/>
    <w:rsid w:val="00244933"/>
    <w:rsid w:val="00244F2B"/>
    <w:rsid w:val="00244FA2"/>
    <w:rsid w:val="00245ED1"/>
    <w:rsid w:val="00246002"/>
    <w:rsid w:val="0024616B"/>
    <w:rsid w:val="002461FE"/>
    <w:rsid w:val="0024633E"/>
    <w:rsid w:val="002465B3"/>
    <w:rsid w:val="00247520"/>
    <w:rsid w:val="002476AE"/>
    <w:rsid w:val="00247B86"/>
    <w:rsid w:val="002504A6"/>
    <w:rsid w:val="00250D2A"/>
    <w:rsid w:val="002516CA"/>
    <w:rsid w:val="00251759"/>
    <w:rsid w:val="00251CB6"/>
    <w:rsid w:val="00252F35"/>
    <w:rsid w:val="002538FC"/>
    <w:rsid w:val="00254736"/>
    <w:rsid w:val="002548C0"/>
    <w:rsid w:val="00254E19"/>
    <w:rsid w:val="00254EE0"/>
    <w:rsid w:val="0025500B"/>
    <w:rsid w:val="002556F2"/>
    <w:rsid w:val="00256330"/>
    <w:rsid w:val="002566C4"/>
    <w:rsid w:val="00256ABE"/>
    <w:rsid w:val="00256B51"/>
    <w:rsid w:val="0026114E"/>
    <w:rsid w:val="0026195C"/>
    <w:rsid w:val="002636B6"/>
    <w:rsid w:val="002637B7"/>
    <w:rsid w:val="002639E9"/>
    <w:rsid w:val="00264007"/>
    <w:rsid w:val="0026446A"/>
    <w:rsid w:val="002647C6"/>
    <w:rsid w:val="00264AD1"/>
    <w:rsid w:val="00264D70"/>
    <w:rsid w:val="0026504C"/>
    <w:rsid w:val="00265C79"/>
    <w:rsid w:val="00266088"/>
    <w:rsid w:val="002662E6"/>
    <w:rsid w:val="00267DF9"/>
    <w:rsid w:val="00270833"/>
    <w:rsid w:val="0027087C"/>
    <w:rsid w:val="00270CFD"/>
    <w:rsid w:val="00270D9A"/>
    <w:rsid w:val="002711B4"/>
    <w:rsid w:val="00271AE2"/>
    <w:rsid w:val="00271FDD"/>
    <w:rsid w:val="00272C45"/>
    <w:rsid w:val="00272D91"/>
    <w:rsid w:val="0027394F"/>
    <w:rsid w:val="00274172"/>
    <w:rsid w:val="00275666"/>
    <w:rsid w:val="00275CE5"/>
    <w:rsid w:val="002763EE"/>
    <w:rsid w:val="00276C28"/>
    <w:rsid w:val="00276E86"/>
    <w:rsid w:val="002772F9"/>
    <w:rsid w:val="0028112B"/>
    <w:rsid w:val="0028140E"/>
    <w:rsid w:val="00281A6A"/>
    <w:rsid w:val="00281B18"/>
    <w:rsid w:val="002826DC"/>
    <w:rsid w:val="002827FD"/>
    <w:rsid w:val="00283BFB"/>
    <w:rsid w:val="002854FA"/>
    <w:rsid w:val="002856E2"/>
    <w:rsid w:val="002859B6"/>
    <w:rsid w:val="002867F2"/>
    <w:rsid w:val="00286AAC"/>
    <w:rsid w:val="00286ACB"/>
    <w:rsid w:val="00286DCF"/>
    <w:rsid w:val="002870AE"/>
    <w:rsid w:val="002872CD"/>
    <w:rsid w:val="002906DE"/>
    <w:rsid w:val="00290D8C"/>
    <w:rsid w:val="00291261"/>
    <w:rsid w:val="00291771"/>
    <w:rsid w:val="00291CC3"/>
    <w:rsid w:val="002926C4"/>
    <w:rsid w:val="0029318E"/>
    <w:rsid w:val="00293649"/>
    <w:rsid w:val="00294438"/>
    <w:rsid w:val="00294490"/>
    <w:rsid w:val="0029460D"/>
    <w:rsid w:val="0029698A"/>
    <w:rsid w:val="00296D61"/>
    <w:rsid w:val="00297B8C"/>
    <w:rsid w:val="00297E78"/>
    <w:rsid w:val="002A038A"/>
    <w:rsid w:val="002A0B03"/>
    <w:rsid w:val="002A1494"/>
    <w:rsid w:val="002A27E3"/>
    <w:rsid w:val="002A2F95"/>
    <w:rsid w:val="002A35E6"/>
    <w:rsid w:val="002A373A"/>
    <w:rsid w:val="002A40FC"/>
    <w:rsid w:val="002A4CD7"/>
    <w:rsid w:val="002A53C4"/>
    <w:rsid w:val="002A5D03"/>
    <w:rsid w:val="002A5E77"/>
    <w:rsid w:val="002A65F3"/>
    <w:rsid w:val="002A7C66"/>
    <w:rsid w:val="002A7D8A"/>
    <w:rsid w:val="002A7F6E"/>
    <w:rsid w:val="002B00DA"/>
    <w:rsid w:val="002B02A2"/>
    <w:rsid w:val="002B1032"/>
    <w:rsid w:val="002B1CF6"/>
    <w:rsid w:val="002B2250"/>
    <w:rsid w:val="002B3149"/>
    <w:rsid w:val="002B440D"/>
    <w:rsid w:val="002B4D86"/>
    <w:rsid w:val="002B581C"/>
    <w:rsid w:val="002B5DDC"/>
    <w:rsid w:val="002B6B73"/>
    <w:rsid w:val="002B7200"/>
    <w:rsid w:val="002B7E34"/>
    <w:rsid w:val="002C0582"/>
    <w:rsid w:val="002C15D3"/>
    <w:rsid w:val="002C18B0"/>
    <w:rsid w:val="002C270E"/>
    <w:rsid w:val="002C352E"/>
    <w:rsid w:val="002C3F62"/>
    <w:rsid w:val="002C435C"/>
    <w:rsid w:val="002C4C8B"/>
    <w:rsid w:val="002C4F5E"/>
    <w:rsid w:val="002C5012"/>
    <w:rsid w:val="002C6EDB"/>
    <w:rsid w:val="002C6FAB"/>
    <w:rsid w:val="002C7A31"/>
    <w:rsid w:val="002D0896"/>
    <w:rsid w:val="002D0907"/>
    <w:rsid w:val="002D1039"/>
    <w:rsid w:val="002D11D1"/>
    <w:rsid w:val="002D1217"/>
    <w:rsid w:val="002D1374"/>
    <w:rsid w:val="002D13A8"/>
    <w:rsid w:val="002D1D5A"/>
    <w:rsid w:val="002D28C9"/>
    <w:rsid w:val="002D422F"/>
    <w:rsid w:val="002D42FD"/>
    <w:rsid w:val="002D47E9"/>
    <w:rsid w:val="002D4C18"/>
    <w:rsid w:val="002D62DC"/>
    <w:rsid w:val="002D6C35"/>
    <w:rsid w:val="002D6E1A"/>
    <w:rsid w:val="002D6FB9"/>
    <w:rsid w:val="002D7CD2"/>
    <w:rsid w:val="002E03C6"/>
    <w:rsid w:val="002E1212"/>
    <w:rsid w:val="002E239A"/>
    <w:rsid w:val="002E23AE"/>
    <w:rsid w:val="002E2502"/>
    <w:rsid w:val="002E2549"/>
    <w:rsid w:val="002E2F6E"/>
    <w:rsid w:val="002E3CF2"/>
    <w:rsid w:val="002E4486"/>
    <w:rsid w:val="002E4AF1"/>
    <w:rsid w:val="002E5163"/>
    <w:rsid w:val="002E522D"/>
    <w:rsid w:val="002E53F5"/>
    <w:rsid w:val="002E5CC2"/>
    <w:rsid w:val="002E5CD8"/>
    <w:rsid w:val="002E5E9A"/>
    <w:rsid w:val="002E5F30"/>
    <w:rsid w:val="002E604F"/>
    <w:rsid w:val="002E6684"/>
    <w:rsid w:val="002E7B6A"/>
    <w:rsid w:val="002E7E32"/>
    <w:rsid w:val="002F03A6"/>
    <w:rsid w:val="002F0D17"/>
    <w:rsid w:val="002F0F92"/>
    <w:rsid w:val="002F12D4"/>
    <w:rsid w:val="002F146D"/>
    <w:rsid w:val="002F1F53"/>
    <w:rsid w:val="002F24A1"/>
    <w:rsid w:val="002F5614"/>
    <w:rsid w:val="002F5B2A"/>
    <w:rsid w:val="002F5D93"/>
    <w:rsid w:val="002F5E96"/>
    <w:rsid w:val="002F7080"/>
    <w:rsid w:val="002F741C"/>
    <w:rsid w:val="002F74F9"/>
    <w:rsid w:val="002F76D0"/>
    <w:rsid w:val="002F76FF"/>
    <w:rsid w:val="0030077B"/>
    <w:rsid w:val="0030129E"/>
    <w:rsid w:val="00302714"/>
    <w:rsid w:val="00302B41"/>
    <w:rsid w:val="00302B59"/>
    <w:rsid w:val="00303C53"/>
    <w:rsid w:val="00303D4C"/>
    <w:rsid w:val="0030409E"/>
    <w:rsid w:val="00304934"/>
    <w:rsid w:val="00304979"/>
    <w:rsid w:val="00305260"/>
    <w:rsid w:val="0030535C"/>
    <w:rsid w:val="00305EF5"/>
    <w:rsid w:val="00306078"/>
    <w:rsid w:val="00306FF3"/>
    <w:rsid w:val="00310613"/>
    <w:rsid w:val="003107CF"/>
    <w:rsid w:val="00310932"/>
    <w:rsid w:val="003109D3"/>
    <w:rsid w:val="00311DB3"/>
    <w:rsid w:val="00312A44"/>
    <w:rsid w:val="00312CCE"/>
    <w:rsid w:val="00313542"/>
    <w:rsid w:val="00313D4E"/>
    <w:rsid w:val="00313F24"/>
    <w:rsid w:val="0031479F"/>
    <w:rsid w:val="003147FD"/>
    <w:rsid w:val="0031636B"/>
    <w:rsid w:val="00316378"/>
    <w:rsid w:val="00317349"/>
    <w:rsid w:val="00317C23"/>
    <w:rsid w:val="00317D23"/>
    <w:rsid w:val="003204D4"/>
    <w:rsid w:val="003212F0"/>
    <w:rsid w:val="00321DD4"/>
    <w:rsid w:val="00322012"/>
    <w:rsid w:val="00322B0A"/>
    <w:rsid w:val="00323335"/>
    <w:rsid w:val="0032345D"/>
    <w:rsid w:val="0032345E"/>
    <w:rsid w:val="003242C3"/>
    <w:rsid w:val="00324DFA"/>
    <w:rsid w:val="00324F0B"/>
    <w:rsid w:val="003267DE"/>
    <w:rsid w:val="003272CE"/>
    <w:rsid w:val="00327411"/>
    <w:rsid w:val="00327B41"/>
    <w:rsid w:val="003312F3"/>
    <w:rsid w:val="00331CCE"/>
    <w:rsid w:val="00332C2E"/>
    <w:rsid w:val="0033330B"/>
    <w:rsid w:val="003347B9"/>
    <w:rsid w:val="00334BC1"/>
    <w:rsid w:val="00334CDD"/>
    <w:rsid w:val="0033546A"/>
    <w:rsid w:val="00335BAC"/>
    <w:rsid w:val="0033603B"/>
    <w:rsid w:val="0033629D"/>
    <w:rsid w:val="003363B8"/>
    <w:rsid w:val="00336696"/>
    <w:rsid w:val="00336D50"/>
    <w:rsid w:val="00337555"/>
    <w:rsid w:val="00340D7B"/>
    <w:rsid w:val="0034193A"/>
    <w:rsid w:val="00341DAC"/>
    <w:rsid w:val="003422AE"/>
    <w:rsid w:val="00344160"/>
    <w:rsid w:val="00344532"/>
    <w:rsid w:val="00345E74"/>
    <w:rsid w:val="0034612D"/>
    <w:rsid w:val="003462B3"/>
    <w:rsid w:val="003463B3"/>
    <w:rsid w:val="00346568"/>
    <w:rsid w:val="00347204"/>
    <w:rsid w:val="00347E2B"/>
    <w:rsid w:val="003501B8"/>
    <w:rsid w:val="00350F59"/>
    <w:rsid w:val="00351739"/>
    <w:rsid w:val="00352A1D"/>
    <w:rsid w:val="0035305C"/>
    <w:rsid w:val="00354C74"/>
    <w:rsid w:val="00354F9C"/>
    <w:rsid w:val="00356416"/>
    <w:rsid w:val="00357C07"/>
    <w:rsid w:val="0036022F"/>
    <w:rsid w:val="00361897"/>
    <w:rsid w:val="00361A26"/>
    <w:rsid w:val="00361B24"/>
    <w:rsid w:val="00362083"/>
    <w:rsid w:val="0036271B"/>
    <w:rsid w:val="00362FB2"/>
    <w:rsid w:val="00363041"/>
    <w:rsid w:val="00363909"/>
    <w:rsid w:val="0036398F"/>
    <w:rsid w:val="00363B08"/>
    <w:rsid w:val="0036490D"/>
    <w:rsid w:val="00365534"/>
    <w:rsid w:val="003658A5"/>
    <w:rsid w:val="003665D8"/>
    <w:rsid w:val="00366AC2"/>
    <w:rsid w:val="00366F19"/>
    <w:rsid w:val="003674D2"/>
    <w:rsid w:val="0036764A"/>
    <w:rsid w:val="003678A7"/>
    <w:rsid w:val="00367BC6"/>
    <w:rsid w:val="00367C73"/>
    <w:rsid w:val="00370470"/>
    <w:rsid w:val="00371128"/>
    <w:rsid w:val="00371609"/>
    <w:rsid w:val="0037172F"/>
    <w:rsid w:val="003719B6"/>
    <w:rsid w:val="003722D7"/>
    <w:rsid w:val="003722F8"/>
    <w:rsid w:val="003725AC"/>
    <w:rsid w:val="0037308D"/>
    <w:rsid w:val="00373D4C"/>
    <w:rsid w:val="00374DC0"/>
    <w:rsid w:val="003752C2"/>
    <w:rsid w:val="00375467"/>
    <w:rsid w:val="00375EEE"/>
    <w:rsid w:val="003765A0"/>
    <w:rsid w:val="00376AC8"/>
    <w:rsid w:val="00376CF2"/>
    <w:rsid w:val="00377F15"/>
    <w:rsid w:val="00380297"/>
    <w:rsid w:val="00381416"/>
    <w:rsid w:val="00381B57"/>
    <w:rsid w:val="003821F1"/>
    <w:rsid w:val="0038245F"/>
    <w:rsid w:val="00382BB1"/>
    <w:rsid w:val="00382F59"/>
    <w:rsid w:val="0038332C"/>
    <w:rsid w:val="003837CC"/>
    <w:rsid w:val="0038407E"/>
    <w:rsid w:val="003845E2"/>
    <w:rsid w:val="00384728"/>
    <w:rsid w:val="0038482E"/>
    <w:rsid w:val="00385202"/>
    <w:rsid w:val="00385666"/>
    <w:rsid w:val="003859B1"/>
    <w:rsid w:val="00385B27"/>
    <w:rsid w:val="00385E0D"/>
    <w:rsid w:val="00385E50"/>
    <w:rsid w:val="00386C6D"/>
    <w:rsid w:val="00387C5D"/>
    <w:rsid w:val="00390014"/>
    <w:rsid w:val="0039014B"/>
    <w:rsid w:val="0039027E"/>
    <w:rsid w:val="00390816"/>
    <w:rsid w:val="0039128E"/>
    <w:rsid w:val="00391785"/>
    <w:rsid w:val="00391F87"/>
    <w:rsid w:val="0039258C"/>
    <w:rsid w:val="0039312D"/>
    <w:rsid w:val="00393CAE"/>
    <w:rsid w:val="00393CEE"/>
    <w:rsid w:val="0039606F"/>
    <w:rsid w:val="00396980"/>
    <w:rsid w:val="00396B26"/>
    <w:rsid w:val="003970D2"/>
    <w:rsid w:val="00397701"/>
    <w:rsid w:val="003A0809"/>
    <w:rsid w:val="003A2797"/>
    <w:rsid w:val="003A2931"/>
    <w:rsid w:val="003A334C"/>
    <w:rsid w:val="003A338E"/>
    <w:rsid w:val="003A37FE"/>
    <w:rsid w:val="003A4156"/>
    <w:rsid w:val="003A43AA"/>
    <w:rsid w:val="003A43BA"/>
    <w:rsid w:val="003A4665"/>
    <w:rsid w:val="003A56A3"/>
    <w:rsid w:val="003A6F7C"/>
    <w:rsid w:val="003B1584"/>
    <w:rsid w:val="003B2439"/>
    <w:rsid w:val="003B3A20"/>
    <w:rsid w:val="003B4026"/>
    <w:rsid w:val="003B40F9"/>
    <w:rsid w:val="003B475C"/>
    <w:rsid w:val="003B483B"/>
    <w:rsid w:val="003B5A82"/>
    <w:rsid w:val="003B5B6E"/>
    <w:rsid w:val="003B76A1"/>
    <w:rsid w:val="003B76A4"/>
    <w:rsid w:val="003B7E6B"/>
    <w:rsid w:val="003B7F48"/>
    <w:rsid w:val="003C019D"/>
    <w:rsid w:val="003C1F3E"/>
    <w:rsid w:val="003C2475"/>
    <w:rsid w:val="003C39C7"/>
    <w:rsid w:val="003C3CD8"/>
    <w:rsid w:val="003C4B1F"/>
    <w:rsid w:val="003C5008"/>
    <w:rsid w:val="003C68DD"/>
    <w:rsid w:val="003C6B20"/>
    <w:rsid w:val="003C6DBB"/>
    <w:rsid w:val="003C7E9F"/>
    <w:rsid w:val="003D0083"/>
    <w:rsid w:val="003D16A5"/>
    <w:rsid w:val="003D1731"/>
    <w:rsid w:val="003D1BDA"/>
    <w:rsid w:val="003D1E2A"/>
    <w:rsid w:val="003D2748"/>
    <w:rsid w:val="003D2BFB"/>
    <w:rsid w:val="003D3300"/>
    <w:rsid w:val="003D3A38"/>
    <w:rsid w:val="003D4BD8"/>
    <w:rsid w:val="003D4F2D"/>
    <w:rsid w:val="003D5634"/>
    <w:rsid w:val="003D57E3"/>
    <w:rsid w:val="003D5C71"/>
    <w:rsid w:val="003D650E"/>
    <w:rsid w:val="003D6643"/>
    <w:rsid w:val="003D67C7"/>
    <w:rsid w:val="003D7865"/>
    <w:rsid w:val="003D7E78"/>
    <w:rsid w:val="003E04D1"/>
    <w:rsid w:val="003E1176"/>
    <w:rsid w:val="003E1A20"/>
    <w:rsid w:val="003E322D"/>
    <w:rsid w:val="003E3D21"/>
    <w:rsid w:val="003E4348"/>
    <w:rsid w:val="003E4827"/>
    <w:rsid w:val="003E4B12"/>
    <w:rsid w:val="003E4D36"/>
    <w:rsid w:val="003E55A9"/>
    <w:rsid w:val="003E5799"/>
    <w:rsid w:val="003E5F63"/>
    <w:rsid w:val="003E6540"/>
    <w:rsid w:val="003E6AC2"/>
    <w:rsid w:val="003E6D59"/>
    <w:rsid w:val="003E6DF1"/>
    <w:rsid w:val="003E75DA"/>
    <w:rsid w:val="003F05F6"/>
    <w:rsid w:val="003F0D41"/>
    <w:rsid w:val="003F2136"/>
    <w:rsid w:val="003F2404"/>
    <w:rsid w:val="003F2477"/>
    <w:rsid w:val="003F2C68"/>
    <w:rsid w:val="003F2C6E"/>
    <w:rsid w:val="003F30F4"/>
    <w:rsid w:val="003F35B4"/>
    <w:rsid w:val="003F37A3"/>
    <w:rsid w:val="003F38E5"/>
    <w:rsid w:val="003F3E97"/>
    <w:rsid w:val="003F4E0E"/>
    <w:rsid w:val="003F4F44"/>
    <w:rsid w:val="003F7814"/>
    <w:rsid w:val="003F7BAA"/>
    <w:rsid w:val="003F7C29"/>
    <w:rsid w:val="00400378"/>
    <w:rsid w:val="00401976"/>
    <w:rsid w:val="00402243"/>
    <w:rsid w:val="00402912"/>
    <w:rsid w:val="004029FC"/>
    <w:rsid w:val="00403863"/>
    <w:rsid w:val="00403997"/>
    <w:rsid w:val="00403EED"/>
    <w:rsid w:val="00404747"/>
    <w:rsid w:val="00406192"/>
    <w:rsid w:val="004065E8"/>
    <w:rsid w:val="0040694A"/>
    <w:rsid w:val="00406DFF"/>
    <w:rsid w:val="00406E1A"/>
    <w:rsid w:val="00406E49"/>
    <w:rsid w:val="0040762B"/>
    <w:rsid w:val="00407D5D"/>
    <w:rsid w:val="0041001D"/>
    <w:rsid w:val="00410426"/>
    <w:rsid w:val="0041065E"/>
    <w:rsid w:val="00410707"/>
    <w:rsid w:val="00410B1F"/>
    <w:rsid w:val="00410EEB"/>
    <w:rsid w:val="00410FFE"/>
    <w:rsid w:val="004110D6"/>
    <w:rsid w:val="00411324"/>
    <w:rsid w:val="004113C9"/>
    <w:rsid w:val="00411584"/>
    <w:rsid w:val="00412042"/>
    <w:rsid w:val="00412807"/>
    <w:rsid w:val="004130BF"/>
    <w:rsid w:val="00413384"/>
    <w:rsid w:val="00413498"/>
    <w:rsid w:val="0041356A"/>
    <w:rsid w:val="00414F86"/>
    <w:rsid w:val="004151EB"/>
    <w:rsid w:val="004157D5"/>
    <w:rsid w:val="00415E24"/>
    <w:rsid w:val="00416FE2"/>
    <w:rsid w:val="00417D24"/>
    <w:rsid w:val="00417F82"/>
    <w:rsid w:val="0042016F"/>
    <w:rsid w:val="0042132A"/>
    <w:rsid w:val="00421348"/>
    <w:rsid w:val="00421400"/>
    <w:rsid w:val="00421488"/>
    <w:rsid w:val="00421DDC"/>
    <w:rsid w:val="00422073"/>
    <w:rsid w:val="00422130"/>
    <w:rsid w:val="004222A7"/>
    <w:rsid w:val="0042261B"/>
    <w:rsid w:val="00422C34"/>
    <w:rsid w:val="00422EE3"/>
    <w:rsid w:val="00423E53"/>
    <w:rsid w:val="00424D13"/>
    <w:rsid w:val="00425A34"/>
    <w:rsid w:val="00426064"/>
    <w:rsid w:val="004261DE"/>
    <w:rsid w:val="00426519"/>
    <w:rsid w:val="00426625"/>
    <w:rsid w:val="004268E0"/>
    <w:rsid w:val="004276B0"/>
    <w:rsid w:val="00427806"/>
    <w:rsid w:val="0043037B"/>
    <w:rsid w:val="00430AC9"/>
    <w:rsid w:val="00431615"/>
    <w:rsid w:val="00432BB4"/>
    <w:rsid w:val="00432C01"/>
    <w:rsid w:val="00432C2B"/>
    <w:rsid w:val="00432C3C"/>
    <w:rsid w:val="00433B55"/>
    <w:rsid w:val="00434401"/>
    <w:rsid w:val="0043475C"/>
    <w:rsid w:val="004348DF"/>
    <w:rsid w:val="00434DC0"/>
    <w:rsid w:val="00434FAB"/>
    <w:rsid w:val="00434FC6"/>
    <w:rsid w:val="00434FEA"/>
    <w:rsid w:val="0043508B"/>
    <w:rsid w:val="004357E7"/>
    <w:rsid w:val="004365A9"/>
    <w:rsid w:val="0043756F"/>
    <w:rsid w:val="00437740"/>
    <w:rsid w:val="00440822"/>
    <w:rsid w:val="00441B25"/>
    <w:rsid w:val="00442246"/>
    <w:rsid w:val="004423D3"/>
    <w:rsid w:val="00442D98"/>
    <w:rsid w:val="00444A8A"/>
    <w:rsid w:val="0044513D"/>
    <w:rsid w:val="00445483"/>
    <w:rsid w:val="00445B2C"/>
    <w:rsid w:val="004462F9"/>
    <w:rsid w:val="0044771A"/>
    <w:rsid w:val="004504A6"/>
    <w:rsid w:val="00450CC4"/>
    <w:rsid w:val="00451017"/>
    <w:rsid w:val="00451F8F"/>
    <w:rsid w:val="004527B1"/>
    <w:rsid w:val="00453363"/>
    <w:rsid w:val="004533DF"/>
    <w:rsid w:val="004553C4"/>
    <w:rsid w:val="00455825"/>
    <w:rsid w:val="00456CEF"/>
    <w:rsid w:val="00457138"/>
    <w:rsid w:val="00457C0A"/>
    <w:rsid w:val="00460130"/>
    <w:rsid w:val="0046023A"/>
    <w:rsid w:val="004605F8"/>
    <w:rsid w:val="00460C95"/>
    <w:rsid w:val="004610BD"/>
    <w:rsid w:val="00461305"/>
    <w:rsid w:val="0046149A"/>
    <w:rsid w:val="0046275B"/>
    <w:rsid w:val="00462B9C"/>
    <w:rsid w:val="00462DB8"/>
    <w:rsid w:val="0046304D"/>
    <w:rsid w:val="004632EE"/>
    <w:rsid w:val="00463626"/>
    <w:rsid w:val="0046424E"/>
    <w:rsid w:val="00464501"/>
    <w:rsid w:val="00464992"/>
    <w:rsid w:val="00464D21"/>
    <w:rsid w:val="00465C01"/>
    <w:rsid w:val="00465DAC"/>
    <w:rsid w:val="0046613D"/>
    <w:rsid w:val="00466317"/>
    <w:rsid w:val="004678C3"/>
    <w:rsid w:val="00467DD9"/>
    <w:rsid w:val="004701DF"/>
    <w:rsid w:val="004701E5"/>
    <w:rsid w:val="00471C07"/>
    <w:rsid w:val="004722EE"/>
    <w:rsid w:val="004725AE"/>
    <w:rsid w:val="004731CC"/>
    <w:rsid w:val="004732C9"/>
    <w:rsid w:val="0047340E"/>
    <w:rsid w:val="00473960"/>
    <w:rsid w:val="00473AF6"/>
    <w:rsid w:val="004745A9"/>
    <w:rsid w:val="00474705"/>
    <w:rsid w:val="00474B62"/>
    <w:rsid w:val="004751B7"/>
    <w:rsid w:val="00475F7F"/>
    <w:rsid w:val="0047647A"/>
    <w:rsid w:val="00476B47"/>
    <w:rsid w:val="0048178E"/>
    <w:rsid w:val="0048200C"/>
    <w:rsid w:val="00482687"/>
    <w:rsid w:val="00483439"/>
    <w:rsid w:val="00483470"/>
    <w:rsid w:val="00483554"/>
    <w:rsid w:val="00484FA4"/>
    <w:rsid w:val="00485EEF"/>
    <w:rsid w:val="004875F2"/>
    <w:rsid w:val="00490144"/>
    <w:rsid w:val="0049019E"/>
    <w:rsid w:val="0049145E"/>
    <w:rsid w:val="004920EC"/>
    <w:rsid w:val="0049282D"/>
    <w:rsid w:val="00492E50"/>
    <w:rsid w:val="004930CF"/>
    <w:rsid w:val="004931A8"/>
    <w:rsid w:val="004945AD"/>
    <w:rsid w:val="004956D2"/>
    <w:rsid w:val="00495BFE"/>
    <w:rsid w:val="00496331"/>
    <w:rsid w:val="004973A6"/>
    <w:rsid w:val="0049792C"/>
    <w:rsid w:val="00497BD2"/>
    <w:rsid w:val="004A2590"/>
    <w:rsid w:val="004A2CBD"/>
    <w:rsid w:val="004A3EFE"/>
    <w:rsid w:val="004A45A3"/>
    <w:rsid w:val="004A4F86"/>
    <w:rsid w:val="004A58C2"/>
    <w:rsid w:val="004A5F0A"/>
    <w:rsid w:val="004A66F1"/>
    <w:rsid w:val="004B1A26"/>
    <w:rsid w:val="004B2571"/>
    <w:rsid w:val="004B273F"/>
    <w:rsid w:val="004B2806"/>
    <w:rsid w:val="004B3217"/>
    <w:rsid w:val="004B3276"/>
    <w:rsid w:val="004B3D85"/>
    <w:rsid w:val="004B4F24"/>
    <w:rsid w:val="004B583F"/>
    <w:rsid w:val="004B589A"/>
    <w:rsid w:val="004B5AF8"/>
    <w:rsid w:val="004B5CF5"/>
    <w:rsid w:val="004B66BF"/>
    <w:rsid w:val="004B68EA"/>
    <w:rsid w:val="004B7CC3"/>
    <w:rsid w:val="004B7EB5"/>
    <w:rsid w:val="004C1A75"/>
    <w:rsid w:val="004C3111"/>
    <w:rsid w:val="004C31FB"/>
    <w:rsid w:val="004C3623"/>
    <w:rsid w:val="004C39DA"/>
    <w:rsid w:val="004C3A41"/>
    <w:rsid w:val="004C3EFC"/>
    <w:rsid w:val="004C490A"/>
    <w:rsid w:val="004C4F1A"/>
    <w:rsid w:val="004C4F5E"/>
    <w:rsid w:val="004C58E8"/>
    <w:rsid w:val="004C68AA"/>
    <w:rsid w:val="004C6A7F"/>
    <w:rsid w:val="004D05EE"/>
    <w:rsid w:val="004D07B0"/>
    <w:rsid w:val="004D0EF9"/>
    <w:rsid w:val="004D1127"/>
    <w:rsid w:val="004D136A"/>
    <w:rsid w:val="004D430E"/>
    <w:rsid w:val="004D4B2A"/>
    <w:rsid w:val="004D4EC3"/>
    <w:rsid w:val="004D5480"/>
    <w:rsid w:val="004D59A6"/>
    <w:rsid w:val="004D63B9"/>
    <w:rsid w:val="004D6AAB"/>
    <w:rsid w:val="004D72A8"/>
    <w:rsid w:val="004D7975"/>
    <w:rsid w:val="004E123E"/>
    <w:rsid w:val="004E1A02"/>
    <w:rsid w:val="004E1A2C"/>
    <w:rsid w:val="004E1B9A"/>
    <w:rsid w:val="004E2159"/>
    <w:rsid w:val="004E2BB1"/>
    <w:rsid w:val="004E3CC3"/>
    <w:rsid w:val="004E4F8F"/>
    <w:rsid w:val="004E5C44"/>
    <w:rsid w:val="004E5EFC"/>
    <w:rsid w:val="004E5F98"/>
    <w:rsid w:val="004E6DF3"/>
    <w:rsid w:val="004E73A1"/>
    <w:rsid w:val="004E7B04"/>
    <w:rsid w:val="004F0212"/>
    <w:rsid w:val="004F13F8"/>
    <w:rsid w:val="004F1CAE"/>
    <w:rsid w:val="004F342A"/>
    <w:rsid w:val="004F3C20"/>
    <w:rsid w:val="004F4133"/>
    <w:rsid w:val="004F4619"/>
    <w:rsid w:val="004F4E68"/>
    <w:rsid w:val="004F536F"/>
    <w:rsid w:val="004F56EC"/>
    <w:rsid w:val="004F5BB1"/>
    <w:rsid w:val="004F5C91"/>
    <w:rsid w:val="004F5E2D"/>
    <w:rsid w:val="00500403"/>
    <w:rsid w:val="005010B3"/>
    <w:rsid w:val="0050150F"/>
    <w:rsid w:val="00501711"/>
    <w:rsid w:val="005019D0"/>
    <w:rsid w:val="00501C9A"/>
    <w:rsid w:val="00501F30"/>
    <w:rsid w:val="00502445"/>
    <w:rsid w:val="0050299C"/>
    <w:rsid w:val="00502F5F"/>
    <w:rsid w:val="00503252"/>
    <w:rsid w:val="005036C0"/>
    <w:rsid w:val="005037AF"/>
    <w:rsid w:val="00504112"/>
    <w:rsid w:val="00504CB7"/>
    <w:rsid w:val="00504F73"/>
    <w:rsid w:val="00505712"/>
    <w:rsid w:val="00505899"/>
    <w:rsid w:val="00506B01"/>
    <w:rsid w:val="005075CB"/>
    <w:rsid w:val="0050766B"/>
    <w:rsid w:val="0051022B"/>
    <w:rsid w:val="0051078E"/>
    <w:rsid w:val="00510942"/>
    <w:rsid w:val="00510A1D"/>
    <w:rsid w:val="00510EFE"/>
    <w:rsid w:val="00511BB1"/>
    <w:rsid w:val="00511DF8"/>
    <w:rsid w:val="00511EB2"/>
    <w:rsid w:val="00514A03"/>
    <w:rsid w:val="00515A9C"/>
    <w:rsid w:val="00515AA9"/>
    <w:rsid w:val="0051638F"/>
    <w:rsid w:val="0051649D"/>
    <w:rsid w:val="00516DF3"/>
    <w:rsid w:val="005177EF"/>
    <w:rsid w:val="005203B7"/>
    <w:rsid w:val="005203F2"/>
    <w:rsid w:val="0052043F"/>
    <w:rsid w:val="005204CC"/>
    <w:rsid w:val="005205B5"/>
    <w:rsid w:val="005220BF"/>
    <w:rsid w:val="00522454"/>
    <w:rsid w:val="005225BA"/>
    <w:rsid w:val="005230EF"/>
    <w:rsid w:val="00523CA5"/>
    <w:rsid w:val="00523E93"/>
    <w:rsid w:val="005251EF"/>
    <w:rsid w:val="00525773"/>
    <w:rsid w:val="00527151"/>
    <w:rsid w:val="005279B5"/>
    <w:rsid w:val="00527C49"/>
    <w:rsid w:val="00530C39"/>
    <w:rsid w:val="00530F0A"/>
    <w:rsid w:val="0053377E"/>
    <w:rsid w:val="00533AA8"/>
    <w:rsid w:val="00534168"/>
    <w:rsid w:val="00535D16"/>
    <w:rsid w:val="00535EA2"/>
    <w:rsid w:val="00535ECB"/>
    <w:rsid w:val="00536026"/>
    <w:rsid w:val="005360D8"/>
    <w:rsid w:val="00536A16"/>
    <w:rsid w:val="00537BE6"/>
    <w:rsid w:val="005417DA"/>
    <w:rsid w:val="00541828"/>
    <w:rsid w:val="00542A54"/>
    <w:rsid w:val="00542B83"/>
    <w:rsid w:val="00543891"/>
    <w:rsid w:val="00543D39"/>
    <w:rsid w:val="005442E0"/>
    <w:rsid w:val="00545559"/>
    <w:rsid w:val="005457D7"/>
    <w:rsid w:val="0054598A"/>
    <w:rsid w:val="00545C15"/>
    <w:rsid w:val="00546070"/>
    <w:rsid w:val="005461F1"/>
    <w:rsid w:val="005469F5"/>
    <w:rsid w:val="0055088B"/>
    <w:rsid w:val="0055090D"/>
    <w:rsid w:val="00550ECE"/>
    <w:rsid w:val="00551C12"/>
    <w:rsid w:val="00551DBB"/>
    <w:rsid w:val="00552B49"/>
    <w:rsid w:val="005531DA"/>
    <w:rsid w:val="00553551"/>
    <w:rsid w:val="00553DD5"/>
    <w:rsid w:val="005541C5"/>
    <w:rsid w:val="00554381"/>
    <w:rsid w:val="0055468B"/>
    <w:rsid w:val="0055498E"/>
    <w:rsid w:val="00554FE7"/>
    <w:rsid w:val="005553C0"/>
    <w:rsid w:val="0055594C"/>
    <w:rsid w:val="00555F56"/>
    <w:rsid w:val="00556070"/>
    <w:rsid w:val="0055612A"/>
    <w:rsid w:val="0055687E"/>
    <w:rsid w:val="005568E1"/>
    <w:rsid w:val="00556DD3"/>
    <w:rsid w:val="00556DFC"/>
    <w:rsid w:val="00557629"/>
    <w:rsid w:val="0056083D"/>
    <w:rsid w:val="00560888"/>
    <w:rsid w:val="00561180"/>
    <w:rsid w:val="005614E2"/>
    <w:rsid w:val="005629FA"/>
    <w:rsid w:val="005631C8"/>
    <w:rsid w:val="0056349B"/>
    <w:rsid w:val="00563912"/>
    <w:rsid w:val="00565E1E"/>
    <w:rsid w:val="00566DF5"/>
    <w:rsid w:val="00567069"/>
    <w:rsid w:val="005674E4"/>
    <w:rsid w:val="0056788A"/>
    <w:rsid w:val="00570947"/>
    <w:rsid w:val="0057282B"/>
    <w:rsid w:val="00572FD7"/>
    <w:rsid w:val="0057306A"/>
    <w:rsid w:val="0057313F"/>
    <w:rsid w:val="00573487"/>
    <w:rsid w:val="00574D4B"/>
    <w:rsid w:val="00575032"/>
    <w:rsid w:val="00575441"/>
    <w:rsid w:val="00575D47"/>
    <w:rsid w:val="00575D88"/>
    <w:rsid w:val="00577879"/>
    <w:rsid w:val="005779D0"/>
    <w:rsid w:val="00577E01"/>
    <w:rsid w:val="0058065C"/>
    <w:rsid w:val="005825A3"/>
    <w:rsid w:val="0058481A"/>
    <w:rsid w:val="0058685A"/>
    <w:rsid w:val="00586B9B"/>
    <w:rsid w:val="005871BD"/>
    <w:rsid w:val="005873DF"/>
    <w:rsid w:val="00587713"/>
    <w:rsid w:val="00587E04"/>
    <w:rsid w:val="00590474"/>
    <w:rsid w:val="0059080A"/>
    <w:rsid w:val="00590B0D"/>
    <w:rsid w:val="00591491"/>
    <w:rsid w:val="0059270F"/>
    <w:rsid w:val="00592D55"/>
    <w:rsid w:val="005935B3"/>
    <w:rsid w:val="00593683"/>
    <w:rsid w:val="005938A0"/>
    <w:rsid w:val="00593E96"/>
    <w:rsid w:val="005941C7"/>
    <w:rsid w:val="00594C40"/>
    <w:rsid w:val="005962DA"/>
    <w:rsid w:val="00596371"/>
    <w:rsid w:val="00596481"/>
    <w:rsid w:val="0059650C"/>
    <w:rsid w:val="00596975"/>
    <w:rsid w:val="00597B38"/>
    <w:rsid w:val="005A1260"/>
    <w:rsid w:val="005A1403"/>
    <w:rsid w:val="005A2217"/>
    <w:rsid w:val="005A2A3A"/>
    <w:rsid w:val="005A3268"/>
    <w:rsid w:val="005A3FE6"/>
    <w:rsid w:val="005A4364"/>
    <w:rsid w:val="005A4C4A"/>
    <w:rsid w:val="005A50CF"/>
    <w:rsid w:val="005A55F6"/>
    <w:rsid w:val="005A58A3"/>
    <w:rsid w:val="005A628F"/>
    <w:rsid w:val="005A6AFD"/>
    <w:rsid w:val="005B0128"/>
    <w:rsid w:val="005B0AD8"/>
    <w:rsid w:val="005B0E90"/>
    <w:rsid w:val="005B112D"/>
    <w:rsid w:val="005B1690"/>
    <w:rsid w:val="005B2903"/>
    <w:rsid w:val="005B405F"/>
    <w:rsid w:val="005B4840"/>
    <w:rsid w:val="005B4A4B"/>
    <w:rsid w:val="005B5425"/>
    <w:rsid w:val="005B576D"/>
    <w:rsid w:val="005B5893"/>
    <w:rsid w:val="005B5E6B"/>
    <w:rsid w:val="005B5FCB"/>
    <w:rsid w:val="005B725D"/>
    <w:rsid w:val="005B7306"/>
    <w:rsid w:val="005B75AB"/>
    <w:rsid w:val="005B797E"/>
    <w:rsid w:val="005B7B43"/>
    <w:rsid w:val="005B7E10"/>
    <w:rsid w:val="005C137D"/>
    <w:rsid w:val="005C14A9"/>
    <w:rsid w:val="005C2372"/>
    <w:rsid w:val="005C2870"/>
    <w:rsid w:val="005C28A8"/>
    <w:rsid w:val="005C2CB7"/>
    <w:rsid w:val="005C3043"/>
    <w:rsid w:val="005C48B5"/>
    <w:rsid w:val="005C4E19"/>
    <w:rsid w:val="005C4E5A"/>
    <w:rsid w:val="005C4FD3"/>
    <w:rsid w:val="005C5B16"/>
    <w:rsid w:val="005C6967"/>
    <w:rsid w:val="005C6A7C"/>
    <w:rsid w:val="005C6DC5"/>
    <w:rsid w:val="005D0E4F"/>
    <w:rsid w:val="005D0F77"/>
    <w:rsid w:val="005D18F5"/>
    <w:rsid w:val="005D192D"/>
    <w:rsid w:val="005D219C"/>
    <w:rsid w:val="005D3F5F"/>
    <w:rsid w:val="005D4245"/>
    <w:rsid w:val="005D47BF"/>
    <w:rsid w:val="005D4FA0"/>
    <w:rsid w:val="005D5633"/>
    <w:rsid w:val="005D5FC9"/>
    <w:rsid w:val="005D6A06"/>
    <w:rsid w:val="005D7051"/>
    <w:rsid w:val="005E08C5"/>
    <w:rsid w:val="005E0B76"/>
    <w:rsid w:val="005E0FF2"/>
    <w:rsid w:val="005E17E3"/>
    <w:rsid w:val="005E24DC"/>
    <w:rsid w:val="005E2DC7"/>
    <w:rsid w:val="005E381E"/>
    <w:rsid w:val="005E3AA9"/>
    <w:rsid w:val="005E469E"/>
    <w:rsid w:val="005E587A"/>
    <w:rsid w:val="005E5F5D"/>
    <w:rsid w:val="005E5FBC"/>
    <w:rsid w:val="005E7963"/>
    <w:rsid w:val="005F0619"/>
    <w:rsid w:val="005F1537"/>
    <w:rsid w:val="005F31CC"/>
    <w:rsid w:val="005F33A1"/>
    <w:rsid w:val="005F41B4"/>
    <w:rsid w:val="005F425B"/>
    <w:rsid w:val="005F46C6"/>
    <w:rsid w:val="005F546E"/>
    <w:rsid w:val="005F5487"/>
    <w:rsid w:val="005F6419"/>
    <w:rsid w:val="005F75B8"/>
    <w:rsid w:val="005F7637"/>
    <w:rsid w:val="00600311"/>
    <w:rsid w:val="0060067F"/>
    <w:rsid w:val="0060096D"/>
    <w:rsid w:val="00601978"/>
    <w:rsid w:val="006020DA"/>
    <w:rsid w:val="00603192"/>
    <w:rsid w:val="006047F3"/>
    <w:rsid w:val="0060496C"/>
    <w:rsid w:val="00604AA9"/>
    <w:rsid w:val="00604BD0"/>
    <w:rsid w:val="006055AE"/>
    <w:rsid w:val="006058C2"/>
    <w:rsid w:val="00605DA0"/>
    <w:rsid w:val="006075E4"/>
    <w:rsid w:val="00610037"/>
    <w:rsid w:val="0061059D"/>
    <w:rsid w:val="00610653"/>
    <w:rsid w:val="00610E82"/>
    <w:rsid w:val="00611254"/>
    <w:rsid w:val="00611648"/>
    <w:rsid w:val="00611992"/>
    <w:rsid w:val="00611AD7"/>
    <w:rsid w:val="0061329E"/>
    <w:rsid w:val="00613576"/>
    <w:rsid w:val="00613717"/>
    <w:rsid w:val="006138B8"/>
    <w:rsid w:val="00613B17"/>
    <w:rsid w:val="00614AE2"/>
    <w:rsid w:val="00614CD4"/>
    <w:rsid w:val="006150A0"/>
    <w:rsid w:val="00615226"/>
    <w:rsid w:val="006163C8"/>
    <w:rsid w:val="006201FB"/>
    <w:rsid w:val="006208AE"/>
    <w:rsid w:val="00620D39"/>
    <w:rsid w:val="006212CF"/>
    <w:rsid w:val="00621BAC"/>
    <w:rsid w:val="0062423D"/>
    <w:rsid w:val="00624757"/>
    <w:rsid w:val="00624D4F"/>
    <w:rsid w:val="006256A6"/>
    <w:rsid w:val="00625E38"/>
    <w:rsid w:val="00625E6D"/>
    <w:rsid w:val="0062607F"/>
    <w:rsid w:val="00626648"/>
    <w:rsid w:val="00626EB3"/>
    <w:rsid w:val="00627137"/>
    <w:rsid w:val="00627E16"/>
    <w:rsid w:val="00627F48"/>
    <w:rsid w:val="00627FE8"/>
    <w:rsid w:val="00630D5E"/>
    <w:rsid w:val="0063127C"/>
    <w:rsid w:val="00631381"/>
    <w:rsid w:val="00631B73"/>
    <w:rsid w:val="00631BD0"/>
    <w:rsid w:val="00632593"/>
    <w:rsid w:val="006325F7"/>
    <w:rsid w:val="00632CF1"/>
    <w:rsid w:val="0063383D"/>
    <w:rsid w:val="00633FA0"/>
    <w:rsid w:val="00634501"/>
    <w:rsid w:val="00634B30"/>
    <w:rsid w:val="00634C9F"/>
    <w:rsid w:val="00634E71"/>
    <w:rsid w:val="00635866"/>
    <w:rsid w:val="00636008"/>
    <w:rsid w:val="00636D03"/>
    <w:rsid w:val="00637299"/>
    <w:rsid w:val="0063737B"/>
    <w:rsid w:val="00637D9A"/>
    <w:rsid w:val="006406EF"/>
    <w:rsid w:val="00642F26"/>
    <w:rsid w:val="0064336F"/>
    <w:rsid w:val="00643C45"/>
    <w:rsid w:val="00644D37"/>
    <w:rsid w:val="00645570"/>
    <w:rsid w:val="006457F1"/>
    <w:rsid w:val="00645E3B"/>
    <w:rsid w:val="006468AF"/>
    <w:rsid w:val="00647BBF"/>
    <w:rsid w:val="00650564"/>
    <w:rsid w:val="00651A8D"/>
    <w:rsid w:val="00651FAF"/>
    <w:rsid w:val="006525C9"/>
    <w:rsid w:val="006533F4"/>
    <w:rsid w:val="00653F9C"/>
    <w:rsid w:val="00654188"/>
    <w:rsid w:val="00654C65"/>
    <w:rsid w:val="00654E16"/>
    <w:rsid w:val="006554EF"/>
    <w:rsid w:val="006555F3"/>
    <w:rsid w:val="00655A9E"/>
    <w:rsid w:val="006562DB"/>
    <w:rsid w:val="006564AD"/>
    <w:rsid w:val="0065666D"/>
    <w:rsid w:val="00660570"/>
    <w:rsid w:val="0066058F"/>
    <w:rsid w:val="006610F0"/>
    <w:rsid w:val="00661AB3"/>
    <w:rsid w:val="006626D6"/>
    <w:rsid w:val="00662713"/>
    <w:rsid w:val="00662888"/>
    <w:rsid w:val="0066352F"/>
    <w:rsid w:val="00663A4B"/>
    <w:rsid w:val="00663B69"/>
    <w:rsid w:val="00663B7F"/>
    <w:rsid w:val="00664381"/>
    <w:rsid w:val="00664673"/>
    <w:rsid w:val="00664922"/>
    <w:rsid w:val="00664B50"/>
    <w:rsid w:val="00664E73"/>
    <w:rsid w:val="00664F4A"/>
    <w:rsid w:val="006653DD"/>
    <w:rsid w:val="00665A52"/>
    <w:rsid w:val="00665C96"/>
    <w:rsid w:val="0066707C"/>
    <w:rsid w:val="00667280"/>
    <w:rsid w:val="00670475"/>
    <w:rsid w:val="006709C7"/>
    <w:rsid w:val="00671751"/>
    <w:rsid w:val="00671799"/>
    <w:rsid w:val="00671A85"/>
    <w:rsid w:val="00672622"/>
    <w:rsid w:val="00672E2A"/>
    <w:rsid w:val="006734B5"/>
    <w:rsid w:val="00673DBD"/>
    <w:rsid w:val="00674402"/>
    <w:rsid w:val="006746DB"/>
    <w:rsid w:val="006751DC"/>
    <w:rsid w:val="00675AD3"/>
    <w:rsid w:val="00676230"/>
    <w:rsid w:val="00677556"/>
    <w:rsid w:val="00677707"/>
    <w:rsid w:val="006779BF"/>
    <w:rsid w:val="006815C5"/>
    <w:rsid w:val="00681A45"/>
    <w:rsid w:val="00681FB3"/>
    <w:rsid w:val="00682758"/>
    <w:rsid w:val="00683F3B"/>
    <w:rsid w:val="00684700"/>
    <w:rsid w:val="0068494E"/>
    <w:rsid w:val="006867B9"/>
    <w:rsid w:val="00686E38"/>
    <w:rsid w:val="006873CA"/>
    <w:rsid w:val="006905A1"/>
    <w:rsid w:val="00690F97"/>
    <w:rsid w:val="00691C97"/>
    <w:rsid w:val="00691F2E"/>
    <w:rsid w:val="006927E7"/>
    <w:rsid w:val="00692944"/>
    <w:rsid w:val="00692C51"/>
    <w:rsid w:val="00692EE2"/>
    <w:rsid w:val="006932E6"/>
    <w:rsid w:val="006938A2"/>
    <w:rsid w:val="00693BA0"/>
    <w:rsid w:val="00693E0F"/>
    <w:rsid w:val="00694230"/>
    <w:rsid w:val="00694C87"/>
    <w:rsid w:val="00695CC2"/>
    <w:rsid w:val="00695F47"/>
    <w:rsid w:val="00695FCC"/>
    <w:rsid w:val="0069731E"/>
    <w:rsid w:val="00697CDA"/>
    <w:rsid w:val="006A0003"/>
    <w:rsid w:val="006A013F"/>
    <w:rsid w:val="006A03ED"/>
    <w:rsid w:val="006A09BE"/>
    <w:rsid w:val="006A0BBF"/>
    <w:rsid w:val="006A0F17"/>
    <w:rsid w:val="006A130C"/>
    <w:rsid w:val="006A1597"/>
    <w:rsid w:val="006A3077"/>
    <w:rsid w:val="006A39B7"/>
    <w:rsid w:val="006A441E"/>
    <w:rsid w:val="006A4725"/>
    <w:rsid w:val="006A4A80"/>
    <w:rsid w:val="006A5270"/>
    <w:rsid w:val="006A5808"/>
    <w:rsid w:val="006A5A00"/>
    <w:rsid w:val="006A5AE6"/>
    <w:rsid w:val="006A5CCA"/>
    <w:rsid w:val="006A602D"/>
    <w:rsid w:val="006A68AF"/>
    <w:rsid w:val="006A6F9F"/>
    <w:rsid w:val="006A7BAC"/>
    <w:rsid w:val="006A7D91"/>
    <w:rsid w:val="006B1619"/>
    <w:rsid w:val="006B1932"/>
    <w:rsid w:val="006B1D89"/>
    <w:rsid w:val="006B21AA"/>
    <w:rsid w:val="006B3214"/>
    <w:rsid w:val="006B3656"/>
    <w:rsid w:val="006B3BF3"/>
    <w:rsid w:val="006B3E28"/>
    <w:rsid w:val="006B52EF"/>
    <w:rsid w:val="006B618A"/>
    <w:rsid w:val="006B6451"/>
    <w:rsid w:val="006B65CC"/>
    <w:rsid w:val="006B700D"/>
    <w:rsid w:val="006C0DA4"/>
    <w:rsid w:val="006C0FC0"/>
    <w:rsid w:val="006C122A"/>
    <w:rsid w:val="006C17D1"/>
    <w:rsid w:val="006C19F0"/>
    <w:rsid w:val="006C2594"/>
    <w:rsid w:val="006C260E"/>
    <w:rsid w:val="006C2718"/>
    <w:rsid w:val="006C2B88"/>
    <w:rsid w:val="006C2DBA"/>
    <w:rsid w:val="006C3577"/>
    <w:rsid w:val="006C4705"/>
    <w:rsid w:val="006C47D3"/>
    <w:rsid w:val="006C4C52"/>
    <w:rsid w:val="006C4EEF"/>
    <w:rsid w:val="006C4F48"/>
    <w:rsid w:val="006C53A9"/>
    <w:rsid w:val="006C5638"/>
    <w:rsid w:val="006C5924"/>
    <w:rsid w:val="006C5C06"/>
    <w:rsid w:val="006C61B9"/>
    <w:rsid w:val="006C6507"/>
    <w:rsid w:val="006C6BEC"/>
    <w:rsid w:val="006C6BF5"/>
    <w:rsid w:val="006C768D"/>
    <w:rsid w:val="006D0091"/>
    <w:rsid w:val="006D02B9"/>
    <w:rsid w:val="006D03CD"/>
    <w:rsid w:val="006D0C47"/>
    <w:rsid w:val="006D1469"/>
    <w:rsid w:val="006D1985"/>
    <w:rsid w:val="006D19FF"/>
    <w:rsid w:val="006D2395"/>
    <w:rsid w:val="006D2537"/>
    <w:rsid w:val="006D2B62"/>
    <w:rsid w:val="006D321B"/>
    <w:rsid w:val="006D39F3"/>
    <w:rsid w:val="006D3EFC"/>
    <w:rsid w:val="006D4037"/>
    <w:rsid w:val="006D4B4E"/>
    <w:rsid w:val="006D4B65"/>
    <w:rsid w:val="006D526F"/>
    <w:rsid w:val="006D54F3"/>
    <w:rsid w:val="006D574B"/>
    <w:rsid w:val="006D672D"/>
    <w:rsid w:val="006D6B4A"/>
    <w:rsid w:val="006D6EA9"/>
    <w:rsid w:val="006D6F31"/>
    <w:rsid w:val="006D6F4E"/>
    <w:rsid w:val="006D7A9C"/>
    <w:rsid w:val="006D7B16"/>
    <w:rsid w:val="006D7FE3"/>
    <w:rsid w:val="006E2826"/>
    <w:rsid w:val="006E430E"/>
    <w:rsid w:val="006E4380"/>
    <w:rsid w:val="006E4AF7"/>
    <w:rsid w:val="006E4F9D"/>
    <w:rsid w:val="006E58D6"/>
    <w:rsid w:val="006E5E96"/>
    <w:rsid w:val="006E6453"/>
    <w:rsid w:val="006E67DA"/>
    <w:rsid w:val="006E6C99"/>
    <w:rsid w:val="006E6D27"/>
    <w:rsid w:val="006E7266"/>
    <w:rsid w:val="006E79BF"/>
    <w:rsid w:val="006E7F64"/>
    <w:rsid w:val="006F0535"/>
    <w:rsid w:val="006F19C2"/>
    <w:rsid w:val="006F2A18"/>
    <w:rsid w:val="006F33C1"/>
    <w:rsid w:val="006F35BB"/>
    <w:rsid w:val="006F3E4D"/>
    <w:rsid w:val="006F4A67"/>
    <w:rsid w:val="006F4B2B"/>
    <w:rsid w:val="006F6F34"/>
    <w:rsid w:val="00700496"/>
    <w:rsid w:val="00700566"/>
    <w:rsid w:val="00701187"/>
    <w:rsid w:val="00701371"/>
    <w:rsid w:val="00702871"/>
    <w:rsid w:val="00702A4B"/>
    <w:rsid w:val="007030DE"/>
    <w:rsid w:val="007035B5"/>
    <w:rsid w:val="007038D6"/>
    <w:rsid w:val="00704463"/>
    <w:rsid w:val="007046CC"/>
    <w:rsid w:val="00704AB4"/>
    <w:rsid w:val="0070519F"/>
    <w:rsid w:val="0070630E"/>
    <w:rsid w:val="00706415"/>
    <w:rsid w:val="007071F6"/>
    <w:rsid w:val="00707B78"/>
    <w:rsid w:val="00710076"/>
    <w:rsid w:val="00712336"/>
    <w:rsid w:val="007124FF"/>
    <w:rsid w:val="00712EF3"/>
    <w:rsid w:val="0071441E"/>
    <w:rsid w:val="007144C4"/>
    <w:rsid w:val="0071466E"/>
    <w:rsid w:val="0071500A"/>
    <w:rsid w:val="00715887"/>
    <w:rsid w:val="00715DD6"/>
    <w:rsid w:val="00715E84"/>
    <w:rsid w:val="0071675A"/>
    <w:rsid w:val="00716939"/>
    <w:rsid w:val="0072012E"/>
    <w:rsid w:val="007202D1"/>
    <w:rsid w:val="00720C93"/>
    <w:rsid w:val="0072149A"/>
    <w:rsid w:val="007215A3"/>
    <w:rsid w:val="00721823"/>
    <w:rsid w:val="00721B4D"/>
    <w:rsid w:val="00721C02"/>
    <w:rsid w:val="00723088"/>
    <w:rsid w:val="00723AFF"/>
    <w:rsid w:val="00723F9B"/>
    <w:rsid w:val="00724D72"/>
    <w:rsid w:val="007256B9"/>
    <w:rsid w:val="00725A7E"/>
    <w:rsid w:val="00726977"/>
    <w:rsid w:val="00732063"/>
    <w:rsid w:val="00733B5B"/>
    <w:rsid w:val="0073573A"/>
    <w:rsid w:val="00735F64"/>
    <w:rsid w:val="00736A48"/>
    <w:rsid w:val="0073756D"/>
    <w:rsid w:val="007379A6"/>
    <w:rsid w:val="00741FD4"/>
    <w:rsid w:val="00742346"/>
    <w:rsid w:val="00743011"/>
    <w:rsid w:val="007432FD"/>
    <w:rsid w:val="00743A71"/>
    <w:rsid w:val="00743EE4"/>
    <w:rsid w:val="00744652"/>
    <w:rsid w:val="00746F13"/>
    <w:rsid w:val="007471D6"/>
    <w:rsid w:val="0075064B"/>
    <w:rsid w:val="0075123F"/>
    <w:rsid w:val="0075148E"/>
    <w:rsid w:val="00751637"/>
    <w:rsid w:val="0075180C"/>
    <w:rsid w:val="00752208"/>
    <w:rsid w:val="007538D9"/>
    <w:rsid w:val="007538FF"/>
    <w:rsid w:val="0075397A"/>
    <w:rsid w:val="007541C6"/>
    <w:rsid w:val="0075570E"/>
    <w:rsid w:val="00756F4D"/>
    <w:rsid w:val="00760480"/>
    <w:rsid w:val="007611FE"/>
    <w:rsid w:val="00762F37"/>
    <w:rsid w:val="00763086"/>
    <w:rsid w:val="007635D2"/>
    <w:rsid w:val="00763D38"/>
    <w:rsid w:val="00763F01"/>
    <w:rsid w:val="00763F3E"/>
    <w:rsid w:val="0076450C"/>
    <w:rsid w:val="00764B08"/>
    <w:rsid w:val="00765225"/>
    <w:rsid w:val="007652D4"/>
    <w:rsid w:val="00765768"/>
    <w:rsid w:val="007663EA"/>
    <w:rsid w:val="00766CB7"/>
    <w:rsid w:val="00767021"/>
    <w:rsid w:val="00767687"/>
    <w:rsid w:val="007679C3"/>
    <w:rsid w:val="00767CEC"/>
    <w:rsid w:val="00770A71"/>
    <w:rsid w:val="00770BE5"/>
    <w:rsid w:val="00770D77"/>
    <w:rsid w:val="00770F22"/>
    <w:rsid w:val="0077162B"/>
    <w:rsid w:val="0077176D"/>
    <w:rsid w:val="00771962"/>
    <w:rsid w:val="007725BF"/>
    <w:rsid w:val="00772974"/>
    <w:rsid w:val="00772E3F"/>
    <w:rsid w:val="00773386"/>
    <w:rsid w:val="00773C1F"/>
    <w:rsid w:val="00775FA2"/>
    <w:rsid w:val="00775FFF"/>
    <w:rsid w:val="0077638F"/>
    <w:rsid w:val="007766E1"/>
    <w:rsid w:val="007805D3"/>
    <w:rsid w:val="00780C9F"/>
    <w:rsid w:val="0078148C"/>
    <w:rsid w:val="007816AF"/>
    <w:rsid w:val="00781F16"/>
    <w:rsid w:val="00782362"/>
    <w:rsid w:val="007831A5"/>
    <w:rsid w:val="0078394D"/>
    <w:rsid w:val="00783B1A"/>
    <w:rsid w:val="00783CA3"/>
    <w:rsid w:val="00784336"/>
    <w:rsid w:val="00785008"/>
    <w:rsid w:val="00785AC4"/>
    <w:rsid w:val="00785CEA"/>
    <w:rsid w:val="00785D19"/>
    <w:rsid w:val="00785E8A"/>
    <w:rsid w:val="00786098"/>
    <w:rsid w:val="007868FF"/>
    <w:rsid w:val="00786D93"/>
    <w:rsid w:val="00786F6F"/>
    <w:rsid w:val="00786FFD"/>
    <w:rsid w:val="00790655"/>
    <w:rsid w:val="007909DC"/>
    <w:rsid w:val="00791243"/>
    <w:rsid w:val="007919E2"/>
    <w:rsid w:val="00791C95"/>
    <w:rsid w:val="007922F5"/>
    <w:rsid w:val="0079247C"/>
    <w:rsid w:val="00792546"/>
    <w:rsid w:val="0079320F"/>
    <w:rsid w:val="00793673"/>
    <w:rsid w:val="00793A00"/>
    <w:rsid w:val="0079474E"/>
    <w:rsid w:val="00794E12"/>
    <w:rsid w:val="00795FEA"/>
    <w:rsid w:val="007962EB"/>
    <w:rsid w:val="00796F43"/>
    <w:rsid w:val="00797575"/>
    <w:rsid w:val="007975BA"/>
    <w:rsid w:val="0079772E"/>
    <w:rsid w:val="007978DD"/>
    <w:rsid w:val="00797DAE"/>
    <w:rsid w:val="007A019A"/>
    <w:rsid w:val="007A046F"/>
    <w:rsid w:val="007A06B9"/>
    <w:rsid w:val="007A07D5"/>
    <w:rsid w:val="007A122F"/>
    <w:rsid w:val="007A1A3B"/>
    <w:rsid w:val="007A1CFB"/>
    <w:rsid w:val="007A2BDD"/>
    <w:rsid w:val="007A322F"/>
    <w:rsid w:val="007A37D3"/>
    <w:rsid w:val="007A400B"/>
    <w:rsid w:val="007A5A10"/>
    <w:rsid w:val="007A5D23"/>
    <w:rsid w:val="007A5DB8"/>
    <w:rsid w:val="007A5F0A"/>
    <w:rsid w:val="007A62E3"/>
    <w:rsid w:val="007A6FE6"/>
    <w:rsid w:val="007B00E1"/>
    <w:rsid w:val="007B0868"/>
    <w:rsid w:val="007B1804"/>
    <w:rsid w:val="007B2BDB"/>
    <w:rsid w:val="007B3B91"/>
    <w:rsid w:val="007B3FD3"/>
    <w:rsid w:val="007B56C5"/>
    <w:rsid w:val="007B6177"/>
    <w:rsid w:val="007B68FE"/>
    <w:rsid w:val="007B75F7"/>
    <w:rsid w:val="007B7CAD"/>
    <w:rsid w:val="007B7EEE"/>
    <w:rsid w:val="007C0679"/>
    <w:rsid w:val="007C0CA0"/>
    <w:rsid w:val="007C0D06"/>
    <w:rsid w:val="007C0FC0"/>
    <w:rsid w:val="007C236D"/>
    <w:rsid w:val="007C2E1C"/>
    <w:rsid w:val="007C32CD"/>
    <w:rsid w:val="007C48AC"/>
    <w:rsid w:val="007C4B9D"/>
    <w:rsid w:val="007C4C39"/>
    <w:rsid w:val="007C5A67"/>
    <w:rsid w:val="007C5E22"/>
    <w:rsid w:val="007C6F2D"/>
    <w:rsid w:val="007C75AA"/>
    <w:rsid w:val="007D35F0"/>
    <w:rsid w:val="007D37B4"/>
    <w:rsid w:val="007D3904"/>
    <w:rsid w:val="007D423B"/>
    <w:rsid w:val="007D4CAC"/>
    <w:rsid w:val="007D503B"/>
    <w:rsid w:val="007D5377"/>
    <w:rsid w:val="007D53D9"/>
    <w:rsid w:val="007D5AD4"/>
    <w:rsid w:val="007D5EA6"/>
    <w:rsid w:val="007D6157"/>
    <w:rsid w:val="007D75D6"/>
    <w:rsid w:val="007E0253"/>
    <w:rsid w:val="007E05FB"/>
    <w:rsid w:val="007E0851"/>
    <w:rsid w:val="007E183F"/>
    <w:rsid w:val="007E1A90"/>
    <w:rsid w:val="007E2529"/>
    <w:rsid w:val="007E2BD7"/>
    <w:rsid w:val="007E3CC6"/>
    <w:rsid w:val="007E50F8"/>
    <w:rsid w:val="007E55D4"/>
    <w:rsid w:val="007E6321"/>
    <w:rsid w:val="007E71C9"/>
    <w:rsid w:val="007E7200"/>
    <w:rsid w:val="007E7A70"/>
    <w:rsid w:val="007F058E"/>
    <w:rsid w:val="007F1824"/>
    <w:rsid w:val="007F219B"/>
    <w:rsid w:val="007F2B1A"/>
    <w:rsid w:val="007F3109"/>
    <w:rsid w:val="007F36C0"/>
    <w:rsid w:val="007F5985"/>
    <w:rsid w:val="007F5D56"/>
    <w:rsid w:val="007F5EB6"/>
    <w:rsid w:val="007F67CB"/>
    <w:rsid w:val="007F681B"/>
    <w:rsid w:val="007F71C1"/>
    <w:rsid w:val="007F7268"/>
    <w:rsid w:val="007F72EC"/>
    <w:rsid w:val="007F7D35"/>
    <w:rsid w:val="00800862"/>
    <w:rsid w:val="00800B27"/>
    <w:rsid w:val="00800BEC"/>
    <w:rsid w:val="0080101C"/>
    <w:rsid w:val="008011BD"/>
    <w:rsid w:val="008014F2"/>
    <w:rsid w:val="00802536"/>
    <w:rsid w:val="0080282F"/>
    <w:rsid w:val="00802AFD"/>
    <w:rsid w:val="008037A6"/>
    <w:rsid w:val="00803958"/>
    <w:rsid w:val="00803D47"/>
    <w:rsid w:val="0080483D"/>
    <w:rsid w:val="0080496A"/>
    <w:rsid w:val="008061C3"/>
    <w:rsid w:val="00806AAA"/>
    <w:rsid w:val="00807273"/>
    <w:rsid w:val="008078C6"/>
    <w:rsid w:val="00807916"/>
    <w:rsid w:val="00807EC1"/>
    <w:rsid w:val="008101D4"/>
    <w:rsid w:val="00810706"/>
    <w:rsid w:val="00811315"/>
    <w:rsid w:val="008114A0"/>
    <w:rsid w:val="00812506"/>
    <w:rsid w:val="00813790"/>
    <w:rsid w:val="008137BE"/>
    <w:rsid w:val="0081389A"/>
    <w:rsid w:val="00813B0E"/>
    <w:rsid w:val="00813F8E"/>
    <w:rsid w:val="008140C7"/>
    <w:rsid w:val="00814B5A"/>
    <w:rsid w:val="0081521E"/>
    <w:rsid w:val="008167CB"/>
    <w:rsid w:val="00817695"/>
    <w:rsid w:val="00817792"/>
    <w:rsid w:val="00817E7D"/>
    <w:rsid w:val="00820965"/>
    <w:rsid w:val="00820FA6"/>
    <w:rsid w:val="0082109E"/>
    <w:rsid w:val="00821318"/>
    <w:rsid w:val="008214E8"/>
    <w:rsid w:val="008217DD"/>
    <w:rsid w:val="008219A0"/>
    <w:rsid w:val="008220B3"/>
    <w:rsid w:val="008224AD"/>
    <w:rsid w:val="00822914"/>
    <w:rsid w:val="00823347"/>
    <w:rsid w:val="00824241"/>
    <w:rsid w:val="008242CD"/>
    <w:rsid w:val="0082490E"/>
    <w:rsid w:val="00824EE2"/>
    <w:rsid w:val="008250B9"/>
    <w:rsid w:val="00825A23"/>
    <w:rsid w:val="008261CB"/>
    <w:rsid w:val="0082646A"/>
    <w:rsid w:val="008270DC"/>
    <w:rsid w:val="00830499"/>
    <w:rsid w:val="00830D0C"/>
    <w:rsid w:val="0083166C"/>
    <w:rsid w:val="0083194F"/>
    <w:rsid w:val="00831C5C"/>
    <w:rsid w:val="008337E4"/>
    <w:rsid w:val="00833AEA"/>
    <w:rsid w:val="00834268"/>
    <w:rsid w:val="0083439E"/>
    <w:rsid w:val="008354C4"/>
    <w:rsid w:val="00835D7C"/>
    <w:rsid w:val="0083795F"/>
    <w:rsid w:val="008379C9"/>
    <w:rsid w:val="00837AB6"/>
    <w:rsid w:val="00840260"/>
    <w:rsid w:val="008409FF"/>
    <w:rsid w:val="0084111B"/>
    <w:rsid w:val="00841472"/>
    <w:rsid w:val="00841A69"/>
    <w:rsid w:val="00841C48"/>
    <w:rsid w:val="00842F0F"/>
    <w:rsid w:val="00843677"/>
    <w:rsid w:val="00843A92"/>
    <w:rsid w:val="00844FCE"/>
    <w:rsid w:val="0084521B"/>
    <w:rsid w:val="0084546D"/>
    <w:rsid w:val="008459FD"/>
    <w:rsid w:val="008461C2"/>
    <w:rsid w:val="008466A2"/>
    <w:rsid w:val="00846A76"/>
    <w:rsid w:val="0084786E"/>
    <w:rsid w:val="00847CCE"/>
    <w:rsid w:val="00850943"/>
    <w:rsid w:val="00851909"/>
    <w:rsid w:val="008519EA"/>
    <w:rsid w:val="00851A15"/>
    <w:rsid w:val="00851F9A"/>
    <w:rsid w:val="00851FB2"/>
    <w:rsid w:val="00852539"/>
    <w:rsid w:val="00852ACD"/>
    <w:rsid w:val="00852F86"/>
    <w:rsid w:val="0085344F"/>
    <w:rsid w:val="00854A5E"/>
    <w:rsid w:val="00854CB2"/>
    <w:rsid w:val="00855839"/>
    <w:rsid w:val="00855E8D"/>
    <w:rsid w:val="00856936"/>
    <w:rsid w:val="00857874"/>
    <w:rsid w:val="00862280"/>
    <w:rsid w:val="00862589"/>
    <w:rsid w:val="00862714"/>
    <w:rsid w:val="00862C3D"/>
    <w:rsid w:val="00863556"/>
    <w:rsid w:val="0086364F"/>
    <w:rsid w:val="008640C5"/>
    <w:rsid w:val="008648C0"/>
    <w:rsid w:val="008651D5"/>
    <w:rsid w:val="00865903"/>
    <w:rsid w:val="00865F7E"/>
    <w:rsid w:val="00866E24"/>
    <w:rsid w:val="008701AF"/>
    <w:rsid w:val="00870BA0"/>
    <w:rsid w:val="008715A4"/>
    <w:rsid w:val="00871790"/>
    <w:rsid w:val="008721AC"/>
    <w:rsid w:val="00872561"/>
    <w:rsid w:val="008735BC"/>
    <w:rsid w:val="00873762"/>
    <w:rsid w:val="00874083"/>
    <w:rsid w:val="0087451D"/>
    <w:rsid w:val="008747B6"/>
    <w:rsid w:val="00874933"/>
    <w:rsid w:val="00874A6D"/>
    <w:rsid w:val="00875592"/>
    <w:rsid w:val="00875D44"/>
    <w:rsid w:val="008763AA"/>
    <w:rsid w:val="008767C0"/>
    <w:rsid w:val="00877570"/>
    <w:rsid w:val="008776BB"/>
    <w:rsid w:val="00880118"/>
    <w:rsid w:val="00880E02"/>
    <w:rsid w:val="0088174B"/>
    <w:rsid w:val="00882034"/>
    <w:rsid w:val="00882739"/>
    <w:rsid w:val="00882BB7"/>
    <w:rsid w:val="0088394F"/>
    <w:rsid w:val="00884261"/>
    <w:rsid w:val="0088460A"/>
    <w:rsid w:val="00884F14"/>
    <w:rsid w:val="008850CF"/>
    <w:rsid w:val="00885AD4"/>
    <w:rsid w:val="00885EA4"/>
    <w:rsid w:val="008872D4"/>
    <w:rsid w:val="008873FF"/>
    <w:rsid w:val="00887EC2"/>
    <w:rsid w:val="00887FC5"/>
    <w:rsid w:val="00890BD3"/>
    <w:rsid w:val="00890F3B"/>
    <w:rsid w:val="008913DC"/>
    <w:rsid w:val="00891D4D"/>
    <w:rsid w:val="0089241A"/>
    <w:rsid w:val="00892934"/>
    <w:rsid w:val="00892E7A"/>
    <w:rsid w:val="008936E6"/>
    <w:rsid w:val="0089397D"/>
    <w:rsid w:val="00893BC9"/>
    <w:rsid w:val="00893BF2"/>
    <w:rsid w:val="00894516"/>
    <w:rsid w:val="00894826"/>
    <w:rsid w:val="0089591D"/>
    <w:rsid w:val="00896330"/>
    <w:rsid w:val="00896A05"/>
    <w:rsid w:val="00897F9F"/>
    <w:rsid w:val="008A0381"/>
    <w:rsid w:val="008A0B9B"/>
    <w:rsid w:val="008A0C10"/>
    <w:rsid w:val="008A0E3E"/>
    <w:rsid w:val="008A11C9"/>
    <w:rsid w:val="008A1295"/>
    <w:rsid w:val="008A1834"/>
    <w:rsid w:val="008A1F48"/>
    <w:rsid w:val="008A282E"/>
    <w:rsid w:val="008A2E69"/>
    <w:rsid w:val="008A3AA4"/>
    <w:rsid w:val="008A3D1E"/>
    <w:rsid w:val="008A4306"/>
    <w:rsid w:val="008A451F"/>
    <w:rsid w:val="008A4B36"/>
    <w:rsid w:val="008A548F"/>
    <w:rsid w:val="008A5B94"/>
    <w:rsid w:val="008A62DB"/>
    <w:rsid w:val="008A6775"/>
    <w:rsid w:val="008A68B0"/>
    <w:rsid w:val="008A6D55"/>
    <w:rsid w:val="008A79CD"/>
    <w:rsid w:val="008B0517"/>
    <w:rsid w:val="008B1C0E"/>
    <w:rsid w:val="008B283D"/>
    <w:rsid w:val="008B35E8"/>
    <w:rsid w:val="008B36D5"/>
    <w:rsid w:val="008B3978"/>
    <w:rsid w:val="008B3B76"/>
    <w:rsid w:val="008B3F2C"/>
    <w:rsid w:val="008B3FF0"/>
    <w:rsid w:val="008B43D9"/>
    <w:rsid w:val="008B466C"/>
    <w:rsid w:val="008B4D2A"/>
    <w:rsid w:val="008B539B"/>
    <w:rsid w:val="008B6152"/>
    <w:rsid w:val="008B7035"/>
    <w:rsid w:val="008B7466"/>
    <w:rsid w:val="008B7544"/>
    <w:rsid w:val="008B755B"/>
    <w:rsid w:val="008B7791"/>
    <w:rsid w:val="008B7A08"/>
    <w:rsid w:val="008B7F6F"/>
    <w:rsid w:val="008C08F2"/>
    <w:rsid w:val="008C1CED"/>
    <w:rsid w:val="008C2048"/>
    <w:rsid w:val="008C2707"/>
    <w:rsid w:val="008C2789"/>
    <w:rsid w:val="008C55A0"/>
    <w:rsid w:val="008C59A4"/>
    <w:rsid w:val="008C71EF"/>
    <w:rsid w:val="008C7338"/>
    <w:rsid w:val="008C737D"/>
    <w:rsid w:val="008C7D3B"/>
    <w:rsid w:val="008D0197"/>
    <w:rsid w:val="008D0226"/>
    <w:rsid w:val="008D0EFB"/>
    <w:rsid w:val="008D17AD"/>
    <w:rsid w:val="008D1E58"/>
    <w:rsid w:val="008D2F3B"/>
    <w:rsid w:val="008D3F3F"/>
    <w:rsid w:val="008D45FE"/>
    <w:rsid w:val="008D4662"/>
    <w:rsid w:val="008D490A"/>
    <w:rsid w:val="008D5C54"/>
    <w:rsid w:val="008D5D57"/>
    <w:rsid w:val="008D6563"/>
    <w:rsid w:val="008D734B"/>
    <w:rsid w:val="008D7406"/>
    <w:rsid w:val="008E1827"/>
    <w:rsid w:val="008E1E96"/>
    <w:rsid w:val="008E1FD0"/>
    <w:rsid w:val="008E2260"/>
    <w:rsid w:val="008E2A06"/>
    <w:rsid w:val="008E2D12"/>
    <w:rsid w:val="008E3D2B"/>
    <w:rsid w:val="008E4807"/>
    <w:rsid w:val="008E4AF0"/>
    <w:rsid w:val="008E4C9A"/>
    <w:rsid w:val="008E52D7"/>
    <w:rsid w:val="008E586F"/>
    <w:rsid w:val="008E5912"/>
    <w:rsid w:val="008E5C2D"/>
    <w:rsid w:val="008E6911"/>
    <w:rsid w:val="008E6C2E"/>
    <w:rsid w:val="008E7357"/>
    <w:rsid w:val="008E7734"/>
    <w:rsid w:val="008E7E2B"/>
    <w:rsid w:val="008F04D0"/>
    <w:rsid w:val="008F1268"/>
    <w:rsid w:val="008F242D"/>
    <w:rsid w:val="008F2F89"/>
    <w:rsid w:val="008F30B4"/>
    <w:rsid w:val="008F53B9"/>
    <w:rsid w:val="008F58D2"/>
    <w:rsid w:val="008F6124"/>
    <w:rsid w:val="008F6410"/>
    <w:rsid w:val="008F7074"/>
    <w:rsid w:val="008F770E"/>
    <w:rsid w:val="008F79E4"/>
    <w:rsid w:val="008F7F44"/>
    <w:rsid w:val="00900206"/>
    <w:rsid w:val="00900932"/>
    <w:rsid w:val="00900BE2"/>
    <w:rsid w:val="009010D1"/>
    <w:rsid w:val="00901731"/>
    <w:rsid w:val="00901CD8"/>
    <w:rsid w:val="00901DCA"/>
    <w:rsid w:val="00902CD4"/>
    <w:rsid w:val="00903362"/>
    <w:rsid w:val="00904713"/>
    <w:rsid w:val="00904A8F"/>
    <w:rsid w:val="00904D16"/>
    <w:rsid w:val="0090579B"/>
    <w:rsid w:val="00905B93"/>
    <w:rsid w:val="00905BB5"/>
    <w:rsid w:val="009070BE"/>
    <w:rsid w:val="00907926"/>
    <w:rsid w:val="009079B6"/>
    <w:rsid w:val="00907A0E"/>
    <w:rsid w:val="0091078B"/>
    <w:rsid w:val="00910D25"/>
    <w:rsid w:val="00910F41"/>
    <w:rsid w:val="00911373"/>
    <w:rsid w:val="009114F8"/>
    <w:rsid w:val="0091168A"/>
    <w:rsid w:val="0091176D"/>
    <w:rsid w:val="00912257"/>
    <w:rsid w:val="009125D0"/>
    <w:rsid w:val="00913612"/>
    <w:rsid w:val="0091374B"/>
    <w:rsid w:val="0091399D"/>
    <w:rsid w:val="009164AF"/>
    <w:rsid w:val="00916B40"/>
    <w:rsid w:val="00917243"/>
    <w:rsid w:val="00920317"/>
    <w:rsid w:val="0092089F"/>
    <w:rsid w:val="00920BD1"/>
    <w:rsid w:val="00920F40"/>
    <w:rsid w:val="00921ABC"/>
    <w:rsid w:val="00921EFA"/>
    <w:rsid w:val="00924278"/>
    <w:rsid w:val="0092434F"/>
    <w:rsid w:val="00924868"/>
    <w:rsid w:val="0092663C"/>
    <w:rsid w:val="00926AFB"/>
    <w:rsid w:val="00926D9B"/>
    <w:rsid w:val="00927658"/>
    <w:rsid w:val="009278AE"/>
    <w:rsid w:val="009300C6"/>
    <w:rsid w:val="00930409"/>
    <w:rsid w:val="00932026"/>
    <w:rsid w:val="00932BA1"/>
    <w:rsid w:val="0093462A"/>
    <w:rsid w:val="00934CE7"/>
    <w:rsid w:val="009352BB"/>
    <w:rsid w:val="009357CD"/>
    <w:rsid w:val="009363A8"/>
    <w:rsid w:val="00936D89"/>
    <w:rsid w:val="00936F29"/>
    <w:rsid w:val="00940C86"/>
    <w:rsid w:val="00940CF6"/>
    <w:rsid w:val="00940F06"/>
    <w:rsid w:val="00941048"/>
    <w:rsid w:val="00941B8A"/>
    <w:rsid w:val="00942563"/>
    <w:rsid w:val="00942F23"/>
    <w:rsid w:val="00944447"/>
    <w:rsid w:val="00944C28"/>
    <w:rsid w:val="00945B3B"/>
    <w:rsid w:val="00946090"/>
    <w:rsid w:val="009461CE"/>
    <w:rsid w:val="009468A0"/>
    <w:rsid w:val="00946C9D"/>
    <w:rsid w:val="0094719E"/>
    <w:rsid w:val="00947644"/>
    <w:rsid w:val="0094773C"/>
    <w:rsid w:val="00947744"/>
    <w:rsid w:val="00950A48"/>
    <w:rsid w:val="00951381"/>
    <w:rsid w:val="00951AA3"/>
    <w:rsid w:val="00951D15"/>
    <w:rsid w:val="0095282A"/>
    <w:rsid w:val="00952CD3"/>
    <w:rsid w:val="00953267"/>
    <w:rsid w:val="00954602"/>
    <w:rsid w:val="00954DE7"/>
    <w:rsid w:val="00954F72"/>
    <w:rsid w:val="00954F80"/>
    <w:rsid w:val="00954FBF"/>
    <w:rsid w:val="00955F41"/>
    <w:rsid w:val="00956480"/>
    <w:rsid w:val="009565AB"/>
    <w:rsid w:val="009568D5"/>
    <w:rsid w:val="0095711F"/>
    <w:rsid w:val="00957305"/>
    <w:rsid w:val="009578D5"/>
    <w:rsid w:val="00960970"/>
    <w:rsid w:val="0096118B"/>
    <w:rsid w:val="00961641"/>
    <w:rsid w:val="00961936"/>
    <w:rsid w:val="00961C32"/>
    <w:rsid w:val="00962C10"/>
    <w:rsid w:val="00962CB1"/>
    <w:rsid w:val="00964C1E"/>
    <w:rsid w:val="00964FB9"/>
    <w:rsid w:val="00965ADD"/>
    <w:rsid w:val="00965E45"/>
    <w:rsid w:val="00967345"/>
    <w:rsid w:val="00967743"/>
    <w:rsid w:val="00970792"/>
    <w:rsid w:val="00970F32"/>
    <w:rsid w:val="0097127F"/>
    <w:rsid w:val="00972653"/>
    <w:rsid w:val="00973478"/>
    <w:rsid w:val="00974F7A"/>
    <w:rsid w:val="009757F9"/>
    <w:rsid w:val="00975931"/>
    <w:rsid w:val="00975FD4"/>
    <w:rsid w:val="0097686E"/>
    <w:rsid w:val="00977142"/>
    <w:rsid w:val="00977527"/>
    <w:rsid w:val="009827CF"/>
    <w:rsid w:val="00982A51"/>
    <w:rsid w:val="00982C47"/>
    <w:rsid w:val="0098304A"/>
    <w:rsid w:val="00983367"/>
    <w:rsid w:val="0098337F"/>
    <w:rsid w:val="00983394"/>
    <w:rsid w:val="00983CB1"/>
    <w:rsid w:val="0098405C"/>
    <w:rsid w:val="0098437D"/>
    <w:rsid w:val="00984E2B"/>
    <w:rsid w:val="00985745"/>
    <w:rsid w:val="00987797"/>
    <w:rsid w:val="00987A3C"/>
    <w:rsid w:val="009921A9"/>
    <w:rsid w:val="0099310F"/>
    <w:rsid w:val="009938E9"/>
    <w:rsid w:val="00993BE4"/>
    <w:rsid w:val="0099419B"/>
    <w:rsid w:val="00994426"/>
    <w:rsid w:val="00994651"/>
    <w:rsid w:val="009946E6"/>
    <w:rsid w:val="00996E60"/>
    <w:rsid w:val="00997020"/>
    <w:rsid w:val="00997479"/>
    <w:rsid w:val="009A2979"/>
    <w:rsid w:val="009A3C71"/>
    <w:rsid w:val="009A4C1F"/>
    <w:rsid w:val="009A50D0"/>
    <w:rsid w:val="009A6D43"/>
    <w:rsid w:val="009A72EB"/>
    <w:rsid w:val="009A7C92"/>
    <w:rsid w:val="009B0C04"/>
    <w:rsid w:val="009B0E8A"/>
    <w:rsid w:val="009B1422"/>
    <w:rsid w:val="009B1CE6"/>
    <w:rsid w:val="009B2EE4"/>
    <w:rsid w:val="009B33E3"/>
    <w:rsid w:val="009B3407"/>
    <w:rsid w:val="009B4A29"/>
    <w:rsid w:val="009B56D5"/>
    <w:rsid w:val="009B5779"/>
    <w:rsid w:val="009B57B9"/>
    <w:rsid w:val="009B5D68"/>
    <w:rsid w:val="009B635D"/>
    <w:rsid w:val="009B6486"/>
    <w:rsid w:val="009B7237"/>
    <w:rsid w:val="009B725F"/>
    <w:rsid w:val="009C0809"/>
    <w:rsid w:val="009C083B"/>
    <w:rsid w:val="009C092C"/>
    <w:rsid w:val="009C0953"/>
    <w:rsid w:val="009C1DD2"/>
    <w:rsid w:val="009C20C3"/>
    <w:rsid w:val="009C214E"/>
    <w:rsid w:val="009C39DC"/>
    <w:rsid w:val="009C3A95"/>
    <w:rsid w:val="009C3B77"/>
    <w:rsid w:val="009C505C"/>
    <w:rsid w:val="009C52B5"/>
    <w:rsid w:val="009C540A"/>
    <w:rsid w:val="009C6007"/>
    <w:rsid w:val="009C6E0F"/>
    <w:rsid w:val="009C706C"/>
    <w:rsid w:val="009C72BA"/>
    <w:rsid w:val="009D097B"/>
    <w:rsid w:val="009D131A"/>
    <w:rsid w:val="009D1605"/>
    <w:rsid w:val="009D1ABB"/>
    <w:rsid w:val="009D1D03"/>
    <w:rsid w:val="009D1E57"/>
    <w:rsid w:val="009D26D5"/>
    <w:rsid w:val="009D278C"/>
    <w:rsid w:val="009D301C"/>
    <w:rsid w:val="009D3832"/>
    <w:rsid w:val="009D56C6"/>
    <w:rsid w:val="009D656C"/>
    <w:rsid w:val="009D65D9"/>
    <w:rsid w:val="009D6864"/>
    <w:rsid w:val="009D742B"/>
    <w:rsid w:val="009D7833"/>
    <w:rsid w:val="009D7884"/>
    <w:rsid w:val="009E1A8E"/>
    <w:rsid w:val="009E27E0"/>
    <w:rsid w:val="009E2B0A"/>
    <w:rsid w:val="009E347E"/>
    <w:rsid w:val="009E4A87"/>
    <w:rsid w:val="009E5003"/>
    <w:rsid w:val="009E5F8D"/>
    <w:rsid w:val="009F07BF"/>
    <w:rsid w:val="009F0EDE"/>
    <w:rsid w:val="009F19CC"/>
    <w:rsid w:val="009F232A"/>
    <w:rsid w:val="009F245F"/>
    <w:rsid w:val="009F28ED"/>
    <w:rsid w:val="009F2B2B"/>
    <w:rsid w:val="009F3607"/>
    <w:rsid w:val="009F41E3"/>
    <w:rsid w:val="009F4361"/>
    <w:rsid w:val="009F495C"/>
    <w:rsid w:val="009F4F54"/>
    <w:rsid w:val="009F563A"/>
    <w:rsid w:val="009F7022"/>
    <w:rsid w:val="009F7351"/>
    <w:rsid w:val="00A005A3"/>
    <w:rsid w:val="00A00FD0"/>
    <w:rsid w:val="00A020AF"/>
    <w:rsid w:val="00A0237F"/>
    <w:rsid w:val="00A02633"/>
    <w:rsid w:val="00A02DAE"/>
    <w:rsid w:val="00A02DE2"/>
    <w:rsid w:val="00A03B57"/>
    <w:rsid w:val="00A046C8"/>
    <w:rsid w:val="00A0795C"/>
    <w:rsid w:val="00A07F5B"/>
    <w:rsid w:val="00A105D2"/>
    <w:rsid w:val="00A1062E"/>
    <w:rsid w:val="00A107D3"/>
    <w:rsid w:val="00A11D32"/>
    <w:rsid w:val="00A12E30"/>
    <w:rsid w:val="00A13051"/>
    <w:rsid w:val="00A1323F"/>
    <w:rsid w:val="00A1431F"/>
    <w:rsid w:val="00A14531"/>
    <w:rsid w:val="00A14C79"/>
    <w:rsid w:val="00A14E93"/>
    <w:rsid w:val="00A15156"/>
    <w:rsid w:val="00A15BE0"/>
    <w:rsid w:val="00A161CD"/>
    <w:rsid w:val="00A163DE"/>
    <w:rsid w:val="00A16E86"/>
    <w:rsid w:val="00A16FD2"/>
    <w:rsid w:val="00A171EC"/>
    <w:rsid w:val="00A20AF1"/>
    <w:rsid w:val="00A20F9E"/>
    <w:rsid w:val="00A211E2"/>
    <w:rsid w:val="00A219AF"/>
    <w:rsid w:val="00A21E1C"/>
    <w:rsid w:val="00A22259"/>
    <w:rsid w:val="00A23381"/>
    <w:rsid w:val="00A2352D"/>
    <w:rsid w:val="00A23AED"/>
    <w:rsid w:val="00A2401A"/>
    <w:rsid w:val="00A25890"/>
    <w:rsid w:val="00A25EDA"/>
    <w:rsid w:val="00A268EC"/>
    <w:rsid w:val="00A269CA"/>
    <w:rsid w:val="00A273E3"/>
    <w:rsid w:val="00A278EF"/>
    <w:rsid w:val="00A31080"/>
    <w:rsid w:val="00A319C9"/>
    <w:rsid w:val="00A31B5D"/>
    <w:rsid w:val="00A32030"/>
    <w:rsid w:val="00A32C87"/>
    <w:rsid w:val="00A33FF5"/>
    <w:rsid w:val="00A34090"/>
    <w:rsid w:val="00A34218"/>
    <w:rsid w:val="00A34CC8"/>
    <w:rsid w:val="00A34E2D"/>
    <w:rsid w:val="00A3538A"/>
    <w:rsid w:val="00A35E91"/>
    <w:rsid w:val="00A37AA0"/>
    <w:rsid w:val="00A40C2E"/>
    <w:rsid w:val="00A40EA9"/>
    <w:rsid w:val="00A410E2"/>
    <w:rsid w:val="00A41102"/>
    <w:rsid w:val="00A413A6"/>
    <w:rsid w:val="00A41ACA"/>
    <w:rsid w:val="00A41BA7"/>
    <w:rsid w:val="00A41ED7"/>
    <w:rsid w:val="00A4208B"/>
    <w:rsid w:val="00A420D4"/>
    <w:rsid w:val="00A429D2"/>
    <w:rsid w:val="00A42F3D"/>
    <w:rsid w:val="00A43F47"/>
    <w:rsid w:val="00A446C3"/>
    <w:rsid w:val="00A44782"/>
    <w:rsid w:val="00A44E45"/>
    <w:rsid w:val="00A45019"/>
    <w:rsid w:val="00A50276"/>
    <w:rsid w:val="00A508E8"/>
    <w:rsid w:val="00A50BD4"/>
    <w:rsid w:val="00A50F5F"/>
    <w:rsid w:val="00A51561"/>
    <w:rsid w:val="00A515C0"/>
    <w:rsid w:val="00A51865"/>
    <w:rsid w:val="00A51EB1"/>
    <w:rsid w:val="00A52352"/>
    <w:rsid w:val="00A52750"/>
    <w:rsid w:val="00A5318C"/>
    <w:rsid w:val="00A544B1"/>
    <w:rsid w:val="00A5469C"/>
    <w:rsid w:val="00A553B3"/>
    <w:rsid w:val="00A55C2C"/>
    <w:rsid w:val="00A56A4F"/>
    <w:rsid w:val="00A6104E"/>
    <w:rsid w:val="00A61608"/>
    <w:rsid w:val="00A621F8"/>
    <w:rsid w:val="00A63655"/>
    <w:rsid w:val="00A636BB"/>
    <w:rsid w:val="00A637E5"/>
    <w:rsid w:val="00A63D70"/>
    <w:rsid w:val="00A6584D"/>
    <w:rsid w:val="00A65DCF"/>
    <w:rsid w:val="00A666A5"/>
    <w:rsid w:val="00A66A76"/>
    <w:rsid w:val="00A70949"/>
    <w:rsid w:val="00A70E9E"/>
    <w:rsid w:val="00A71994"/>
    <w:rsid w:val="00A71A0D"/>
    <w:rsid w:val="00A728C1"/>
    <w:rsid w:val="00A72B3F"/>
    <w:rsid w:val="00A73300"/>
    <w:rsid w:val="00A73CF5"/>
    <w:rsid w:val="00A74852"/>
    <w:rsid w:val="00A748C9"/>
    <w:rsid w:val="00A74E03"/>
    <w:rsid w:val="00A75063"/>
    <w:rsid w:val="00A75B20"/>
    <w:rsid w:val="00A75B80"/>
    <w:rsid w:val="00A75C56"/>
    <w:rsid w:val="00A75D34"/>
    <w:rsid w:val="00A75EDC"/>
    <w:rsid w:val="00A7632E"/>
    <w:rsid w:val="00A768AE"/>
    <w:rsid w:val="00A76F6C"/>
    <w:rsid w:val="00A77395"/>
    <w:rsid w:val="00A77623"/>
    <w:rsid w:val="00A77681"/>
    <w:rsid w:val="00A80528"/>
    <w:rsid w:val="00A805A3"/>
    <w:rsid w:val="00A83A60"/>
    <w:rsid w:val="00A83D13"/>
    <w:rsid w:val="00A83F38"/>
    <w:rsid w:val="00A849CE"/>
    <w:rsid w:val="00A84C6A"/>
    <w:rsid w:val="00A84F30"/>
    <w:rsid w:val="00A84FB8"/>
    <w:rsid w:val="00A8567A"/>
    <w:rsid w:val="00A85985"/>
    <w:rsid w:val="00A86698"/>
    <w:rsid w:val="00A8677C"/>
    <w:rsid w:val="00A86B2E"/>
    <w:rsid w:val="00A874B3"/>
    <w:rsid w:val="00A901D2"/>
    <w:rsid w:val="00A910FC"/>
    <w:rsid w:val="00A9172B"/>
    <w:rsid w:val="00A9354B"/>
    <w:rsid w:val="00A936E6"/>
    <w:rsid w:val="00A93CF0"/>
    <w:rsid w:val="00A940B9"/>
    <w:rsid w:val="00A941F5"/>
    <w:rsid w:val="00A94F43"/>
    <w:rsid w:val="00A95924"/>
    <w:rsid w:val="00A95B9D"/>
    <w:rsid w:val="00A9602D"/>
    <w:rsid w:val="00A96A3B"/>
    <w:rsid w:val="00A97CD3"/>
    <w:rsid w:val="00AA226B"/>
    <w:rsid w:val="00AA2D2A"/>
    <w:rsid w:val="00AA33CF"/>
    <w:rsid w:val="00AA33D2"/>
    <w:rsid w:val="00AA4808"/>
    <w:rsid w:val="00AA486C"/>
    <w:rsid w:val="00AA49F3"/>
    <w:rsid w:val="00AA5741"/>
    <w:rsid w:val="00AA58CD"/>
    <w:rsid w:val="00AA69E6"/>
    <w:rsid w:val="00AA6B2B"/>
    <w:rsid w:val="00AA6C48"/>
    <w:rsid w:val="00AA7520"/>
    <w:rsid w:val="00AA761B"/>
    <w:rsid w:val="00AA77ED"/>
    <w:rsid w:val="00AA7A23"/>
    <w:rsid w:val="00AB024F"/>
    <w:rsid w:val="00AB0260"/>
    <w:rsid w:val="00AB040C"/>
    <w:rsid w:val="00AB0E4F"/>
    <w:rsid w:val="00AB1429"/>
    <w:rsid w:val="00AB178F"/>
    <w:rsid w:val="00AB3509"/>
    <w:rsid w:val="00AB3F87"/>
    <w:rsid w:val="00AB5656"/>
    <w:rsid w:val="00AB5972"/>
    <w:rsid w:val="00AB5F5F"/>
    <w:rsid w:val="00AB69E4"/>
    <w:rsid w:val="00AB6F3F"/>
    <w:rsid w:val="00AB7E7F"/>
    <w:rsid w:val="00AB7E8D"/>
    <w:rsid w:val="00AB7FB0"/>
    <w:rsid w:val="00AC1AC4"/>
    <w:rsid w:val="00AC2B60"/>
    <w:rsid w:val="00AC3557"/>
    <w:rsid w:val="00AC35E6"/>
    <w:rsid w:val="00AC373F"/>
    <w:rsid w:val="00AC49BD"/>
    <w:rsid w:val="00AC49C9"/>
    <w:rsid w:val="00AC5717"/>
    <w:rsid w:val="00AC6443"/>
    <w:rsid w:val="00AC6715"/>
    <w:rsid w:val="00AC6A16"/>
    <w:rsid w:val="00AC7DE0"/>
    <w:rsid w:val="00AD0A09"/>
    <w:rsid w:val="00AD1EDE"/>
    <w:rsid w:val="00AD2FA3"/>
    <w:rsid w:val="00AD3279"/>
    <w:rsid w:val="00AD4394"/>
    <w:rsid w:val="00AD43EB"/>
    <w:rsid w:val="00AD4DB3"/>
    <w:rsid w:val="00AD538A"/>
    <w:rsid w:val="00AD68A6"/>
    <w:rsid w:val="00AD6EF8"/>
    <w:rsid w:val="00AD7065"/>
    <w:rsid w:val="00AE0779"/>
    <w:rsid w:val="00AE0D93"/>
    <w:rsid w:val="00AE10B7"/>
    <w:rsid w:val="00AE1444"/>
    <w:rsid w:val="00AE1C3B"/>
    <w:rsid w:val="00AE1CB8"/>
    <w:rsid w:val="00AE2513"/>
    <w:rsid w:val="00AE2F1D"/>
    <w:rsid w:val="00AE2F77"/>
    <w:rsid w:val="00AE33C8"/>
    <w:rsid w:val="00AE3A65"/>
    <w:rsid w:val="00AE3D16"/>
    <w:rsid w:val="00AE401B"/>
    <w:rsid w:val="00AE455F"/>
    <w:rsid w:val="00AE47C7"/>
    <w:rsid w:val="00AE4DCE"/>
    <w:rsid w:val="00AE65A6"/>
    <w:rsid w:val="00AE6B12"/>
    <w:rsid w:val="00AF0A18"/>
    <w:rsid w:val="00AF2F6F"/>
    <w:rsid w:val="00AF3A9A"/>
    <w:rsid w:val="00AF49E2"/>
    <w:rsid w:val="00AF5074"/>
    <w:rsid w:val="00AF50B7"/>
    <w:rsid w:val="00AF5753"/>
    <w:rsid w:val="00AF617C"/>
    <w:rsid w:val="00AF6743"/>
    <w:rsid w:val="00AF6823"/>
    <w:rsid w:val="00AF6C3F"/>
    <w:rsid w:val="00AF7058"/>
    <w:rsid w:val="00AF725B"/>
    <w:rsid w:val="00B005F4"/>
    <w:rsid w:val="00B009D5"/>
    <w:rsid w:val="00B00EBD"/>
    <w:rsid w:val="00B00F0F"/>
    <w:rsid w:val="00B01C35"/>
    <w:rsid w:val="00B022F7"/>
    <w:rsid w:val="00B025A8"/>
    <w:rsid w:val="00B033FE"/>
    <w:rsid w:val="00B03EAC"/>
    <w:rsid w:val="00B044A7"/>
    <w:rsid w:val="00B05E92"/>
    <w:rsid w:val="00B064CD"/>
    <w:rsid w:val="00B06915"/>
    <w:rsid w:val="00B07026"/>
    <w:rsid w:val="00B07970"/>
    <w:rsid w:val="00B102B2"/>
    <w:rsid w:val="00B10C00"/>
    <w:rsid w:val="00B1117A"/>
    <w:rsid w:val="00B11E0C"/>
    <w:rsid w:val="00B12268"/>
    <w:rsid w:val="00B13897"/>
    <w:rsid w:val="00B14444"/>
    <w:rsid w:val="00B14A8B"/>
    <w:rsid w:val="00B14DAB"/>
    <w:rsid w:val="00B157B2"/>
    <w:rsid w:val="00B15D72"/>
    <w:rsid w:val="00B161DC"/>
    <w:rsid w:val="00B164B9"/>
    <w:rsid w:val="00B1656A"/>
    <w:rsid w:val="00B175BF"/>
    <w:rsid w:val="00B20111"/>
    <w:rsid w:val="00B20CCD"/>
    <w:rsid w:val="00B221A9"/>
    <w:rsid w:val="00B22B23"/>
    <w:rsid w:val="00B23B57"/>
    <w:rsid w:val="00B2543C"/>
    <w:rsid w:val="00B27902"/>
    <w:rsid w:val="00B320B1"/>
    <w:rsid w:val="00B3306E"/>
    <w:rsid w:val="00B3336B"/>
    <w:rsid w:val="00B33D93"/>
    <w:rsid w:val="00B33E56"/>
    <w:rsid w:val="00B364E9"/>
    <w:rsid w:val="00B369A3"/>
    <w:rsid w:val="00B41615"/>
    <w:rsid w:val="00B41A50"/>
    <w:rsid w:val="00B41B33"/>
    <w:rsid w:val="00B41BE6"/>
    <w:rsid w:val="00B435AA"/>
    <w:rsid w:val="00B4431D"/>
    <w:rsid w:val="00B44CEA"/>
    <w:rsid w:val="00B450E8"/>
    <w:rsid w:val="00B45114"/>
    <w:rsid w:val="00B455E3"/>
    <w:rsid w:val="00B45B37"/>
    <w:rsid w:val="00B46534"/>
    <w:rsid w:val="00B470F3"/>
    <w:rsid w:val="00B503EA"/>
    <w:rsid w:val="00B50830"/>
    <w:rsid w:val="00B51A73"/>
    <w:rsid w:val="00B5215A"/>
    <w:rsid w:val="00B52EF9"/>
    <w:rsid w:val="00B531D7"/>
    <w:rsid w:val="00B565FB"/>
    <w:rsid w:val="00B567EC"/>
    <w:rsid w:val="00B568B2"/>
    <w:rsid w:val="00B56D8A"/>
    <w:rsid w:val="00B5715C"/>
    <w:rsid w:val="00B5720B"/>
    <w:rsid w:val="00B57B16"/>
    <w:rsid w:val="00B609C3"/>
    <w:rsid w:val="00B60B92"/>
    <w:rsid w:val="00B61434"/>
    <w:rsid w:val="00B61836"/>
    <w:rsid w:val="00B6196A"/>
    <w:rsid w:val="00B61E99"/>
    <w:rsid w:val="00B62129"/>
    <w:rsid w:val="00B624C8"/>
    <w:rsid w:val="00B62FA5"/>
    <w:rsid w:val="00B64E8E"/>
    <w:rsid w:val="00B658E0"/>
    <w:rsid w:val="00B65DE0"/>
    <w:rsid w:val="00B660B2"/>
    <w:rsid w:val="00B66111"/>
    <w:rsid w:val="00B66255"/>
    <w:rsid w:val="00B66608"/>
    <w:rsid w:val="00B67A57"/>
    <w:rsid w:val="00B67CB4"/>
    <w:rsid w:val="00B704B0"/>
    <w:rsid w:val="00B70E71"/>
    <w:rsid w:val="00B712B9"/>
    <w:rsid w:val="00B713BD"/>
    <w:rsid w:val="00B725E9"/>
    <w:rsid w:val="00B726A6"/>
    <w:rsid w:val="00B731BD"/>
    <w:rsid w:val="00B73F5E"/>
    <w:rsid w:val="00B7466B"/>
    <w:rsid w:val="00B749CA"/>
    <w:rsid w:val="00B752CB"/>
    <w:rsid w:val="00B7534B"/>
    <w:rsid w:val="00B7547B"/>
    <w:rsid w:val="00B7635A"/>
    <w:rsid w:val="00B76728"/>
    <w:rsid w:val="00B767FB"/>
    <w:rsid w:val="00B77132"/>
    <w:rsid w:val="00B77CF3"/>
    <w:rsid w:val="00B827DE"/>
    <w:rsid w:val="00B840AA"/>
    <w:rsid w:val="00B849BC"/>
    <w:rsid w:val="00B851D0"/>
    <w:rsid w:val="00B858CA"/>
    <w:rsid w:val="00B86273"/>
    <w:rsid w:val="00B867AE"/>
    <w:rsid w:val="00B87FC4"/>
    <w:rsid w:val="00B90C55"/>
    <w:rsid w:val="00B90F59"/>
    <w:rsid w:val="00B91968"/>
    <w:rsid w:val="00B91CC2"/>
    <w:rsid w:val="00B92206"/>
    <w:rsid w:val="00B9364C"/>
    <w:rsid w:val="00B93CEB"/>
    <w:rsid w:val="00B943E5"/>
    <w:rsid w:val="00B94D1A"/>
    <w:rsid w:val="00B9566D"/>
    <w:rsid w:val="00B96027"/>
    <w:rsid w:val="00B96030"/>
    <w:rsid w:val="00B96336"/>
    <w:rsid w:val="00B96F0B"/>
    <w:rsid w:val="00B97673"/>
    <w:rsid w:val="00B97E42"/>
    <w:rsid w:val="00BA0364"/>
    <w:rsid w:val="00BA0D82"/>
    <w:rsid w:val="00BA136B"/>
    <w:rsid w:val="00BA14EB"/>
    <w:rsid w:val="00BA248B"/>
    <w:rsid w:val="00BA2F02"/>
    <w:rsid w:val="00BA36D4"/>
    <w:rsid w:val="00BA4D50"/>
    <w:rsid w:val="00BA4EAE"/>
    <w:rsid w:val="00BA5C72"/>
    <w:rsid w:val="00BA5D4E"/>
    <w:rsid w:val="00BA7016"/>
    <w:rsid w:val="00BA77D2"/>
    <w:rsid w:val="00BB00FB"/>
    <w:rsid w:val="00BB14BC"/>
    <w:rsid w:val="00BB1D73"/>
    <w:rsid w:val="00BB1FE7"/>
    <w:rsid w:val="00BB211B"/>
    <w:rsid w:val="00BB213D"/>
    <w:rsid w:val="00BB2863"/>
    <w:rsid w:val="00BB5102"/>
    <w:rsid w:val="00BB54B4"/>
    <w:rsid w:val="00BB5866"/>
    <w:rsid w:val="00BB6CF7"/>
    <w:rsid w:val="00BB7130"/>
    <w:rsid w:val="00BB738C"/>
    <w:rsid w:val="00BB7C5A"/>
    <w:rsid w:val="00BC11D8"/>
    <w:rsid w:val="00BC1AEC"/>
    <w:rsid w:val="00BC215B"/>
    <w:rsid w:val="00BC2FF6"/>
    <w:rsid w:val="00BC33DE"/>
    <w:rsid w:val="00BC3E11"/>
    <w:rsid w:val="00BC3E8C"/>
    <w:rsid w:val="00BC43B5"/>
    <w:rsid w:val="00BC4A62"/>
    <w:rsid w:val="00BC4C59"/>
    <w:rsid w:val="00BC5F2E"/>
    <w:rsid w:val="00BC60BD"/>
    <w:rsid w:val="00BC6A4F"/>
    <w:rsid w:val="00BC6D9C"/>
    <w:rsid w:val="00BC7198"/>
    <w:rsid w:val="00BC7D7B"/>
    <w:rsid w:val="00BD123C"/>
    <w:rsid w:val="00BD1B06"/>
    <w:rsid w:val="00BD20F2"/>
    <w:rsid w:val="00BD22A4"/>
    <w:rsid w:val="00BD2688"/>
    <w:rsid w:val="00BD315A"/>
    <w:rsid w:val="00BD4334"/>
    <w:rsid w:val="00BD580A"/>
    <w:rsid w:val="00BD597E"/>
    <w:rsid w:val="00BD59B8"/>
    <w:rsid w:val="00BD5BCE"/>
    <w:rsid w:val="00BD5CA0"/>
    <w:rsid w:val="00BD6375"/>
    <w:rsid w:val="00BE0412"/>
    <w:rsid w:val="00BE0995"/>
    <w:rsid w:val="00BE0C7A"/>
    <w:rsid w:val="00BE1520"/>
    <w:rsid w:val="00BE1734"/>
    <w:rsid w:val="00BE2574"/>
    <w:rsid w:val="00BE2615"/>
    <w:rsid w:val="00BE3AEE"/>
    <w:rsid w:val="00BE410D"/>
    <w:rsid w:val="00BE4956"/>
    <w:rsid w:val="00BE53ED"/>
    <w:rsid w:val="00BE5B31"/>
    <w:rsid w:val="00BE5E3A"/>
    <w:rsid w:val="00BE693D"/>
    <w:rsid w:val="00BE6BDD"/>
    <w:rsid w:val="00BE6C17"/>
    <w:rsid w:val="00BE6DA3"/>
    <w:rsid w:val="00BE703F"/>
    <w:rsid w:val="00BE7CCE"/>
    <w:rsid w:val="00BF0082"/>
    <w:rsid w:val="00BF0DCD"/>
    <w:rsid w:val="00BF14BC"/>
    <w:rsid w:val="00BF1B03"/>
    <w:rsid w:val="00BF1FEB"/>
    <w:rsid w:val="00BF2552"/>
    <w:rsid w:val="00BF31CA"/>
    <w:rsid w:val="00BF36D3"/>
    <w:rsid w:val="00BF36D6"/>
    <w:rsid w:val="00BF45A8"/>
    <w:rsid w:val="00BF4626"/>
    <w:rsid w:val="00BF47E2"/>
    <w:rsid w:val="00BF50A8"/>
    <w:rsid w:val="00BF53A5"/>
    <w:rsid w:val="00BF5C8D"/>
    <w:rsid w:val="00BF5EEB"/>
    <w:rsid w:val="00BF6AB8"/>
    <w:rsid w:val="00BF6B14"/>
    <w:rsid w:val="00BF7022"/>
    <w:rsid w:val="00BF70E1"/>
    <w:rsid w:val="00BF739B"/>
    <w:rsid w:val="00BF7953"/>
    <w:rsid w:val="00BF7C2C"/>
    <w:rsid w:val="00BF7E2B"/>
    <w:rsid w:val="00C005A2"/>
    <w:rsid w:val="00C0083F"/>
    <w:rsid w:val="00C00B4A"/>
    <w:rsid w:val="00C018AF"/>
    <w:rsid w:val="00C01D09"/>
    <w:rsid w:val="00C021A2"/>
    <w:rsid w:val="00C035B7"/>
    <w:rsid w:val="00C03C73"/>
    <w:rsid w:val="00C04628"/>
    <w:rsid w:val="00C04ABC"/>
    <w:rsid w:val="00C04D1A"/>
    <w:rsid w:val="00C058D5"/>
    <w:rsid w:val="00C05957"/>
    <w:rsid w:val="00C05A71"/>
    <w:rsid w:val="00C05D54"/>
    <w:rsid w:val="00C05E92"/>
    <w:rsid w:val="00C05F89"/>
    <w:rsid w:val="00C06205"/>
    <w:rsid w:val="00C06AFB"/>
    <w:rsid w:val="00C072C9"/>
    <w:rsid w:val="00C10C90"/>
    <w:rsid w:val="00C10F40"/>
    <w:rsid w:val="00C11C44"/>
    <w:rsid w:val="00C11D1D"/>
    <w:rsid w:val="00C1211C"/>
    <w:rsid w:val="00C12950"/>
    <w:rsid w:val="00C13E73"/>
    <w:rsid w:val="00C15967"/>
    <w:rsid w:val="00C159AD"/>
    <w:rsid w:val="00C17096"/>
    <w:rsid w:val="00C17DEB"/>
    <w:rsid w:val="00C203D3"/>
    <w:rsid w:val="00C2157D"/>
    <w:rsid w:val="00C21A0E"/>
    <w:rsid w:val="00C22368"/>
    <w:rsid w:val="00C227FC"/>
    <w:rsid w:val="00C2320E"/>
    <w:rsid w:val="00C23364"/>
    <w:rsid w:val="00C23548"/>
    <w:rsid w:val="00C23DFC"/>
    <w:rsid w:val="00C24850"/>
    <w:rsid w:val="00C258CA"/>
    <w:rsid w:val="00C259D2"/>
    <w:rsid w:val="00C259D6"/>
    <w:rsid w:val="00C25BC0"/>
    <w:rsid w:val="00C260CB"/>
    <w:rsid w:val="00C26247"/>
    <w:rsid w:val="00C27007"/>
    <w:rsid w:val="00C30098"/>
    <w:rsid w:val="00C301EA"/>
    <w:rsid w:val="00C311DB"/>
    <w:rsid w:val="00C313B6"/>
    <w:rsid w:val="00C3172E"/>
    <w:rsid w:val="00C3252C"/>
    <w:rsid w:val="00C364D0"/>
    <w:rsid w:val="00C37DB3"/>
    <w:rsid w:val="00C406D7"/>
    <w:rsid w:val="00C41661"/>
    <w:rsid w:val="00C41BAC"/>
    <w:rsid w:val="00C428FD"/>
    <w:rsid w:val="00C43137"/>
    <w:rsid w:val="00C432B4"/>
    <w:rsid w:val="00C4432B"/>
    <w:rsid w:val="00C44340"/>
    <w:rsid w:val="00C44BB3"/>
    <w:rsid w:val="00C44C4D"/>
    <w:rsid w:val="00C450AF"/>
    <w:rsid w:val="00C46D2E"/>
    <w:rsid w:val="00C4713E"/>
    <w:rsid w:val="00C47294"/>
    <w:rsid w:val="00C4732C"/>
    <w:rsid w:val="00C476ED"/>
    <w:rsid w:val="00C47802"/>
    <w:rsid w:val="00C47ACD"/>
    <w:rsid w:val="00C50B88"/>
    <w:rsid w:val="00C5117F"/>
    <w:rsid w:val="00C5256D"/>
    <w:rsid w:val="00C529AF"/>
    <w:rsid w:val="00C529E1"/>
    <w:rsid w:val="00C52C86"/>
    <w:rsid w:val="00C52DA9"/>
    <w:rsid w:val="00C52EBE"/>
    <w:rsid w:val="00C53C64"/>
    <w:rsid w:val="00C53F97"/>
    <w:rsid w:val="00C54000"/>
    <w:rsid w:val="00C54420"/>
    <w:rsid w:val="00C54957"/>
    <w:rsid w:val="00C54A4B"/>
    <w:rsid w:val="00C551FF"/>
    <w:rsid w:val="00C55441"/>
    <w:rsid w:val="00C55504"/>
    <w:rsid w:val="00C55D6A"/>
    <w:rsid w:val="00C56300"/>
    <w:rsid w:val="00C5635D"/>
    <w:rsid w:val="00C5655E"/>
    <w:rsid w:val="00C56990"/>
    <w:rsid w:val="00C572A4"/>
    <w:rsid w:val="00C57329"/>
    <w:rsid w:val="00C60319"/>
    <w:rsid w:val="00C60CE0"/>
    <w:rsid w:val="00C61231"/>
    <w:rsid w:val="00C61D0E"/>
    <w:rsid w:val="00C624CF"/>
    <w:rsid w:val="00C62EBC"/>
    <w:rsid w:val="00C62F5C"/>
    <w:rsid w:val="00C6354A"/>
    <w:rsid w:val="00C6369D"/>
    <w:rsid w:val="00C63F3C"/>
    <w:rsid w:val="00C64835"/>
    <w:rsid w:val="00C64929"/>
    <w:rsid w:val="00C64B2D"/>
    <w:rsid w:val="00C65194"/>
    <w:rsid w:val="00C65ACD"/>
    <w:rsid w:val="00C66082"/>
    <w:rsid w:val="00C67D04"/>
    <w:rsid w:val="00C70550"/>
    <w:rsid w:val="00C705DA"/>
    <w:rsid w:val="00C7142D"/>
    <w:rsid w:val="00C717ED"/>
    <w:rsid w:val="00C73141"/>
    <w:rsid w:val="00C735C8"/>
    <w:rsid w:val="00C73C13"/>
    <w:rsid w:val="00C73E69"/>
    <w:rsid w:val="00C74494"/>
    <w:rsid w:val="00C74D48"/>
    <w:rsid w:val="00C752AA"/>
    <w:rsid w:val="00C76454"/>
    <w:rsid w:val="00C76844"/>
    <w:rsid w:val="00C76897"/>
    <w:rsid w:val="00C77188"/>
    <w:rsid w:val="00C77357"/>
    <w:rsid w:val="00C77E86"/>
    <w:rsid w:val="00C80B12"/>
    <w:rsid w:val="00C814C7"/>
    <w:rsid w:val="00C816B4"/>
    <w:rsid w:val="00C822CE"/>
    <w:rsid w:val="00C8385E"/>
    <w:rsid w:val="00C8473F"/>
    <w:rsid w:val="00C84F39"/>
    <w:rsid w:val="00C8502A"/>
    <w:rsid w:val="00C85CFF"/>
    <w:rsid w:val="00C862D7"/>
    <w:rsid w:val="00C86450"/>
    <w:rsid w:val="00C86571"/>
    <w:rsid w:val="00C8748C"/>
    <w:rsid w:val="00C87ADE"/>
    <w:rsid w:val="00C90E37"/>
    <w:rsid w:val="00C90E9D"/>
    <w:rsid w:val="00C91685"/>
    <w:rsid w:val="00C916E6"/>
    <w:rsid w:val="00C91C39"/>
    <w:rsid w:val="00C91E56"/>
    <w:rsid w:val="00C92725"/>
    <w:rsid w:val="00C9402B"/>
    <w:rsid w:val="00C9462C"/>
    <w:rsid w:val="00C958FF"/>
    <w:rsid w:val="00C95C38"/>
    <w:rsid w:val="00C960D6"/>
    <w:rsid w:val="00C96BE1"/>
    <w:rsid w:val="00C97BF9"/>
    <w:rsid w:val="00CA0DEC"/>
    <w:rsid w:val="00CA0EEC"/>
    <w:rsid w:val="00CA1B19"/>
    <w:rsid w:val="00CA1B4B"/>
    <w:rsid w:val="00CA1DB0"/>
    <w:rsid w:val="00CA290E"/>
    <w:rsid w:val="00CA2AC8"/>
    <w:rsid w:val="00CA2C3A"/>
    <w:rsid w:val="00CA2C53"/>
    <w:rsid w:val="00CA2DCE"/>
    <w:rsid w:val="00CA32B9"/>
    <w:rsid w:val="00CA3972"/>
    <w:rsid w:val="00CA3D42"/>
    <w:rsid w:val="00CA40CC"/>
    <w:rsid w:val="00CA54A7"/>
    <w:rsid w:val="00CA6072"/>
    <w:rsid w:val="00CA6604"/>
    <w:rsid w:val="00CB0436"/>
    <w:rsid w:val="00CB1D3C"/>
    <w:rsid w:val="00CB20CD"/>
    <w:rsid w:val="00CB22D3"/>
    <w:rsid w:val="00CB2C9D"/>
    <w:rsid w:val="00CB352E"/>
    <w:rsid w:val="00CB3C99"/>
    <w:rsid w:val="00CB3DA3"/>
    <w:rsid w:val="00CB3EB0"/>
    <w:rsid w:val="00CB40E6"/>
    <w:rsid w:val="00CB40F3"/>
    <w:rsid w:val="00CB4172"/>
    <w:rsid w:val="00CB5505"/>
    <w:rsid w:val="00CB56EA"/>
    <w:rsid w:val="00CB5E0B"/>
    <w:rsid w:val="00CB5F0A"/>
    <w:rsid w:val="00CB678B"/>
    <w:rsid w:val="00CB7849"/>
    <w:rsid w:val="00CB7E13"/>
    <w:rsid w:val="00CC0BC4"/>
    <w:rsid w:val="00CC1346"/>
    <w:rsid w:val="00CC18E7"/>
    <w:rsid w:val="00CC1E2B"/>
    <w:rsid w:val="00CC2382"/>
    <w:rsid w:val="00CC266F"/>
    <w:rsid w:val="00CC29DC"/>
    <w:rsid w:val="00CC3304"/>
    <w:rsid w:val="00CC3B46"/>
    <w:rsid w:val="00CC46F7"/>
    <w:rsid w:val="00CC5053"/>
    <w:rsid w:val="00CC5156"/>
    <w:rsid w:val="00CC51CE"/>
    <w:rsid w:val="00CC6F8D"/>
    <w:rsid w:val="00CC778C"/>
    <w:rsid w:val="00CC7A11"/>
    <w:rsid w:val="00CC7DDA"/>
    <w:rsid w:val="00CD2899"/>
    <w:rsid w:val="00CD2B07"/>
    <w:rsid w:val="00CD2DC3"/>
    <w:rsid w:val="00CD389B"/>
    <w:rsid w:val="00CD3E26"/>
    <w:rsid w:val="00CD44F5"/>
    <w:rsid w:val="00CD4A06"/>
    <w:rsid w:val="00CD4E28"/>
    <w:rsid w:val="00CD59A4"/>
    <w:rsid w:val="00CD5A30"/>
    <w:rsid w:val="00CD5D72"/>
    <w:rsid w:val="00CD7C79"/>
    <w:rsid w:val="00CE0586"/>
    <w:rsid w:val="00CE05B6"/>
    <w:rsid w:val="00CE07FD"/>
    <w:rsid w:val="00CE1D80"/>
    <w:rsid w:val="00CE2002"/>
    <w:rsid w:val="00CE3146"/>
    <w:rsid w:val="00CE39F8"/>
    <w:rsid w:val="00CE43AB"/>
    <w:rsid w:val="00CE47AF"/>
    <w:rsid w:val="00CE5CB4"/>
    <w:rsid w:val="00CE5F22"/>
    <w:rsid w:val="00CE67AC"/>
    <w:rsid w:val="00CE6816"/>
    <w:rsid w:val="00CF0752"/>
    <w:rsid w:val="00CF0CE1"/>
    <w:rsid w:val="00CF2FC1"/>
    <w:rsid w:val="00CF3B43"/>
    <w:rsid w:val="00CF3C48"/>
    <w:rsid w:val="00CF3DD3"/>
    <w:rsid w:val="00CF4587"/>
    <w:rsid w:val="00CF45C8"/>
    <w:rsid w:val="00CF4E52"/>
    <w:rsid w:val="00CF5C83"/>
    <w:rsid w:val="00CF5E6E"/>
    <w:rsid w:val="00CF6683"/>
    <w:rsid w:val="00CF669F"/>
    <w:rsid w:val="00CF6B2C"/>
    <w:rsid w:val="00CF72C3"/>
    <w:rsid w:val="00CF74AE"/>
    <w:rsid w:val="00CF7635"/>
    <w:rsid w:val="00D000F0"/>
    <w:rsid w:val="00D00256"/>
    <w:rsid w:val="00D013E1"/>
    <w:rsid w:val="00D01EE7"/>
    <w:rsid w:val="00D02262"/>
    <w:rsid w:val="00D02634"/>
    <w:rsid w:val="00D02D17"/>
    <w:rsid w:val="00D03994"/>
    <w:rsid w:val="00D03C56"/>
    <w:rsid w:val="00D03E21"/>
    <w:rsid w:val="00D043D4"/>
    <w:rsid w:val="00D044F0"/>
    <w:rsid w:val="00D04833"/>
    <w:rsid w:val="00D04E23"/>
    <w:rsid w:val="00D050B7"/>
    <w:rsid w:val="00D05239"/>
    <w:rsid w:val="00D06ACD"/>
    <w:rsid w:val="00D06E7B"/>
    <w:rsid w:val="00D107F4"/>
    <w:rsid w:val="00D11CA3"/>
    <w:rsid w:val="00D12022"/>
    <w:rsid w:val="00D12225"/>
    <w:rsid w:val="00D12DA2"/>
    <w:rsid w:val="00D1341D"/>
    <w:rsid w:val="00D14472"/>
    <w:rsid w:val="00D14E03"/>
    <w:rsid w:val="00D15A22"/>
    <w:rsid w:val="00D15B93"/>
    <w:rsid w:val="00D178E5"/>
    <w:rsid w:val="00D20297"/>
    <w:rsid w:val="00D2054E"/>
    <w:rsid w:val="00D2057F"/>
    <w:rsid w:val="00D2069A"/>
    <w:rsid w:val="00D209B0"/>
    <w:rsid w:val="00D20D4A"/>
    <w:rsid w:val="00D212DF"/>
    <w:rsid w:val="00D219EB"/>
    <w:rsid w:val="00D21C22"/>
    <w:rsid w:val="00D22882"/>
    <w:rsid w:val="00D22959"/>
    <w:rsid w:val="00D2315F"/>
    <w:rsid w:val="00D23FEE"/>
    <w:rsid w:val="00D24AED"/>
    <w:rsid w:val="00D263DC"/>
    <w:rsid w:val="00D26433"/>
    <w:rsid w:val="00D275DA"/>
    <w:rsid w:val="00D27D18"/>
    <w:rsid w:val="00D27EBD"/>
    <w:rsid w:val="00D307C3"/>
    <w:rsid w:val="00D3136D"/>
    <w:rsid w:val="00D31822"/>
    <w:rsid w:val="00D3228A"/>
    <w:rsid w:val="00D32DD6"/>
    <w:rsid w:val="00D33CD5"/>
    <w:rsid w:val="00D33CFD"/>
    <w:rsid w:val="00D33D44"/>
    <w:rsid w:val="00D35212"/>
    <w:rsid w:val="00D3524B"/>
    <w:rsid w:val="00D359E7"/>
    <w:rsid w:val="00D35DAF"/>
    <w:rsid w:val="00D36DB7"/>
    <w:rsid w:val="00D3777F"/>
    <w:rsid w:val="00D37955"/>
    <w:rsid w:val="00D4020B"/>
    <w:rsid w:val="00D4120C"/>
    <w:rsid w:val="00D41FF5"/>
    <w:rsid w:val="00D42C5D"/>
    <w:rsid w:val="00D43392"/>
    <w:rsid w:val="00D44157"/>
    <w:rsid w:val="00D4464C"/>
    <w:rsid w:val="00D454EA"/>
    <w:rsid w:val="00D45A1A"/>
    <w:rsid w:val="00D45A56"/>
    <w:rsid w:val="00D46850"/>
    <w:rsid w:val="00D47087"/>
    <w:rsid w:val="00D500FE"/>
    <w:rsid w:val="00D50899"/>
    <w:rsid w:val="00D51D71"/>
    <w:rsid w:val="00D51DC8"/>
    <w:rsid w:val="00D523E3"/>
    <w:rsid w:val="00D52D16"/>
    <w:rsid w:val="00D53079"/>
    <w:rsid w:val="00D53144"/>
    <w:rsid w:val="00D5316B"/>
    <w:rsid w:val="00D53759"/>
    <w:rsid w:val="00D550DA"/>
    <w:rsid w:val="00D55C79"/>
    <w:rsid w:val="00D561B6"/>
    <w:rsid w:val="00D56CAD"/>
    <w:rsid w:val="00D56FE9"/>
    <w:rsid w:val="00D57E75"/>
    <w:rsid w:val="00D6085F"/>
    <w:rsid w:val="00D62152"/>
    <w:rsid w:val="00D6252A"/>
    <w:rsid w:val="00D6283A"/>
    <w:rsid w:val="00D62FB2"/>
    <w:rsid w:val="00D62FDC"/>
    <w:rsid w:val="00D63680"/>
    <w:rsid w:val="00D65284"/>
    <w:rsid w:val="00D65304"/>
    <w:rsid w:val="00D656B4"/>
    <w:rsid w:val="00D6637F"/>
    <w:rsid w:val="00D664A6"/>
    <w:rsid w:val="00D66AAE"/>
    <w:rsid w:val="00D6779B"/>
    <w:rsid w:val="00D705DA"/>
    <w:rsid w:val="00D70F9F"/>
    <w:rsid w:val="00D710D7"/>
    <w:rsid w:val="00D714B3"/>
    <w:rsid w:val="00D715C5"/>
    <w:rsid w:val="00D7198E"/>
    <w:rsid w:val="00D72E71"/>
    <w:rsid w:val="00D7318C"/>
    <w:rsid w:val="00D73374"/>
    <w:rsid w:val="00D73596"/>
    <w:rsid w:val="00D745B0"/>
    <w:rsid w:val="00D74606"/>
    <w:rsid w:val="00D748ED"/>
    <w:rsid w:val="00D7491A"/>
    <w:rsid w:val="00D7572E"/>
    <w:rsid w:val="00D7638F"/>
    <w:rsid w:val="00D77D0C"/>
    <w:rsid w:val="00D80510"/>
    <w:rsid w:val="00D80AC6"/>
    <w:rsid w:val="00D812A5"/>
    <w:rsid w:val="00D8182D"/>
    <w:rsid w:val="00D82147"/>
    <w:rsid w:val="00D82E97"/>
    <w:rsid w:val="00D8315C"/>
    <w:rsid w:val="00D83233"/>
    <w:rsid w:val="00D83251"/>
    <w:rsid w:val="00D83A85"/>
    <w:rsid w:val="00D84593"/>
    <w:rsid w:val="00D84A86"/>
    <w:rsid w:val="00D850B9"/>
    <w:rsid w:val="00D855CE"/>
    <w:rsid w:val="00D855EF"/>
    <w:rsid w:val="00D85931"/>
    <w:rsid w:val="00D87879"/>
    <w:rsid w:val="00D9032F"/>
    <w:rsid w:val="00D90934"/>
    <w:rsid w:val="00D90B47"/>
    <w:rsid w:val="00D91842"/>
    <w:rsid w:val="00D92303"/>
    <w:rsid w:val="00D92422"/>
    <w:rsid w:val="00D92BF6"/>
    <w:rsid w:val="00D93F89"/>
    <w:rsid w:val="00D947A1"/>
    <w:rsid w:val="00D949DA"/>
    <w:rsid w:val="00D9550A"/>
    <w:rsid w:val="00D95B88"/>
    <w:rsid w:val="00D95CB5"/>
    <w:rsid w:val="00D95CCE"/>
    <w:rsid w:val="00D95FE4"/>
    <w:rsid w:val="00D9637C"/>
    <w:rsid w:val="00D973A7"/>
    <w:rsid w:val="00DA0040"/>
    <w:rsid w:val="00DA0045"/>
    <w:rsid w:val="00DA0C56"/>
    <w:rsid w:val="00DA0E18"/>
    <w:rsid w:val="00DA13DE"/>
    <w:rsid w:val="00DA1CE2"/>
    <w:rsid w:val="00DA2701"/>
    <w:rsid w:val="00DA2C36"/>
    <w:rsid w:val="00DA303B"/>
    <w:rsid w:val="00DA404E"/>
    <w:rsid w:val="00DA4DE3"/>
    <w:rsid w:val="00DA4F71"/>
    <w:rsid w:val="00DA523C"/>
    <w:rsid w:val="00DA5D16"/>
    <w:rsid w:val="00DA6556"/>
    <w:rsid w:val="00DA682A"/>
    <w:rsid w:val="00DA6EF2"/>
    <w:rsid w:val="00DA7459"/>
    <w:rsid w:val="00DA74D4"/>
    <w:rsid w:val="00DA7CD0"/>
    <w:rsid w:val="00DB0034"/>
    <w:rsid w:val="00DB03D0"/>
    <w:rsid w:val="00DB066F"/>
    <w:rsid w:val="00DB1217"/>
    <w:rsid w:val="00DB1386"/>
    <w:rsid w:val="00DB2034"/>
    <w:rsid w:val="00DB227F"/>
    <w:rsid w:val="00DB35A0"/>
    <w:rsid w:val="00DB35CB"/>
    <w:rsid w:val="00DB3695"/>
    <w:rsid w:val="00DB3C98"/>
    <w:rsid w:val="00DB4754"/>
    <w:rsid w:val="00DB4CC0"/>
    <w:rsid w:val="00DB5A46"/>
    <w:rsid w:val="00DB5D60"/>
    <w:rsid w:val="00DB5F52"/>
    <w:rsid w:val="00DB6250"/>
    <w:rsid w:val="00DB66FF"/>
    <w:rsid w:val="00DB6863"/>
    <w:rsid w:val="00DB711D"/>
    <w:rsid w:val="00DB7DBB"/>
    <w:rsid w:val="00DC0047"/>
    <w:rsid w:val="00DC013A"/>
    <w:rsid w:val="00DC0C9A"/>
    <w:rsid w:val="00DC25A5"/>
    <w:rsid w:val="00DC28A0"/>
    <w:rsid w:val="00DC365F"/>
    <w:rsid w:val="00DC366A"/>
    <w:rsid w:val="00DC4710"/>
    <w:rsid w:val="00DC5360"/>
    <w:rsid w:val="00DC5A50"/>
    <w:rsid w:val="00DC5B33"/>
    <w:rsid w:val="00DC5BF6"/>
    <w:rsid w:val="00DC71DE"/>
    <w:rsid w:val="00DC79F8"/>
    <w:rsid w:val="00DC7EEC"/>
    <w:rsid w:val="00DD0150"/>
    <w:rsid w:val="00DD066A"/>
    <w:rsid w:val="00DD0881"/>
    <w:rsid w:val="00DD09BD"/>
    <w:rsid w:val="00DD132F"/>
    <w:rsid w:val="00DD1B90"/>
    <w:rsid w:val="00DD1CCB"/>
    <w:rsid w:val="00DD2063"/>
    <w:rsid w:val="00DD243D"/>
    <w:rsid w:val="00DD2B8D"/>
    <w:rsid w:val="00DD3830"/>
    <w:rsid w:val="00DD38BE"/>
    <w:rsid w:val="00DD523C"/>
    <w:rsid w:val="00DD5C31"/>
    <w:rsid w:val="00DD5E70"/>
    <w:rsid w:val="00DD6295"/>
    <w:rsid w:val="00DD6A6E"/>
    <w:rsid w:val="00DD6B18"/>
    <w:rsid w:val="00DD7109"/>
    <w:rsid w:val="00DD7434"/>
    <w:rsid w:val="00DD7674"/>
    <w:rsid w:val="00DE06E9"/>
    <w:rsid w:val="00DE0B47"/>
    <w:rsid w:val="00DE0F14"/>
    <w:rsid w:val="00DE1C6C"/>
    <w:rsid w:val="00DE27AF"/>
    <w:rsid w:val="00DE2A30"/>
    <w:rsid w:val="00DE2F90"/>
    <w:rsid w:val="00DE3E41"/>
    <w:rsid w:val="00DE4082"/>
    <w:rsid w:val="00DE41BE"/>
    <w:rsid w:val="00DE42E9"/>
    <w:rsid w:val="00DE46DA"/>
    <w:rsid w:val="00DE4C89"/>
    <w:rsid w:val="00DE5042"/>
    <w:rsid w:val="00DE53C0"/>
    <w:rsid w:val="00DE6890"/>
    <w:rsid w:val="00DE74DC"/>
    <w:rsid w:val="00DE777F"/>
    <w:rsid w:val="00DE788B"/>
    <w:rsid w:val="00DF0188"/>
    <w:rsid w:val="00DF025F"/>
    <w:rsid w:val="00DF05D5"/>
    <w:rsid w:val="00DF0AA7"/>
    <w:rsid w:val="00DF1920"/>
    <w:rsid w:val="00DF1A7D"/>
    <w:rsid w:val="00DF2377"/>
    <w:rsid w:val="00DF2E69"/>
    <w:rsid w:val="00DF4C13"/>
    <w:rsid w:val="00DF546B"/>
    <w:rsid w:val="00DF5B1C"/>
    <w:rsid w:val="00DF6BD3"/>
    <w:rsid w:val="00DF6C6E"/>
    <w:rsid w:val="00DF6F45"/>
    <w:rsid w:val="00DF72DB"/>
    <w:rsid w:val="00E00615"/>
    <w:rsid w:val="00E0067B"/>
    <w:rsid w:val="00E00C4D"/>
    <w:rsid w:val="00E00E9F"/>
    <w:rsid w:val="00E0118E"/>
    <w:rsid w:val="00E017C6"/>
    <w:rsid w:val="00E0193F"/>
    <w:rsid w:val="00E01B6E"/>
    <w:rsid w:val="00E01C82"/>
    <w:rsid w:val="00E03B06"/>
    <w:rsid w:val="00E03ED5"/>
    <w:rsid w:val="00E04FB6"/>
    <w:rsid w:val="00E0562F"/>
    <w:rsid w:val="00E05FDA"/>
    <w:rsid w:val="00E06787"/>
    <w:rsid w:val="00E077CD"/>
    <w:rsid w:val="00E07929"/>
    <w:rsid w:val="00E079D1"/>
    <w:rsid w:val="00E100A3"/>
    <w:rsid w:val="00E105A9"/>
    <w:rsid w:val="00E1142B"/>
    <w:rsid w:val="00E11AB7"/>
    <w:rsid w:val="00E12FA4"/>
    <w:rsid w:val="00E13A86"/>
    <w:rsid w:val="00E1463C"/>
    <w:rsid w:val="00E146FC"/>
    <w:rsid w:val="00E1595E"/>
    <w:rsid w:val="00E15A2B"/>
    <w:rsid w:val="00E1604F"/>
    <w:rsid w:val="00E168D6"/>
    <w:rsid w:val="00E16AE7"/>
    <w:rsid w:val="00E17247"/>
    <w:rsid w:val="00E17F5F"/>
    <w:rsid w:val="00E20A24"/>
    <w:rsid w:val="00E21904"/>
    <w:rsid w:val="00E21A28"/>
    <w:rsid w:val="00E21B44"/>
    <w:rsid w:val="00E21CEC"/>
    <w:rsid w:val="00E2219D"/>
    <w:rsid w:val="00E22F1E"/>
    <w:rsid w:val="00E2336C"/>
    <w:rsid w:val="00E23655"/>
    <w:rsid w:val="00E246EB"/>
    <w:rsid w:val="00E24E4F"/>
    <w:rsid w:val="00E251ED"/>
    <w:rsid w:val="00E256B1"/>
    <w:rsid w:val="00E264CA"/>
    <w:rsid w:val="00E26836"/>
    <w:rsid w:val="00E2768E"/>
    <w:rsid w:val="00E27CF7"/>
    <w:rsid w:val="00E30008"/>
    <w:rsid w:val="00E307CF"/>
    <w:rsid w:val="00E316C7"/>
    <w:rsid w:val="00E32385"/>
    <w:rsid w:val="00E33166"/>
    <w:rsid w:val="00E33263"/>
    <w:rsid w:val="00E35415"/>
    <w:rsid w:val="00E35515"/>
    <w:rsid w:val="00E35F13"/>
    <w:rsid w:val="00E3626D"/>
    <w:rsid w:val="00E3689B"/>
    <w:rsid w:val="00E36DA4"/>
    <w:rsid w:val="00E37078"/>
    <w:rsid w:val="00E400B7"/>
    <w:rsid w:val="00E41E3A"/>
    <w:rsid w:val="00E4218C"/>
    <w:rsid w:val="00E43242"/>
    <w:rsid w:val="00E432B6"/>
    <w:rsid w:val="00E43C8F"/>
    <w:rsid w:val="00E44F1E"/>
    <w:rsid w:val="00E45C9E"/>
    <w:rsid w:val="00E46417"/>
    <w:rsid w:val="00E466C2"/>
    <w:rsid w:val="00E470BB"/>
    <w:rsid w:val="00E474C0"/>
    <w:rsid w:val="00E47F35"/>
    <w:rsid w:val="00E50639"/>
    <w:rsid w:val="00E506FE"/>
    <w:rsid w:val="00E508F8"/>
    <w:rsid w:val="00E50E8B"/>
    <w:rsid w:val="00E512E8"/>
    <w:rsid w:val="00E51533"/>
    <w:rsid w:val="00E53571"/>
    <w:rsid w:val="00E53A77"/>
    <w:rsid w:val="00E5433A"/>
    <w:rsid w:val="00E546C8"/>
    <w:rsid w:val="00E54B84"/>
    <w:rsid w:val="00E54F84"/>
    <w:rsid w:val="00E55417"/>
    <w:rsid w:val="00E600EC"/>
    <w:rsid w:val="00E61332"/>
    <w:rsid w:val="00E629D8"/>
    <w:rsid w:val="00E62E74"/>
    <w:rsid w:val="00E63C18"/>
    <w:rsid w:val="00E64817"/>
    <w:rsid w:val="00E64BF0"/>
    <w:rsid w:val="00E64E5F"/>
    <w:rsid w:val="00E669BB"/>
    <w:rsid w:val="00E67696"/>
    <w:rsid w:val="00E676C8"/>
    <w:rsid w:val="00E70D40"/>
    <w:rsid w:val="00E7194F"/>
    <w:rsid w:val="00E7230C"/>
    <w:rsid w:val="00E72BF1"/>
    <w:rsid w:val="00E7468A"/>
    <w:rsid w:val="00E7546A"/>
    <w:rsid w:val="00E75EAD"/>
    <w:rsid w:val="00E760CB"/>
    <w:rsid w:val="00E76432"/>
    <w:rsid w:val="00E76C44"/>
    <w:rsid w:val="00E772A2"/>
    <w:rsid w:val="00E806ED"/>
    <w:rsid w:val="00E81164"/>
    <w:rsid w:val="00E8173F"/>
    <w:rsid w:val="00E82223"/>
    <w:rsid w:val="00E82224"/>
    <w:rsid w:val="00E8281B"/>
    <w:rsid w:val="00E834E5"/>
    <w:rsid w:val="00E84137"/>
    <w:rsid w:val="00E8452A"/>
    <w:rsid w:val="00E8456D"/>
    <w:rsid w:val="00E8633E"/>
    <w:rsid w:val="00E86539"/>
    <w:rsid w:val="00E86602"/>
    <w:rsid w:val="00E86A85"/>
    <w:rsid w:val="00E86E49"/>
    <w:rsid w:val="00E87C98"/>
    <w:rsid w:val="00E87F58"/>
    <w:rsid w:val="00E90887"/>
    <w:rsid w:val="00E908A0"/>
    <w:rsid w:val="00E9148C"/>
    <w:rsid w:val="00E92BE4"/>
    <w:rsid w:val="00E9349E"/>
    <w:rsid w:val="00E93539"/>
    <w:rsid w:val="00E9360A"/>
    <w:rsid w:val="00E93BE7"/>
    <w:rsid w:val="00E94A37"/>
    <w:rsid w:val="00E96157"/>
    <w:rsid w:val="00E96CD6"/>
    <w:rsid w:val="00E9740D"/>
    <w:rsid w:val="00EA0437"/>
    <w:rsid w:val="00EA0C79"/>
    <w:rsid w:val="00EA2E27"/>
    <w:rsid w:val="00EA318C"/>
    <w:rsid w:val="00EA340A"/>
    <w:rsid w:val="00EA49CB"/>
    <w:rsid w:val="00EA50A2"/>
    <w:rsid w:val="00EA5D09"/>
    <w:rsid w:val="00EA66CD"/>
    <w:rsid w:val="00EB0C49"/>
    <w:rsid w:val="00EB1258"/>
    <w:rsid w:val="00EB1333"/>
    <w:rsid w:val="00EB15ED"/>
    <w:rsid w:val="00EB1792"/>
    <w:rsid w:val="00EB20E2"/>
    <w:rsid w:val="00EB2648"/>
    <w:rsid w:val="00EB27EF"/>
    <w:rsid w:val="00EB3197"/>
    <w:rsid w:val="00EB35A6"/>
    <w:rsid w:val="00EB3715"/>
    <w:rsid w:val="00EB4C59"/>
    <w:rsid w:val="00EB4EB5"/>
    <w:rsid w:val="00EB50ED"/>
    <w:rsid w:val="00EB54B5"/>
    <w:rsid w:val="00EB5648"/>
    <w:rsid w:val="00EB6CE3"/>
    <w:rsid w:val="00EB6D1B"/>
    <w:rsid w:val="00EB763D"/>
    <w:rsid w:val="00EB7899"/>
    <w:rsid w:val="00EB7DD8"/>
    <w:rsid w:val="00EB7F9B"/>
    <w:rsid w:val="00EC0410"/>
    <w:rsid w:val="00EC12F5"/>
    <w:rsid w:val="00EC14B5"/>
    <w:rsid w:val="00EC17FE"/>
    <w:rsid w:val="00EC2290"/>
    <w:rsid w:val="00EC320B"/>
    <w:rsid w:val="00EC3239"/>
    <w:rsid w:val="00EC32B1"/>
    <w:rsid w:val="00EC3699"/>
    <w:rsid w:val="00EC38CD"/>
    <w:rsid w:val="00EC3CC0"/>
    <w:rsid w:val="00EC3DEC"/>
    <w:rsid w:val="00EC4246"/>
    <w:rsid w:val="00EC6065"/>
    <w:rsid w:val="00EC62E3"/>
    <w:rsid w:val="00EC63D9"/>
    <w:rsid w:val="00EC6659"/>
    <w:rsid w:val="00EC6ACA"/>
    <w:rsid w:val="00EC6EC5"/>
    <w:rsid w:val="00EC71B4"/>
    <w:rsid w:val="00ED03F6"/>
    <w:rsid w:val="00ED06D4"/>
    <w:rsid w:val="00ED079D"/>
    <w:rsid w:val="00ED1F94"/>
    <w:rsid w:val="00ED21EA"/>
    <w:rsid w:val="00ED2408"/>
    <w:rsid w:val="00ED287E"/>
    <w:rsid w:val="00ED2909"/>
    <w:rsid w:val="00ED2924"/>
    <w:rsid w:val="00ED4AFA"/>
    <w:rsid w:val="00ED4CC4"/>
    <w:rsid w:val="00ED4D0E"/>
    <w:rsid w:val="00ED51D0"/>
    <w:rsid w:val="00ED58ED"/>
    <w:rsid w:val="00ED5989"/>
    <w:rsid w:val="00ED5AA0"/>
    <w:rsid w:val="00ED5DA4"/>
    <w:rsid w:val="00ED5EC1"/>
    <w:rsid w:val="00ED5F34"/>
    <w:rsid w:val="00ED6C54"/>
    <w:rsid w:val="00ED7D72"/>
    <w:rsid w:val="00EE109F"/>
    <w:rsid w:val="00EE133C"/>
    <w:rsid w:val="00EE17C5"/>
    <w:rsid w:val="00EE1928"/>
    <w:rsid w:val="00EE2078"/>
    <w:rsid w:val="00EE2B70"/>
    <w:rsid w:val="00EE2D96"/>
    <w:rsid w:val="00EE2E85"/>
    <w:rsid w:val="00EE30FD"/>
    <w:rsid w:val="00EE3121"/>
    <w:rsid w:val="00EE41AF"/>
    <w:rsid w:val="00EE44B0"/>
    <w:rsid w:val="00EE44BC"/>
    <w:rsid w:val="00EE4EE8"/>
    <w:rsid w:val="00EE574A"/>
    <w:rsid w:val="00EE5C9C"/>
    <w:rsid w:val="00EE5D56"/>
    <w:rsid w:val="00EE6256"/>
    <w:rsid w:val="00EE71BD"/>
    <w:rsid w:val="00EE75C5"/>
    <w:rsid w:val="00EE7BB8"/>
    <w:rsid w:val="00EE7E16"/>
    <w:rsid w:val="00EF0565"/>
    <w:rsid w:val="00EF1CF3"/>
    <w:rsid w:val="00EF31C6"/>
    <w:rsid w:val="00EF346A"/>
    <w:rsid w:val="00EF4537"/>
    <w:rsid w:val="00EF4660"/>
    <w:rsid w:val="00EF4C12"/>
    <w:rsid w:val="00EF4C2B"/>
    <w:rsid w:val="00EF4D76"/>
    <w:rsid w:val="00EF52C0"/>
    <w:rsid w:val="00EF53A4"/>
    <w:rsid w:val="00EF61B8"/>
    <w:rsid w:val="00EF620A"/>
    <w:rsid w:val="00EF6D76"/>
    <w:rsid w:val="00EF7175"/>
    <w:rsid w:val="00EF74FB"/>
    <w:rsid w:val="00F0006D"/>
    <w:rsid w:val="00F00B6A"/>
    <w:rsid w:val="00F00C42"/>
    <w:rsid w:val="00F02820"/>
    <w:rsid w:val="00F0300C"/>
    <w:rsid w:val="00F03EFF"/>
    <w:rsid w:val="00F0419C"/>
    <w:rsid w:val="00F044DD"/>
    <w:rsid w:val="00F050A1"/>
    <w:rsid w:val="00F0523B"/>
    <w:rsid w:val="00F074D7"/>
    <w:rsid w:val="00F07A51"/>
    <w:rsid w:val="00F07DFB"/>
    <w:rsid w:val="00F1050E"/>
    <w:rsid w:val="00F10E93"/>
    <w:rsid w:val="00F11494"/>
    <w:rsid w:val="00F120EF"/>
    <w:rsid w:val="00F14540"/>
    <w:rsid w:val="00F14544"/>
    <w:rsid w:val="00F15269"/>
    <w:rsid w:val="00F1545B"/>
    <w:rsid w:val="00F15C5C"/>
    <w:rsid w:val="00F165A8"/>
    <w:rsid w:val="00F167CB"/>
    <w:rsid w:val="00F1701C"/>
    <w:rsid w:val="00F176D2"/>
    <w:rsid w:val="00F206C8"/>
    <w:rsid w:val="00F20DAB"/>
    <w:rsid w:val="00F20F49"/>
    <w:rsid w:val="00F2120F"/>
    <w:rsid w:val="00F22010"/>
    <w:rsid w:val="00F223B3"/>
    <w:rsid w:val="00F225AA"/>
    <w:rsid w:val="00F2281B"/>
    <w:rsid w:val="00F2297B"/>
    <w:rsid w:val="00F239DE"/>
    <w:rsid w:val="00F241A3"/>
    <w:rsid w:val="00F24217"/>
    <w:rsid w:val="00F2471A"/>
    <w:rsid w:val="00F2557F"/>
    <w:rsid w:val="00F2585B"/>
    <w:rsid w:val="00F2649D"/>
    <w:rsid w:val="00F274AF"/>
    <w:rsid w:val="00F27599"/>
    <w:rsid w:val="00F27EFB"/>
    <w:rsid w:val="00F30286"/>
    <w:rsid w:val="00F303FA"/>
    <w:rsid w:val="00F30C75"/>
    <w:rsid w:val="00F316E1"/>
    <w:rsid w:val="00F319B5"/>
    <w:rsid w:val="00F31AE5"/>
    <w:rsid w:val="00F31C5F"/>
    <w:rsid w:val="00F31F5F"/>
    <w:rsid w:val="00F324A7"/>
    <w:rsid w:val="00F326AC"/>
    <w:rsid w:val="00F329FC"/>
    <w:rsid w:val="00F32A21"/>
    <w:rsid w:val="00F32C5D"/>
    <w:rsid w:val="00F32CC3"/>
    <w:rsid w:val="00F32FB1"/>
    <w:rsid w:val="00F33985"/>
    <w:rsid w:val="00F33A73"/>
    <w:rsid w:val="00F33A75"/>
    <w:rsid w:val="00F362F0"/>
    <w:rsid w:val="00F374DB"/>
    <w:rsid w:val="00F40B00"/>
    <w:rsid w:val="00F40B24"/>
    <w:rsid w:val="00F4104A"/>
    <w:rsid w:val="00F416E6"/>
    <w:rsid w:val="00F41752"/>
    <w:rsid w:val="00F420FD"/>
    <w:rsid w:val="00F43A1F"/>
    <w:rsid w:val="00F441E0"/>
    <w:rsid w:val="00F45A12"/>
    <w:rsid w:val="00F4634C"/>
    <w:rsid w:val="00F46779"/>
    <w:rsid w:val="00F46789"/>
    <w:rsid w:val="00F47165"/>
    <w:rsid w:val="00F47427"/>
    <w:rsid w:val="00F4761C"/>
    <w:rsid w:val="00F47737"/>
    <w:rsid w:val="00F47C8C"/>
    <w:rsid w:val="00F516EC"/>
    <w:rsid w:val="00F52E42"/>
    <w:rsid w:val="00F5312C"/>
    <w:rsid w:val="00F53365"/>
    <w:rsid w:val="00F5362C"/>
    <w:rsid w:val="00F53C73"/>
    <w:rsid w:val="00F544EB"/>
    <w:rsid w:val="00F547F7"/>
    <w:rsid w:val="00F54ADD"/>
    <w:rsid w:val="00F5525B"/>
    <w:rsid w:val="00F55543"/>
    <w:rsid w:val="00F56138"/>
    <w:rsid w:val="00F56B21"/>
    <w:rsid w:val="00F57509"/>
    <w:rsid w:val="00F578EC"/>
    <w:rsid w:val="00F57C2F"/>
    <w:rsid w:val="00F603BF"/>
    <w:rsid w:val="00F604F7"/>
    <w:rsid w:val="00F60DA5"/>
    <w:rsid w:val="00F61000"/>
    <w:rsid w:val="00F61FEC"/>
    <w:rsid w:val="00F62013"/>
    <w:rsid w:val="00F62F29"/>
    <w:rsid w:val="00F63C2F"/>
    <w:rsid w:val="00F64518"/>
    <w:rsid w:val="00F64B5D"/>
    <w:rsid w:val="00F64EFC"/>
    <w:rsid w:val="00F650AD"/>
    <w:rsid w:val="00F66944"/>
    <w:rsid w:val="00F66ABE"/>
    <w:rsid w:val="00F6768F"/>
    <w:rsid w:val="00F67712"/>
    <w:rsid w:val="00F67FFA"/>
    <w:rsid w:val="00F71BB4"/>
    <w:rsid w:val="00F71EC0"/>
    <w:rsid w:val="00F7281B"/>
    <w:rsid w:val="00F729EE"/>
    <w:rsid w:val="00F7346E"/>
    <w:rsid w:val="00F73A39"/>
    <w:rsid w:val="00F73B2A"/>
    <w:rsid w:val="00F73BB5"/>
    <w:rsid w:val="00F742A9"/>
    <w:rsid w:val="00F7494F"/>
    <w:rsid w:val="00F75DE6"/>
    <w:rsid w:val="00F76DD2"/>
    <w:rsid w:val="00F77D0B"/>
    <w:rsid w:val="00F805CB"/>
    <w:rsid w:val="00F80ABD"/>
    <w:rsid w:val="00F80FAD"/>
    <w:rsid w:val="00F8169A"/>
    <w:rsid w:val="00F816DD"/>
    <w:rsid w:val="00F81884"/>
    <w:rsid w:val="00F8188F"/>
    <w:rsid w:val="00F81BC1"/>
    <w:rsid w:val="00F8278A"/>
    <w:rsid w:val="00F82DB4"/>
    <w:rsid w:val="00F840D7"/>
    <w:rsid w:val="00F849AC"/>
    <w:rsid w:val="00F853F6"/>
    <w:rsid w:val="00F85DF9"/>
    <w:rsid w:val="00F86A7B"/>
    <w:rsid w:val="00F8732D"/>
    <w:rsid w:val="00F875B5"/>
    <w:rsid w:val="00F92A67"/>
    <w:rsid w:val="00F93104"/>
    <w:rsid w:val="00F9454B"/>
    <w:rsid w:val="00F94B91"/>
    <w:rsid w:val="00F9507E"/>
    <w:rsid w:val="00F95442"/>
    <w:rsid w:val="00F9668B"/>
    <w:rsid w:val="00F968BE"/>
    <w:rsid w:val="00F971FC"/>
    <w:rsid w:val="00FA0011"/>
    <w:rsid w:val="00FA0074"/>
    <w:rsid w:val="00FA1FAE"/>
    <w:rsid w:val="00FA1FB1"/>
    <w:rsid w:val="00FA3322"/>
    <w:rsid w:val="00FA4795"/>
    <w:rsid w:val="00FA5509"/>
    <w:rsid w:val="00FA656A"/>
    <w:rsid w:val="00FA7D2E"/>
    <w:rsid w:val="00FB0418"/>
    <w:rsid w:val="00FB08FE"/>
    <w:rsid w:val="00FB0F5E"/>
    <w:rsid w:val="00FB1AA3"/>
    <w:rsid w:val="00FB1D67"/>
    <w:rsid w:val="00FB1D9A"/>
    <w:rsid w:val="00FB1D9D"/>
    <w:rsid w:val="00FB2A6B"/>
    <w:rsid w:val="00FB2EF0"/>
    <w:rsid w:val="00FB32C0"/>
    <w:rsid w:val="00FB40A3"/>
    <w:rsid w:val="00FB50BC"/>
    <w:rsid w:val="00FB54E2"/>
    <w:rsid w:val="00FB59A9"/>
    <w:rsid w:val="00FB65C8"/>
    <w:rsid w:val="00FB674B"/>
    <w:rsid w:val="00FB7FE1"/>
    <w:rsid w:val="00FC052E"/>
    <w:rsid w:val="00FC0E32"/>
    <w:rsid w:val="00FC13F9"/>
    <w:rsid w:val="00FC155E"/>
    <w:rsid w:val="00FC1878"/>
    <w:rsid w:val="00FC1957"/>
    <w:rsid w:val="00FC1C18"/>
    <w:rsid w:val="00FC288E"/>
    <w:rsid w:val="00FC2E8E"/>
    <w:rsid w:val="00FC33C0"/>
    <w:rsid w:val="00FC42FF"/>
    <w:rsid w:val="00FC4566"/>
    <w:rsid w:val="00FC4A68"/>
    <w:rsid w:val="00FC52AB"/>
    <w:rsid w:val="00FC62A7"/>
    <w:rsid w:val="00FC6896"/>
    <w:rsid w:val="00FC69E9"/>
    <w:rsid w:val="00FC7923"/>
    <w:rsid w:val="00FD0A9F"/>
    <w:rsid w:val="00FD0ADF"/>
    <w:rsid w:val="00FD0EA2"/>
    <w:rsid w:val="00FD0FE4"/>
    <w:rsid w:val="00FD1383"/>
    <w:rsid w:val="00FD191D"/>
    <w:rsid w:val="00FD1BED"/>
    <w:rsid w:val="00FD29C3"/>
    <w:rsid w:val="00FD2B8E"/>
    <w:rsid w:val="00FD3B63"/>
    <w:rsid w:val="00FD44AF"/>
    <w:rsid w:val="00FD4A68"/>
    <w:rsid w:val="00FD528F"/>
    <w:rsid w:val="00FD57AF"/>
    <w:rsid w:val="00FD5C3A"/>
    <w:rsid w:val="00FD62EB"/>
    <w:rsid w:val="00FD6A34"/>
    <w:rsid w:val="00FD6C6A"/>
    <w:rsid w:val="00FD7000"/>
    <w:rsid w:val="00FD7160"/>
    <w:rsid w:val="00FD732B"/>
    <w:rsid w:val="00FD7407"/>
    <w:rsid w:val="00FD748A"/>
    <w:rsid w:val="00FD7A58"/>
    <w:rsid w:val="00FE0EAA"/>
    <w:rsid w:val="00FE0F77"/>
    <w:rsid w:val="00FE1923"/>
    <w:rsid w:val="00FE24AB"/>
    <w:rsid w:val="00FE2FA6"/>
    <w:rsid w:val="00FE3AF0"/>
    <w:rsid w:val="00FE4896"/>
    <w:rsid w:val="00FE561C"/>
    <w:rsid w:val="00FE66F8"/>
    <w:rsid w:val="00FE6B9F"/>
    <w:rsid w:val="00FE7798"/>
    <w:rsid w:val="00FE7AE2"/>
    <w:rsid w:val="00FF1904"/>
    <w:rsid w:val="00FF1CDF"/>
    <w:rsid w:val="00FF2AFC"/>
    <w:rsid w:val="00FF2F4C"/>
    <w:rsid w:val="00FF4264"/>
    <w:rsid w:val="00FF4412"/>
    <w:rsid w:val="00FF5983"/>
    <w:rsid w:val="00FF5E23"/>
    <w:rsid w:val="00FF6C97"/>
    <w:rsid w:val="00FF7BB1"/>
    <w:rsid w:val="00FF7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E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pPr>
        <w:spacing w:before="120" w:after="120"/>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D"/>
    <w:rPr>
      <w:sz w:val="24"/>
      <w:szCs w:val="22"/>
    </w:rPr>
  </w:style>
  <w:style w:type="paragraph" w:styleId="Heading1">
    <w:name w:val="heading 1"/>
    <w:next w:val="Normal"/>
    <w:link w:val="Heading1Char"/>
    <w:qFormat/>
    <w:rsid w:val="000E1CBE"/>
    <w:pPr>
      <w:keepNext/>
      <w:numPr>
        <w:numId w:val="3"/>
      </w:numPr>
      <w:spacing w:before="360" w:after="240"/>
      <w:outlineLvl w:val="0"/>
    </w:pPr>
    <w:rPr>
      <w:rFonts w:eastAsia="Times New Roman" w:cs="Arial"/>
      <w:b/>
      <w:bCs/>
      <w:kern w:val="32"/>
      <w:sz w:val="24"/>
      <w:szCs w:val="32"/>
    </w:rPr>
  </w:style>
  <w:style w:type="paragraph" w:styleId="Heading2">
    <w:name w:val="heading 2"/>
    <w:basedOn w:val="Heading1"/>
    <w:next w:val="Normal"/>
    <w:link w:val="Heading2Char"/>
    <w:qFormat/>
    <w:rsid w:val="00C17096"/>
    <w:pPr>
      <w:numPr>
        <w:ilvl w:val="1"/>
      </w:numPr>
      <w:spacing w:before="240"/>
      <w:outlineLvl w:val="1"/>
    </w:pPr>
    <w:rPr>
      <w:bCs w:val="0"/>
      <w:i/>
      <w:iCs/>
      <w:szCs w:val="28"/>
    </w:rPr>
  </w:style>
  <w:style w:type="paragraph" w:styleId="Heading3">
    <w:name w:val="heading 3"/>
    <w:basedOn w:val="Normal"/>
    <w:next w:val="Normal"/>
    <w:link w:val="Heading3Char"/>
    <w:uiPriority w:val="9"/>
    <w:unhideWhenUsed/>
    <w:qFormat/>
    <w:rsid w:val="004732C9"/>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iPriority w:val="9"/>
    <w:unhideWhenUsed/>
    <w:qFormat/>
    <w:rsid w:val="004732C9"/>
    <w:pPr>
      <w:keepNext/>
      <w:keepLines/>
      <w:numPr>
        <w:ilvl w:val="3"/>
        <w:numId w:val="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4732C9"/>
    <w:pPr>
      <w:keepNext/>
      <w:keepLines/>
      <w:numPr>
        <w:ilvl w:val="4"/>
        <w:numId w:val="3"/>
      </w:numPr>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4F56E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6E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6E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6E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FB"/>
    <w:rPr>
      <w:sz w:val="22"/>
      <w:szCs w:val="22"/>
    </w:rPr>
  </w:style>
  <w:style w:type="character" w:customStyle="1" w:styleId="Heading1Char">
    <w:name w:val="Heading 1 Char"/>
    <w:basedOn w:val="DefaultParagraphFont"/>
    <w:link w:val="Heading1"/>
    <w:rsid w:val="000E1CBE"/>
    <w:rPr>
      <w:rFonts w:eastAsia="Times New Roman" w:cs="Arial"/>
      <w:b/>
      <w:bCs/>
      <w:kern w:val="32"/>
      <w:sz w:val="24"/>
      <w:szCs w:val="32"/>
    </w:rPr>
  </w:style>
  <w:style w:type="paragraph" w:styleId="BodyText">
    <w:name w:val="Body Text"/>
    <w:link w:val="BodyTextChar"/>
    <w:rsid w:val="00C17096"/>
    <w:pPr>
      <w:numPr>
        <w:numId w:val="1"/>
      </w:numPr>
      <w:spacing w:before="0" w:line="480" w:lineRule="auto"/>
    </w:pPr>
    <w:rPr>
      <w:rFonts w:eastAsia="Times New Roman"/>
      <w:sz w:val="24"/>
    </w:rPr>
  </w:style>
  <w:style w:type="character" w:customStyle="1" w:styleId="BodyTextChar">
    <w:name w:val="Body Text Char"/>
    <w:basedOn w:val="DefaultParagraphFont"/>
    <w:link w:val="BodyText"/>
    <w:rsid w:val="00C17096"/>
    <w:rPr>
      <w:rFonts w:eastAsia="Times New Roman"/>
      <w:sz w:val="24"/>
    </w:rPr>
  </w:style>
  <w:style w:type="character" w:styleId="FootnoteReference">
    <w:name w:val="footnote reference"/>
    <w:aliases w:val="(NECG) Footnote Reference,fr,o,FR,Style 3,Appel note de bas de p,Style 17,Style 12,Style 124,Style 13,callout,Style 6,Footnote Reference/,Style 20"/>
    <w:basedOn w:val="DefaultParagraphFont"/>
    <w:uiPriority w:val="99"/>
    <w:qFormat/>
    <w:rsid w:val="00EB1333"/>
    <w:rPr>
      <w:rFonts w:cs="Times New Roman"/>
      <w:vertAlign w:val="superscript"/>
    </w:rPr>
  </w:style>
  <w:style w:type="paragraph" w:styleId="FootnoteText">
    <w:name w:val="footnote text"/>
    <w:aliases w:val="Char,Footnote Text Char Char Char,Footnote Text Char2 Char Char Char,Footnote Text Char Char2 Char Char Char,Footnote Text Char4 Char Char1 Char Char Char,ft,AG Footnote Text"/>
    <w:basedOn w:val="Normal"/>
    <w:link w:val="FootnoteTextChar"/>
    <w:uiPriority w:val="99"/>
    <w:rsid w:val="00C60319"/>
    <w:pPr>
      <w:spacing w:before="60" w:after="60"/>
      <w:ind w:left="360"/>
    </w:pPr>
    <w:rPr>
      <w:rFonts w:eastAsia="Times New Roman"/>
      <w:sz w:val="20"/>
      <w:szCs w:val="20"/>
    </w:rPr>
  </w:style>
  <w:style w:type="character" w:customStyle="1" w:styleId="FootnoteTextChar">
    <w:name w:val="Footnote Text Char"/>
    <w:aliases w:val="Char Char,Footnote Text Char Char Char Char1,Footnote Text Char2 Char Char Char Char1,Footnote Text Char Char2 Char Char Char Char1,Footnote Text Char4 Char Char1 Char Char Char Char1,ft Char1,AG Footnote Text Char1"/>
    <w:basedOn w:val="DefaultParagraphFont"/>
    <w:link w:val="FootnoteText"/>
    <w:uiPriority w:val="99"/>
    <w:rsid w:val="00C60319"/>
    <w:rPr>
      <w:rFonts w:eastAsia="Times New Roman"/>
    </w:rPr>
  </w:style>
  <w:style w:type="character" w:customStyle="1" w:styleId="Heading2Char">
    <w:name w:val="Heading 2 Char"/>
    <w:basedOn w:val="DefaultParagraphFont"/>
    <w:link w:val="Heading2"/>
    <w:rsid w:val="00C17096"/>
    <w:rPr>
      <w:rFonts w:eastAsia="Times New Roman" w:cs="Arial"/>
      <w:b/>
      <w:i/>
      <w:iCs/>
      <w:kern w:val="32"/>
      <w:sz w:val="24"/>
      <w:szCs w:val="28"/>
    </w:rPr>
  </w:style>
  <w:style w:type="character" w:styleId="CommentReference">
    <w:name w:val="annotation reference"/>
    <w:basedOn w:val="DefaultParagraphFont"/>
    <w:uiPriority w:val="99"/>
    <w:semiHidden/>
    <w:rsid w:val="00B15D72"/>
    <w:rPr>
      <w:rFonts w:cs="Times New Roman"/>
      <w:sz w:val="16"/>
      <w:szCs w:val="16"/>
    </w:rPr>
  </w:style>
  <w:style w:type="character" w:styleId="Emphasis">
    <w:name w:val="Emphasis"/>
    <w:qFormat/>
    <w:rsid w:val="000E1CBE"/>
    <w:rPr>
      <w:i/>
    </w:rPr>
  </w:style>
  <w:style w:type="paragraph" w:styleId="Header">
    <w:name w:val="header"/>
    <w:basedOn w:val="Normal"/>
    <w:link w:val="HeaderChar"/>
    <w:uiPriority w:val="99"/>
    <w:unhideWhenUsed/>
    <w:rsid w:val="00725A7E"/>
    <w:pPr>
      <w:tabs>
        <w:tab w:val="center" w:pos="4680"/>
        <w:tab w:val="right" w:pos="9360"/>
      </w:tabs>
      <w:spacing w:before="0" w:after="0"/>
    </w:pPr>
  </w:style>
  <w:style w:type="character" w:customStyle="1" w:styleId="HeaderChar">
    <w:name w:val="Header Char"/>
    <w:basedOn w:val="DefaultParagraphFont"/>
    <w:link w:val="Header"/>
    <w:uiPriority w:val="99"/>
    <w:rsid w:val="00725A7E"/>
    <w:rPr>
      <w:sz w:val="24"/>
      <w:szCs w:val="22"/>
    </w:rPr>
  </w:style>
  <w:style w:type="paragraph" w:styleId="Footer">
    <w:name w:val="footer"/>
    <w:basedOn w:val="Normal"/>
    <w:link w:val="FooterChar"/>
    <w:uiPriority w:val="99"/>
    <w:unhideWhenUsed/>
    <w:rsid w:val="00B157B2"/>
    <w:pPr>
      <w:tabs>
        <w:tab w:val="center" w:pos="4680"/>
        <w:tab w:val="right" w:pos="9360"/>
      </w:tabs>
      <w:spacing w:before="0" w:after="360"/>
      <w:ind w:left="754" w:hanging="357"/>
    </w:pPr>
    <w:rPr>
      <w:sz w:val="20"/>
    </w:rPr>
  </w:style>
  <w:style w:type="character" w:customStyle="1" w:styleId="FooterChar">
    <w:name w:val="Footer Char"/>
    <w:basedOn w:val="DefaultParagraphFont"/>
    <w:link w:val="Footer"/>
    <w:uiPriority w:val="99"/>
    <w:rsid w:val="00B157B2"/>
    <w:rPr>
      <w:szCs w:val="22"/>
    </w:rPr>
  </w:style>
  <w:style w:type="paragraph" w:styleId="BalloonText">
    <w:name w:val="Balloon Text"/>
    <w:basedOn w:val="Normal"/>
    <w:link w:val="BalloonTextChar"/>
    <w:uiPriority w:val="99"/>
    <w:semiHidden/>
    <w:unhideWhenUsed/>
    <w:rsid w:val="00725A7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A7E"/>
    <w:rPr>
      <w:rFonts w:ascii="Tahoma" w:hAnsi="Tahoma" w:cs="Tahoma"/>
      <w:sz w:val="16"/>
      <w:szCs w:val="16"/>
    </w:rPr>
  </w:style>
  <w:style w:type="paragraph" w:styleId="EndnoteText">
    <w:name w:val="endnote text"/>
    <w:basedOn w:val="Normal"/>
    <w:link w:val="EndnoteTextChar"/>
    <w:unhideWhenUsed/>
    <w:rsid w:val="00BA4D50"/>
    <w:pPr>
      <w:spacing w:before="0" w:after="0"/>
    </w:pPr>
    <w:rPr>
      <w:sz w:val="20"/>
      <w:szCs w:val="20"/>
    </w:rPr>
  </w:style>
  <w:style w:type="character" w:customStyle="1" w:styleId="EndnoteTextChar">
    <w:name w:val="Endnote Text Char"/>
    <w:basedOn w:val="DefaultParagraphFont"/>
    <w:link w:val="EndnoteText"/>
    <w:rsid w:val="00BA4D50"/>
  </w:style>
  <w:style w:type="character" w:styleId="EndnoteReference">
    <w:name w:val="endnote reference"/>
    <w:basedOn w:val="DefaultParagraphFont"/>
    <w:unhideWhenUsed/>
    <w:rsid w:val="00BA4D50"/>
    <w:rPr>
      <w:vertAlign w:val="superscript"/>
    </w:rPr>
  </w:style>
  <w:style w:type="paragraph" w:styleId="ListParagraph">
    <w:name w:val="List Paragraph"/>
    <w:aliases w:val="List Paragraph 1"/>
    <w:basedOn w:val="Normal"/>
    <w:link w:val="ListParagraphChar"/>
    <w:uiPriority w:val="99"/>
    <w:qFormat/>
    <w:rsid w:val="004F4619"/>
    <w:pPr>
      <w:ind w:left="720"/>
      <w:contextualSpacing/>
    </w:pPr>
  </w:style>
  <w:style w:type="character" w:styleId="Hyperlink">
    <w:name w:val="Hyperlink"/>
    <w:basedOn w:val="DefaultParagraphFont"/>
    <w:uiPriority w:val="99"/>
    <w:unhideWhenUsed/>
    <w:rsid w:val="00511DF8"/>
    <w:rPr>
      <w:color w:val="0000FF"/>
      <w:u w:val="single"/>
    </w:rPr>
  </w:style>
  <w:style w:type="paragraph" w:styleId="CommentText">
    <w:name w:val="annotation text"/>
    <w:basedOn w:val="Normal"/>
    <w:link w:val="CommentTextChar"/>
    <w:uiPriority w:val="99"/>
    <w:unhideWhenUsed/>
    <w:rsid w:val="007C0FC0"/>
    <w:rPr>
      <w:sz w:val="20"/>
      <w:szCs w:val="20"/>
    </w:rPr>
  </w:style>
  <w:style w:type="character" w:customStyle="1" w:styleId="CommentTextChar">
    <w:name w:val="Comment Text Char"/>
    <w:basedOn w:val="DefaultParagraphFont"/>
    <w:link w:val="CommentText"/>
    <w:uiPriority w:val="99"/>
    <w:rsid w:val="007C0FC0"/>
  </w:style>
  <w:style w:type="paragraph" w:styleId="CommentSubject">
    <w:name w:val="annotation subject"/>
    <w:basedOn w:val="CommentText"/>
    <w:next w:val="CommentText"/>
    <w:link w:val="CommentSubjectChar"/>
    <w:uiPriority w:val="99"/>
    <w:semiHidden/>
    <w:unhideWhenUsed/>
    <w:rsid w:val="007C0FC0"/>
    <w:rPr>
      <w:b/>
      <w:bCs/>
    </w:rPr>
  </w:style>
  <w:style w:type="character" w:customStyle="1" w:styleId="CommentSubjectChar">
    <w:name w:val="Comment Subject Char"/>
    <w:basedOn w:val="CommentTextChar"/>
    <w:link w:val="CommentSubject"/>
    <w:uiPriority w:val="99"/>
    <w:semiHidden/>
    <w:rsid w:val="007C0FC0"/>
    <w:rPr>
      <w:b/>
      <w:bCs/>
    </w:rPr>
  </w:style>
  <w:style w:type="character" w:customStyle="1" w:styleId="Heading3Char">
    <w:name w:val="Heading 3 Char"/>
    <w:basedOn w:val="DefaultParagraphFont"/>
    <w:link w:val="Heading3"/>
    <w:uiPriority w:val="9"/>
    <w:rsid w:val="004732C9"/>
    <w:rPr>
      <w:rFonts w:eastAsiaTheme="majorEastAsia" w:cstheme="majorBidi"/>
      <w:bCs/>
      <w:sz w:val="24"/>
      <w:szCs w:val="22"/>
    </w:rPr>
  </w:style>
  <w:style w:type="character" w:customStyle="1" w:styleId="Heading4Char">
    <w:name w:val="Heading 4 Char"/>
    <w:basedOn w:val="DefaultParagraphFont"/>
    <w:link w:val="Heading4"/>
    <w:uiPriority w:val="9"/>
    <w:rsid w:val="004732C9"/>
    <w:rPr>
      <w:rFonts w:eastAsiaTheme="majorEastAsia" w:cstheme="majorBidi"/>
      <w:bCs/>
      <w:iCs/>
      <w:color w:val="000000" w:themeColor="text1"/>
      <w:sz w:val="24"/>
      <w:szCs w:val="22"/>
    </w:rPr>
  </w:style>
  <w:style w:type="character" w:customStyle="1" w:styleId="Heading5Char">
    <w:name w:val="Heading 5 Char"/>
    <w:basedOn w:val="DefaultParagraphFont"/>
    <w:link w:val="Heading5"/>
    <w:uiPriority w:val="9"/>
    <w:rsid w:val="004732C9"/>
    <w:rPr>
      <w:rFonts w:eastAsiaTheme="majorEastAsia" w:cstheme="majorBidi"/>
      <w:color w:val="000000" w:themeColor="text1"/>
      <w:sz w:val="24"/>
      <w:szCs w:val="22"/>
    </w:rPr>
  </w:style>
  <w:style w:type="character" w:customStyle="1" w:styleId="Heading6Char">
    <w:name w:val="Heading 6 Char"/>
    <w:basedOn w:val="DefaultParagraphFont"/>
    <w:link w:val="Heading6"/>
    <w:uiPriority w:val="9"/>
    <w:rsid w:val="004F56E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rsid w:val="004F56E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4F56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F56E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6C768D"/>
    <w:pPr>
      <w:spacing w:before="100" w:beforeAutospacing="1" w:after="100" w:afterAutospacing="1"/>
      <w:ind w:left="0" w:firstLine="0"/>
    </w:pPr>
    <w:rPr>
      <w:rFonts w:eastAsia="Times New Roman"/>
      <w:szCs w:val="24"/>
    </w:rPr>
  </w:style>
  <w:style w:type="table" w:styleId="TableGrid">
    <w:name w:val="Table Grid"/>
    <w:aliases w:val="Table NEW"/>
    <w:basedOn w:val="TableNormal"/>
    <w:rsid w:val="00DE5042"/>
    <w:pPr>
      <w:spacing w:before="0" w:after="0"/>
      <w:ind w:left="0" w:firstLine="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basedOn w:val="DefaultParagraphFont"/>
    <w:link w:val="ListParagraph"/>
    <w:uiPriority w:val="99"/>
    <w:rsid w:val="004732C9"/>
    <w:rPr>
      <w:sz w:val="24"/>
      <w:szCs w:val="22"/>
    </w:rPr>
  </w:style>
  <w:style w:type="paragraph" w:styleId="TOCHeading">
    <w:name w:val="TOC Heading"/>
    <w:basedOn w:val="Heading1"/>
    <w:next w:val="Normal"/>
    <w:uiPriority w:val="39"/>
    <w:unhideWhenUsed/>
    <w:qFormat/>
    <w:rsid w:val="008721A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31CC"/>
    <w:pPr>
      <w:tabs>
        <w:tab w:val="right" w:leader="dot" w:pos="9350"/>
      </w:tabs>
      <w:spacing w:after="100"/>
      <w:ind w:left="180" w:hanging="540"/>
    </w:pPr>
  </w:style>
  <w:style w:type="paragraph" w:styleId="TOC2">
    <w:name w:val="toc 2"/>
    <w:basedOn w:val="Normal"/>
    <w:next w:val="Normal"/>
    <w:autoRedefine/>
    <w:uiPriority w:val="39"/>
    <w:unhideWhenUsed/>
    <w:rsid w:val="004731CC"/>
    <w:pPr>
      <w:tabs>
        <w:tab w:val="right" w:leader="dot" w:pos="9350"/>
      </w:tabs>
      <w:spacing w:after="100"/>
      <w:ind w:left="540"/>
    </w:pPr>
  </w:style>
  <w:style w:type="paragraph" w:styleId="TOC3">
    <w:name w:val="toc 3"/>
    <w:basedOn w:val="Normal"/>
    <w:next w:val="Normal"/>
    <w:autoRedefine/>
    <w:uiPriority w:val="39"/>
    <w:unhideWhenUsed/>
    <w:rsid w:val="004731CC"/>
    <w:pPr>
      <w:tabs>
        <w:tab w:val="right" w:leader="dot" w:pos="9350"/>
      </w:tabs>
      <w:spacing w:after="100"/>
      <w:ind w:left="810"/>
    </w:pPr>
  </w:style>
  <w:style w:type="character" w:styleId="FollowedHyperlink">
    <w:name w:val="FollowedHyperlink"/>
    <w:basedOn w:val="DefaultParagraphFont"/>
    <w:uiPriority w:val="99"/>
    <w:semiHidden/>
    <w:unhideWhenUsed/>
    <w:rsid w:val="00511DF8"/>
    <w:rPr>
      <w:color w:val="0000FF"/>
      <w:u w:val="single"/>
    </w:rPr>
  </w:style>
  <w:style w:type="paragraph" w:customStyle="1" w:styleId="byline">
    <w:name w:val="byline"/>
    <w:basedOn w:val="Normal"/>
    <w:rsid w:val="003D7865"/>
    <w:pPr>
      <w:spacing w:before="100" w:beforeAutospacing="1" w:after="100" w:afterAutospacing="1"/>
      <w:ind w:left="0" w:firstLine="0"/>
    </w:pPr>
    <w:rPr>
      <w:rFonts w:eastAsia="Times New Roman"/>
      <w:szCs w:val="24"/>
    </w:rPr>
  </w:style>
  <w:style w:type="character" w:customStyle="1" w:styleId="apple-converted-space">
    <w:name w:val="apple-converted-space"/>
    <w:basedOn w:val="DefaultParagraphFont"/>
    <w:rsid w:val="003D7865"/>
  </w:style>
  <w:style w:type="paragraph" w:styleId="Revision">
    <w:name w:val="Revision"/>
    <w:hidden/>
    <w:uiPriority w:val="99"/>
    <w:semiHidden/>
    <w:rsid w:val="00E256B1"/>
    <w:pPr>
      <w:spacing w:before="0" w:after="0"/>
      <w:ind w:left="0" w:firstLine="0"/>
    </w:pPr>
    <w:rPr>
      <w:sz w:val="24"/>
      <w:szCs w:val="22"/>
    </w:rPr>
  </w:style>
  <w:style w:type="paragraph" w:customStyle="1" w:styleId="BulletedList">
    <w:name w:val="Bulleted List"/>
    <w:basedOn w:val="ListBullet"/>
    <w:qFormat/>
    <w:rsid w:val="00636D03"/>
  </w:style>
  <w:style w:type="paragraph" w:customStyle="1" w:styleId="Default">
    <w:name w:val="Default"/>
    <w:rsid w:val="00244FA2"/>
    <w:pPr>
      <w:autoSpaceDE w:val="0"/>
      <w:autoSpaceDN w:val="0"/>
      <w:adjustRightInd w:val="0"/>
      <w:spacing w:before="0" w:after="0"/>
      <w:ind w:left="0" w:firstLine="0"/>
    </w:pPr>
    <w:rPr>
      <w:color w:val="000000"/>
      <w:sz w:val="24"/>
      <w:szCs w:val="24"/>
    </w:rPr>
  </w:style>
  <w:style w:type="paragraph" w:customStyle="1" w:styleId="NumberedParagraph">
    <w:name w:val="Numbered Paragraph"/>
    <w:basedOn w:val="ListParagraph"/>
    <w:link w:val="NumberedParagraphChar"/>
    <w:qFormat/>
    <w:rsid w:val="00CC778C"/>
    <w:pPr>
      <w:numPr>
        <w:numId w:val="4"/>
      </w:numPr>
      <w:spacing w:before="0" w:line="360" w:lineRule="auto"/>
      <w:ind w:left="720" w:hanging="720"/>
      <w:contextualSpacing w:val="0"/>
    </w:pPr>
    <w:rPr>
      <w:rFonts w:eastAsia="Times New Roman"/>
    </w:rPr>
  </w:style>
  <w:style w:type="character" w:customStyle="1" w:styleId="NumberedParagraphChar">
    <w:name w:val="Numbered Paragraph Char"/>
    <w:basedOn w:val="ListParagraphChar"/>
    <w:link w:val="NumberedParagraph"/>
    <w:rsid w:val="00CC778C"/>
    <w:rPr>
      <w:rFonts w:eastAsia="Times New Roman"/>
      <w:sz w:val="24"/>
      <w:szCs w:val="22"/>
    </w:rPr>
  </w:style>
  <w:style w:type="paragraph" w:styleId="Caption">
    <w:name w:val="caption"/>
    <w:basedOn w:val="Normal"/>
    <w:next w:val="Normal"/>
    <w:uiPriority w:val="35"/>
    <w:unhideWhenUsed/>
    <w:qFormat/>
    <w:rsid w:val="00B87FC4"/>
    <w:pPr>
      <w:spacing w:before="0" w:after="200"/>
    </w:pPr>
    <w:rPr>
      <w:b/>
      <w:bCs/>
      <w:color w:val="000000" w:themeColor="text1"/>
      <w:szCs w:val="18"/>
    </w:rPr>
  </w:style>
  <w:style w:type="paragraph" w:customStyle="1" w:styleId="Paragraph">
    <w:name w:val="Paragraph"/>
    <w:basedOn w:val="BodyText"/>
    <w:link w:val="ParagraphChar"/>
    <w:qFormat/>
    <w:rsid w:val="00AE33C8"/>
    <w:pPr>
      <w:numPr>
        <w:ilvl w:val="3"/>
        <w:numId w:val="2"/>
      </w:numPr>
      <w:spacing w:after="0" w:line="360" w:lineRule="auto"/>
    </w:pPr>
  </w:style>
  <w:style w:type="character" w:customStyle="1" w:styleId="ParagraphChar">
    <w:name w:val="Paragraph Char"/>
    <w:basedOn w:val="BodyTextChar"/>
    <w:link w:val="Paragraph"/>
    <w:rsid w:val="00AE33C8"/>
    <w:rPr>
      <w:rFonts w:eastAsia="Times New Roman"/>
      <w:sz w:val="24"/>
    </w:rPr>
  </w:style>
  <w:style w:type="character" w:customStyle="1" w:styleId="st">
    <w:name w:val="st"/>
    <w:basedOn w:val="DefaultParagraphFont"/>
    <w:rsid w:val="00FB08FE"/>
  </w:style>
  <w:style w:type="paragraph" w:customStyle="1" w:styleId="BodyText0">
    <w:name w:val="Body  Text"/>
    <w:basedOn w:val="Normal"/>
    <w:qFormat/>
    <w:rsid w:val="00BD2688"/>
    <w:pPr>
      <w:spacing w:before="0" w:line="480" w:lineRule="auto"/>
      <w:ind w:left="0" w:firstLine="0"/>
    </w:pPr>
    <w:rPr>
      <w:rFonts w:eastAsia="Times New Roman"/>
      <w:szCs w:val="20"/>
    </w:rPr>
  </w:style>
  <w:style w:type="paragraph" w:customStyle="1" w:styleId="Textbullet">
    <w:name w:val="Text bullet"/>
    <w:basedOn w:val="Normal"/>
    <w:qFormat/>
    <w:rsid w:val="00BD2688"/>
    <w:pPr>
      <w:numPr>
        <w:numId w:val="5"/>
      </w:numPr>
      <w:spacing w:before="0" w:line="480" w:lineRule="auto"/>
    </w:pPr>
    <w:rPr>
      <w:rFonts w:eastAsia="Times New Roman"/>
      <w:szCs w:val="20"/>
    </w:rPr>
  </w:style>
  <w:style w:type="character" w:customStyle="1" w:styleId="maintitle">
    <w:name w:val="maintitle"/>
    <w:basedOn w:val="DefaultParagraphFont"/>
    <w:rsid w:val="00BD2688"/>
  </w:style>
  <w:style w:type="character" w:customStyle="1" w:styleId="FootnoteTextChar1">
    <w:name w:val="Footnote Text Char1"/>
    <w:aliases w:val="Char Char1,Footnote Text Char Char Char Char,Footnote Text Char2 Char Char Char Char,Footnote Text Char Char2 Char Char Char Char,Footnote Text Char4 Char Char1 Char Char Char Char,ft Char,AG Footnote Text Char"/>
    <w:basedOn w:val="DefaultParagraphFont"/>
    <w:uiPriority w:val="99"/>
    <w:rsid w:val="00BD2688"/>
  </w:style>
  <w:style w:type="paragraph" w:styleId="PlainText">
    <w:name w:val="Plain Text"/>
    <w:basedOn w:val="Normal"/>
    <w:link w:val="PlainTextChar"/>
    <w:uiPriority w:val="99"/>
    <w:semiHidden/>
    <w:unhideWhenUsed/>
    <w:rsid w:val="00BD2688"/>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D2688"/>
    <w:rPr>
      <w:rFonts w:ascii="Consolas" w:hAnsi="Consolas" w:cs="Consolas"/>
      <w:sz w:val="21"/>
      <w:szCs w:val="21"/>
    </w:rPr>
  </w:style>
  <w:style w:type="character" w:styleId="PlaceholderText">
    <w:name w:val="Placeholder Text"/>
    <w:basedOn w:val="DefaultParagraphFont"/>
    <w:uiPriority w:val="99"/>
    <w:semiHidden/>
    <w:rsid w:val="00327B41"/>
    <w:rPr>
      <w:color w:val="808080"/>
    </w:rPr>
  </w:style>
  <w:style w:type="table" w:customStyle="1" w:styleId="TableGrid1">
    <w:name w:val="Table Grid1"/>
    <w:basedOn w:val="TableNormal"/>
    <w:next w:val="TableGrid"/>
    <w:rsid w:val="007B68FE"/>
    <w:pPr>
      <w:spacing w:before="0" w:after="0"/>
      <w:ind w:left="0" w:firstLine="0"/>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0E1CBE"/>
    <w:pPr>
      <w:tabs>
        <w:tab w:val="center" w:pos="4680"/>
      </w:tabs>
      <w:suppressAutoHyphens/>
      <w:spacing w:after="360" w:line="240" w:lineRule="atLeast"/>
      <w:ind w:left="0" w:firstLine="0"/>
      <w:jc w:val="center"/>
    </w:pPr>
    <w:rPr>
      <w:sz w:val="24"/>
      <w:szCs w:val="22"/>
    </w:rPr>
  </w:style>
  <w:style w:type="character" w:customStyle="1" w:styleId="TitleChar">
    <w:name w:val="Title Char"/>
    <w:basedOn w:val="DefaultParagraphFont"/>
    <w:link w:val="Title"/>
    <w:uiPriority w:val="10"/>
    <w:rsid w:val="000E1CBE"/>
    <w:rPr>
      <w:sz w:val="24"/>
      <w:szCs w:val="22"/>
    </w:rPr>
  </w:style>
  <w:style w:type="character" w:styleId="Strong">
    <w:name w:val="Strong"/>
    <w:uiPriority w:val="22"/>
    <w:qFormat/>
    <w:rsid w:val="000E1CBE"/>
    <w:rPr>
      <w:b/>
      <w:szCs w:val="24"/>
    </w:rPr>
  </w:style>
  <w:style w:type="paragraph" w:styleId="ListBullet">
    <w:name w:val="List Bullet"/>
    <w:basedOn w:val="BodyText"/>
    <w:uiPriority w:val="99"/>
    <w:unhideWhenUsed/>
    <w:rsid w:val="00C17096"/>
    <w:pPr>
      <w:numPr>
        <w:numId w:val="12"/>
      </w:numPr>
      <w:spacing w:before="120" w:line="360" w:lineRule="auto"/>
      <w:ind w:left="811" w:hanging="357"/>
    </w:pPr>
  </w:style>
  <w:style w:type="paragraph" w:customStyle="1" w:styleId="appendixA-head2">
    <w:name w:val="appendixA -head2"/>
    <w:basedOn w:val="Heading2"/>
    <w:qFormat/>
    <w:rsid w:val="00DD2B8D"/>
    <w:pPr>
      <w:numPr>
        <w:ilvl w:val="0"/>
        <w:numId w:val="0"/>
      </w:num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line="264" w:lineRule="auto"/>
    </w:pPr>
    <w:rPr>
      <w:i w:val="0"/>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pPr>
        <w:spacing w:before="120" w:after="120"/>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D"/>
    <w:rPr>
      <w:sz w:val="24"/>
      <w:szCs w:val="22"/>
    </w:rPr>
  </w:style>
  <w:style w:type="paragraph" w:styleId="Heading1">
    <w:name w:val="heading 1"/>
    <w:next w:val="Normal"/>
    <w:link w:val="Heading1Char"/>
    <w:qFormat/>
    <w:rsid w:val="000E1CBE"/>
    <w:pPr>
      <w:keepNext/>
      <w:numPr>
        <w:numId w:val="3"/>
      </w:numPr>
      <w:spacing w:before="360" w:after="240"/>
      <w:outlineLvl w:val="0"/>
    </w:pPr>
    <w:rPr>
      <w:rFonts w:eastAsia="Times New Roman" w:cs="Arial"/>
      <w:b/>
      <w:bCs/>
      <w:kern w:val="32"/>
      <w:sz w:val="24"/>
      <w:szCs w:val="32"/>
    </w:rPr>
  </w:style>
  <w:style w:type="paragraph" w:styleId="Heading2">
    <w:name w:val="heading 2"/>
    <w:basedOn w:val="Heading1"/>
    <w:next w:val="Normal"/>
    <w:link w:val="Heading2Char"/>
    <w:qFormat/>
    <w:rsid w:val="00C17096"/>
    <w:pPr>
      <w:numPr>
        <w:ilvl w:val="1"/>
      </w:numPr>
      <w:spacing w:before="240"/>
      <w:outlineLvl w:val="1"/>
    </w:pPr>
    <w:rPr>
      <w:bCs w:val="0"/>
      <w:i/>
      <w:iCs/>
      <w:szCs w:val="28"/>
    </w:rPr>
  </w:style>
  <w:style w:type="paragraph" w:styleId="Heading3">
    <w:name w:val="heading 3"/>
    <w:basedOn w:val="Normal"/>
    <w:next w:val="Normal"/>
    <w:link w:val="Heading3Char"/>
    <w:uiPriority w:val="9"/>
    <w:unhideWhenUsed/>
    <w:qFormat/>
    <w:rsid w:val="004732C9"/>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iPriority w:val="9"/>
    <w:unhideWhenUsed/>
    <w:qFormat/>
    <w:rsid w:val="004732C9"/>
    <w:pPr>
      <w:keepNext/>
      <w:keepLines/>
      <w:numPr>
        <w:ilvl w:val="3"/>
        <w:numId w:val="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4732C9"/>
    <w:pPr>
      <w:keepNext/>
      <w:keepLines/>
      <w:numPr>
        <w:ilvl w:val="4"/>
        <w:numId w:val="3"/>
      </w:numPr>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4F56E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6E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6E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6E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FB"/>
    <w:rPr>
      <w:sz w:val="22"/>
      <w:szCs w:val="22"/>
    </w:rPr>
  </w:style>
  <w:style w:type="character" w:customStyle="1" w:styleId="Heading1Char">
    <w:name w:val="Heading 1 Char"/>
    <w:basedOn w:val="DefaultParagraphFont"/>
    <w:link w:val="Heading1"/>
    <w:rsid w:val="000E1CBE"/>
    <w:rPr>
      <w:rFonts w:eastAsia="Times New Roman" w:cs="Arial"/>
      <w:b/>
      <w:bCs/>
      <w:kern w:val="32"/>
      <w:sz w:val="24"/>
      <w:szCs w:val="32"/>
    </w:rPr>
  </w:style>
  <w:style w:type="paragraph" w:styleId="BodyText">
    <w:name w:val="Body Text"/>
    <w:link w:val="BodyTextChar"/>
    <w:rsid w:val="00C17096"/>
    <w:pPr>
      <w:numPr>
        <w:numId w:val="1"/>
      </w:numPr>
      <w:spacing w:before="0" w:line="480" w:lineRule="auto"/>
    </w:pPr>
    <w:rPr>
      <w:rFonts w:eastAsia="Times New Roman"/>
      <w:sz w:val="24"/>
    </w:rPr>
  </w:style>
  <w:style w:type="character" w:customStyle="1" w:styleId="BodyTextChar">
    <w:name w:val="Body Text Char"/>
    <w:basedOn w:val="DefaultParagraphFont"/>
    <w:link w:val="BodyText"/>
    <w:rsid w:val="00C17096"/>
    <w:rPr>
      <w:rFonts w:eastAsia="Times New Roman"/>
      <w:sz w:val="24"/>
    </w:rPr>
  </w:style>
  <w:style w:type="character" w:styleId="FootnoteReference">
    <w:name w:val="footnote reference"/>
    <w:aliases w:val="(NECG) Footnote Reference,fr,o,FR,Style 3,Appel note de bas de p,Style 17,Style 12,Style 124,Style 13,callout,Style 6,Footnote Reference/,Style 20"/>
    <w:basedOn w:val="DefaultParagraphFont"/>
    <w:uiPriority w:val="99"/>
    <w:qFormat/>
    <w:rsid w:val="00EB1333"/>
    <w:rPr>
      <w:rFonts w:cs="Times New Roman"/>
      <w:vertAlign w:val="superscript"/>
    </w:rPr>
  </w:style>
  <w:style w:type="paragraph" w:styleId="FootnoteText">
    <w:name w:val="footnote text"/>
    <w:aliases w:val="Char,Footnote Text Char Char Char,Footnote Text Char2 Char Char Char,Footnote Text Char Char2 Char Char Char,Footnote Text Char4 Char Char1 Char Char Char,ft,AG Footnote Text"/>
    <w:basedOn w:val="Normal"/>
    <w:link w:val="FootnoteTextChar"/>
    <w:uiPriority w:val="99"/>
    <w:rsid w:val="00C60319"/>
    <w:pPr>
      <w:spacing w:before="60" w:after="60"/>
      <w:ind w:left="360"/>
    </w:pPr>
    <w:rPr>
      <w:rFonts w:eastAsia="Times New Roman"/>
      <w:sz w:val="20"/>
      <w:szCs w:val="20"/>
    </w:rPr>
  </w:style>
  <w:style w:type="character" w:customStyle="1" w:styleId="FootnoteTextChar">
    <w:name w:val="Footnote Text Char"/>
    <w:aliases w:val="Char Char,Footnote Text Char Char Char Char1,Footnote Text Char2 Char Char Char Char1,Footnote Text Char Char2 Char Char Char Char1,Footnote Text Char4 Char Char1 Char Char Char Char1,ft Char1,AG Footnote Text Char1"/>
    <w:basedOn w:val="DefaultParagraphFont"/>
    <w:link w:val="FootnoteText"/>
    <w:uiPriority w:val="99"/>
    <w:rsid w:val="00C60319"/>
    <w:rPr>
      <w:rFonts w:eastAsia="Times New Roman"/>
    </w:rPr>
  </w:style>
  <w:style w:type="character" w:customStyle="1" w:styleId="Heading2Char">
    <w:name w:val="Heading 2 Char"/>
    <w:basedOn w:val="DefaultParagraphFont"/>
    <w:link w:val="Heading2"/>
    <w:rsid w:val="00C17096"/>
    <w:rPr>
      <w:rFonts w:eastAsia="Times New Roman" w:cs="Arial"/>
      <w:b/>
      <w:i/>
      <w:iCs/>
      <w:kern w:val="32"/>
      <w:sz w:val="24"/>
      <w:szCs w:val="28"/>
    </w:rPr>
  </w:style>
  <w:style w:type="character" w:styleId="CommentReference">
    <w:name w:val="annotation reference"/>
    <w:basedOn w:val="DefaultParagraphFont"/>
    <w:uiPriority w:val="99"/>
    <w:semiHidden/>
    <w:rsid w:val="00B15D72"/>
    <w:rPr>
      <w:rFonts w:cs="Times New Roman"/>
      <w:sz w:val="16"/>
      <w:szCs w:val="16"/>
    </w:rPr>
  </w:style>
  <w:style w:type="character" w:styleId="Emphasis">
    <w:name w:val="Emphasis"/>
    <w:qFormat/>
    <w:rsid w:val="000E1CBE"/>
    <w:rPr>
      <w:i/>
    </w:rPr>
  </w:style>
  <w:style w:type="paragraph" w:styleId="Header">
    <w:name w:val="header"/>
    <w:basedOn w:val="Normal"/>
    <w:link w:val="HeaderChar"/>
    <w:uiPriority w:val="99"/>
    <w:unhideWhenUsed/>
    <w:rsid w:val="00725A7E"/>
    <w:pPr>
      <w:tabs>
        <w:tab w:val="center" w:pos="4680"/>
        <w:tab w:val="right" w:pos="9360"/>
      </w:tabs>
      <w:spacing w:before="0" w:after="0"/>
    </w:pPr>
  </w:style>
  <w:style w:type="character" w:customStyle="1" w:styleId="HeaderChar">
    <w:name w:val="Header Char"/>
    <w:basedOn w:val="DefaultParagraphFont"/>
    <w:link w:val="Header"/>
    <w:uiPriority w:val="99"/>
    <w:rsid w:val="00725A7E"/>
    <w:rPr>
      <w:sz w:val="24"/>
      <w:szCs w:val="22"/>
    </w:rPr>
  </w:style>
  <w:style w:type="paragraph" w:styleId="Footer">
    <w:name w:val="footer"/>
    <w:basedOn w:val="Normal"/>
    <w:link w:val="FooterChar"/>
    <w:uiPriority w:val="99"/>
    <w:unhideWhenUsed/>
    <w:rsid w:val="00B157B2"/>
    <w:pPr>
      <w:tabs>
        <w:tab w:val="center" w:pos="4680"/>
        <w:tab w:val="right" w:pos="9360"/>
      </w:tabs>
      <w:spacing w:before="0" w:after="360"/>
      <w:ind w:left="754" w:hanging="357"/>
    </w:pPr>
    <w:rPr>
      <w:sz w:val="20"/>
    </w:rPr>
  </w:style>
  <w:style w:type="character" w:customStyle="1" w:styleId="FooterChar">
    <w:name w:val="Footer Char"/>
    <w:basedOn w:val="DefaultParagraphFont"/>
    <w:link w:val="Footer"/>
    <w:uiPriority w:val="99"/>
    <w:rsid w:val="00B157B2"/>
    <w:rPr>
      <w:szCs w:val="22"/>
    </w:rPr>
  </w:style>
  <w:style w:type="paragraph" w:styleId="BalloonText">
    <w:name w:val="Balloon Text"/>
    <w:basedOn w:val="Normal"/>
    <w:link w:val="BalloonTextChar"/>
    <w:uiPriority w:val="99"/>
    <w:semiHidden/>
    <w:unhideWhenUsed/>
    <w:rsid w:val="00725A7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A7E"/>
    <w:rPr>
      <w:rFonts w:ascii="Tahoma" w:hAnsi="Tahoma" w:cs="Tahoma"/>
      <w:sz w:val="16"/>
      <w:szCs w:val="16"/>
    </w:rPr>
  </w:style>
  <w:style w:type="paragraph" w:styleId="EndnoteText">
    <w:name w:val="endnote text"/>
    <w:basedOn w:val="Normal"/>
    <w:link w:val="EndnoteTextChar"/>
    <w:unhideWhenUsed/>
    <w:rsid w:val="00BA4D50"/>
    <w:pPr>
      <w:spacing w:before="0" w:after="0"/>
    </w:pPr>
    <w:rPr>
      <w:sz w:val="20"/>
      <w:szCs w:val="20"/>
    </w:rPr>
  </w:style>
  <w:style w:type="character" w:customStyle="1" w:styleId="EndnoteTextChar">
    <w:name w:val="Endnote Text Char"/>
    <w:basedOn w:val="DefaultParagraphFont"/>
    <w:link w:val="EndnoteText"/>
    <w:rsid w:val="00BA4D50"/>
  </w:style>
  <w:style w:type="character" w:styleId="EndnoteReference">
    <w:name w:val="endnote reference"/>
    <w:basedOn w:val="DefaultParagraphFont"/>
    <w:unhideWhenUsed/>
    <w:rsid w:val="00BA4D50"/>
    <w:rPr>
      <w:vertAlign w:val="superscript"/>
    </w:rPr>
  </w:style>
  <w:style w:type="paragraph" w:styleId="ListParagraph">
    <w:name w:val="List Paragraph"/>
    <w:aliases w:val="List Paragraph 1"/>
    <w:basedOn w:val="Normal"/>
    <w:link w:val="ListParagraphChar"/>
    <w:uiPriority w:val="99"/>
    <w:qFormat/>
    <w:rsid w:val="004F4619"/>
    <w:pPr>
      <w:ind w:left="720"/>
      <w:contextualSpacing/>
    </w:pPr>
  </w:style>
  <w:style w:type="character" w:styleId="Hyperlink">
    <w:name w:val="Hyperlink"/>
    <w:basedOn w:val="DefaultParagraphFont"/>
    <w:uiPriority w:val="99"/>
    <w:unhideWhenUsed/>
    <w:rsid w:val="00511DF8"/>
    <w:rPr>
      <w:color w:val="0000FF"/>
      <w:u w:val="single"/>
    </w:rPr>
  </w:style>
  <w:style w:type="paragraph" w:styleId="CommentText">
    <w:name w:val="annotation text"/>
    <w:basedOn w:val="Normal"/>
    <w:link w:val="CommentTextChar"/>
    <w:uiPriority w:val="99"/>
    <w:unhideWhenUsed/>
    <w:rsid w:val="007C0FC0"/>
    <w:rPr>
      <w:sz w:val="20"/>
      <w:szCs w:val="20"/>
    </w:rPr>
  </w:style>
  <w:style w:type="character" w:customStyle="1" w:styleId="CommentTextChar">
    <w:name w:val="Comment Text Char"/>
    <w:basedOn w:val="DefaultParagraphFont"/>
    <w:link w:val="CommentText"/>
    <w:uiPriority w:val="99"/>
    <w:rsid w:val="007C0FC0"/>
  </w:style>
  <w:style w:type="paragraph" w:styleId="CommentSubject">
    <w:name w:val="annotation subject"/>
    <w:basedOn w:val="CommentText"/>
    <w:next w:val="CommentText"/>
    <w:link w:val="CommentSubjectChar"/>
    <w:uiPriority w:val="99"/>
    <w:semiHidden/>
    <w:unhideWhenUsed/>
    <w:rsid w:val="007C0FC0"/>
    <w:rPr>
      <w:b/>
      <w:bCs/>
    </w:rPr>
  </w:style>
  <w:style w:type="character" w:customStyle="1" w:styleId="CommentSubjectChar">
    <w:name w:val="Comment Subject Char"/>
    <w:basedOn w:val="CommentTextChar"/>
    <w:link w:val="CommentSubject"/>
    <w:uiPriority w:val="99"/>
    <w:semiHidden/>
    <w:rsid w:val="007C0FC0"/>
    <w:rPr>
      <w:b/>
      <w:bCs/>
    </w:rPr>
  </w:style>
  <w:style w:type="character" w:customStyle="1" w:styleId="Heading3Char">
    <w:name w:val="Heading 3 Char"/>
    <w:basedOn w:val="DefaultParagraphFont"/>
    <w:link w:val="Heading3"/>
    <w:uiPriority w:val="9"/>
    <w:rsid w:val="004732C9"/>
    <w:rPr>
      <w:rFonts w:eastAsiaTheme="majorEastAsia" w:cstheme="majorBidi"/>
      <w:bCs/>
      <w:sz w:val="24"/>
      <w:szCs w:val="22"/>
    </w:rPr>
  </w:style>
  <w:style w:type="character" w:customStyle="1" w:styleId="Heading4Char">
    <w:name w:val="Heading 4 Char"/>
    <w:basedOn w:val="DefaultParagraphFont"/>
    <w:link w:val="Heading4"/>
    <w:uiPriority w:val="9"/>
    <w:rsid w:val="004732C9"/>
    <w:rPr>
      <w:rFonts w:eastAsiaTheme="majorEastAsia" w:cstheme="majorBidi"/>
      <w:bCs/>
      <w:iCs/>
      <w:color w:val="000000" w:themeColor="text1"/>
      <w:sz w:val="24"/>
      <w:szCs w:val="22"/>
    </w:rPr>
  </w:style>
  <w:style w:type="character" w:customStyle="1" w:styleId="Heading5Char">
    <w:name w:val="Heading 5 Char"/>
    <w:basedOn w:val="DefaultParagraphFont"/>
    <w:link w:val="Heading5"/>
    <w:uiPriority w:val="9"/>
    <w:rsid w:val="004732C9"/>
    <w:rPr>
      <w:rFonts w:eastAsiaTheme="majorEastAsia" w:cstheme="majorBidi"/>
      <w:color w:val="000000" w:themeColor="text1"/>
      <w:sz w:val="24"/>
      <w:szCs w:val="22"/>
    </w:rPr>
  </w:style>
  <w:style w:type="character" w:customStyle="1" w:styleId="Heading6Char">
    <w:name w:val="Heading 6 Char"/>
    <w:basedOn w:val="DefaultParagraphFont"/>
    <w:link w:val="Heading6"/>
    <w:uiPriority w:val="9"/>
    <w:rsid w:val="004F56E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rsid w:val="004F56E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4F56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F56E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6C768D"/>
    <w:pPr>
      <w:spacing w:before="100" w:beforeAutospacing="1" w:after="100" w:afterAutospacing="1"/>
      <w:ind w:left="0" w:firstLine="0"/>
    </w:pPr>
    <w:rPr>
      <w:rFonts w:eastAsia="Times New Roman"/>
      <w:szCs w:val="24"/>
    </w:rPr>
  </w:style>
  <w:style w:type="table" w:styleId="TableGrid">
    <w:name w:val="Table Grid"/>
    <w:aliases w:val="Table NEW"/>
    <w:basedOn w:val="TableNormal"/>
    <w:rsid w:val="00DE5042"/>
    <w:pPr>
      <w:spacing w:before="0" w:after="0"/>
      <w:ind w:left="0" w:firstLine="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basedOn w:val="DefaultParagraphFont"/>
    <w:link w:val="ListParagraph"/>
    <w:uiPriority w:val="99"/>
    <w:rsid w:val="004732C9"/>
    <w:rPr>
      <w:sz w:val="24"/>
      <w:szCs w:val="22"/>
    </w:rPr>
  </w:style>
  <w:style w:type="paragraph" w:styleId="TOCHeading">
    <w:name w:val="TOC Heading"/>
    <w:basedOn w:val="Heading1"/>
    <w:next w:val="Normal"/>
    <w:uiPriority w:val="39"/>
    <w:unhideWhenUsed/>
    <w:qFormat/>
    <w:rsid w:val="008721A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31CC"/>
    <w:pPr>
      <w:tabs>
        <w:tab w:val="right" w:leader="dot" w:pos="9350"/>
      </w:tabs>
      <w:spacing w:after="100"/>
      <w:ind w:left="180" w:hanging="540"/>
    </w:pPr>
  </w:style>
  <w:style w:type="paragraph" w:styleId="TOC2">
    <w:name w:val="toc 2"/>
    <w:basedOn w:val="Normal"/>
    <w:next w:val="Normal"/>
    <w:autoRedefine/>
    <w:uiPriority w:val="39"/>
    <w:unhideWhenUsed/>
    <w:rsid w:val="004731CC"/>
    <w:pPr>
      <w:tabs>
        <w:tab w:val="right" w:leader="dot" w:pos="9350"/>
      </w:tabs>
      <w:spacing w:after="100"/>
      <w:ind w:left="540"/>
    </w:pPr>
  </w:style>
  <w:style w:type="paragraph" w:styleId="TOC3">
    <w:name w:val="toc 3"/>
    <w:basedOn w:val="Normal"/>
    <w:next w:val="Normal"/>
    <w:autoRedefine/>
    <w:uiPriority w:val="39"/>
    <w:unhideWhenUsed/>
    <w:rsid w:val="004731CC"/>
    <w:pPr>
      <w:tabs>
        <w:tab w:val="right" w:leader="dot" w:pos="9350"/>
      </w:tabs>
      <w:spacing w:after="100"/>
      <w:ind w:left="810"/>
    </w:pPr>
  </w:style>
  <w:style w:type="character" w:styleId="FollowedHyperlink">
    <w:name w:val="FollowedHyperlink"/>
    <w:basedOn w:val="DefaultParagraphFont"/>
    <w:uiPriority w:val="99"/>
    <w:semiHidden/>
    <w:unhideWhenUsed/>
    <w:rsid w:val="00511DF8"/>
    <w:rPr>
      <w:color w:val="0000FF"/>
      <w:u w:val="single"/>
    </w:rPr>
  </w:style>
  <w:style w:type="paragraph" w:customStyle="1" w:styleId="byline">
    <w:name w:val="byline"/>
    <w:basedOn w:val="Normal"/>
    <w:rsid w:val="003D7865"/>
    <w:pPr>
      <w:spacing w:before="100" w:beforeAutospacing="1" w:after="100" w:afterAutospacing="1"/>
      <w:ind w:left="0" w:firstLine="0"/>
    </w:pPr>
    <w:rPr>
      <w:rFonts w:eastAsia="Times New Roman"/>
      <w:szCs w:val="24"/>
    </w:rPr>
  </w:style>
  <w:style w:type="character" w:customStyle="1" w:styleId="apple-converted-space">
    <w:name w:val="apple-converted-space"/>
    <w:basedOn w:val="DefaultParagraphFont"/>
    <w:rsid w:val="003D7865"/>
  </w:style>
  <w:style w:type="paragraph" w:styleId="Revision">
    <w:name w:val="Revision"/>
    <w:hidden/>
    <w:uiPriority w:val="99"/>
    <w:semiHidden/>
    <w:rsid w:val="00E256B1"/>
    <w:pPr>
      <w:spacing w:before="0" w:after="0"/>
      <w:ind w:left="0" w:firstLine="0"/>
    </w:pPr>
    <w:rPr>
      <w:sz w:val="24"/>
      <w:szCs w:val="22"/>
    </w:rPr>
  </w:style>
  <w:style w:type="paragraph" w:customStyle="1" w:styleId="BulletedList">
    <w:name w:val="Bulleted List"/>
    <w:basedOn w:val="ListBullet"/>
    <w:qFormat/>
    <w:rsid w:val="00636D03"/>
  </w:style>
  <w:style w:type="paragraph" w:customStyle="1" w:styleId="Default">
    <w:name w:val="Default"/>
    <w:rsid w:val="00244FA2"/>
    <w:pPr>
      <w:autoSpaceDE w:val="0"/>
      <w:autoSpaceDN w:val="0"/>
      <w:adjustRightInd w:val="0"/>
      <w:spacing w:before="0" w:after="0"/>
      <w:ind w:left="0" w:firstLine="0"/>
    </w:pPr>
    <w:rPr>
      <w:color w:val="000000"/>
      <w:sz w:val="24"/>
      <w:szCs w:val="24"/>
    </w:rPr>
  </w:style>
  <w:style w:type="paragraph" w:customStyle="1" w:styleId="NumberedParagraph">
    <w:name w:val="Numbered Paragraph"/>
    <w:basedOn w:val="ListParagraph"/>
    <w:link w:val="NumberedParagraphChar"/>
    <w:qFormat/>
    <w:rsid w:val="00CC778C"/>
    <w:pPr>
      <w:numPr>
        <w:numId w:val="4"/>
      </w:numPr>
      <w:spacing w:before="0" w:line="360" w:lineRule="auto"/>
      <w:ind w:left="720" w:hanging="720"/>
      <w:contextualSpacing w:val="0"/>
    </w:pPr>
    <w:rPr>
      <w:rFonts w:eastAsia="Times New Roman"/>
    </w:rPr>
  </w:style>
  <w:style w:type="character" w:customStyle="1" w:styleId="NumberedParagraphChar">
    <w:name w:val="Numbered Paragraph Char"/>
    <w:basedOn w:val="ListParagraphChar"/>
    <w:link w:val="NumberedParagraph"/>
    <w:rsid w:val="00CC778C"/>
    <w:rPr>
      <w:rFonts w:eastAsia="Times New Roman"/>
      <w:sz w:val="24"/>
      <w:szCs w:val="22"/>
    </w:rPr>
  </w:style>
  <w:style w:type="paragraph" w:styleId="Caption">
    <w:name w:val="caption"/>
    <w:basedOn w:val="Normal"/>
    <w:next w:val="Normal"/>
    <w:uiPriority w:val="35"/>
    <w:unhideWhenUsed/>
    <w:qFormat/>
    <w:rsid w:val="00B87FC4"/>
    <w:pPr>
      <w:spacing w:before="0" w:after="200"/>
    </w:pPr>
    <w:rPr>
      <w:b/>
      <w:bCs/>
      <w:color w:val="000000" w:themeColor="text1"/>
      <w:szCs w:val="18"/>
    </w:rPr>
  </w:style>
  <w:style w:type="paragraph" w:customStyle="1" w:styleId="Paragraph">
    <w:name w:val="Paragraph"/>
    <w:basedOn w:val="BodyText"/>
    <w:link w:val="ParagraphChar"/>
    <w:qFormat/>
    <w:rsid w:val="00AE33C8"/>
    <w:pPr>
      <w:numPr>
        <w:ilvl w:val="3"/>
        <w:numId w:val="2"/>
      </w:numPr>
      <w:spacing w:after="0" w:line="360" w:lineRule="auto"/>
    </w:pPr>
  </w:style>
  <w:style w:type="character" w:customStyle="1" w:styleId="ParagraphChar">
    <w:name w:val="Paragraph Char"/>
    <w:basedOn w:val="BodyTextChar"/>
    <w:link w:val="Paragraph"/>
    <w:rsid w:val="00AE33C8"/>
    <w:rPr>
      <w:rFonts w:eastAsia="Times New Roman"/>
      <w:sz w:val="24"/>
    </w:rPr>
  </w:style>
  <w:style w:type="character" w:customStyle="1" w:styleId="st">
    <w:name w:val="st"/>
    <w:basedOn w:val="DefaultParagraphFont"/>
    <w:rsid w:val="00FB08FE"/>
  </w:style>
  <w:style w:type="paragraph" w:customStyle="1" w:styleId="BodyText0">
    <w:name w:val="Body  Text"/>
    <w:basedOn w:val="Normal"/>
    <w:qFormat/>
    <w:rsid w:val="00BD2688"/>
    <w:pPr>
      <w:spacing w:before="0" w:line="480" w:lineRule="auto"/>
      <w:ind w:left="0" w:firstLine="0"/>
    </w:pPr>
    <w:rPr>
      <w:rFonts w:eastAsia="Times New Roman"/>
      <w:szCs w:val="20"/>
    </w:rPr>
  </w:style>
  <w:style w:type="paragraph" w:customStyle="1" w:styleId="Textbullet">
    <w:name w:val="Text bullet"/>
    <w:basedOn w:val="Normal"/>
    <w:qFormat/>
    <w:rsid w:val="00BD2688"/>
    <w:pPr>
      <w:numPr>
        <w:numId w:val="5"/>
      </w:numPr>
      <w:spacing w:before="0" w:line="480" w:lineRule="auto"/>
    </w:pPr>
    <w:rPr>
      <w:rFonts w:eastAsia="Times New Roman"/>
      <w:szCs w:val="20"/>
    </w:rPr>
  </w:style>
  <w:style w:type="character" w:customStyle="1" w:styleId="maintitle">
    <w:name w:val="maintitle"/>
    <w:basedOn w:val="DefaultParagraphFont"/>
    <w:rsid w:val="00BD2688"/>
  </w:style>
  <w:style w:type="character" w:customStyle="1" w:styleId="FootnoteTextChar1">
    <w:name w:val="Footnote Text Char1"/>
    <w:aliases w:val="Char Char1,Footnote Text Char Char Char Char,Footnote Text Char2 Char Char Char Char,Footnote Text Char Char2 Char Char Char Char,Footnote Text Char4 Char Char1 Char Char Char Char,ft Char,AG Footnote Text Char"/>
    <w:basedOn w:val="DefaultParagraphFont"/>
    <w:uiPriority w:val="99"/>
    <w:rsid w:val="00BD2688"/>
  </w:style>
  <w:style w:type="paragraph" w:styleId="PlainText">
    <w:name w:val="Plain Text"/>
    <w:basedOn w:val="Normal"/>
    <w:link w:val="PlainTextChar"/>
    <w:uiPriority w:val="99"/>
    <w:semiHidden/>
    <w:unhideWhenUsed/>
    <w:rsid w:val="00BD2688"/>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D2688"/>
    <w:rPr>
      <w:rFonts w:ascii="Consolas" w:hAnsi="Consolas" w:cs="Consolas"/>
      <w:sz w:val="21"/>
      <w:szCs w:val="21"/>
    </w:rPr>
  </w:style>
  <w:style w:type="character" w:styleId="PlaceholderText">
    <w:name w:val="Placeholder Text"/>
    <w:basedOn w:val="DefaultParagraphFont"/>
    <w:uiPriority w:val="99"/>
    <w:semiHidden/>
    <w:rsid w:val="00327B41"/>
    <w:rPr>
      <w:color w:val="808080"/>
    </w:rPr>
  </w:style>
  <w:style w:type="table" w:customStyle="1" w:styleId="TableGrid1">
    <w:name w:val="Table Grid1"/>
    <w:basedOn w:val="TableNormal"/>
    <w:next w:val="TableGrid"/>
    <w:rsid w:val="007B68FE"/>
    <w:pPr>
      <w:spacing w:before="0" w:after="0"/>
      <w:ind w:left="0" w:firstLine="0"/>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0E1CBE"/>
    <w:pPr>
      <w:tabs>
        <w:tab w:val="center" w:pos="4680"/>
      </w:tabs>
      <w:suppressAutoHyphens/>
      <w:spacing w:after="360" w:line="240" w:lineRule="atLeast"/>
      <w:ind w:left="0" w:firstLine="0"/>
      <w:jc w:val="center"/>
    </w:pPr>
    <w:rPr>
      <w:sz w:val="24"/>
      <w:szCs w:val="22"/>
    </w:rPr>
  </w:style>
  <w:style w:type="character" w:customStyle="1" w:styleId="TitleChar">
    <w:name w:val="Title Char"/>
    <w:basedOn w:val="DefaultParagraphFont"/>
    <w:link w:val="Title"/>
    <w:uiPriority w:val="10"/>
    <w:rsid w:val="000E1CBE"/>
    <w:rPr>
      <w:sz w:val="24"/>
      <w:szCs w:val="22"/>
    </w:rPr>
  </w:style>
  <w:style w:type="character" w:styleId="Strong">
    <w:name w:val="Strong"/>
    <w:uiPriority w:val="22"/>
    <w:qFormat/>
    <w:rsid w:val="000E1CBE"/>
    <w:rPr>
      <w:b/>
      <w:szCs w:val="24"/>
    </w:rPr>
  </w:style>
  <w:style w:type="paragraph" w:styleId="ListBullet">
    <w:name w:val="List Bullet"/>
    <w:basedOn w:val="BodyText"/>
    <w:uiPriority w:val="99"/>
    <w:unhideWhenUsed/>
    <w:rsid w:val="00C17096"/>
    <w:pPr>
      <w:numPr>
        <w:numId w:val="12"/>
      </w:numPr>
      <w:spacing w:before="120" w:line="360" w:lineRule="auto"/>
      <w:ind w:left="811" w:hanging="357"/>
    </w:pPr>
  </w:style>
  <w:style w:type="paragraph" w:customStyle="1" w:styleId="appendixA-head2">
    <w:name w:val="appendixA -head2"/>
    <w:basedOn w:val="Heading2"/>
    <w:qFormat/>
    <w:rsid w:val="00DD2B8D"/>
    <w:pPr>
      <w:numPr>
        <w:ilvl w:val="0"/>
        <w:numId w:val="0"/>
      </w:num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line="264" w:lineRule="auto"/>
    </w:pPr>
    <w:rPr>
      <w:i w:val="0"/>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469">
      <w:bodyDiv w:val="1"/>
      <w:marLeft w:val="0"/>
      <w:marRight w:val="0"/>
      <w:marTop w:val="0"/>
      <w:marBottom w:val="0"/>
      <w:divBdr>
        <w:top w:val="none" w:sz="0" w:space="0" w:color="auto"/>
        <w:left w:val="none" w:sz="0" w:space="0" w:color="auto"/>
        <w:bottom w:val="none" w:sz="0" w:space="0" w:color="auto"/>
        <w:right w:val="none" w:sz="0" w:space="0" w:color="auto"/>
      </w:divBdr>
    </w:div>
    <w:div w:id="79527156">
      <w:bodyDiv w:val="1"/>
      <w:marLeft w:val="0"/>
      <w:marRight w:val="0"/>
      <w:marTop w:val="0"/>
      <w:marBottom w:val="0"/>
      <w:divBdr>
        <w:top w:val="none" w:sz="0" w:space="0" w:color="auto"/>
        <w:left w:val="none" w:sz="0" w:space="0" w:color="auto"/>
        <w:bottom w:val="none" w:sz="0" w:space="0" w:color="auto"/>
        <w:right w:val="none" w:sz="0" w:space="0" w:color="auto"/>
      </w:divBdr>
    </w:div>
    <w:div w:id="97339004">
      <w:bodyDiv w:val="1"/>
      <w:marLeft w:val="0"/>
      <w:marRight w:val="0"/>
      <w:marTop w:val="0"/>
      <w:marBottom w:val="0"/>
      <w:divBdr>
        <w:top w:val="none" w:sz="0" w:space="0" w:color="auto"/>
        <w:left w:val="none" w:sz="0" w:space="0" w:color="auto"/>
        <w:bottom w:val="none" w:sz="0" w:space="0" w:color="auto"/>
        <w:right w:val="none" w:sz="0" w:space="0" w:color="auto"/>
      </w:divBdr>
    </w:div>
    <w:div w:id="119501099">
      <w:bodyDiv w:val="1"/>
      <w:marLeft w:val="0"/>
      <w:marRight w:val="0"/>
      <w:marTop w:val="0"/>
      <w:marBottom w:val="0"/>
      <w:divBdr>
        <w:top w:val="none" w:sz="0" w:space="0" w:color="auto"/>
        <w:left w:val="none" w:sz="0" w:space="0" w:color="auto"/>
        <w:bottom w:val="none" w:sz="0" w:space="0" w:color="auto"/>
        <w:right w:val="none" w:sz="0" w:space="0" w:color="auto"/>
      </w:divBdr>
      <w:divsChild>
        <w:div w:id="1465006114">
          <w:marLeft w:val="0"/>
          <w:marRight w:val="0"/>
          <w:marTop w:val="0"/>
          <w:marBottom w:val="0"/>
          <w:divBdr>
            <w:top w:val="none" w:sz="0" w:space="0" w:color="auto"/>
            <w:left w:val="none" w:sz="0" w:space="0" w:color="auto"/>
            <w:bottom w:val="none" w:sz="0" w:space="0" w:color="auto"/>
            <w:right w:val="none" w:sz="0" w:space="0" w:color="auto"/>
          </w:divBdr>
        </w:div>
      </w:divsChild>
    </w:div>
    <w:div w:id="189271457">
      <w:bodyDiv w:val="1"/>
      <w:marLeft w:val="0"/>
      <w:marRight w:val="0"/>
      <w:marTop w:val="0"/>
      <w:marBottom w:val="0"/>
      <w:divBdr>
        <w:top w:val="none" w:sz="0" w:space="0" w:color="auto"/>
        <w:left w:val="none" w:sz="0" w:space="0" w:color="auto"/>
        <w:bottom w:val="none" w:sz="0" w:space="0" w:color="auto"/>
        <w:right w:val="none" w:sz="0" w:space="0" w:color="auto"/>
      </w:divBdr>
    </w:div>
    <w:div w:id="209153274">
      <w:bodyDiv w:val="1"/>
      <w:marLeft w:val="0"/>
      <w:marRight w:val="0"/>
      <w:marTop w:val="0"/>
      <w:marBottom w:val="0"/>
      <w:divBdr>
        <w:top w:val="none" w:sz="0" w:space="0" w:color="auto"/>
        <w:left w:val="none" w:sz="0" w:space="0" w:color="auto"/>
        <w:bottom w:val="none" w:sz="0" w:space="0" w:color="auto"/>
        <w:right w:val="none" w:sz="0" w:space="0" w:color="auto"/>
      </w:divBdr>
    </w:div>
    <w:div w:id="298994994">
      <w:bodyDiv w:val="1"/>
      <w:marLeft w:val="0"/>
      <w:marRight w:val="0"/>
      <w:marTop w:val="0"/>
      <w:marBottom w:val="0"/>
      <w:divBdr>
        <w:top w:val="none" w:sz="0" w:space="0" w:color="auto"/>
        <w:left w:val="none" w:sz="0" w:space="0" w:color="auto"/>
        <w:bottom w:val="none" w:sz="0" w:space="0" w:color="auto"/>
        <w:right w:val="none" w:sz="0" w:space="0" w:color="auto"/>
      </w:divBdr>
    </w:div>
    <w:div w:id="316148641">
      <w:bodyDiv w:val="1"/>
      <w:marLeft w:val="0"/>
      <w:marRight w:val="0"/>
      <w:marTop w:val="0"/>
      <w:marBottom w:val="0"/>
      <w:divBdr>
        <w:top w:val="none" w:sz="0" w:space="0" w:color="auto"/>
        <w:left w:val="none" w:sz="0" w:space="0" w:color="auto"/>
        <w:bottom w:val="none" w:sz="0" w:space="0" w:color="auto"/>
        <w:right w:val="none" w:sz="0" w:space="0" w:color="auto"/>
      </w:divBdr>
    </w:div>
    <w:div w:id="320735897">
      <w:bodyDiv w:val="1"/>
      <w:marLeft w:val="0"/>
      <w:marRight w:val="0"/>
      <w:marTop w:val="0"/>
      <w:marBottom w:val="0"/>
      <w:divBdr>
        <w:top w:val="none" w:sz="0" w:space="0" w:color="auto"/>
        <w:left w:val="none" w:sz="0" w:space="0" w:color="auto"/>
        <w:bottom w:val="none" w:sz="0" w:space="0" w:color="auto"/>
        <w:right w:val="none" w:sz="0" w:space="0" w:color="auto"/>
      </w:divBdr>
    </w:div>
    <w:div w:id="344140305">
      <w:bodyDiv w:val="1"/>
      <w:marLeft w:val="0"/>
      <w:marRight w:val="0"/>
      <w:marTop w:val="0"/>
      <w:marBottom w:val="0"/>
      <w:divBdr>
        <w:top w:val="none" w:sz="0" w:space="0" w:color="auto"/>
        <w:left w:val="none" w:sz="0" w:space="0" w:color="auto"/>
        <w:bottom w:val="none" w:sz="0" w:space="0" w:color="auto"/>
        <w:right w:val="none" w:sz="0" w:space="0" w:color="auto"/>
      </w:divBdr>
    </w:div>
    <w:div w:id="448933499">
      <w:bodyDiv w:val="1"/>
      <w:marLeft w:val="0"/>
      <w:marRight w:val="0"/>
      <w:marTop w:val="0"/>
      <w:marBottom w:val="0"/>
      <w:divBdr>
        <w:top w:val="none" w:sz="0" w:space="0" w:color="auto"/>
        <w:left w:val="none" w:sz="0" w:space="0" w:color="auto"/>
        <w:bottom w:val="none" w:sz="0" w:space="0" w:color="auto"/>
        <w:right w:val="none" w:sz="0" w:space="0" w:color="auto"/>
      </w:divBdr>
    </w:div>
    <w:div w:id="449906608">
      <w:bodyDiv w:val="1"/>
      <w:marLeft w:val="0"/>
      <w:marRight w:val="0"/>
      <w:marTop w:val="0"/>
      <w:marBottom w:val="0"/>
      <w:divBdr>
        <w:top w:val="none" w:sz="0" w:space="0" w:color="auto"/>
        <w:left w:val="none" w:sz="0" w:space="0" w:color="auto"/>
        <w:bottom w:val="none" w:sz="0" w:space="0" w:color="auto"/>
        <w:right w:val="none" w:sz="0" w:space="0" w:color="auto"/>
      </w:divBdr>
      <w:divsChild>
        <w:div w:id="745150803">
          <w:marLeft w:val="0"/>
          <w:marRight w:val="0"/>
          <w:marTop w:val="0"/>
          <w:marBottom w:val="0"/>
          <w:divBdr>
            <w:top w:val="none" w:sz="0" w:space="0" w:color="auto"/>
            <w:left w:val="none" w:sz="0" w:space="0" w:color="auto"/>
            <w:bottom w:val="none" w:sz="0" w:space="0" w:color="auto"/>
            <w:right w:val="none" w:sz="0" w:space="0" w:color="auto"/>
          </w:divBdr>
          <w:divsChild>
            <w:div w:id="442654261">
              <w:marLeft w:val="0"/>
              <w:marRight w:val="0"/>
              <w:marTop w:val="0"/>
              <w:marBottom w:val="0"/>
              <w:divBdr>
                <w:top w:val="none" w:sz="0" w:space="0" w:color="auto"/>
                <w:left w:val="none" w:sz="0" w:space="0" w:color="auto"/>
                <w:bottom w:val="none" w:sz="0" w:space="0" w:color="auto"/>
                <w:right w:val="none" w:sz="0" w:space="0" w:color="auto"/>
              </w:divBdr>
              <w:divsChild>
                <w:div w:id="930241773">
                  <w:marLeft w:val="0"/>
                  <w:marRight w:val="0"/>
                  <w:marTop w:val="0"/>
                  <w:marBottom w:val="0"/>
                  <w:divBdr>
                    <w:top w:val="none" w:sz="0" w:space="0" w:color="auto"/>
                    <w:left w:val="none" w:sz="0" w:space="0" w:color="auto"/>
                    <w:bottom w:val="none" w:sz="0" w:space="0" w:color="auto"/>
                    <w:right w:val="none" w:sz="0" w:space="0" w:color="auto"/>
                  </w:divBdr>
                  <w:divsChild>
                    <w:div w:id="1185901473">
                      <w:marLeft w:val="0"/>
                      <w:marRight w:val="0"/>
                      <w:marTop w:val="0"/>
                      <w:marBottom w:val="0"/>
                      <w:divBdr>
                        <w:top w:val="none" w:sz="0" w:space="0" w:color="auto"/>
                        <w:left w:val="none" w:sz="0" w:space="0" w:color="auto"/>
                        <w:bottom w:val="none" w:sz="0" w:space="0" w:color="auto"/>
                        <w:right w:val="none" w:sz="0" w:space="0" w:color="auto"/>
                      </w:divBdr>
                      <w:divsChild>
                        <w:div w:id="12450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184748">
      <w:bodyDiv w:val="1"/>
      <w:marLeft w:val="0"/>
      <w:marRight w:val="0"/>
      <w:marTop w:val="0"/>
      <w:marBottom w:val="0"/>
      <w:divBdr>
        <w:top w:val="none" w:sz="0" w:space="0" w:color="auto"/>
        <w:left w:val="none" w:sz="0" w:space="0" w:color="auto"/>
        <w:bottom w:val="none" w:sz="0" w:space="0" w:color="auto"/>
        <w:right w:val="none" w:sz="0" w:space="0" w:color="auto"/>
      </w:divBdr>
    </w:div>
    <w:div w:id="581793579">
      <w:bodyDiv w:val="1"/>
      <w:marLeft w:val="0"/>
      <w:marRight w:val="0"/>
      <w:marTop w:val="0"/>
      <w:marBottom w:val="0"/>
      <w:divBdr>
        <w:top w:val="none" w:sz="0" w:space="0" w:color="auto"/>
        <w:left w:val="none" w:sz="0" w:space="0" w:color="auto"/>
        <w:bottom w:val="none" w:sz="0" w:space="0" w:color="auto"/>
        <w:right w:val="none" w:sz="0" w:space="0" w:color="auto"/>
      </w:divBdr>
    </w:div>
    <w:div w:id="595941614">
      <w:bodyDiv w:val="1"/>
      <w:marLeft w:val="0"/>
      <w:marRight w:val="0"/>
      <w:marTop w:val="0"/>
      <w:marBottom w:val="0"/>
      <w:divBdr>
        <w:top w:val="none" w:sz="0" w:space="0" w:color="auto"/>
        <w:left w:val="none" w:sz="0" w:space="0" w:color="auto"/>
        <w:bottom w:val="none" w:sz="0" w:space="0" w:color="auto"/>
        <w:right w:val="none" w:sz="0" w:space="0" w:color="auto"/>
      </w:divBdr>
    </w:div>
    <w:div w:id="621496563">
      <w:bodyDiv w:val="1"/>
      <w:marLeft w:val="0"/>
      <w:marRight w:val="0"/>
      <w:marTop w:val="0"/>
      <w:marBottom w:val="0"/>
      <w:divBdr>
        <w:top w:val="none" w:sz="0" w:space="0" w:color="auto"/>
        <w:left w:val="none" w:sz="0" w:space="0" w:color="auto"/>
        <w:bottom w:val="none" w:sz="0" w:space="0" w:color="auto"/>
        <w:right w:val="none" w:sz="0" w:space="0" w:color="auto"/>
      </w:divBdr>
    </w:div>
    <w:div w:id="647367419">
      <w:bodyDiv w:val="1"/>
      <w:marLeft w:val="0"/>
      <w:marRight w:val="0"/>
      <w:marTop w:val="0"/>
      <w:marBottom w:val="0"/>
      <w:divBdr>
        <w:top w:val="none" w:sz="0" w:space="0" w:color="auto"/>
        <w:left w:val="none" w:sz="0" w:space="0" w:color="auto"/>
        <w:bottom w:val="none" w:sz="0" w:space="0" w:color="auto"/>
        <w:right w:val="none" w:sz="0" w:space="0" w:color="auto"/>
      </w:divBdr>
    </w:div>
    <w:div w:id="668675387">
      <w:bodyDiv w:val="1"/>
      <w:marLeft w:val="0"/>
      <w:marRight w:val="0"/>
      <w:marTop w:val="0"/>
      <w:marBottom w:val="0"/>
      <w:divBdr>
        <w:top w:val="none" w:sz="0" w:space="0" w:color="auto"/>
        <w:left w:val="none" w:sz="0" w:space="0" w:color="auto"/>
        <w:bottom w:val="none" w:sz="0" w:space="0" w:color="auto"/>
        <w:right w:val="none" w:sz="0" w:space="0" w:color="auto"/>
      </w:divBdr>
    </w:div>
    <w:div w:id="781412880">
      <w:bodyDiv w:val="1"/>
      <w:marLeft w:val="0"/>
      <w:marRight w:val="0"/>
      <w:marTop w:val="0"/>
      <w:marBottom w:val="0"/>
      <w:divBdr>
        <w:top w:val="none" w:sz="0" w:space="0" w:color="auto"/>
        <w:left w:val="none" w:sz="0" w:space="0" w:color="auto"/>
        <w:bottom w:val="none" w:sz="0" w:space="0" w:color="auto"/>
        <w:right w:val="none" w:sz="0" w:space="0" w:color="auto"/>
      </w:divBdr>
    </w:div>
    <w:div w:id="804857407">
      <w:bodyDiv w:val="1"/>
      <w:marLeft w:val="0"/>
      <w:marRight w:val="0"/>
      <w:marTop w:val="0"/>
      <w:marBottom w:val="0"/>
      <w:divBdr>
        <w:top w:val="none" w:sz="0" w:space="0" w:color="auto"/>
        <w:left w:val="none" w:sz="0" w:space="0" w:color="auto"/>
        <w:bottom w:val="none" w:sz="0" w:space="0" w:color="auto"/>
        <w:right w:val="none" w:sz="0" w:space="0" w:color="auto"/>
      </w:divBdr>
    </w:div>
    <w:div w:id="902525815">
      <w:bodyDiv w:val="1"/>
      <w:marLeft w:val="0"/>
      <w:marRight w:val="0"/>
      <w:marTop w:val="0"/>
      <w:marBottom w:val="0"/>
      <w:divBdr>
        <w:top w:val="none" w:sz="0" w:space="0" w:color="auto"/>
        <w:left w:val="none" w:sz="0" w:space="0" w:color="auto"/>
        <w:bottom w:val="none" w:sz="0" w:space="0" w:color="auto"/>
        <w:right w:val="none" w:sz="0" w:space="0" w:color="auto"/>
      </w:divBdr>
    </w:div>
    <w:div w:id="958102444">
      <w:bodyDiv w:val="1"/>
      <w:marLeft w:val="0"/>
      <w:marRight w:val="0"/>
      <w:marTop w:val="0"/>
      <w:marBottom w:val="0"/>
      <w:divBdr>
        <w:top w:val="none" w:sz="0" w:space="0" w:color="auto"/>
        <w:left w:val="none" w:sz="0" w:space="0" w:color="auto"/>
        <w:bottom w:val="none" w:sz="0" w:space="0" w:color="auto"/>
        <w:right w:val="none" w:sz="0" w:space="0" w:color="auto"/>
      </w:divBdr>
      <w:divsChild>
        <w:div w:id="428431611">
          <w:marLeft w:val="0"/>
          <w:marRight w:val="0"/>
          <w:marTop w:val="0"/>
          <w:marBottom w:val="0"/>
          <w:divBdr>
            <w:top w:val="none" w:sz="0" w:space="0" w:color="auto"/>
            <w:left w:val="none" w:sz="0" w:space="0" w:color="auto"/>
            <w:bottom w:val="none" w:sz="0" w:space="0" w:color="auto"/>
            <w:right w:val="none" w:sz="0" w:space="0" w:color="auto"/>
          </w:divBdr>
        </w:div>
      </w:divsChild>
    </w:div>
    <w:div w:id="1004866014">
      <w:bodyDiv w:val="1"/>
      <w:marLeft w:val="0"/>
      <w:marRight w:val="0"/>
      <w:marTop w:val="0"/>
      <w:marBottom w:val="0"/>
      <w:divBdr>
        <w:top w:val="none" w:sz="0" w:space="0" w:color="auto"/>
        <w:left w:val="none" w:sz="0" w:space="0" w:color="auto"/>
        <w:bottom w:val="none" w:sz="0" w:space="0" w:color="auto"/>
        <w:right w:val="none" w:sz="0" w:space="0" w:color="auto"/>
      </w:divBdr>
    </w:div>
    <w:div w:id="1049721514">
      <w:bodyDiv w:val="1"/>
      <w:marLeft w:val="0"/>
      <w:marRight w:val="0"/>
      <w:marTop w:val="0"/>
      <w:marBottom w:val="0"/>
      <w:divBdr>
        <w:top w:val="none" w:sz="0" w:space="0" w:color="auto"/>
        <w:left w:val="none" w:sz="0" w:space="0" w:color="auto"/>
        <w:bottom w:val="none" w:sz="0" w:space="0" w:color="auto"/>
        <w:right w:val="none" w:sz="0" w:space="0" w:color="auto"/>
      </w:divBdr>
    </w:div>
    <w:div w:id="1059943156">
      <w:bodyDiv w:val="1"/>
      <w:marLeft w:val="0"/>
      <w:marRight w:val="0"/>
      <w:marTop w:val="0"/>
      <w:marBottom w:val="0"/>
      <w:divBdr>
        <w:top w:val="none" w:sz="0" w:space="0" w:color="auto"/>
        <w:left w:val="none" w:sz="0" w:space="0" w:color="auto"/>
        <w:bottom w:val="none" w:sz="0" w:space="0" w:color="auto"/>
        <w:right w:val="none" w:sz="0" w:space="0" w:color="auto"/>
      </w:divBdr>
      <w:divsChild>
        <w:div w:id="536049557">
          <w:marLeft w:val="0"/>
          <w:marRight w:val="0"/>
          <w:marTop w:val="0"/>
          <w:marBottom w:val="0"/>
          <w:divBdr>
            <w:top w:val="none" w:sz="0" w:space="0" w:color="auto"/>
            <w:left w:val="none" w:sz="0" w:space="0" w:color="auto"/>
            <w:bottom w:val="none" w:sz="0" w:space="0" w:color="auto"/>
            <w:right w:val="none" w:sz="0" w:space="0" w:color="auto"/>
          </w:divBdr>
        </w:div>
        <w:div w:id="722752624">
          <w:marLeft w:val="0"/>
          <w:marRight w:val="0"/>
          <w:marTop w:val="0"/>
          <w:marBottom w:val="0"/>
          <w:divBdr>
            <w:top w:val="none" w:sz="0" w:space="0" w:color="auto"/>
            <w:left w:val="none" w:sz="0" w:space="0" w:color="auto"/>
            <w:bottom w:val="none" w:sz="0" w:space="0" w:color="auto"/>
            <w:right w:val="none" w:sz="0" w:space="0" w:color="auto"/>
          </w:divBdr>
        </w:div>
        <w:div w:id="2087068623">
          <w:marLeft w:val="0"/>
          <w:marRight w:val="0"/>
          <w:marTop w:val="0"/>
          <w:marBottom w:val="0"/>
          <w:divBdr>
            <w:top w:val="none" w:sz="0" w:space="0" w:color="auto"/>
            <w:left w:val="none" w:sz="0" w:space="0" w:color="auto"/>
            <w:bottom w:val="none" w:sz="0" w:space="0" w:color="auto"/>
            <w:right w:val="none" w:sz="0" w:space="0" w:color="auto"/>
          </w:divBdr>
        </w:div>
      </w:divsChild>
    </w:div>
    <w:div w:id="1333677727">
      <w:bodyDiv w:val="1"/>
      <w:marLeft w:val="0"/>
      <w:marRight w:val="0"/>
      <w:marTop w:val="0"/>
      <w:marBottom w:val="0"/>
      <w:divBdr>
        <w:top w:val="none" w:sz="0" w:space="0" w:color="auto"/>
        <w:left w:val="none" w:sz="0" w:space="0" w:color="auto"/>
        <w:bottom w:val="none" w:sz="0" w:space="0" w:color="auto"/>
        <w:right w:val="none" w:sz="0" w:space="0" w:color="auto"/>
      </w:divBdr>
    </w:div>
    <w:div w:id="1450049795">
      <w:bodyDiv w:val="1"/>
      <w:marLeft w:val="0"/>
      <w:marRight w:val="0"/>
      <w:marTop w:val="0"/>
      <w:marBottom w:val="0"/>
      <w:divBdr>
        <w:top w:val="none" w:sz="0" w:space="0" w:color="auto"/>
        <w:left w:val="none" w:sz="0" w:space="0" w:color="auto"/>
        <w:bottom w:val="none" w:sz="0" w:space="0" w:color="auto"/>
        <w:right w:val="none" w:sz="0" w:space="0" w:color="auto"/>
      </w:divBdr>
    </w:div>
    <w:div w:id="1488547215">
      <w:bodyDiv w:val="1"/>
      <w:marLeft w:val="0"/>
      <w:marRight w:val="0"/>
      <w:marTop w:val="0"/>
      <w:marBottom w:val="0"/>
      <w:divBdr>
        <w:top w:val="none" w:sz="0" w:space="0" w:color="auto"/>
        <w:left w:val="none" w:sz="0" w:space="0" w:color="auto"/>
        <w:bottom w:val="none" w:sz="0" w:space="0" w:color="auto"/>
        <w:right w:val="none" w:sz="0" w:space="0" w:color="auto"/>
      </w:divBdr>
    </w:div>
    <w:div w:id="1512528895">
      <w:bodyDiv w:val="1"/>
      <w:marLeft w:val="0"/>
      <w:marRight w:val="0"/>
      <w:marTop w:val="0"/>
      <w:marBottom w:val="0"/>
      <w:divBdr>
        <w:top w:val="none" w:sz="0" w:space="0" w:color="auto"/>
        <w:left w:val="none" w:sz="0" w:space="0" w:color="auto"/>
        <w:bottom w:val="none" w:sz="0" w:space="0" w:color="auto"/>
        <w:right w:val="none" w:sz="0" w:space="0" w:color="auto"/>
      </w:divBdr>
    </w:div>
    <w:div w:id="1512643828">
      <w:bodyDiv w:val="1"/>
      <w:marLeft w:val="0"/>
      <w:marRight w:val="0"/>
      <w:marTop w:val="0"/>
      <w:marBottom w:val="0"/>
      <w:divBdr>
        <w:top w:val="none" w:sz="0" w:space="0" w:color="auto"/>
        <w:left w:val="none" w:sz="0" w:space="0" w:color="auto"/>
        <w:bottom w:val="none" w:sz="0" w:space="0" w:color="auto"/>
        <w:right w:val="none" w:sz="0" w:space="0" w:color="auto"/>
      </w:divBdr>
    </w:div>
    <w:div w:id="1522671378">
      <w:bodyDiv w:val="1"/>
      <w:marLeft w:val="0"/>
      <w:marRight w:val="0"/>
      <w:marTop w:val="0"/>
      <w:marBottom w:val="0"/>
      <w:divBdr>
        <w:top w:val="none" w:sz="0" w:space="0" w:color="auto"/>
        <w:left w:val="none" w:sz="0" w:space="0" w:color="auto"/>
        <w:bottom w:val="none" w:sz="0" w:space="0" w:color="auto"/>
        <w:right w:val="none" w:sz="0" w:space="0" w:color="auto"/>
      </w:divBdr>
    </w:div>
    <w:div w:id="1588805033">
      <w:bodyDiv w:val="1"/>
      <w:marLeft w:val="0"/>
      <w:marRight w:val="0"/>
      <w:marTop w:val="0"/>
      <w:marBottom w:val="0"/>
      <w:divBdr>
        <w:top w:val="none" w:sz="0" w:space="0" w:color="auto"/>
        <w:left w:val="none" w:sz="0" w:space="0" w:color="auto"/>
        <w:bottom w:val="none" w:sz="0" w:space="0" w:color="auto"/>
        <w:right w:val="none" w:sz="0" w:space="0" w:color="auto"/>
      </w:divBdr>
    </w:div>
    <w:div w:id="1589384912">
      <w:bodyDiv w:val="1"/>
      <w:marLeft w:val="0"/>
      <w:marRight w:val="0"/>
      <w:marTop w:val="0"/>
      <w:marBottom w:val="0"/>
      <w:divBdr>
        <w:top w:val="none" w:sz="0" w:space="0" w:color="auto"/>
        <w:left w:val="none" w:sz="0" w:space="0" w:color="auto"/>
        <w:bottom w:val="none" w:sz="0" w:space="0" w:color="auto"/>
        <w:right w:val="none" w:sz="0" w:space="0" w:color="auto"/>
      </w:divBdr>
    </w:div>
    <w:div w:id="1611548119">
      <w:bodyDiv w:val="1"/>
      <w:marLeft w:val="0"/>
      <w:marRight w:val="0"/>
      <w:marTop w:val="0"/>
      <w:marBottom w:val="0"/>
      <w:divBdr>
        <w:top w:val="none" w:sz="0" w:space="0" w:color="auto"/>
        <w:left w:val="none" w:sz="0" w:space="0" w:color="auto"/>
        <w:bottom w:val="none" w:sz="0" w:space="0" w:color="auto"/>
        <w:right w:val="none" w:sz="0" w:space="0" w:color="auto"/>
      </w:divBdr>
    </w:div>
    <w:div w:id="1613316535">
      <w:bodyDiv w:val="1"/>
      <w:marLeft w:val="0"/>
      <w:marRight w:val="0"/>
      <w:marTop w:val="0"/>
      <w:marBottom w:val="0"/>
      <w:divBdr>
        <w:top w:val="none" w:sz="0" w:space="0" w:color="auto"/>
        <w:left w:val="none" w:sz="0" w:space="0" w:color="auto"/>
        <w:bottom w:val="none" w:sz="0" w:space="0" w:color="auto"/>
        <w:right w:val="none" w:sz="0" w:space="0" w:color="auto"/>
      </w:divBdr>
    </w:div>
    <w:div w:id="1633170814">
      <w:bodyDiv w:val="1"/>
      <w:marLeft w:val="0"/>
      <w:marRight w:val="0"/>
      <w:marTop w:val="0"/>
      <w:marBottom w:val="0"/>
      <w:divBdr>
        <w:top w:val="none" w:sz="0" w:space="0" w:color="auto"/>
        <w:left w:val="none" w:sz="0" w:space="0" w:color="auto"/>
        <w:bottom w:val="none" w:sz="0" w:space="0" w:color="auto"/>
        <w:right w:val="none" w:sz="0" w:space="0" w:color="auto"/>
      </w:divBdr>
      <w:divsChild>
        <w:div w:id="287321096">
          <w:marLeft w:val="0"/>
          <w:marRight w:val="0"/>
          <w:marTop w:val="0"/>
          <w:marBottom w:val="0"/>
          <w:divBdr>
            <w:top w:val="none" w:sz="0" w:space="0" w:color="auto"/>
            <w:left w:val="none" w:sz="0" w:space="0" w:color="auto"/>
            <w:bottom w:val="none" w:sz="0" w:space="0" w:color="auto"/>
            <w:right w:val="none" w:sz="0" w:space="0" w:color="auto"/>
          </w:divBdr>
        </w:div>
        <w:div w:id="900217415">
          <w:marLeft w:val="0"/>
          <w:marRight w:val="0"/>
          <w:marTop w:val="0"/>
          <w:marBottom w:val="0"/>
          <w:divBdr>
            <w:top w:val="none" w:sz="0" w:space="0" w:color="auto"/>
            <w:left w:val="none" w:sz="0" w:space="0" w:color="auto"/>
            <w:bottom w:val="none" w:sz="0" w:space="0" w:color="auto"/>
            <w:right w:val="none" w:sz="0" w:space="0" w:color="auto"/>
          </w:divBdr>
        </w:div>
        <w:div w:id="917401282">
          <w:marLeft w:val="0"/>
          <w:marRight w:val="0"/>
          <w:marTop w:val="0"/>
          <w:marBottom w:val="0"/>
          <w:divBdr>
            <w:top w:val="none" w:sz="0" w:space="0" w:color="auto"/>
            <w:left w:val="none" w:sz="0" w:space="0" w:color="auto"/>
            <w:bottom w:val="none" w:sz="0" w:space="0" w:color="auto"/>
            <w:right w:val="none" w:sz="0" w:space="0" w:color="auto"/>
          </w:divBdr>
        </w:div>
      </w:divsChild>
    </w:div>
    <w:div w:id="1665235064">
      <w:bodyDiv w:val="1"/>
      <w:marLeft w:val="0"/>
      <w:marRight w:val="0"/>
      <w:marTop w:val="0"/>
      <w:marBottom w:val="0"/>
      <w:divBdr>
        <w:top w:val="none" w:sz="0" w:space="0" w:color="auto"/>
        <w:left w:val="none" w:sz="0" w:space="0" w:color="auto"/>
        <w:bottom w:val="none" w:sz="0" w:space="0" w:color="auto"/>
        <w:right w:val="none" w:sz="0" w:space="0" w:color="auto"/>
      </w:divBdr>
    </w:div>
    <w:div w:id="1798185456">
      <w:bodyDiv w:val="1"/>
      <w:marLeft w:val="0"/>
      <w:marRight w:val="0"/>
      <w:marTop w:val="0"/>
      <w:marBottom w:val="0"/>
      <w:divBdr>
        <w:top w:val="none" w:sz="0" w:space="0" w:color="auto"/>
        <w:left w:val="none" w:sz="0" w:space="0" w:color="auto"/>
        <w:bottom w:val="none" w:sz="0" w:space="0" w:color="auto"/>
        <w:right w:val="none" w:sz="0" w:space="0" w:color="auto"/>
      </w:divBdr>
    </w:div>
    <w:div w:id="1839150608">
      <w:bodyDiv w:val="1"/>
      <w:marLeft w:val="0"/>
      <w:marRight w:val="0"/>
      <w:marTop w:val="0"/>
      <w:marBottom w:val="0"/>
      <w:divBdr>
        <w:top w:val="none" w:sz="0" w:space="0" w:color="auto"/>
        <w:left w:val="none" w:sz="0" w:space="0" w:color="auto"/>
        <w:bottom w:val="none" w:sz="0" w:space="0" w:color="auto"/>
        <w:right w:val="none" w:sz="0" w:space="0" w:color="auto"/>
      </w:divBdr>
    </w:div>
    <w:div w:id="1864130097">
      <w:bodyDiv w:val="1"/>
      <w:marLeft w:val="0"/>
      <w:marRight w:val="0"/>
      <w:marTop w:val="0"/>
      <w:marBottom w:val="0"/>
      <w:divBdr>
        <w:top w:val="none" w:sz="0" w:space="0" w:color="auto"/>
        <w:left w:val="none" w:sz="0" w:space="0" w:color="auto"/>
        <w:bottom w:val="none" w:sz="0" w:space="0" w:color="auto"/>
        <w:right w:val="none" w:sz="0" w:space="0" w:color="auto"/>
      </w:divBdr>
    </w:div>
    <w:div w:id="1876579772">
      <w:bodyDiv w:val="1"/>
      <w:marLeft w:val="0"/>
      <w:marRight w:val="0"/>
      <w:marTop w:val="0"/>
      <w:marBottom w:val="0"/>
      <w:divBdr>
        <w:top w:val="none" w:sz="0" w:space="0" w:color="auto"/>
        <w:left w:val="none" w:sz="0" w:space="0" w:color="auto"/>
        <w:bottom w:val="none" w:sz="0" w:space="0" w:color="auto"/>
        <w:right w:val="none" w:sz="0" w:space="0" w:color="auto"/>
      </w:divBdr>
    </w:div>
    <w:div w:id="1942175590">
      <w:bodyDiv w:val="1"/>
      <w:marLeft w:val="0"/>
      <w:marRight w:val="0"/>
      <w:marTop w:val="0"/>
      <w:marBottom w:val="0"/>
      <w:divBdr>
        <w:top w:val="none" w:sz="0" w:space="0" w:color="auto"/>
        <w:left w:val="none" w:sz="0" w:space="0" w:color="auto"/>
        <w:bottom w:val="none" w:sz="0" w:space="0" w:color="auto"/>
        <w:right w:val="none" w:sz="0" w:space="0" w:color="auto"/>
      </w:divBdr>
    </w:div>
    <w:div w:id="20689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lobalcompetitionreview.com/reviews/74/sections/275/chapters/2983/us-economics/" TargetMode="External"/><Relationship Id="rId2" Type="http://schemas.openxmlformats.org/officeDocument/2006/relationships/numbering" Target="numbering.xml"/><Relationship Id="rId16" Type="http://schemas.openxmlformats.org/officeDocument/2006/relationships/hyperlink" Target="mailto:tasneem.chipty@analysis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obaccoinaustralia.org.au/chapter-1-prevalence/1-4-prevalence-of-smoking-young-adults" TargetMode="External"/><Relationship Id="rId13" Type="http://schemas.openxmlformats.org/officeDocument/2006/relationships/hyperlink" Target="http://www.tobaccoinaustralia.org.au/1-7-trends-in-the-prevalence-of-smoking-by-socioec" TargetMode="External"/><Relationship Id="rId3" Type="http://schemas.openxmlformats.org/officeDocument/2006/relationships/hyperlink" Target="http://www.abs.gov.au/ausstats/abs@.nsf/Lookup/by%20Subject/4338.0~2011-13~Main%20Features~Tobacco%20smoking~10008" TargetMode="External"/><Relationship Id="rId7" Type="http://schemas.openxmlformats.org/officeDocument/2006/relationships/hyperlink" Target="http://www.tobaccoinaustralia.org.au/1-8-trends-in-prevalence-of-smoking-by-country-of-" TargetMode="External"/><Relationship Id="rId12" Type="http://schemas.openxmlformats.org/officeDocument/2006/relationships/hyperlink" Target="http://www.aihw.gov.au/WorkArea/DownloadAsset.aspx?id=60129549848" TargetMode="External"/><Relationship Id="rId2" Type="http://schemas.openxmlformats.org/officeDocument/2006/relationships/hyperlink" Target="http://www.tobaccoinaustralia.org.au/15-7-legislation" TargetMode="External"/><Relationship Id="rId1" Type="http://schemas.openxmlformats.org/officeDocument/2006/relationships/hyperlink" Target="http://www.fjc.gov/public/pdf.nsf/lookup/SciMan3D01.pdf/$file/SciMan3D01.pdf" TargetMode="External"/><Relationship Id="rId6" Type="http://schemas.openxmlformats.org/officeDocument/2006/relationships/hyperlink" Target="http://www.tobaccoinaustralia.org.au/chapter-1-prevalence/1-3-prevalence-of-smoking-adults" TargetMode="External"/><Relationship Id="rId11" Type="http://schemas.openxmlformats.org/officeDocument/2006/relationships/hyperlink" Target="http://www.tobaccoinaustralia.org.au/1-7-trends-in-the-prevalence-of-smoking-by-socioec" TargetMode="External"/><Relationship Id="rId5" Type="http://schemas.openxmlformats.org/officeDocument/2006/relationships/hyperlink" Target="http://www.health.gov.au/internet/main/publishing.nsf/content/tobacco-tax" TargetMode="External"/><Relationship Id="rId10" Type="http://schemas.openxmlformats.org/officeDocument/2006/relationships/hyperlink" Target="http://www.aihw.gov.au/publication-detail/?id=6442467215" TargetMode="External"/><Relationship Id="rId4" Type="http://schemas.openxmlformats.org/officeDocument/2006/relationships/hyperlink" Target="http://www.tobaccoinaustralia.org.au/a12-1-1-history-health-warnings" TargetMode="External"/><Relationship Id="rId9" Type="http://schemas.openxmlformats.org/officeDocument/2006/relationships/hyperlink" Target="http://www.tobaccoinaustralia.org.au/chapter-1-prevalence/1-5-prevalence-of-smoking-middle-aged-and-older-ad" TargetMode="External"/></Relationships>
</file>

<file path=word/theme/theme1.xml><?xml version="1.0" encoding="utf-8"?>
<a:theme xmlns:a="http://schemas.openxmlformats.org/drawingml/2006/main" name="Office Theme">
  <a:themeElements>
    <a:clrScheme name="Custom hyp">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BBA0BB-8CCB-4834-A55E-7076D2F6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641D5EEB</Template>
  <TotalTime>0</TotalTime>
  <Pages>37</Pages>
  <Words>10823</Words>
  <Characters>61694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Plain Packaging PIR – Appendix A</dc:title>
  <dc:creator/>
  <cp:lastModifiedBy/>
  <cp:revision>1</cp:revision>
  <dcterms:created xsi:type="dcterms:W3CDTF">2016-02-25T06:19:00Z</dcterms:created>
  <dcterms:modified xsi:type="dcterms:W3CDTF">2016-02-26T00:32:00Z</dcterms:modified>
  <cp:contentStatus/>
</cp:coreProperties>
</file>