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5DDEB" w14:textId="1AF1E884" w:rsidR="00E92551" w:rsidRPr="00F957C6" w:rsidRDefault="009F4A59" w:rsidP="4BDE12E8">
      <w:pPr>
        <w:pStyle w:val="Title"/>
        <w:spacing w:before="480"/>
        <w:rPr>
          <w:highlight w:val="yellow"/>
        </w:rPr>
      </w:pPr>
      <w:r>
        <w:t>Australian Government</w:t>
      </w:r>
      <w:r w:rsidR="009E2262">
        <w:t xml:space="preserve"> Impact </w:t>
      </w:r>
      <w:r w:rsidR="005D1B80">
        <w:t>Analysis</w:t>
      </w:r>
      <w:r w:rsidR="00411B6F">
        <w:t xml:space="preserve">, </w:t>
      </w:r>
      <w:r w:rsidR="08FD37E0">
        <w:t>202</w:t>
      </w:r>
      <w:r w:rsidR="00DB08BA">
        <w:t>6</w:t>
      </w:r>
      <w:r w:rsidR="08FD37E0">
        <w:t>-2</w:t>
      </w:r>
      <w:r w:rsidR="00DB08BA">
        <w:t>7</w:t>
      </w:r>
    </w:p>
    <w:p w14:paraId="2729862F" w14:textId="263E0577" w:rsidR="009B4166" w:rsidRPr="008523D5" w:rsidRDefault="009F4A59" w:rsidP="0097624A">
      <w:pPr>
        <w:pStyle w:val="Subtitle"/>
        <w:spacing w:line="288" w:lineRule="auto"/>
        <w:rPr>
          <w:rFonts w:ascii="Segoe UI" w:eastAsia="Segoe UI" w:hAnsi="Segoe UI" w:cs="Segoe UI"/>
          <w:sz w:val="22"/>
          <w:szCs w:val="22"/>
        </w:rPr>
      </w:pPr>
      <w:r>
        <w:rPr>
          <w:rFonts w:ascii="Segoe UI Light" w:eastAsia="Segoe UI Light" w:hAnsi="Segoe UI Light" w:cs="Segoe UI Light"/>
          <w:sz w:val="22"/>
          <w:szCs w:val="22"/>
        </w:rPr>
        <w:t xml:space="preserve">The Office of Impact Analysis (OIA) publishes Impact Analyses (IAs) – formerly known as Regulation Impact Statements (RISs) </w:t>
      </w:r>
      <w:r w:rsidR="003A4477">
        <w:rPr>
          <w:rFonts w:ascii="Segoe UI Light" w:eastAsia="Segoe UI Light" w:hAnsi="Segoe UI Light" w:cs="Segoe UI Light"/>
          <w:sz w:val="22"/>
          <w:szCs w:val="22"/>
        </w:rPr>
        <w:t>–</w:t>
      </w:r>
      <w:r>
        <w:rPr>
          <w:rFonts w:ascii="Segoe UI Light" w:eastAsia="Segoe UI Light" w:hAnsi="Segoe UI Light" w:cs="Segoe UI Light"/>
          <w:sz w:val="22"/>
          <w:szCs w:val="22"/>
        </w:rPr>
        <w:t xml:space="preserve"> on its website as soon as practicable after the date of policy announcements, in consultation </w:t>
      </w:r>
      <w:r w:rsidRPr="008523D5">
        <w:rPr>
          <w:rFonts w:ascii="Segoe UI Light" w:eastAsia="Segoe UI Light" w:hAnsi="Segoe UI Light" w:cs="Segoe UI Light"/>
          <w:sz w:val="22"/>
          <w:szCs w:val="22"/>
        </w:rPr>
        <w:t>with the relevant agency. </w:t>
      </w:r>
    </w:p>
    <w:p w14:paraId="0275C7F4" w14:textId="3A0C8382" w:rsidR="00177D2C" w:rsidRDefault="008F4F89" w:rsidP="00752CE1">
      <w:r>
        <w:t>The July 2026 ‘</w:t>
      </w:r>
      <w:hyperlink r:id="rId12" w:history="1">
        <w:r w:rsidRPr="0048707F">
          <w:rPr>
            <w:color w:val="0000FF"/>
            <w:szCs w:val="22"/>
            <w:u w:val="single"/>
          </w:rPr>
          <w:t>Australian Government Impact Analysis Framework</w:t>
        </w:r>
      </w:hyperlink>
      <w:r w:rsidR="0048707F" w:rsidRPr="0048707F">
        <w:t>’</w:t>
      </w:r>
      <w:r>
        <w:t xml:space="preserve"> outlines when an agency is required to </w:t>
      </w:r>
      <w:r w:rsidR="00177D2C">
        <w:t>prepare</w:t>
      </w:r>
      <w:r>
        <w:t xml:space="preserve"> a Dashboard or Detailed IA for </w:t>
      </w:r>
      <w:r w:rsidR="00596D1A">
        <w:t xml:space="preserve">relevant </w:t>
      </w:r>
      <w:r w:rsidRPr="00F44205">
        <w:t>policy proposal</w:t>
      </w:r>
      <w:r w:rsidR="00596D1A">
        <w:t>s</w:t>
      </w:r>
      <w:r w:rsidR="00177D2C">
        <w:t xml:space="preserve">. </w:t>
      </w:r>
      <w:r w:rsidR="00177D2C" w:rsidRPr="00177D2C">
        <w:t>The Dashboard IA is the primary product used to inform decision</w:t>
      </w:r>
      <w:r w:rsidR="00177D2C" w:rsidRPr="00177D2C">
        <w:noBreakHyphen/>
        <w:t>makers at key decision points.</w:t>
      </w:r>
      <w:r w:rsidR="00177D2C">
        <w:t xml:space="preserve"> </w:t>
      </w:r>
      <w:r w:rsidR="00752CE1">
        <w:t>The Prime Minister or the Cabinet may require a Detailed IA for in‑scope policy proposals with moderate or major impacts.</w:t>
      </w:r>
      <w:r w:rsidR="00752CE1" w:rsidRPr="00752CE1">
        <w:t xml:space="preserve"> </w:t>
      </w:r>
      <w:r w:rsidR="00752CE1">
        <w:t>A Detailed IA is also required for proposals that meet the IA thresholds and involve introducing a mandatory standard that deviates from existing international standards.</w:t>
      </w:r>
      <w:r w:rsidR="00023C30" w:rsidRPr="00023C30">
        <w:t xml:space="preserve"> </w:t>
      </w:r>
      <w:r w:rsidR="00023C30">
        <w:t>The framework outlines that when remaking a sunsetting legislative instrument, agencies need to assess the instrument against the IA scope and IA threshold and, if required, prepare a Dashboard IA.</w:t>
      </w:r>
    </w:p>
    <w:p w14:paraId="19E85E08" w14:textId="720AA98F" w:rsidR="00F44205" w:rsidRDefault="009F4A59" w:rsidP="00023C30">
      <w:pPr>
        <w:rPr>
          <w:rFonts w:ascii="Segoe UI Light" w:eastAsia="Segoe UI Light" w:hAnsi="Segoe UI Light" w:cs="Segoe UI Light"/>
          <w:szCs w:val="22"/>
        </w:rPr>
      </w:pPr>
      <w:r w:rsidRPr="008523D5">
        <w:rPr>
          <w:rFonts w:ascii="Segoe UI Light" w:eastAsia="Segoe UI Light" w:hAnsi="Segoe UI Light" w:cs="Segoe UI Light"/>
          <w:szCs w:val="22"/>
        </w:rPr>
        <w:t xml:space="preserve">This </w:t>
      </w:r>
      <w:r w:rsidR="00235166" w:rsidRPr="008523D5">
        <w:rPr>
          <w:rFonts w:ascii="Segoe UI Light" w:eastAsia="Segoe UI Light" w:hAnsi="Segoe UI Light" w:cs="Segoe UI Light"/>
          <w:szCs w:val="22"/>
        </w:rPr>
        <w:t xml:space="preserve">summary </w:t>
      </w:r>
      <w:r w:rsidRPr="008523D5">
        <w:rPr>
          <w:rFonts w:ascii="Segoe UI Light" w:eastAsia="Segoe UI Light" w:hAnsi="Segoe UI Light" w:cs="Segoe UI Light"/>
          <w:szCs w:val="22"/>
        </w:rPr>
        <w:t>report covers IAs</w:t>
      </w:r>
      <w:r w:rsidR="00AC10C1" w:rsidRPr="00AC10C1">
        <w:rPr>
          <w:rFonts w:ascii="Segoe UI Light" w:eastAsia="Segoe UI Light" w:hAnsi="Segoe UI Light" w:cs="Segoe UI Light"/>
          <w:szCs w:val="22"/>
        </w:rPr>
        <w:t xml:space="preserve"> </w:t>
      </w:r>
      <w:r w:rsidR="00AC10C1" w:rsidRPr="008523D5">
        <w:rPr>
          <w:rFonts w:ascii="Segoe UI Light" w:eastAsia="Segoe UI Light" w:hAnsi="Segoe UI Light" w:cs="Segoe UI Light"/>
          <w:szCs w:val="22"/>
        </w:rPr>
        <w:t>published to the OIA website in 2026-27 up to 1 October 2026</w:t>
      </w:r>
      <w:r w:rsidR="00AC10C1">
        <w:rPr>
          <w:rFonts w:ascii="Segoe UI Light" w:eastAsia="Segoe UI Light" w:hAnsi="Segoe UI Light" w:cs="Segoe UI Light"/>
          <w:szCs w:val="22"/>
        </w:rPr>
        <w:t xml:space="preserve">. </w:t>
      </w:r>
      <w:r w:rsidR="00A13E52" w:rsidRPr="008523D5">
        <w:rPr>
          <w:rFonts w:ascii="Segoe UI Light" w:eastAsia="Segoe UI Light" w:hAnsi="Segoe UI Light" w:cs="Segoe UI Light"/>
          <w:szCs w:val="22"/>
        </w:rPr>
        <w:t xml:space="preserve"> </w:t>
      </w:r>
    </w:p>
    <w:p w14:paraId="76D671FC" w14:textId="2C1870C5" w:rsidR="00CD00C6" w:rsidRDefault="00CD00C6" w:rsidP="00CD00C6">
      <w:pPr>
        <w:pStyle w:val="Subtitle"/>
        <w:numPr>
          <w:ilvl w:val="0"/>
          <w:numId w:val="46"/>
        </w:numPr>
        <w:spacing w:line="288" w:lineRule="auto"/>
        <w:rPr>
          <w:rFonts w:ascii="Segoe UI" w:eastAsia="Segoe UI" w:hAnsi="Segoe UI" w:cs="Segoe UI"/>
          <w:sz w:val="22"/>
          <w:szCs w:val="22"/>
        </w:rPr>
      </w:pPr>
      <w:r>
        <w:rPr>
          <w:rFonts w:ascii="Segoe UI Light" w:eastAsia="Segoe UI Light" w:hAnsi="Segoe UI Light" w:cs="Segoe UI Light"/>
          <w:sz w:val="22"/>
          <w:szCs w:val="22"/>
        </w:rPr>
        <w:t xml:space="preserve">Published IAs, </w:t>
      </w:r>
      <w:r w:rsidRPr="00CD00C6">
        <w:rPr>
          <w:rFonts w:ascii="Segoe UI Light" w:eastAsia="Segoe UI Light" w:hAnsi="Segoe UI Light" w:cs="Segoe UI Light"/>
          <w:sz w:val="22"/>
          <w:szCs w:val="22"/>
        </w:rPr>
        <w:t xml:space="preserve">Addenda providing additional analysis to an </w:t>
      </w:r>
      <w:r>
        <w:rPr>
          <w:rFonts w:ascii="Segoe UI Light" w:eastAsia="Segoe UI Light" w:hAnsi="Segoe UI Light" w:cs="Segoe UI Light"/>
          <w:sz w:val="22"/>
          <w:szCs w:val="22"/>
        </w:rPr>
        <w:t>IA and IAs</w:t>
      </w:r>
      <w:r w:rsidRPr="00CD00C6">
        <w:rPr>
          <w:rFonts w:ascii="Segoe UI Light" w:eastAsia="Segoe UI Light" w:hAnsi="Segoe UI Light" w:cs="Segoe UI Light"/>
          <w:sz w:val="22"/>
          <w:szCs w:val="22"/>
        </w:rPr>
        <w:t xml:space="preserve"> for remaking relevant sunsetting legislative instruments</w:t>
      </w:r>
      <w:r>
        <w:rPr>
          <w:rFonts w:ascii="Segoe UI Light" w:eastAsia="Segoe UI Light" w:hAnsi="Segoe UI Light" w:cs="Segoe UI Light"/>
          <w:sz w:val="22"/>
          <w:szCs w:val="22"/>
        </w:rPr>
        <w:t xml:space="preserve"> </w:t>
      </w:r>
      <w:r w:rsidRPr="4691396C">
        <w:rPr>
          <w:rFonts w:ascii="Segoe UI Light" w:eastAsia="Segoe UI Light" w:hAnsi="Segoe UI Light" w:cs="Segoe UI Light"/>
          <w:sz w:val="22"/>
          <w:szCs w:val="22"/>
        </w:rPr>
        <w:t>are available on the OIA website</w:t>
      </w:r>
      <w:r>
        <w:rPr>
          <w:rFonts w:ascii="Segoe UI Light" w:eastAsia="Segoe UI Light" w:hAnsi="Segoe UI Light" w:cs="Segoe UI Light"/>
          <w:sz w:val="22"/>
          <w:szCs w:val="22"/>
        </w:rPr>
        <w:t xml:space="preserve">: </w:t>
      </w:r>
      <w:hyperlink r:id="rId13" w:history="1">
        <w:r w:rsidRPr="00D20F51">
          <w:rPr>
            <w:rFonts w:eastAsiaTheme="minorEastAsia" w:cstheme="minorBidi"/>
            <w:noProof w:val="0"/>
            <w:color w:val="0000FF"/>
            <w:sz w:val="22"/>
            <w:szCs w:val="22"/>
            <w:u w:val="single"/>
          </w:rPr>
          <w:t>Published impact analyses | The Office of Impact Analysis</w:t>
        </w:r>
      </w:hyperlink>
      <w:r w:rsidRPr="00D20F51">
        <w:rPr>
          <w:rFonts w:ascii="Segoe UI Light" w:eastAsia="Segoe UI Light" w:hAnsi="Segoe UI Light" w:cs="Segoe UI Light"/>
          <w:sz w:val="22"/>
          <w:szCs w:val="22"/>
        </w:rPr>
        <w:t>.</w:t>
      </w:r>
      <w:r w:rsidRPr="4691396C">
        <w:rPr>
          <w:rFonts w:ascii="Segoe UI Light" w:eastAsia="Segoe UI Light" w:hAnsi="Segoe UI Light" w:cs="Segoe UI Light"/>
          <w:sz w:val="22"/>
          <w:szCs w:val="22"/>
        </w:rPr>
        <w:t> </w:t>
      </w:r>
    </w:p>
    <w:p w14:paraId="7EA415BA" w14:textId="77777777" w:rsidR="00A45F61" w:rsidRPr="00A45F61" w:rsidRDefault="009F4A59" w:rsidP="00A45F61">
      <w:pPr>
        <w:pStyle w:val="Subtitle"/>
        <w:numPr>
          <w:ilvl w:val="0"/>
          <w:numId w:val="46"/>
        </w:numPr>
        <w:spacing w:line="288" w:lineRule="auto"/>
        <w:rPr>
          <w:rFonts w:ascii="Segoe UI" w:eastAsia="Segoe UI" w:hAnsi="Segoe UI" w:cs="Segoe UI"/>
          <w:sz w:val="22"/>
          <w:szCs w:val="22"/>
        </w:rPr>
      </w:pPr>
      <w:r w:rsidRPr="008523D5">
        <w:rPr>
          <w:rFonts w:ascii="Segoe UI Light" w:eastAsia="Segoe UI Light" w:hAnsi="Segoe UI Light" w:cs="Segoe UI Light"/>
          <w:sz w:val="22"/>
          <w:szCs w:val="22"/>
        </w:rPr>
        <w:t xml:space="preserve">IA </w:t>
      </w:r>
      <w:r w:rsidRPr="4691396C">
        <w:rPr>
          <w:rFonts w:ascii="Segoe UI Light" w:eastAsia="Segoe UI Light" w:hAnsi="Segoe UI Light" w:cs="Segoe UI Light"/>
          <w:sz w:val="22"/>
          <w:szCs w:val="22"/>
        </w:rPr>
        <w:t xml:space="preserve">reports for previous years are also available on the OIA website: </w:t>
      </w:r>
      <w:hyperlink r:id="rId14">
        <w:r w:rsidR="005D1B80" w:rsidRPr="4691396C">
          <w:rPr>
            <w:rFonts w:eastAsiaTheme="minorEastAsia" w:cstheme="minorBidi"/>
            <w:noProof w:val="0"/>
            <w:color w:val="0000FF"/>
            <w:sz w:val="22"/>
            <w:szCs w:val="22"/>
            <w:u w:val="single"/>
          </w:rPr>
          <w:t>Summary Reports | The Office of Impact Analysis</w:t>
        </w:r>
      </w:hyperlink>
      <w:r w:rsidRPr="4691396C">
        <w:rPr>
          <w:rFonts w:ascii="Segoe UI Light" w:eastAsia="Segoe UI Light" w:hAnsi="Segoe UI Light" w:cs="Segoe UI Light"/>
          <w:sz w:val="22"/>
          <w:szCs w:val="22"/>
        </w:rPr>
        <w:t xml:space="preserve">. </w:t>
      </w:r>
    </w:p>
    <w:p w14:paraId="1DB6DBE1" w14:textId="5271803D" w:rsidR="009B4166" w:rsidRDefault="009F4A59" w:rsidP="0097624A">
      <w:pPr>
        <w:pStyle w:val="Subtitle"/>
        <w:spacing w:line="288" w:lineRule="auto"/>
        <w:rPr>
          <w:rFonts w:ascii="Segoe UI" w:eastAsia="Segoe UI" w:hAnsi="Segoe UI" w:cs="Segoe UI"/>
          <w:sz w:val="22"/>
          <w:szCs w:val="22"/>
        </w:rPr>
      </w:pPr>
      <w:r>
        <w:rPr>
          <w:rFonts w:ascii="Segoe UI Light" w:eastAsia="Segoe UI Light" w:hAnsi="Segoe UI Light" w:cs="Segoe UI Light"/>
          <w:sz w:val="22"/>
          <w:szCs w:val="22"/>
        </w:rPr>
        <w:t>Department and Agency names in this report reflect their name at the time the IA was published.</w:t>
      </w:r>
    </w:p>
    <w:p w14:paraId="023A6D79" w14:textId="1686733B" w:rsidR="00E4757E" w:rsidRDefault="00E4757E">
      <w:pPr>
        <w:spacing w:after="200"/>
      </w:pPr>
      <w:r>
        <w:br w:type="page"/>
      </w:r>
    </w:p>
    <w:sdt>
      <w:sdtPr>
        <w:rPr>
          <w:rFonts w:asciiTheme="minorHAnsi" w:eastAsiaTheme="minorEastAsia" w:hAnsiTheme="minorHAnsi" w:cstheme="minorBidi"/>
          <w:color w:val="auto"/>
          <w:sz w:val="22"/>
          <w:szCs w:val="22"/>
        </w:rPr>
        <w:id w:val="910926005"/>
        <w:docPartObj>
          <w:docPartGallery w:val="Table of Contents"/>
          <w:docPartUnique/>
        </w:docPartObj>
      </w:sdtPr>
      <w:sdtEndPr/>
      <w:sdtContent>
        <w:p w14:paraId="77109E21" w14:textId="705A64A1" w:rsidR="00117A77" w:rsidRPr="00056010" w:rsidRDefault="009F4A59">
          <w:pPr>
            <w:pStyle w:val="TOCHeading"/>
            <w:rPr>
              <w:rFonts w:asciiTheme="minorHAnsi" w:hAnsiTheme="minorHAnsi" w:cstheme="minorHAnsi"/>
            </w:rPr>
          </w:pPr>
          <w:r>
            <w:t>C</w:t>
          </w:r>
          <w:r w:rsidRPr="00056010">
            <w:rPr>
              <w:rFonts w:cstheme="majorHAnsi"/>
            </w:rPr>
            <w:t>ontents</w:t>
          </w:r>
        </w:p>
        <w:p w14:paraId="62A578F4" w14:textId="6EB258AD" w:rsidR="002A3C05" w:rsidRPr="002A3C05" w:rsidRDefault="009F4A59">
          <w:pPr>
            <w:pStyle w:val="TOC1"/>
            <w:tabs>
              <w:tab w:val="right" w:leader="dot" w:pos="9968"/>
            </w:tabs>
            <w:rPr>
              <w:rFonts w:cstheme="minorHAnsi"/>
              <w:noProof/>
              <w:kern w:val="2"/>
              <w:sz w:val="24"/>
              <w:szCs w:val="24"/>
              <w:lang w:eastAsia="en-AU"/>
              <w14:ligatures w14:val="standardContextual"/>
            </w:rPr>
          </w:pPr>
          <w:r w:rsidRPr="00862D91">
            <w:rPr>
              <w:rStyle w:val="Hyperlink"/>
              <w:rFonts w:eastAsia="Times New Roman"/>
              <w:noProof/>
            </w:rPr>
            <w:fldChar w:fldCharType="begin"/>
          </w:r>
          <w:r w:rsidRPr="00862D91">
            <w:rPr>
              <w:rStyle w:val="Hyperlink"/>
              <w:rFonts w:eastAsia="Times New Roman"/>
              <w:noProof/>
            </w:rPr>
            <w:instrText>TOC \o "1-3" \z \u \h</w:instrText>
          </w:r>
          <w:r w:rsidRPr="00862D91">
            <w:rPr>
              <w:rStyle w:val="Hyperlink"/>
              <w:rFonts w:eastAsia="Times New Roman"/>
              <w:noProof/>
            </w:rPr>
            <w:fldChar w:fldCharType="separate"/>
          </w:r>
          <w:hyperlink w:anchor="_Toc243562612" w:history="1">
            <w:r w:rsidR="002A3C05" w:rsidRPr="002A3C05">
              <w:rPr>
                <w:rStyle w:val="Hyperlink"/>
                <w:rFonts w:eastAsia="Times New Roman" w:cstheme="minorHAnsi"/>
                <w:noProof/>
              </w:rPr>
              <w:t>Summary of Impact Analyses,</w:t>
            </w:r>
            <w:r w:rsidR="002A3C05" w:rsidRPr="002A3C05">
              <w:rPr>
                <w:rStyle w:val="Hyperlink"/>
                <w:rFonts w:cstheme="minorHAnsi"/>
                <w:noProof/>
              </w:rPr>
              <w:t xml:space="preserve"> 2026</w:t>
            </w:r>
            <w:r w:rsidR="002A3C05" w:rsidRPr="002A3C05">
              <w:rPr>
                <w:rStyle w:val="Hyperlink"/>
                <w:rFonts w:cstheme="minorHAnsi"/>
                <w:noProof/>
              </w:rPr>
              <w:noBreakHyphen/>
              <w:t>27</w:t>
            </w:r>
            <w:r w:rsidR="002A3C05" w:rsidRPr="002A3C05">
              <w:rPr>
                <w:rFonts w:cstheme="minorHAnsi"/>
                <w:noProof/>
                <w:webHidden/>
              </w:rPr>
              <w:tab/>
            </w:r>
            <w:r w:rsidR="002A3C05" w:rsidRPr="002A3C05">
              <w:rPr>
                <w:rFonts w:cstheme="minorHAnsi"/>
                <w:noProof/>
                <w:webHidden/>
              </w:rPr>
              <w:fldChar w:fldCharType="begin"/>
            </w:r>
            <w:r w:rsidR="002A3C05" w:rsidRPr="002A3C05">
              <w:rPr>
                <w:rFonts w:cstheme="minorHAnsi"/>
                <w:noProof/>
                <w:webHidden/>
              </w:rPr>
              <w:instrText xml:space="preserve"> PAGEREF _Toc243562612 \h </w:instrText>
            </w:r>
            <w:r w:rsidR="002A3C05" w:rsidRPr="002A3C05">
              <w:rPr>
                <w:rFonts w:cstheme="minorHAnsi"/>
                <w:noProof/>
                <w:webHidden/>
              </w:rPr>
            </w:r>
            <w:r w:rsidR="002A3C05" w:rsidRPr="002A3C05">
              <w:rPr>
                <w:rFonts w:cstheme="minorHAnsi"/>
                <w:noProof/>
                <w:webHidden/>
              </w:rPr>
              <w:fldChar w:fldCharType="separate"/>
            </w:r>
            <w:r w:rsidR="002A3C05" w:rsidRPr="002A3C05">
              <w:rPr>
                <w:rFonts w:cstheme="minorHAnsi"/>
                <w:noProof/>
                <w:webHidden/>
              </w:rPr>
              <w:t>3</w:t>
            </w:r>
            <w:r w:rsidR="002A3C05" w:rsidRPr="002A3C05">
              <w:rPr>
                <w:rFonts w:cstheme="minorHAnsi"/>
                <w:noProof/>
                <w:webHidden/>
              </w:rPr>
              <w:fldChar w:fldCharType="end"/>
            </w:r>
          </w:hyperlink>
        </w:p>
        <w:p w14:paraId="011E1AC3" w14:textId="7B857F4B" w:rsidR="002A3C05" w:rsidRPr="002A3C05" w:rsidRDefault="002A3C05">
          <w:pPr>
            <w:pStyle w:val="TOC1"/>
            <w:tabs>
              <w:tab w:val="right" w:leader="dot" w:pos="9968"/>
            </w:tabs>
            <w:rPr>
              <w:rFonts w:cstheme="minorHAnsi"/>
              <w:noProof/>
              <w:kern w:val="2"/>
              <w:sz w:val="24"/>
              <w:szCs w:val="24"/>
              <w:lang w:eastAsia="en-AU"/>
              <w14:ligatures w14:val="standardContextual"/>
            </w:rPr>
          </w:pPr>
          <w:hyperlink w:anchor="_Toc243562613" w:history="1">
            <w:r w:rsidRPr="002A3C05">
              <w:rPr>
                <w:rStyle w:val="Hyperlink"/>
                <w:rFonts w:eastAsia="Times New Roman" w:cstheme="minorHAnsi"/>
                <w:noProof/>
              </w:rPr>
              <w:t xml:space="preserve">Impact Analysis by Agency, </w:t>
            </w:r>
            <w:r w:rsidRPr="002A3C05">
              <w:rPr>
                <w:rStyle w:val="Hyperlink"/>
                <w:rFonts w:cstheme="minorHAnsi"/>
                <w:noProof/>
              </w:rPr>
              <w:t>2026</w:t>
            </w:r>
            <w:r w:rsidRPr="002A3C05">
              <w:rPr>
                <w:rStyle w:val="Hyperlink"/>
                <w:rFonts w:cstheme="minorHAnsi"/>
                <w:noProof/>
              </w:rPr>
              <w:noBreakHyphen/>
              <w:t>27</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_Toc243562613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3</w:t>
            </w:r>
            <w:r w:rsidRPr="002A3C05">
              <w:rPr>
                <w:rFonts w:cstheme="minorHAnsi"/>
                <w:noProof/>
                <w:webHidden/>
              </w:rPr>
              <w:fldChar w:fldCharType="end"/>
            </w:r>
          </w:hyperlink>
        </w:p>
        <w:p w14:paraId="7AF55073" w14:textId="5979777C" w:rsidR="002A3C05" w:rsidRPr="002A3C05" w:rsidRDefault="002A3C05">
          <w:pPr>
            <w:pStyle w:val="TOC2"/>
            <w:rPr>
              <w:rFonts w:cstheme="minorHAnsi"/>
              <w:noProof/>
              <w:kern w:val="2"/>
              <w:sz w:val="24"/>
              <w:szCs w:val="24"/>
              <w:lang w:eastAsia="en-AU"/>
              <w14:ligatures w14:val="standardContextual"/>
            </w:rPr>
          </w:pPr>
          <w:hyperlink w:anchor="_Toc243562614" w:history="1">
            <w:r w:rsidRPr="002A3C05">
              <w:rPr>
                <w:rStyle w:val="Hyperlink"/>
                <w:rFonts w:eastAsia="Times New Roman" w:cstheme="minorHAnsi"/>
                <w:noProof/>
              </w:rPr>
              <w:t>Australian Securities and Investments Commission</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_Toc243562614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3</w:t>
            </w:r>
            <w:r w:rsidRPr="002A3C05">
              <w:rPr>
                <w:rFonts w:cstheme="minorHAnsi"/>
                <w:noProof/>
                <w:webHidden/>
              </w:rPr>
              <w:fldChar w:fldCharType="end"/>
            </w:r>
          </w:hyperlink>
        </w:p>
        <w:p w14:paraId="301C5306" w14:textId="560D5C4D" w:rsidR="002A3C05" w:rsidRPr="002A3C05" w:rsidRDefault="002A3C05">
          <w:pPr>
            <w:pStyle w:val="TOC2"/>
            <w:rPr>
              <w:rFonts w:cstheme="minorHAnsi"/>
              <w:noProof/>
              <w:kern w:val="2"/>
              <w:sz w:val="24"/>
              <w:szCs w:val="24"/>
              <w:lang w:eastAsia="en-AU"/>
              <w14:ligatures w14:val="standardContextual"/>
            </w:rPr>
          </w:pPr>
          <w:hyperlink w:anchor="_Toc243562615" w:history="1">
            <w:r w:rsidRPr="002A3C05">
              <w:rPr>
                <w:rStyle w:val="Hyperlink"/>
                <w:rFonts w:eastAsia="Times New Roman" w:cstheme="minorHAnsi"/>
                <w:noProof/>
              </w:rPr>
              <w:t>Department of Climate Change, Energy, the Environment and Water</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_Toc243562615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4</w:t>
            </w:r>
            <w:r w:rsidRPr="002A3C05">
              <w:rPr>
                <w:rFonts w:cstheme="minorHAnsi"/>
                <w:noProof/>
                <w:webHidden/>
              </w:rPr>
              <w:fldChar w:fldCharType="end"/>
            </w:r>
          </w:hyperlink>
        </w:p>
        <w:p w14:paraId="49A9ED50" w14:textId="22E11336" w:rsidR="002A3C05" w:rsidRPr="002A3C05" w:rsidRDefault="002A3C05">
          <w:pPr>
            <w:pStyle w:val="TOC2"/>
            <w:rPr>
              <w:rFonts w:cstheme="minorHAnsi"/>
              <w:noProof/>
              <w:kern w:val="2"/>
              <w:sz w:val="24"/>
              <w:szCs w:val="24"/>
              <w:lang w:eastAsia="en-AU"/>
              <w14:ligatures w14:val="standardContextual"/>
            </w:rPr>
          </w:pPr>
          <w:hyperlink w:anchor="_Toc243562616" w:history="1">
            <w:r w:rsidRPr="002A3C05">
              <w:rPr>
                <w:rStyle w:val="Hyperlink"/>
                <w:rFonts w:eastAsia="Times New Roman" w:cstheme="minorHAnsi"/>
                <w:noProof/>
              </w:rPr>
              <w:t>Department of Defence</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_Toc243562616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4</w:t>
            </w:r>
            <w:r w:rsidRPr="002A3C05">
              <w:rPr>
                <w:rFonts w:cstheme="minorHAnsi"/>
                <w:noProof/>
                <w:webHidden/>
              </w:rPr>
              <w:fldChar w:fldCharType="end"/>
            </w:r>
          </w:hyperlink>
        </w:p>
        <w:p w14:paraId="1701F1A1" w14:textId="45229600" w:rsidR="002A3C05" w:rsidRPr="002A3C05" w:rsidRDefault="002A3C05">
          <w:pPr>
            <w:pStyle w:val="TOC2"/>
            <w:rPr>
              <w:rFonts w:cstheme="minorHAnsi"/>
              <w:noProof/>
              <w:kern w:val="2"/>
              <w:sz w:val="24"/>
              <w:szCs w:val="24"/>
              <w:lang w:eastAsia="en-AU"/>
              <w14:ligatures w14:val="standardContextual"/>
            </w:rPr>
          </w:pPr>
          <w:hyperlink w:anchor="_Toc243562617" w:history="1">
            <w:r w:rsidRPr="002A3C05">
              <w:rPr>
                <w:rStyle w:val="Hyperlink"/>
                <w:rFonts w:eastAsia="Times New Roman" w:cstheme="minorHAnsi"/>
                <w:noProof/>
              </w:rPr>
              <w:t>Department of Health, Disability and Ageing</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_Toc243562617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5</w:t>
            </w:r>
            <w:r w:rsidRPr="002A3C05">
              <w:rPr>
                <w:rFonts w:cstheme="minorHAnsi"/>
                <w:noProof/>
                <w:webHidden/>
              </w:rPr>
              <w:fldChar w:fldCharType="end"/>
            </w:r>
          </w:hyperlink>
        </w:p>
        <w:p w14:paraId="409F5F9E" w14:textId="107B15B9" w:rsidR="002A3C05" w:rsidRPr="002A3C05" w:rsidRDefault="002A3C05">
          <w:pPr>
            <w:pStyle w:val="TOC2"/>
            <w:rPr>
              <w:rFonts w:cstheme="minorHAnsi"/>
              <w:noProof/>
              <w:kern w:val="2"/>
              <w:sz w:val="24"/>
              <w:szCs w:val="24"/>
              <w:lang w:eastAsia="en-AU"/>
              <w14:ligatures w14:val="standardContextual"/>
            </w:rPr>
          </w:pPr>
          <w:hyperlink w:anchor="_Toc243562618" w:history="1">
            <w:r w:rsidRPr="002A3C05">
              <w:rPr>
                <w:rStyle w:val="Hyperlink"/>
                <w:rFonts w:eastAsia="Times New Roman" w:cstheme="minorHAnsi"/>
                <w:noProof/>
              </w:rPr>
              <w:t>Department of Home Affairs</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_Toc243562618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5</w:t>
            </w:r>
            <w:r w:rsidRPr="002A3C05">
              <w:rPr>
                <w:rFonts w:cstheme="minorHAnsi"/>
                <w:noProof/>
                <w:webHidden/>
              </w:rPr>
              <w:fldChar w:fldCharType="end"/>
            </w:r>
          </w:hyperlink>
        </w:p>
        <w:p w14:paraId="3D23F7BB" w14:textId="735BE03C" w:rsidR="002A3C05" w:rsidRPr="002A3C05" w:rsidRDefault="002A3C05">
          <w:pPr>
            <w:pStyle w:val="TOC2"/>
            <w:rPr>
              <w:rFonts w:cstheme="minorHAnsi"/>
              <w:noProof/>
              <w:kern w:val="2"/>
              <w:sz w:val="24"/>
              <w:szCs w:val="24"/>
              <w:lang w:eastAsia="en-AU"/>
              <w14:ligatures w14:val="standardContextual"/>
            </w:rPr>
          </w:pPr>
          <w:hyperlink w:anchor="_Toc243562619" w:history="1">
            <w:r w:rsidRPr="002A3C05">
              <w:rPr>
                <w:rStyle w:val="Hyperlink"/>
                <w:rFonts w:eastAsia="Times New Roman" w:cstheme="minorHAnsi"/>
                <w:noProof/>
              </w:rPr>
              <w:t>Department of Infrastructure, Transport, Regional Development, Communications, Sport and the Arts</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_Toc243562619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5</w:t>
            </w:r>
            <w:r w:rsidRPr="002A3C05">
              <w:rPr>
                <w:rFonts w:cstheme="minorHAnsi"/>
                <w:noProof/>
                <w:webHidden/>
              </w:rPr>
              <w:fldChar w:fldCharType="end"/>
            </w:r>
          </w:hyperlink>
        </w:p>
        <w:p w14:paraId="27E397C7" w14:textId="3B49EE4E" w:rsidR="002A3C05" w:rsidRPr="002A3C05" w:rsidRDefault="002A3C05">
          <w:pPr>
            <w:pStyle w:val="TOC2"/>
            <w:rPr>
              <w:rFonts w:cstheme="minorHAnsi"/>
              <w:noProof/>
              <w:kern w:val="2"/>
              <w:sz w:val="24"/>
              <w:szCs w:val="24"/>
              <w:lang w:eastAsia="en-AU"/>
              <w14:ligatures w14:val="standardContextual"/>
            </w:rPr>
          </w:pPr>
          <w:hyperlink w:anchor="_Toc243562620" w:history="1">
            <w:r w:rsidRPr="002A3C05">
              <w:rPr>
                <w:rStyle w:val="Hyperlink"/>
                <w:rFonts w:eastAsia="Times New Roman" w:cstheme="minorHAnsi"/>
                <w:noProof/>
              </w:rPr>
              <w:t>Department of the Treasury</w:t>
            </w:r>
            <w:r w:rsidRPr="002A3C05">
              <w:rPr>
                <w:rFonts w:cstheme="minorHAnsi"/>
                <w:noProof/>
                <w:webHidden/>
              </w:rPr>
              <w:tab/>
            </w:r>
            <w:r w:rsidRPr="002A3C05">
              <w:rPr>
                <w:rFonts w:cstheme="minorHAnsi"/>
                <w:noProof/>
                <w:webHidden/>
              </w:rPr>
              <w:fldChar w:fldCharType="begin"/>
            </w:r>
            <w:r w:rsidRPr="002A3C05">
              <w:rPr>
                <w:rFonts w:cstheme="minorHAnsi"/>
                <w:noProof/>
                <w:webHidden/>
              </w:rPr>
              <w:instrText xml:space="preserve"> PAGEREF _Toc243562620 \h </w:instrText>
            </w:r>
            <w:r w:rsidRPr="002A3C05">
              <w:rPr>
                <w:rFonts w:cstheme="minorHAnsi"/>
                <w:noProof/>
                <w:webHidden/>
              </w:rPr>
            </w:r>
            <w:r w:rsidRPr="002A3C05">
              <w:rPr>
                <w:rFonts w:cstheme="minorHAnsi"/>
                <w:noProof/>
                <w:webHidden/>
              </w:rPr>
              <w:fldChar w:fldCharType="separate"/>
            </w:r>
            <w:r w:rsidRPr="002A3C05">
              <w:rPr>
                <w:rFonts w:cstheme="minorHAnsi"/>
                <w:noProof/>
                <w:webHidden/>
              </w:rPr>
              <w:t>6</w:t>
            </w:r>
            <w:r w:rsidRPr="002A3C05">
              <w:rPr>
                <w:rFonts w:cstheme="minorHAnsi"/>
                <w:noProof/>
                <w:webHidden/>
              </w:rPr>
              <w:fldChar w:fldCharType="end"/>
            </w:r>
          </w:hyperlink>
        </w:p>
        <w:p w14:paraId="0156FB41" w14:textId="614274C6" w:rsidR="005278B0" w:rsidRDefault="009F4A59" w:rsidP="005278B0">
          <w:pPr>
            <w:pStyle w:val="TOC2"/>
            <w:rPr>
              <w:szCs w:val="22"/>
            </w:rPr>
          </w:pPr>
          <w:r w:rsidRPr="00862D91">
            <w:rPr>
              <w:rStyle w:val="Hyperlink"/>
              <w:rFonts w:eastAsia="Times New Roman"/>
              <w:noProof/>
            </w:rPr>
            <w:fldChar w:fldCharType="end"/>
          </w:r>
        </w:p>
      </w:sdtContent>
    </w:sdt>
    <w:p w14:paraId="397CE7B7" w14:textId="6AB6C957" w:rsidR="76F06CAC" w:rsidRPr="005278B0" w:rsidRDefault="009F4A59" w:rsidP="005278B0">
      <w:pPr>
        <w:pStyle w:val="TOC2"/>
        <w:rPr>
          <w:color w:val="3266AB" w:themeColor="hyperlink"/>
          <w:u w:val="single"/>
        </w:rPr>
      </w:pPr>
      <w:r>
        <w:br w:type="page"/>
      </w:r>
    </w:p>
    <w:p w14:paraId="4A4CE8C2" w14:textId="626FA25D" w:rsidR="2CFBF78B" w:rsidRPr="00112E5A" w:rsidRDefault="009F4A59" w:rsidP="71E2E32C">
      <w:pPr>
        <w:pStyle w:val="Heading1"/>
        <w:rPr>
          <w:highlight w:val="yellow"/>
        </w:rPr>
      </w:pPr>
      <w:bookmarkStart w:id="0" w:name="_Toc229664789"/>
      <w:bookmarkStart w:id="1" w:name="_Toc243562612"/>
      <w:r w:rsidRPr="2EB90531">
        <w:rPr>
          <w:rFonts w:eastAsia="Times New Roman"/>
        </w:rPr>
        <w:t>S</w:t>
      </w:r>
      <w:r w:rsidR="508C33C0" w:rsidRPr="2EB90531">
        <w:rPr>
          <w:rFonts w:eastAsia="Times New Roman"/>
        </w:rPr>
        <w:t>ummary</w:t>
      </w:r>
      <w:bookmarkEnd w:id="0"/>
      <w:r w:rsidR="00112E5A">
        <w:rPr>
          <w:rFonts w:eastAsia="Times New Roman"/>
        </w:rPr>
        <w:t xml:space="preserve"> </w:t>
      </w:r>
      <w:r w:rsidR="001412E0" w:rsidRPr="2EB90531">
        <w:rPr>
          <w:rFonts w:eastAsia="Times New Roman"/>
        </w:rPr>
        <w:t xml:space="preserve">of </w:t>
      </w:r>
      <w:r w:rsidR="001412E0">
        <w:rPr>
          <w:rFonts w:eastAsia="Times New Roman"/>
        </w:rPr>
        <w:t>Impact Analyses</w:t>
      </w:r>
      <w:r w:rsidR="00862D91">
        <w:rPr>
          <w:rFonts w:eastAsia="Times New Roman"/>
        </w:rPr>
        <w:t>,</w:t>
      </w:r>
      <w:r w:rsidR="001412E0" w:rsidRPr="00DB08BA">
        <w:t xml:space="preserve"> </w:t>
      </w:r>
      <w:r w:rsidR="00112E5A" w:rsidRPr="00DB08BA">
        <w:t>2026</w:t>
      </w:r>
      <w:r w:rsidR="00112E5A">
        <w:noBreakHyphen/>
      </w:r>
      <w:r w:rsidR="00112E5A" w:rsidRPr="00DB08BA">
        <w:t>2</w:t>
      </w:r>
      <w:r w:rsidR="00112E5A">
        <w:t>7</w:t>
      </w:r>
      <w:bookmarkEnd w:id="1"/>
    </w:p>
    <w:p w14:paraId="62956C2D" w14:textId="74E0160A" w:rsidR="508C33C0" w:rsidRPr="008523D5" w:rsidRDefault="009F4A59" w:rsidP="66168F70">
      <w:pPr>
        <w:spacing w:before="240"/>
      </w:pPr>
      <w:r w:rsidRPr="23E89FA7">
        <w:rPr>
          <w:rFonts w:ascii="Segoe UI" w:eastAsia="Segoe UI" w:hAnsi="Segoe UI" w:cs="Segoe UI"/>
          <w:color w:val="3266AB"/>
        </w:rPr>
        <w:t xml:space="preserve">Table 1. </w:t>
      </w:r>
      <w:r w:rsidR="00112E5A">
        <w:rPr>
          <w:rFonts w:ascii="Segoe UI" w:eastAsia="Segoe UI" w:hAnsi="Segoe UI" w:cs="Segoe UI"/>
          <w:color w:val="3266AB"/>
        </w:rPr>
        <w:t>S</w:t>
      </w:r>
      <w:r w:rsidRPr="23E89FA7">
        <w:rPr>
          <w:rFonts w:ascii="Segoe UI" w:eastAsia="Segoe UI" w:hAnsi="Segoe UI" w:cs="Segoe UI"/>
          <w:color w:val="3266AB"/>
        </w:rPr>
        <w:t xml:space="preserve">ummary of </w:t>
      </w:r>
      <w:r w:rsidR="004F043A" w:rsidRPr="23E89FA7">
        <w:rPr>
          <w:rFonts w:ascii="Segoe UI" w:eastAsia="Segoe UI" w:hAnsi="Segoe UI" w:cs="Segoe UI"/>
          <w:color w:val="3266AB"/>
        </w:rPr>
        <w:t>published</w:t>
      </w:r>
      <w:r w:rsidR="00C70BFA" w:rsidRPr="23E89FA7">
        <w:rPr>
          <w:rFonts w:ascii="Segoe UI" w:eastAsia="Segoe UI" w:hAnsi="Segoe UI" w:cs="Segoe UI"/>
          <w:color w:val="3266AB"/>
        </w:rPr>
        <w:t xml:space="preserve"> IA</w:t>
      </w:r>
      <w:r w:rsidR="00865ACA" w:rsidRPr="23E89FA7">
        <w:rPr>
          <w:rFonts w:ascii="Segoe UI" w:eastAsia="Segoe UI" w:hAnsi="Segoe UI" w:cs="Segoe UI"/>
          <w:color w:val="3266AB"/>
        </w:rPr>
        <w:t>,</w:t>
      </w:r>
      <w:r w:rsidR="00850D09" w:rsidRPr="23E89FA7">
        <w:rPr>
          <w:rFonts w:ascii="Segoe UI" w:eastAsia="Segoe UI" w:hAnsi="Segoe UI" w:cs="Segoe UI"/>
          <w:color w:val="3266AB"/>
        </w:rPr>
        <w:t xml:space="preserve"> </w:t>
      </w:r>
      <w:r w:rsidR="00865ACA" w:rsidRPr="008523D5">
        <w:rPr>
          <w:rFonts w:ascii="Segoe UI" w:eastAsia="Segoe UI" w:hAnsi="Segoe UI" w:cs="Segoe UI"/>
          <w:color w:val="3266AB"/>
        </w:rPr>
        <w:t>as at</w:t>
      </w:r>
      <w:r w:rsidR="006931BD" w:rsidRPr="008523D5">
        <w:rPr>
          <w:rFonts w:ascii="Segoe UI" w:eastAsia="Segoe UI" w:hAnsi="Segoe UI" w:cs="Segoe UI"/>
          <w:color w:val="3266AB"/>
        </w:rPr>
        <w:t xml:space="preserve"> </w:t>
      </w:r>
      <w:r w:rsidR="4EAEC15B" w:rsidRPr="008523D5">
        <w:rPr>
          <w:rFonts w:ascii="Segoe UI" w:eastAsia="Segoe UI" w:hAnsi="Segoe UI" w:cs="Segoe UI"/>
          <w:color w:val="3266AB"/>
        </w:rPr>
        <w:t xml:space="preserve">1 October </w:t>
      </w:r>
      <w:r w:rsidR="006931BD" w:rsidRPr="008523D5">
        <w:rPr>
          <w:rFonts w:ascii="Segoe UI" w:eastAsia="Segoe UI" w:hAnsi="Segoe UI" w:cs="Segoe UI"/>
          <w:color w:val="3266AB"/>
        </w:rPr>
        <w:t>202</w:t>
      </w:r>
      <w:r w:rsidR="00B71923" w:rsidRPr="008523D5">
        <w:rPr>
          <w:rFonts w:ascii="Segoe UI" w:eastAsia="Segoe UI" w:hAnsi="Segoe UI" w:cs="Segoe UI"/>
          <w:color w:val="3266AB"/>
        </w:rPr>
        <w:t>6</w:t>
      </w:r>
    </w:p>
    <w:tbl>
      <w:tblPr>
        <w:tblStyle w:val="ListTable4-Accent1"/>
        <w:tblW w:w="5000" w:type="pct"/>
        <w:tblLayout w:type="fixed"/>
        <w:tblLook w:val="0620" w:firstRow="1" w:lastRow="0" w:firstColumn="0" w:lastColumn="0" w:noHBand="1" w:noVBand="1"/>
      </w:tblPr>
      <w:tblGrid>
        <w:gridCol w:w="4979"/>
        <w:gridCol w:w="4979"/>
      </w:tblGrid>
      <w:tr w:rsidR="000E0164" w:rsidRPr="008523D5" w14:paraId="7A06BA3B" w14:textId="77777777" w:rsidTr="00772715">
        <w:trPr>
          <w:cnfStyle w:val="100000000000" w:firstRow="1" w:lastRow="0" w:firstColumn="0" w:lastColumn="0" w:oddVBand="0" w:evenVBand="0" w:oddHBand="0" w:evenHBand="0" w:firstRowFirstColumn="0" w:firstRowLastColumn="0" w:lastRowFirstColumn="0" w:lastRowLastColumn="0"/>
          <w:cantSplit/>
          <w:trHeight w:val="15"/>
          <w:tblHeader/>
        </w:trPr>
        <w:tc>
          <w:tcPr>
            <w:tcW w:w="2500" w:type="pct"/>
            <w:tcBorders>
              <w:top w:val="single" w:sz="8" w:space="0" w:color="192D56"/>
              <w:left w:val="single" w:sz="8" w:space="0" w:color="192D56"/>
              <w:bottom w:val="single" w:sz="8" w:space="0" w:color="192D56"/>
              <w:right w:val="single" w:sz="8" w:space="0" w:color="auto"/>
            </w:tcBorders>
            <w:shd w:val="clear" w:color="auto" w:fill="192D56"/>
            <w:tcMar>
              <w:top w:w="57" w:type="dxa"/>
              <w:left w:w="57" w:type="dxa"/>
              <w:right w:w="57" w:type="dxa"/>
            </w:tcMar>
          </w:tcPr>
          <w:p w14:paraId="0FF98B50" w14:textId="31C9C6BD" w:rsidR="000E0164" w:rsidRPr="008523D5" w:rsidRDefault="000E0164" w:rsidP="00D40D71">
            <w:r w:rsidRPr="008523D5">
              <w:rPr>
                <w:rFonts w:ascii="Segoe UI" w:eastAsia="Segoe UI" w:hAnsi="Segoe UI" w:cs="Segoe UI"/>
                <w:sz w:val="18"/>
                <w:szCs w:val="18"/>
              </w:rPr>
              <w:t>Type</w:t>
            </w:r>
          </w:p>
        </w:tc>
        <w:tc>
          <w:tcPr>
            <w:tcW w:w="2500" w:type="pct"/>
            <w:tcBorders>
              <w:top w:val="single" w:sz="8" w:space="0" w:color="192D56"/>
              <w:left w:val="single" w:sz="8" w:space="0" w:color="auto"/>
              <w:bottom w:val="single" w:sz="8" w:space="0" w:color="192D56"/>
              <w:right w:val="single" w:sz="8" w:space="0" w:color="auto"/>
            </w:tcBorders>
            <w:shd w:val="clear" w:color="auto" w:fill="192D56"/>
            <w:tcMar>
              <w:top w:w="57" w:type="dxa"/>
              <w:left w:w="57" w:type="dxa"/>
              <w:right w:w="57" w:type="dxa"/>
            </w:tcMar>
          </w:tcPr>
          <w:p w14:paraId="18660848" w14:textId="691A471D" w:rsidR="000E0164" w:rsidRPr="008523D5" w:rsidRDefault="000E0164" w:rsidP="00D40D71">
            <w:pPr>
              <w:jc w:val="right"/>
            </w:pPr>
            <w:r w:rsidRPr="008523D5">
              <w:rPr>
                <w:rFonts w:ascii="Segoe UI" w:eastAsia="Segoe UI" w:hAnsi="Segoe UI" w:cs="Segoe UI"/>
                <w:sz w:val="18"/>
                <w:szCs w:val="18"/>
              </w:rPr>
              <w:t>Count</w:t>
            </w:r>
          </w:p>
        </w:tc>
      </w:tr>
      <w:tr w:rsidR="000E0164" w:rsidRPr="008523D5" w14:paraId="52B673A9" w14:textId="77777777" w:rsidTr="009734C3">
        <w:trPr>
          <w:trHeight w:val="15"/>
        </w:trPr>
        <w:tc>
          <w:tcPr>
            <w:tcW w:w="2500" w:type="pct"/>
            <w:tcBorders>
              <w:top w:val="single" w:sz="8" w:space="0" w:color="192D56"/>
              <w:left w:val="single" w:sz="8" w:space="0" w:color="auto"/>
              <w:bottom w:val="single" w:sz="8" w:space="0" w:color="auto"/>
              <w:right w:val="single" w:sz="8" w:space="0" w:color="auto"/>
            </w:tcBorders>
            <w:tcMar>
              <w:top w:w="57" w:type="dxa"/>
              <w:left w:w="57" w:type="dxa"/>
              <w:right w:w="57" w:type="dxa"/>
            </w:tcMar>
          </w:tcPr>
          <w:p w14:paraId="4B9AF1E4" w14:textId="000DF7AD" w:rsidR="000E0164" w:rsidRPr="008523D5" w:rsidRDefault="1F2B4A48" w:rsidP="3130F81B">
            <w:r w:rsidRPr="008523D5">
              <w:rPr>
                <w:rFonts w:ascii="Segoe UI Light" w:eastAsia="Segoe UI Light" w:hAnsi="Segoe UI Light" w:cs="Segoe UI Light"/>
                <w:sz w:val="18"/>
                <w:szCs w:val="18"/>
              </w:rPr>
              <w:t xml:space="preserve">Impact Analysis </w:t>
            </w:r>
          </w:p>
        </w:tc>
        <w:tc>
          <w:tcPr>
            <w:tcW w:w="2500" w:type="pct"/>
            <w:tcBorders>
              <w:top w:val="single" w:sz="8" w:space="0" w:color="192D56"/>
              <w:left w:val="single" w:sz="8" w:space="0" w:color="auto"/>
              <w:bottom w:val="single" w:sz="8" w:space="0" w:color="auto"/>
              <w:right w:val="single" w:sz="8" w:space="0" w:color="auto"/>
            </w:tcBorders>
            <w:tcMar>
              <w:top w:w="57" w:type="dxa"/>
              <w:left w:w="57" w:type="dxa"/>
              <w:right w:w="57" w:type="dxa"/>
            </w:tcMar>
          </w:tcPr>
          <w:p w14:paraId="0F30D8B4" w14:textId="19C5B4C4" w:rsidR="000E0164" w:rsidRPr="008523D5" w:rsidRDefault="00134CA3" w:rsidP="00D40D71">
            <w:pPr>
              <w:jc w:val="right"/>
            </w:pPr>
            <w:r w:rsidRPr="008523D5">
              <w:rPr>
                <w:rFonts w:ascii="Segoe UI Light" w:eastAsia="Segoe UI Light" w:hAnsi="Segoe UI Light" w:cs="Segoe UI Light"/>
                <w:sz w:val="18"/>
                <w:szCs w:val="18"/>
              </w:rPr>
              <w:t>6</w:t>
            </w:r>
          </w:p>
        </w:tc>
      </w:tr>
      <w:tr w:rsidR="00E52ADB" w:rsidRPr="008523D5" w14:paraId="358CEBFC" w14:textId="77777777" w:rsidTr="009734C3">
        <w:trPr>
          <w:trHeight w:val="15"/>
        </w:trPr>
        <w:tc>
          <w:tcPr>
            <w:tcW w:w="2500" w:type="pct"/>
            <w:tcBorders>
              <w:top w:val="single" w:sz="8" w:space="0" w:color="192D56"/>
              <w:left w:val="single" w:sz="8" w:space="0" w:color="auto"/>
              <w:bottom w:val="single" w:sz="8" w:space="0" w:color="auto"/>
              <w:right w:val="single" w:sz="8" w:space="0" w:color="auto"/>
            </w:tcBorders>
            <w:tcMar>
              <w:top w:w="57" w:type="dxa"/>
              <w:left w:w="57" w:type="dxa"/>
              <w:right w:w="57" w:type="dxa"/>
            </w:tcMar>
          </w:tcPr>
          <w:p w14:paraId="112A78F6" w14:textId="1DEBD8C9" w:rsidR="00E52ADB" w:rsidRPr="008523D5" w:rsidDel="00097DF2" w:rsidRDefault="00E52ADB" w:rsidP="76F06CAC">
            <w:pPr>
              <w:rPr>
                <w:rFonts w:ascii="Segoe UI Light" w:eastAsia="Segoe UI Light" w:hAnsi="Segoe UI Light" w:cs="Segoe UI Light"/>
                <w:sz w:val="18"/>
                <w:szCs w:val="18"/>
              </w:rPr>
            </w:pPr>
            <w:r w:rsidRPr="008523D5">
              <w:rPr>
                <w:rFonts w:ascii="Segoe UI Light" w:eastAsia="Segoe UI Light" w:hAnsi="Segoe UI Light" w:cs="Segoe UI Light"/>
                <w:sz w:val="18"/>
                <w:szCs w:val="18"/>
              </w:rPr>
              <w:t xml:space="preserve">Addenda </w:t>
            </w:r>
            <w:r w:rsidR="00890C38">
              <w:rPr>
                <w:rFonts w:ascii="Segoe UI Light" w:eastAsia="Segoe UI Light" w:hAnsi="Segoe UI Light" w:cs="Segoe UI Light"/>
                <w:sz w:val="18"/>
                <w:szCs w:val="18"/>
              </w:rPr>
              <w:t>providing a</w:t>
            </w:r>
            <w:r w:rsidR="00890C38" w:rsidRPr="00890C38">
              <w:rPr>
                <w:rFonts w:ascii="Segoe UI Light" w:eastAsia="Segoe UI Light" w:hAnsi="Segoe UI Light" w:cs="Segoe UI Light"/>
                <w:sz w:val="18"/>
                <w:szCs w:val="18"/>
              </w:rPr>
              <w:t>dditional analysis</w:t>
            </w:r>
            <w:r w:rsidR="00890C38">
              <w:rPr>
                <w:rFonts w:ascii="Segoe UI Light" w:eastAsia="Segoe UI Light" w:hAnsi="Segoe UI Light" w:cs="Segoe UI Light"/>
                <w:sz w:val="18"/>
                <w:szCs w:val="18"/>
              </w:rPr>
              <w:t xml:space="preserve"> to </w:t>
            </w:r>
            <w:r w:rsidR="003218AF">
              <w:rPr>
                <w:rFonts w:ascii="Segoe UI Light" w:eastAsia="Segoe UI Light" w:hAnsi="Segoe UI Light" w:cs="Segoe UI Light"/>
                <w:sz w:val="18"/>
                <w:szCs w:val="18"/>
              </w:rPr>
              <w:t xml:space="preserve">an </w:t>
            </w:r>
            <w:r w:rsidR="00890C38" w:rsidRPr="00890C38">
              <w:rPr>
                <w:rFonts w:ascii="Segoe UI Light" w:eastAsia="Segoe UI Light" w:hAnsi="Segoe UI Light" w:cs="Segoe UI Light"/>
                <w:sz w:val="18"/>
                <w:szCs w:val="18"/>
              </w:rPr>
              <w:t>Impact Analysis</w:t>
            </w:r>
          </w:p>
        </w:tc>
        <w:tc>
          <w:tcPr>
            <w:tcW w:w="2500" w:type="pct"/>
            <w:tcBorders>
              <w:top w:val="single" w:sz="8" w:space="0" w:color="192D56"/>
              <w:left w:val="single" w:sz="8" w:space="0" w:color="auto"/>
              <w:bottom w:val="single" w:sz="8" w:space="0" w:color="auto"/>
              <w:right w:val="single" w:sz="8" w:space="0" w:color="auto"/>
            </w:tcBorders>
            <w:tcMar>
              <w:top w:w="57" w:type="dxa"/>
              <w:left w:w="57" w:type="dxa"/>
              <w:right w:w="57" w:type="dxa"/>
            </w:tcMar>
          </w:tcPr>
          <w:p w14:paraId="256F2FE3" w14:textId="374B1155" w:rsidR="00E52ADB" w:rsidRPr="008523D5" w:rsidDel="0063456B" w:rsidRDefault="00134CA3" w:rsidP="0C99789F">
            <w:pPr>
              <w:jc w:val="right"/>
            </w:pPr>
            <w:r w:rsidRPr="008523D5">
              <w:rPr>
                <w:rFonts w:ascii="Segoe UI Light" w:eastAsia="Segoe UI Light" w:hAnsi="Segoe UI Light" w:cs="Segoe UI Light"/>
                <w:sz w:val="18"/>
                <w:szCs w:val="18"/>
              </w:rPr>
              <w:t>5</w:t>
            </w:r>
          </w:p>
        </w:tc>
      </w:tr>
      <w:tr w:rsidR="00543E74" w14:paraId="547A1A3C" w14:textId="77777777" w:rsidTr="009734C3">
        <w:trPr>
          <w:trHeight w:val="15"/>
        </w:trPr>
        <w:tc>
          <w:tcPr>
            <w:tcW w:w="2500"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F2021B6" w14:textId="71CB01EF" w:rsidR="00543E74" w:rsidRPr="008523D5" w:rsidRDefault="00543E74" w:rsidP="00A82FE5">
            <w:pPr>
              <w:rPr>
                <w:rFonts w:ascii="Segoe UI Light" w:eastAsia="Segoe UI Light" w:hAnsi="Segoe UI Light" w:cs="Segoe UI Light"/>
                <w:sz w:val="18"/>
                <w:szCs w:val="18"/>
              </w:rPr>
            </w:pPr>
            <w:r w:rsidRPr="008523D5">
              <w:rPr>
                <w:rFonts w:ascii="Segoe UI Light" w:eastAsia="Segoe UI Light" w:hAnsi="Segoe UI Light" w:cs="Segoe UI Light"/>
                <w:sz w:val="18"/>
                <w:szCs w:val="18"/>
              </w:rPr>
              <w:t xml:space="preserve">Estimated </w:t>
            </w:r>
            <w:r w:rsidR="00BB6F4E">
              <w:rPr>
                <w:rFonts w:ascii="Segoe UI Light" w:eastAsia="Segoe UI Light" w:hAnsi="Segoe UI Light" w:cs="Segoe UI Light"/>
                <w:sz w:val="18"/>
                <w:szCs w:val="18"/>
              </w:rPr>
              <w:t>A</w:t>
            </w:r>
            <w:r w:rsidRPr="008523D5">
              <w:rPr>
                <w:rFonts w:ascii="Segoe UI Light" w:eastAsia="Segoe UI Light" w:hAnsi="Segoe UI Light" w:cs="Segoe UI Light"/>
                <w:sz w:val="18"/>
                <w:szCs w:val="18"/>
              </w:rPr>
              <w:t>nnual impact on Regulatory Burden</w:t>
            </w:r>
            <w:r w:rsidRPr="00331941">
              <w:rPr>
                <w:vertAlign w:val="superscript"/>
              </w:rPr>
              <w:footnoteReference w:id="1"/>
            </w:r>
          </w:p>
        </w:tc>
        <w:tc>
          <w:tcPr>
            <w:tcW w:w="2500"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EBA19BC" w14:textId="1B54913D" w:rsidR="00543E74" w:rsidRPr="008523D5" w:rsidRDefault="00543E74" w:rsidP="00A82FE5">
            <w:pPr>
              <w:jc w:val="right"/>
              <w:rPr>
                <w:rFonts w:ascii="Segoe UI Light" w:eastAsia="Segoe UI Light" w:hAnsi="Segoe UI Light" w:cs="Segoe UI Light"/>
                <w:sz w:val="18"/>
                <w:szCs w:val="18"/>
              </w:rPr>
            </w:pPr>
            <w:r w:rsidRPr="008523D5">
              <w:rPr>
                <w:rFonts w:ascii="Segoe UI Light" w:eastAsia="Segoe UI Light" w:hAnsi="Segoe UI Light" w:cs="Segoe UI Light"/>
                <w:sz w:val="18"/>
                <w:szCs w:val="18"/>
              </w:rPr>
              <w:t>$</w:t>
            </w:r>
            <w:r w:rsidR="004E300C">
              <w:rPr>
                <w:rFonts w:ascii="Segoe UI Light" w:eastAsia="Segoe UI Light" w:hAnsi="Segoe UI Light" w:cs="Segoe UI Light"/>
                <w:sz w:val="18"/>
                <w:szCs w:val="18"/>
              </w:rPr>
              <w:t>77.4</w:t>
            </w:r>
            <w:r w:rsidRPr="008523D5">
              <w:rPr>
                <w:rFonts w:ascii="Segoe UI Light" w:eastAsia="Segoe UI Light" w:hAnsi="Segoe UI Light" w:cs="Segoe UI Light"/>
                <w:sz w:val="18"/>
                <w:szCs w:val="18"/>
              </w:rPr>
              <w:t xml:space="preserve"> million</w:t>
            </w:r>
          </w:p>
        </w:tc>
      </w:tr>
      <w:tr w:rsidR="2EB22974" w:rsidRPr="008523D5" w14:paraId="2311F5DF" w14:textId="77777777" w:rsidTr="004F188A">
        <w:trPr>
          <w:trHeight w:val="15"/>
        </w:trPr>
        <w:tc>
          <w:tcPr>
            <w:tcW w:w="2500" w:type="pct"/>
            <w:tcBorders>
              <w:top w:val="single" w:sz="8" w:space="0" w:color="192D56"/>
              <w:left w:val="single" w:sz="8" w:space="0" w:color="auto"/>
              <w:bottom w:val="single" w:sz="8" w:space="0" w:color="auto"/>
              <w:right w:val="single" w:sz="8" w:space="0" w:color="auto"/>
            </w:tcBorders>
            <w:shd w:val="clear" w:color="auto" w:fill="FFFFFF" w:themeFill="background1"/>
            <w:tcMar>
              <w:top w:w="57" w:type="dxa"/>
              <w:left w:w="57" w:type="dxa"/>
              <w:right w:w="57" w:type="dxa"/>
            </w:tcMar>
          </w:tcPr>
          <w:p w14:paraId="3035D5D8" w14:textId="03F6DC04" w:rsidR="2EB22974" w:rsidRPr="00E942A1" w:rsidRDefault="00890C38" w:rsidP="2EB22974">
            <w:r w:rsidRPr="008523D5">
              <w:rPr>
                <w:rFonts w:ascii="Segoe UI Light" w:eastAsia="Segoe UI Light" w:hAnsi="Segoe UI Light" w:cs="Segoe UI Light"/>
                <w:sz w:val="18"/>
                <w:szCs w:val="18"/>
              </w:rPr>
              <w:t>Impact Analysis</w:t>
            </w:r>
            <w:r w:rsidR="009A1FA3">
              <w:rPr>
                <w:rFonts w:ascii="Segoe UI Light" w:eastAsia="Segoe UI Light" w:hAnsi="Segoe UI Light" w:cs="Segoe UI Light"/>
                <w:sz w:val="18"/>
                <w:szCs w:val="18"/>
              </w:rPr>
              <w:t xml:space="preserve"> for r</w:t>
            </w:r>
            <w:r w:rsidR="009A1FA3" w:rsidRPr="009A1FA3">
              <w:rPr>
                <w:rFonts w:ascii="Segoe UI Light" w:eastAsia="Segoe UI Light" w:hAnsi="Segoe UI Light" w:cs="Segoe UI Light"/>
                <w:sz w:val="18"/>
                <w:szCs w:val="18"/>
              </w:rPr>
              <w:t xml:space="preserve">emaking </w:t>
            </w:r>
            <w:r w:rsidR="00AB3CFA">
              <w:rPr>
                <w:rFonts w:ascii="Segoe UI Light" w:eastAsia="Segoe UI Light" w:hAnsi="Segoe UI Light" w:cs="Segoe UI Light"/>
                <w:sz w:val="18"/>
                <w:szCs w:val="18"/>
              </w:rPr>
              <w:t xml:space="preserve">relevant </w:t>
            </w:r>
            <w:r w:rsidR="009A1FA3">
              <w:rPr>
                <w:rFonts w:ascii="Segoe UI Light" w:eastAsia="Segoe UI Light" w:hAnsi="Segoe UI Light" w:cs="Segoe UI Light"/>
                <w:sz w:val="18"/>
                <w:szCs w:val="18"/>
              </w:rPr>
              <w:t>s</w:t>
            </w:r>
            <w:r w:rsidR="009A1FA3" w:rsidRPr="009A1FA3">
              <w:rPr>
                <w:rFonts w:ascii="Segoe UI Light" w:eastAsia="Segoe UI Light" w:hAnsi="Segoe UI Light" w:cs="Segoe UI Light"/>
                <w:sz w:val="18"/>
                <w:szCs w:val="18"/>
              </w:rPr>
              <w:t>unsetting legislative instrument</w:t>
            </w:r>
            <w:r w:rsidR="00AB3CFA">
              <w:rPr>
                <w:rFonts w:ascii="Segoe UI Light" w:eastAsia="Segoe UI Light" w:hAnsi="Segoe UI Light" w:cs="Segoe UI Light"/>
                <w:sz w:val="18"/>
                <w:szCs w:val="18"/>
              </w:rPr>
              <w:t>s</w:t>
            </w:r>
            <w:r w:rsidR="00E912A5">
              <w:rPr>
                <w:rStyle w:val="FootnoteReference"/>
                <w:rFonts w:ascii="Segoe UI Light" w:eastAsia="Segoe UI Light" w:hAnsi="Segoe UI Light" w:cs="Segoe UI Light"/>
                <w:sz w:val="18"/>
                <w:szCs w:val="18"/>
              </w:rPr>
              <w:footnoteReference w:id="2"/>
            </w:r>
          </w:p>
        </w:tc>
        <w:tc>
          <w:tcPr>
            <w:tcW w:w="2500" w:type="pct"/>
            <w:tcBorders>
              <w:top w:val="single" w:sz="8" w:space="0" w:color="192D56"/>
              <w:left w:val="single" w:sz="8" w:space="0" w:color="auto"/>
              <w:bottom w:val="single" w:sz="8" w:space="0" w:color="auto"/>
              <w:right w:val="single" w:sz="8" w:space="0" w:color="auto"/>
            </w:tcBorders>
            <w:shd w:val="clear" w:color="auto" w:fill="FFFFFF" w:themeFill="background1"/>
            <w:tcMar>
              <w:top w:w="57" w:type="dxa"/>
              <w:left w:w="57" w:type="dxa"/>
              <w:right w:w="57" w:type="dxa"/>
            </w:tcMar>
          </w:tcPr>
          <w:p w14:paraId="10ED055F" w14:textId="3A02774D" w:rsidR="2EB22974" w:rsidRPr="008523D5" w:rsidRDefault="00134CA3" w:rsidP="2EB22974">
            <w:pPr>
              <w:jc w:val="right"/>
            </w:pPr>
            <w:r w:rsidRPr="00E942A1">
              <w:rPr>
                <w:rFonts w:ascii="Segoe UI Light" w:eastAsia="Segoe UI Light" w:hAnsi="Segoe UI Light" w:cs="Segoe UI Light"/>
                <w:sz w:val="18"/>
                <w:szCs w:val="18"/>
              </w:rPr>
              <w:t>5</w:t>
            </w:r>
          </w:p>
        </w:tc>
      </w:tr>
    </w:tbl>
    <w:p w14:paraId="60969BC8" w14:textId="346C20C1" w:rsidR="00D70B96" w:rsidRPr="00E32381" w:rsidRDefault="009F4A59" w:rsidP="00E32381">
      <w:pPr>
        <w:pStyle w:val="Heading1"/>
        <w:rPr>
          <w:highlight w:val="yellow"/>
        </w:rPr>
      </w:pPr>
      <w:bookmarkStart w:id="2" w:name="_Toc229664790"/>
      <w:bookmarkStart w:id="3" w:name="_Toc243562613"/>
      <w:r w:rsidRPr="2EB90531">
        <w:rPr>
          <w:rFonts w:ascii="Times New Roman" w:eastAsia="Times New Roman" w:hAnsi="Times New Roman" w:cs="Times New Roman"/>
          <w:color w:val="192D56"/>
        </w:rPr>
        <w:t>Impact Analysis by Agency</w:t>
      </w:r>
      <w:r w:rsidR="00862D91">
        <w:rPr>
          <w:rFonts w:ascii="Times New Roman" w:eastAsia="Times New Roman" w:hAnsi="Times New Roman" w:cs="Times New Roman"/>
          <w:color w:val="192D56"/>
        </w:rPr>
        <w:t>,</w:t>
      </w:r>
      <w:r w:rsidRPr="2EB90531">
        <w:rPr>
          <w:rFonts w:ascii="Times New Roman" w:eastAsia="Times New Roman" w:hAnsi="Times New Roman" w:cs="Times New Roman"/>
          <w:color w:val="192D56"/>
        </w:rPr>
        <w:t xml:space="preserve"> </w:t>
      </w:r>
      <w:r w:rsidR="2D6E5706" w:rsidRPr="00DB08BA">
        <w:t>202</w:t>
      </w:r>
      <w:r w:rsidR="00DB08BA" w:rsidRPr="00DB08BA">
        <w:t>6</w:t>
      </w:r>
      <w:r w:rsidR="00295F99">
        <w:noBreakHyphen/>
      </w:r>
      <w:r w:rsidR="2D6E5706" w:rsidRPr="00DB08BA">
        <w:t>2</w:t>
      </w:r>
      <w:bookmarkStart w:id="4" w:name="_Toc229664791"/>
      <w:bookmarkEnd w:id="2"/>
      <w:r w:rsidR="00DB08BA" w:rsidRPr="00DB08BA">
        <w:t>7</w:t>
      </w:r>
      <w:bookmarkEnd w:id="3"/>
    </w:p>
    <w:p w14:paraId="3D4B25F6" w14:textId="4FBE1AAE" w:rsidR="000912DB" w:rsidRDefault="00E44A84" w:rsidP="006B3D88">
      <w:pPr>
        <w:pStyle w:val="Heading2"/>
        <w:rPr>
          <w:rFonts w:ascii="Times New Roman" w:eastAsia="Times New Roman" w:hAnsi="Times New Roman" w:cs="Times New Roman"/>
          <w:color w:val="192D56"/>
        </w:rPr>
      </w:pPr>
      <w:bookmarkStart w:id="5" w:name="_Toc243562614"/>
      <w:r w:rsidRPr="00E44A84">
        <w:rPr>
          <w:rFonts w:ascii="Times New Roman" w:eastAsia="Times New Roman" w:hAnsi="Times New Roman" w:cs="Times New Roman"/>
          <w:color w:val="192D56"/>
        </w:rPr>
        <w:t>Australian Securities and Investments Commission</w:t>
      </w:r>
      <w:bookmarkEnd w:id="5"/>
    </w:p>
    <w:p w14:paraId="3A491D20" w14:textId="203FDFAF" w:rsidR="00A07E60" w:rsidRDefault="00A07E60" w:rsidP="00A07E60">
      <w:pPr>
        <w:pStyle w:val="Caption"/>
      </w:pPr>
      <w:r>
        <w:t xml:space="preserve">Table 2. </w:t>
      </w:r>
      <w:r w:rsidRPr="00A07E60">
        <w:t>Australian Securities and Investments Commission</w:t>
      </w:r>
    </w:p>
    <w:tbl>
      <w:tblPr>
        <w:tblStyle w:val="ListTable4-Accent1"/>
        <w:tblW w:w="5000" w:type="pct"/>
        <w:tblLayout w:type="fixed"/>
        <w:tblLook w:val="0620" w:firstRow="1" w:lastRow="0" w:firstColumn="0" w:lastColumn="0" w:noHBand="1" w:noVBand="1"/>
      </w:tblPr>
      <w:tblGrid>
        <w:gridCol w:w="3770"/>
        <w:gridCol w:w="2458"/>
        <w:gridCol w:w="3730"/>
      </w:tblGrid>
      <w:tr w:rsidR="00AE2D87" w14:paraId="6F4DD4D3" w14:textId="77777777" w:rsidTr="003616EB">
        <w:trPr>
          <w:cnfStyle w:val="100000000000" w:firstRow="1" w:lastRow="0" w:firstColumn="0" w:lastColumn="0" w:oddVBand="0" w:evenVBand="0" w:oddHBand="0" w:evenHBand="0" w:firstRowFirstColumn="0" w:firstRowLastColumn="0" w:lastRowFirstColumn="0" w:lastRowLastColumn="0"/>
          <w:cantSplit/>
          <w:trHeight w:val="15"/>
          <w:tblHeader/>
        </w:trPr>
        <w:tc>
          <w:tcPr>
            <w:tcW w:w="189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1EF1D9B" w14:textId="77777777" w:rsidR="00AE2D87" w:rsidRPr="00DF0B7F" w:rsidRDefault="00AE2D87" w:rsidP="00E72D5C">
            <w:r w:rsidRPr="00DF0B7F">
              <w:rPr>
                <w:rFonts w:ascii="Segoe UI" w:eastAsia="Segoe UI" w:hAnsi="Segoe UI" w:cs="Segoe UI"/>
                <w:sz w:val="18"/>
                <w:szCs w:val="18"/>
              </w:rPr>
              <w:t>Proposal</w:t>
            </w:r>
          </w:p>
        </w:tc>
        <w:tc>
          <w:tcPr>
            <w:tcW w:w="1234"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1D3D1E9" w14:textId="77777777" w:rsidR="00AE2D87" w:rsidRPr="00DF0B7F" w:rsidRDefault="00AE2D87" w:rsidP="00EA66B2">
            <w:pPr>
              <w:jc w:val="right"/>
            </w:pPr>
            <w:r>
              <w:rPr>
                <w:rFonts w:ascii="Segoe UI" w:eastAsia="Segoe UI" w:hAnsi="Segoe UI" w:cs="Segoe UI"/>
                <w:sz w:val="18"/>
                <w:szCs w:val="18"/>
              </w:rPr>
              <w:t>IA type</w:t>
            </w:r>
          </w:p>
        </w:tc>
        <w:tc>
          <w:tcPr>
            <w:tcW w:w="187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56289E4D" w14:textId="14751919" w:rsidR="00AE2D87" w:rsidRPr="00DF0B7F" w:rsidRDefault="00BB6F4E" w:rsidP="00EA66B2">
            <w:pPr>
              <w:jc w:val="right"/>
            </w:pPr>
            <w:r>
              <w:rPr>
                <w:rFonts w:ascii="Segoe UI" w:eastAsia="Segoe UI" w:hAnsi="Segoe UI" w:cs="Segoe UI"/>
                <w:sz w:val="18"/>
                <w:szCs w:val="18"/>
              </w:rPr>
              <w:t xml:space="preserve">Estimated </w:t>
            </w:r>
            <w:r w:rsidR="00AE2D87">
              <w:rPr>
                <w:rFonts w:ascii="Segoe UI" w:eastAsia="Segoe UI" w:hAnsi="Segoe UI" w:cs="Segoe UI"/>
                <w:sz w:val="18"/>
                <w:szCs w:val="18"/>
              </w:rPr>
              <w:t xml:space="preserve">Average </w:t>
            </w:r>
            <w:r w:rsidR="00AE2D87" w:rsidRPr="00DF0B7F">
              <w:rPr>
                <w:rFonts w:ascii="Segoe UI" w:eastAsia="Segoe UI" w:hAnsi="Segoe UI" w:cs="Segoe UI"/>
                <w:sz w:val="18"/>
                <w:szCs w:val="18"/>
              </w:rPr>
              <w:t>Annual</w:t>
            </w:r>
            <w:r w:rsidR="002570DE">
              <w:rPr>
                <w:rFonts w:ascii="Segoe UI" w:eastAsia="Segoe UI" w:hAnsi="Segoe UI" w:cs="Segoe UI"/>
                <w:sz w:val="18"/>
                <w:szCs w:val="18"/>
              </w:rPr>
              <w:t xml:space="preserve"> impact on</w:t>
            </w:r>
            <w:r w:rsidR="00AE2D87" w:rsidRPr="00DF0B7F">
              <w:rPr>
                <w:rFonts w:ascii="Segoe UI" w:eastAsia="Segoe UI" w:hAnsi="Segoe UI" w:cs="Segoe UI"/>
                <w:sz w:val="18"/>
                <w:szCs w:val="18"/>
              </w:rPr>
              <w:t xml:space="preserve"> </w:t>
            </w:r>
            <w:r>
              <w:rPr>
                <w:rFonts w:ascii="Segoe UI" w:eastAsia="Segoe UI" w:hAnsi="Segoe UI" w:cs="Segoe UI"/>
                <w:sz w:val="18"/>
                <w:szCs w:val="18"/>
              </w:rPr>
              <w:br/>
            </w:r>
            <w:r w:rsidR="00AE2D87" w:rsidRPr="00DF0B7F">
              <w:rPr>
                <w:rFonts w:ascii="Segoe UI" w:eastAsia="Segoe UI" w:hAnsi="Segoe UI" w:cs="Segoe UI"/>
                <w:sz w:val="18"/>
                <w:szCs w:val="18"/>
              </w:rPr>
              <w:t>Regulatory Burden ($m)</w:t>
            </w:r>
          </w:p>
        </w:tc>
      </w:tr>
      <w:tr w:rsidR="00B23572" w14:paraId="19F94605" w14:textId="77777777" w:rsidTr="003616EB">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7EA8F3A" w14:textId="5F38F5EE" w:rsidR="00B23572" w:rsidRDefault="00B23572" w:rsidP="000A1EC6">
            <w:pPr>
              <w:rPr>
                <w:rFonts w:ascii="Segoe UI Light" w:eastAsia="Times New Roman" w:hAnsi="Segoe UI Light" w:cs="Segoe UI Light"/>
                <w:sz w:val="18"/>
                <w:szCs w:val="18"/>
                <w:lang w:eastAsia="en-AU"/>
              </w:rPr>
            </w:pPr>
            <w:r w:rsidRPr="00BE76EA">
              <w:rPr>
                <w:rFonts w:ascii="Segoe UI Light" w:eastAsia="Times New Roman" w:hAnsi="Segoe UI Light" w:cs="Segoe UI Light"/>
                <w:sz w:val="18"/>
                <w:szCs w:val="18"/>
                <w:lang w:eastAsia="en-AU"/>
              </w:rPr>
              <w:t>Declaration of qualified accountants under ASIC Corporations (Qualified Accountant) Instrument 2026/734</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3A19A57" w14:textId="6232435D" w:rsidR="00B23572" w:rsidRPr="001F2F2A" w:rsidRDefault="00B23572" w:rsidP="00EA66B2">
            <w:pPr>
              <w:jc w:val="right"/>
              <w:rPr>
                <w:sz w:val="18"/>
                <w:szCs w:val="18"/>
              </w:rPr>
            </w:pPr>
            <w:r>
              <w:rPr>
                <w:sz w:val="18"/>
                <w:szCs w:val="18"/>
              </w:rPr>
              <w:t>Sunsetting Instrument</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9AAD6A5" w14:textId="29CAEDCC" w:rsidR="00B23572" w:rsidRPr="001F2F2A" w:rsidRDefault="00250A94" w:rsidP="00EA66B2">
            <w:pPr>
              <w:jc w:val="right"/>
              <w:rPr>
                <w:sz w:val="18"/>
                <w:szCs w:val="18"/>
              </w:rPr>
            </w:pPr>
            <w:r>
              <w:rPr>
                <w:sz w:val="18"/>
                <w:szCs w:val="18"/>
              </w:rPr>
              <w:t>T</w:t>
            </w:r>
            <w:r w:rsidR="00043BCB" w:rsidRPr="00043BCB">
              <w:rPr>
                <w:sz w:val="18"/>
                <w:szCs w:val="18"/>
              </w:rPr>
              <w:t xml:space="preserve">he proposal is expected to impose </w:t>
            </w:r>
            <w:r w:rsidR="006053EF">
              <w:rPr>
                <w:sz w:val="18"/>
                <w:szCs w:val="18"/>
              </w:rPr>
              <w:br/>
            </w:r>
            <w:r w:rsidR="00043BCB" w:rsidRPr="00043BCB">
              <w:rPr>
                <w:sz w:val="18"/>
                <w:szCs w:val="18"/>
              </w:rPr>
              <w:t>minimal regulatory burden</w:t>
            </w:r>
          </w:p>
        </w:tc>
      </w:tr>
    </w:tbl>
    <w:p w14:paraId="31AB6DED" w14:textId="6DDFC9BC" w:rsidR="00D3497F" w:rsidRDefault="00D3497F" w:rsidP="005B165B">
      <w:pPr>
        <w:pStyle w:val="Heading2"/>
        <w:rPr>
          <w:rFonts w:ascii="Times New Roman" w:eastAsia="Times New Roman" w:hAnsi="Times New Roman" w:cs="Times New Roman"/>
          <w:color w:val="192D56"/>
        </w:rPr>
      </w:pPr>
      <w:bookmarkStart w:id="6" w:name="_Toc243562615"/>
      <w:r>
        <w:rPr>
          <w:rFonts w:ascii="Times New Roman" w:eastAsia="Times New Roman" w:hAnsi="Times New Roman" w:cs="Times New Roman"/>
          <w:color w:val="192D56"/>
        </w:rPr>
        <w:t>Department of Climate Change, Energy, the Environment and Water</w:t>
      </w:r>
      <w:bookmarkEnd w:id="6"/>
    </w:p>
    <w:p w14:paraId="047220FF" w14:textId="6CE1E756" w:rsidR="00D3497F" w:rsidRDefault="00D3497F" w:rsidP="005B165B">
      <w:pPr>
        <w:pStyle w:val="Caption"/>
        <w:keepNext/>
      </w:pPr>
      <w:r>
        <w:t xml:space="preserve">Table </w:t>
      </w:r>
      <w:r w:rsidR="00A07E60">
        <w:t>3</w:t>
      </w:r>
      <w:r>
        <w:t xml:space="preserve">. </w:t>
      </w:r>
      <w:r w:rsidRPr="00A33F15">
        <w:t>Department of</w:t>
      </w:r>
      <w:r>
        <w:t xml:space="preserve"> </w:t>
      </w:r>
      <w:r w:rsidR="008C0B28" w:rsidRPr="008C0B28">
        <w:t>Climate Change, Energy, the Environment and Water</w:t>
      </w:r>
    </w:p>
    <w:tbl>
      <w:tblPr>
        <w:tblStyle w:val="ListTable4-Accent1"/>
        <w:tblW w:w="5000" w:type="pct"/>
        <w:tblLayout w:type="fixed"/>
        <w:tblLook w:val="0620" w:firstRow="1" w:lastRow="0" w:firstColumn="0" w:lastColumn="0" w:noHBand="1" w:noVBand="1"/>
      </w:tblPr>
      <w:tblGrid>
        <w:gridCol w:w="3770"/>
        <w:gridCol w:w="2458"/>
        <w:gridCol w:w="3730"/>
      </w:tblGrid>
      <w:tr w:rsidR="002570DE" w14:paraId="05204A5A" w14:textId="77777777" w:rsidTr="00EA66B2">
        <w:trPr>
          <w:cnfStyle w:val="100000000000" w:firstRow="1" w:lastRow="0" w:firstColumn="0" w:lastColumn="0" w:oddVBand="0" w:evenVBand="0" w:oddHBand="0" w:evenHBand="0" w:firstRowFirstColumn="0" w:firstRowLastColumn="0" w:lastRowFirstColumn="0" w:lastRowLastColumn="0"/>
          <w:cantSplit/>
          <w:trHeight w:val="15"/>
          <w:tblHeader/>
        </w:trPr>
        <w:tc>
          <w:tcPr>
            <w:tcW w:w="189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96895A7" w14:textId="77777777" w:rsidR="002570DE" w:rsidRPr="00DF0B7F" w:rsidRDefault="002570DE" w:rsidP="002570DE">
            <w:pPr>
              <w:keepNext/>
            </w:pPr>
            <w:r w:rsidRPr="00DF0B7F">
              <w:rPr>
                <w:rFonts w:ascii="Segoe UI" w:eastAsia="Segoe UI" w:hAnsi="Segoe UI" w:cs="Segoe UI"/>
                <w:sz w:val="18"/>
                <w:szCs w:val="18"/>
              </w:rPr>
              <w:t>Proposal</w:t>
            </w:r>
          </w:p>
        </w:tc>
        <w:tc>
          <w:tcPr>
            <w:tcW w:w="1234"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9DF19CD" w14:textId="77777777" w:rsidR="002570DE" w:rsidRPr="00DF0B7F" w:rsidRDefault="002570DE" w:rsidP="002570DE">
            <w:pPr>
              <w:keepNext/>
              <w:jc w:val="right"/>
            </w:pPr>
            <w:r>
              <w:rPr>
                <w:rFonts w:ascii="Segoe UI" w:eastAsia="Segoe UI" w:hAnsi="Segoe UI" w:cs="Segoe UI"/>
                <w:sz w:val="18"/>
                <w:szCs w:val="18"/>
              </w:rPr>
              <w:t>IA type</w:t>
            </w:r>
          </w:p>
        </w:tc>
        <w:tc>
          <w:tcPr>
            <w:tcW w:w="187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EEDD564" w14:textId="26593EA6" w:rsidR="002570DE" w:rsidRPr="00DF0B7F" w:rsidRDefault="002570DE" w:rsidP="002570DE">
            <w:pPr>
              <w:keepNext/>
              <w:jc w:val="right"/>
            </w:pPr>
            <w:r>
              <w:rPr>
                <w:rFonts w:ascii="Segoe UI" w:eastAsia="Segoe UI" w:hAnsi="Segoe UI" w:cs="Segoe UI"/>
                <w:sz w:val="18"/>
                <w:szCs w:val="18"/>
              </w:rPr>
              <w:t xml:space="preserve">Estimated Average </w:t>
            </w:r>
            <w:r w:rsidRPr="00DF0B7F">
              <w:rPr>
                <w:rFonts w:ascii="Segoe UI" w:eastAsia="Segoe UI" w:hAnsi="Segoe UI" w:cs="Segoe UI"/>
                <w:sz w:val="18"/>
                <w:szCs w:val="18"/>
              </w:rPr>
              <w:t>Annual</w:t>
            </w:r>
            <w:r>
              <w:rPr>
                <w:rFonts w:ascii="Segoe UI" w:eastAsia="Segoe UI" w:hAnsi="Segoe UI" w:cs="Segoe UI"/>
                <w:sz w:val="18"/>
                <w:szCs w:val="18"/>
              </w:rPr>
              <w:t xml:space="preserve"> impact on</w:t>
            </w:r>
            <w:r w:rsidRPr="00DF0B7F">
              <w:rPr>
                <w:rFonts w:ascii="Segoe UI" w:eastAsia="Segoe UI" w:hAnsi="Segoe UI" w:cs="Segoe UI"/>
                <w:sz w:val="18"/>
                <w:szCs w:val="18"/>
              </w:rPr>
              <w:t xml:space="preserve"> </w:t>
            </w:r>
            <w:r>
              <w:rPr>
                <w:rFonts w:ascii="Segoe UI" w:eastAsia="Segoe UI" w:hAnsi="Segoe UI" w:cs="Segoe UI"/>
                <w:sz w:val="18"/>
                <w:szCs w:val="18"/>
              </w:rPr>
              <w:br/>
            </w:r>
            <w:r w:rsidRPr="00DF0B7F">
              <w:rPr>
                <w:rFonts w:ascii="Segoe UI" w:eastAsia="Segoe UI" w:hAnsi="Segoe UI" w:cs="Segoe UI"/>
                <w:sz w:val="18"/>
                <w:szCs w:val="18"/>
              </w:rPr>
              <w:t>Regulatory Burden ($m)</w:t>
            </w:r>
          </w:p>
        </w:tc>
      </w:tr>
      <w:tr w:rsidR="002570DE" w14:paraId="1BD33B1B" w14:textId="77777777" w:rsidTr="00EA66B2">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vAlign w:val="bottom"/>
          </w:tcPr>
          <w:p w14:paraId="42D11D43" w14:textId="035F1C7C" w:rsidR="002570DE" w:rsidRPr="00D364FD" w:rsidRDefault="002570DE" w:rsidP="002570DE">
            <w:pPr>
              <w:rPr>
                <w:rFonts w:ascii="Segoe UI Light" w:eastAsia="Times New Roman" w:hAnsi="Segoe UI Light" w:cs="Segoe UI Light"/>
                <w:sz w:val="18"/>
                <w:szCs w:val="18"/>
                <w:highlight w:val="yellow"/>
                <w:lang w:eastAsia="en-AU"/>
              </w:rPr>
            </w:pPr>
            <w:r w:rsidRPr="000A37C8">
              <w:rPr>
                <w:rFonts w:ascii="Segoe UI Light" w:eastAsia="Times New Roman" w:hAnsi="Segoe UI Light" w:cs="Segoe UI Light"/>
                <w:sz w:val="18"/>
                <w:szCs w:val="18"/>
                <w:lang w:eastAsia="en-AU"/>
              </w:rPr>
              <w:t xml:space="preserve">Certification of Final Report </w:t>
            </w:r>
            <w:r w:rsidRPr="00D364FD">
              <w:rPr>
                <w:rFonts w:ascii="Segoe UI Light" w:eastAsia="Times New Roman" w:hAnsi="Segoe UI Light" w:cs="Segoe UI Light"/>
                <w:sz w:val="18"/>
                <w:szCs w:val="18"/>
                <w:lang w:eastAsia="en-AU"/>
              </w:rPr>
              <w:t xml:space="preserve">of the EPBC Act Review: </w:t>
            </w:r>
            <w:r>
              <w:rPr>
                <w:rFonts w:ascii="Segoe UI Light" w:eastAsia="Times New Roman" w:hAnsi="Segoe UI Light" w:cs="Segoe UI Light"/>
                <w:sz w:val="18"/>
                <w:szCs w:val="18"/>
                <w:lang w:eastAsia="en-AU"/>
              </w:rPr>
              <w:br/>
            </w:r>
            <w:r w:rsidRPr="00D364FD">
              <w:rPr>
                <w:rFonts w:ascii="Segoe UI Light" w:eastAsia="Times New Roman" w:hAnsi="Segoe UI Light" w:cs="Segoe UI Light"/>
                <w:sz w:val="18"/>
                <w:szCs w:val="18"/>
                <w:lang w:eastAsia="en-AU"/>
              </w:rPr>
              <w:t>Addendum 2 September 2026 –</w:t>
            </w:r>
            <w:r>
              <w:rPr>
                <w:rFonts w:ascii="Segoe UI Light" w:eastAsia="Times New Roman" w:hAnsi="Segoe UI Light" w:cs="Segoe UI Light"/>
                <w:sz w:val="18"/>
                <w:szCs w:val="18"/>
                <w:lang w:eastAsia="en-AU"/>
              </w:rPr>
              <w:br/>
            </w:r>
            <w:r w:rsidRPr="00D364FD">
              <w:rPr>
                <w:rFonts w:ascii="Segoe UI Light" w:eastAsia="Times New Roman" w:hAnsi="Segoe UI Light" w:cs="Segoe UI Light"/>
                <w:sz w:val="18"/>
                <w:szCs w:val="18"/>
                <w:lang w:eastAsia="en-AU"/>
              </w:rPr>
              <w:t>National Environmental Standard for</w:t>
            </w:r>
            <w:r w:rsidRPr="00147428">
              <w:t xml:space="preserve"> </w:t>
            </w:r>
            <w:r w:rsidRPr="00147428">
              <w:rPr>
                <w:rFonts w:ascii="Segoe UI Light" w:eastAsia="Times New Roman" w:hAnsi="Segoe UI Light" w:cs="Segoe UI Light"/>
                <w:sz w:val="18"/>
                <w:szCs w:val="18"/>
                <w:lang w:eastAsia="en-AU"/>
              </w:rPr>
              <w:t>Matters of National Environmental Significance</w:t>
            </w:r>
            <w:r w:rsidRPr="00D364FD">
              <w:rPr>
                <w:rFonts w:ascii="Segoe UI Light" w:eastAsia="Times New Roman" w:hAnsi="Segoe UI Light" w:cs="Segoe UI Light"/>
                <w:sz w:val="18"/>
                <w:szCs w:val="18"/>
                <w:lang w:eastAsia="en-AU"/>
              </w:rPr>
              <w:t xml:space="preserve"> </w:t>
            </w:r>
            <w:r>
              <w:rPr>
                <w:rFonts w:ascii="Segoe UI Light" w:eastAsia="Times New Roman" w:hAnsi="Segoe UI Light" w:cs="Segoe UI Light"/>
                <w:sz w:val="18"/>
                <w:szCs w:val="18"/>
                <w:lang w:eastAsia="en-AU"/>
              </w:rPr>
              <w:t>(</w:t>
            </w:r>
            <w:r w:rsidRPr="00D364FD">
              <w:rPr>
                <w:rFonts w:ascii="Segoe UI Light" w:eastAsia="Times New Roman" w:hAnsi="Segoe UI Light" w:cs="Segoe UI Light"/>
                <w:sz w:val="18"/>
                <w:szCs w:val="18"/>
                <w:lang w:eastAsia="en-AU"/>
              </w:rPr>
              <w:t>MNES</w:t>
            </w:r>
            <w:r>
              <w:rPr>
                <w:rFonts w:ascii="Segoe UI Light" w:eastAsia="Times New Roman" w:hAnsi="Segoe UI Light" w:cs="Segoe UI Light"/>
                <w:sz w:val="18"/>
                <w:szCs w:val="18"/>
                <w:lang w:eastAsia="en-AU"/>
              </w:rPr>
              <w:t>)</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1EF853D" w14:textId="4B369253" w:rsidR="002570DE" w:rsidRPr="001F2F2A" w:rsidRDefault="002570DE" w:rsidP="002570DE">
            <w:pPr>
              <w:jc w:val="right"/>
              <w:rPr>
                <w:sz w:val="18"/>
                <w:szCs w:val="18"/>
              </w:rPr>
            </w:pPr>
            <w:r>
              <w:rPr>
                <w:sz w:val="18"/>
                <w:szCs w:val="18"/>
              </w:rPr>
              <w:t>Addendum</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CD7548B" w14:textId="69F9A387" w:rsidR="002570DE" w:rsidRPr="001F2F2A" w:rsidRDefault="002570DE" w:rsidP="002570DE">
            <w:pPr>
              <w:jc w:val="right"/>
              <w:rPr>
                <w:sz w:val="18"/>
                <w:szCs w:val="18"/>
              </w:rPr>
            </w:pPr>
            <w:r>
              <w:rPr>
                <w:sz w:val="18"/>
                <w:szCs w:val="18"/>
              </w:rPr>
              <w:t>C</w:t>
            </w:r>
            <w:r w:rsidRPr="00250A94">
              <w:rPr>
                <w:sz w:val="18"/>
                <w:szCs w:val="18"/>
              </w:rPr>
              <w:t xml:space="preserve">ontributory portion of the overall $3,045,000,000 p/a in reduced </w:t>
            </w:r>
            <w:r>
              <w:rPr>
                <w:sz w:val="18"/>
                <w:szCs w:val="18"/>
              </w:rPr>
              <w:br/>
            </w:r>
            <w:r w:rsidRPr="00250A94">
              <w:rPr>
                <w:sz w:val="18"/>
                <w:szCs w:val="18"/>
              </w:rPr>
              <w:t xml:space="preserve">regulatory burden </w:t>
            </w:r>
            <w:r>
              <w:rPr>
                <w:sz w:val="18"/>
                <w:szCs w:val="18"/>
              </w:rPr>
              <w:t xml:space="preserve">reported in the </w:t>
            </w:r>
            <w:r>
              <w:rPr>
                <w:sz w:val="18"/>
                <w:szCs w:val="18"/>
              </w:rPr>
              <w:br/>
            </w:r>
            <w:r w:rsidRPr="00051F26">
              <w:rPr>
                <w:sz w:val="18"/>
                <w:szCs w:val="18"/>
              </w:rPr>
              <w:t>Addendum 30 October</w:t>
            </w:r>
            <w:r>
              <w:rPr>
                <w:sz w:val="18"/>
                <w:szCs w:val="18"/>
              </w:rPr>
              <w:t xml:space="preserve"> </w:t>
            </w:r>
            <w:r w:rsidRPr="00051F26">
              <w:rPr>
                <w:sz w:val="18"/>
                <w:szCs w:val="18"/>
              </w:rPr>
              <w:t>2025</w:t>
            </w:r>
            <w:r>
              <w:rPr>
                <w:rStyle w:val="FootnoteReference"/>
                <w:sz w:val="18"/>
                <w:szCs w:val="18"/>
              </w:rPr>
              <w:footnoteReference w:id="3"/>
            </w:r>
          </w:p>
        </w:tc>
      </w:tr>
      <w:tr w:rsidR="002570DE" w14:paraId="19E23651" w14:textId="77777777" w:rsidTr="00EA66B2">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vAlign w:val="bottom"/>
          </w:tcPr>
          <w:p w14:paraId="41106BE9" w14:textId="6920B0D5" w:rsidR="002570DE" w:rsidRPr="000A1EC6" w:rsidRDefault="002570DE" w:rsidP="002570DE">
            <w:pPr>
              <w:rPr>
                <w:rFonts w:ascii="Segoe UI Light" w:eastAsia="Times New Roman" w:hAnsi="Segoe UI Light" w:cs="Segoe UI Light"/>
                <w:sz w:val="18"/>
                <w:szCs w:val="18"/>
                <w:highlight w:val="yellow"/>
                <w:lang w:eastAsia="en-AU"/>
              </w:rPr>
            </w:pPr>
            <w:r w:rsidRPr="000A37C8">
              <w:rPr>
                <w:rFonts w:ascii="Segoe UI Light" w:eastAsia="Times New Roman" w:hAnsi="Segoe UI Light" w:cs="Segoe UI Light"/>
                <w:sz w:val="18"/>
                <w:szCs w:val="18"/>
                <w:lang w:eastAsia="en-AU"/>
              </w:rPr>
              <w:t xml:space="preserve">Certification of Final Report </w:t>
            </w:r>
            <w:r w:rsidRPr="00D364FD">
              <w:rPr>
                <w:rFonts w:ascii="Segoe UI Light" w:eastAsia="Times New Roman" w:hAnsi="Segoe UI Light" w:cs="Segoe UI Light"/>
                <w:sz w:val="18"/>
                <w:szCs w:val="18"/>
                <w:lang w:eastAsia="en-AU"/>
              </w:rPr>
              <w:t xml:space="preserve">of the EPBC Act Review: </w:t>
            </w:r>
            <w:r>
              <w:rPr>
                <w:rFonts w:ascii="Segoe UI Light" w:eastAsia="Times New Roman" w:hAnsi="Segoe UI Light" w:cs="Segoe UI Light"/>
                <w:sz w:val="18"/>
                <w:szCs w:val="18"/>
                <w:lang w:eastAsia="en-AU"/>
              </w:rPr>
              <w:br/>
            </w:r>
            <w:r w:rsidRPr="00D364FD">
              <w:rPr>
                <w:rFonts w:ascii="Segoe UI Light" w:eastAsia="Times New Roman" w:hAnsi="Segoe UI Light" w:cs="Segoe UI Light"/>
                <w:sz w:val="18"/>
                <w:szCs w:val="18"/>
                <w:lang w:eastAsia="en-AU"/>
              </w:rPr>
              <w:t xml:space="preserve">Addendum 2 </w:t>
            </w:r>
            <w:r w:rsidRPr="007034EC">
              <w:rPr>
                <w:rFonts w:ascii="Segoe UI Light" w:eastAsia="Times New Roman" w:hAnsi="Segoe UI Light" w:cs="Segoe UI Light"/>
                <w:sz w:val="18"/>
                <w:szCs w:val="18"/>
                <w:lang w:eastAsia="en-AU"/>
              </w:rPr>
              <w:t>September 2026 –</w:t>
            </w:r>
            <w:r w:rsidRPr="007034EC">
              <w:rPr>
                <w:rFonts w:ascii="Segoe UI Light" w:eastAsia="Times New Roman" w:hAnsi="Segoe UI Light" w:cs="Segoe UI Light"/>
                <w:sz w:val="18"/>
                <w:szCs w:val="18"/>
                <w:lang w:eastAsia="en-AU"/>
              </w:rPr>
              <w:br/>
            </w:r>
            <w:r w:rsidRPr="00387450">
              <w:rPr>
                <w:rFonts w:ascii="Segoe UI Light" w:eastAsia="Times New Roman" w:hAnsi="Segoe UI Light" w:cs="Segoe UI Light"/>
                <w:sz w:val="18"/>
                <w:szCs w:val="18"/>
                <w:lang w:eastAsia="en-AU"/>
              </w:rPr>
              <w:t>National Environmental Standard for Environmental Offsets</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B32AC35" w14:textId="03809ABC" w:rsidR="002570DE" w:rsidRDefault="002570DE" w:rsidP="002570DE">
            <w:pPr>
              <w:jc w:val="right"/>
              <w:rPr>
                <w:sz w:val="18"/>
                <w:szCs w:val="18"/>
              </w:rPr>
            </w:pPr>
            <w:r>
              <w:rPr>
                <w:sz w:val="18"/>
                <w:szCs w:val="18"/>
              </w:rPr>
              <w:t>Addendum</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205217C" w14:textId="37657C95" w:rsidR="002570DE" w:rsidRDefault="002570DE" w:rsidP="002570DE">
            <w:pPr>
              <w:jc w:val="right"/>
              <w:rPr>
                <w:sz w:val="18"/>
                <w:szCs w:val="18"/>
              </w:rPr>
            </w:pPr>
            <w:r>
              <w:rPr>
                <w:sz w:val="18"/>
                <w:szCs w:val="18"/>
              </w:rPr>
              <w:t>C</w:t>
            </w:r>
            <w:r w:rsidRPr="00250A94">
              <w:rPr>
                <w:sz w:val="18"/>
                <w:szCs w:val="18"/>
              </w:rPr>
              <w:t xml:space="preserve">ontributory portion of the overall $3,045,000,000 p/a in reduced </w:t>
            </w:r>
            <w:r>
              <w:rPr>
                <w:sz w:val="18"/>
                <w:szCs w:val="18"/>
              </w:rPr>
              <w:br/>
            </w:r>
            <w:r w:rsidRPr="00250A94">
              <w:rPr>
                <w:sz w:val="18"/>
                <w:szCs w:val="18"/>
              </w:rPr>
              <w:t xml:space="preserve">regulatory burden </w:t>
            </w:r>
            <w:r>
              <w:rPr>
                <w:sz w:val="18"/>
                <w:szCs w:val="18"/>
              </w:rPr>
              <w:t xml:space="preserve">reported in the </w:t>
            </w:r>
            <w:r>
              <w:rPr>
                <w:sz w:val="18"/>
                <w:szCs w:val="18"/>
              </w:rPr>
              <w:br/>
            </w:r>
            <w:r w:rsidRPr="00051F26">
              <w:rPr>
                <w:sz w:val="18"/>
                <w:szCs w:val="18"/>
              </w:rPr>
              <w:t>Addendum 30 October</w:t>
            </w:r>
            <w:r>
              <w:rPr>
                <w:sz w:val="18"/>
                <w:szCs w:val="18"/>
              </w:rPr>
              <w:t xml:space="preserve"> </w:t>
            </w:r>
            <w:r w:rsidRPr="00051F26">
              <w:rPr>
                <w:sz w:val="18"/>
                <w:szCs w:val="18"/>
              </w:rPr>
              <w:t>2025</w:t>
            </w:r>
            <w:r>
              <w:rPr>
                <w:rStyle w:val="FootnoteReference"/>
                <w:sz w:val="18"/>
                <w:szCs w:val="18"/>
              </w:rPr>
              <w:footnoteReference w:id="4"/>
            </w:r>
          </w:p>
        </w:tc>
      </w:tr>
      <w:tr w:rsidR="002570DE" w14:paraId="36A511FE" w14:textId="77777777" w:rsidTr="00EA66B2">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vAlign w:val="bottom"/>
          </w:tcPr>
          <w:p w14:paraId="5165DA4D" w14:textId="7F88C547" w:rsidR="002570DE" w:rsidRPr="005F6CC0" w:rsidRDefault="002570DE" w:rsidP="002570DE">
            <w:pPr>
              <w:rPr>
                <w:rFonts w:ascii="Segoe UI Light" w:eastAsia="Times New Roman" w:hAnsi="Segoe UI Light" w:cs="Segoe UI Light"/>
                <w:sz w:val="18"/>
                <w:szCs w:val="18"/>
                <w:lang w:eastAsia="en-AU"/>
              </w:rPr>
            </w:pPr>
            <w:r w:rsidRPr="000A37C8">
              <w:rPr>
                <w:rFonts w:ascii="Segoe UI Light" w:eastAsia="Times New Roman" w:hAnsi="Segoe UI Light" w:cs="Segoe UI Light"/>
                <w:sz w:val="18"/>
                <w:szCs w:val="18"/>
                <w:lang w:eastAsia="en-AU"/>
              </w:rPr>
              <w:t xml:space="preserve">Certification of Final Report </w:t>
            </w:r>
            <w:r w:rsidRPr="00D364FD">
              <w:rPr>
                <w:rFonts w:ascii="Segoe UI Light" w:eastAsia="Times New Roman" w:hAnsi="Segoe UI Light" w:cs="Segoe UI Light"/>
                <w:sz w:val="18"/>
                <w:szCs w:val="18"/>
                <w:lang w:eastAsia="en-AU"/>
              </w:rPr>
              <w:t xml:space="preserve">of the EPBC Act Review: </w:t>
            </w:r>
            <w:r>
              <w:rPr>
                <w:rFonts w:ascii="Segoe UI Light" w:eastAsia="Times New Roman" w:hAnsi="Segoe UI Light" w:cs="Segoe UI Light"/>
                <w:sz w:val="18"/>
                <w:szCs w:val="18"/>
                <w:lang w:eastAsia="en-AU"/>
              </w:rPr>
              <w:br/>
            </w:r>
            <w:r w:rsidRPr="00D364FD">
              <w:rPr>
                <w:rFonts w:ascii="Segoe UI Light" w:eastAsia="Times New Roman" w:hAnsi="Segoe UI Light" w:cs="Segoe UI Light"/>
                <w:sz w:val="18"/>
                <w:szCs w:val="18"/>
                <w:lang w:eastAsia="en-AU"/>
              </w:rPr>
              <w:t>Addendum 2 September 2026 –</w:t>
            </w:r>
            <w:r>
              <w:rPr>
                <w:rFonts w:ascii="Segoe UI Light" w:eastAsia="Times New Roman" w:hAnsi="Segoe UI Light" w:cs="Segoe UI Light"/>
                <w:sz w:val="18"/>
                <w:szCs w:val="18"/>
                <w:lang w:eastAsia="en-AU"/>
              </w:rPr>
              <w:br/>
            </w:r>
            <w:r w:rsidRPr="005F6CC0">
              <w:rPr>
                <w:rFonts w:ascii="Segoe UI Light" w:eastAsia="Times New Roman" w:hAnsi="Segoe UI Light" w:cs="Segoe UI Light"/>
                <w:sz w:val="18"/>
                <w:szCs w:val="18"/>
                <w:lang w:eastAsia="en-AU"/>
              </w:rPr>
              <w:t>National Environmental Standard for Community Engagement</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3285849" w14:textId="6A4F4BC3" w:rsidR="002570DE" w:rsidRDefault="002570DE" w:rsidP="002570DE">
            <w:pPr>
              <w:jc w:val="right"/>
              <w:rPr>
                <w:sz w:val="18"/>
                <w:szCs w:val="18"/>
              </w:rPr>
            </w:pPr>
            <w:r w:rsidRPr="003706CA">
              <w:rPr>
                <w:sz w:val="18"/>
                <w:szCs w:val="18"/>
              </w:rPr>
              <w:t>Addendum</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DCFC428" w14:textId="1F5D4B35" w:rsidR="002570DE" w:rsidRDefault="002570DE" w:rsidP="002570DE">
            <w:pPr>
              <w:jc w:val="right"/>
              <w:rPr>
                <w:sz w:val="18"/>
                <w:szCs w:val="18"/>
              </w:rPr>
            </w:pPr>
            <w:r>
              <w:rPr>
                <w:sz w:val="18"/>
                <w:szCs w:val="18"/>
              </w:rPr>
              <w:t>C</w:t>
            </w:r>
            <w:r w:rsidRPr="00250A94">
              <w:rPr>
                <w:sz w:val="18"/>
                <w:szCs w:val="18"/>
              </w:rPr>
              <w:t xml:space="preserve">ontributory portion of the overall $3,045,000,000 p/a in reduced </w:t>
            </w:r>
            <w:r>
              <w:rPr>
                <w:sz w:val="18"/>
                <w:szCs w:val="18"/>
              </w:rPr>
              <w:br/>
            </w:r>
            <w:r w:rsidRPr="00250A94">
              <w:rPr>
                <w:sz w:val="18"/>
                <w:szCs w:val="18"/>
              </w:rPr>
              <w:t xml:space="preserve">regulatory burden </w:t>
            </w:r>
            <w:r>
              <w:rPr>
                <w:sz w:val="18"/>
                <w:szCs w:val="18"/>
              </w:rPr>
              <w:t xml:space="preserve">reported in the </w:t>
            </w:r>
            <w:r>
              <w:rPr>
                <w:sz w:val="18"/>
                <w:szCs w:val="18"/>
              </w:rPr>
              <w:br/>
            </w:r>
            <w:r w:rsidRPr="00051F26">
              <w:rPr>
                <w:sz w:val="18"/>
                <w:szCs w:val="18"/>
              </w:rPr>
              <w:t>Addendum 30 October</w:t>
            </w:r>
            <w:r>
              <w:rPr>
                <w:sz w:val="18"/>
                <w:szCs w:val="18"/>
              </w:rPr>
              <w:t xml:space="preserve"> </w:t>
            </w:r>
            <w:r w:rsidRPr="00051F26">
              <w:rPr>
                <w:sz w:val="18"/>
                <w:szCs w:val="18"/>
              </w:rPr>
              <w:t>2025</w:t>
            </w:r>
            <w:r>
              <w:rPr>
                <w:rStyle w:val="FootnoteReference"/>
                <w:sz w:val="18"/>
                <w:szCs w:val="18"/>
              </w:rPr>
              <w:footnoteReference w:id="5"/>
            </w:r>
          </w:p>
        </w:tc>
      </w:tr>
      <w:tr w:rsidR="002570DE" w14:paraId="22CEC8FF" w14:textId="77777777" w:rsidTr="00EA66B2">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vAlign w:val="bottom"/>
          </w:tcPr>
          <w:p w14:paraId="66C8A6E1" w14:textId="1384F9CE" w:rsidR="002570DE" w:rsidRPr="00B21951" w:rsidRDefault="002570DE" w:rsidP="002570DE">
            <w:pPr>
              <w:rPr>
                <w:rFonts w:ascii="Segoe UI Light" w:eastAsia="Times New Roman" w:hAnsi="Segoe UI Light" w:cs="Segoe UI Light"/>
                <w:sz w:val="18"/>
                <w:szCs w:val="18"/>
                <w:lang w:eastAsia="en-AU"/>
              </w:rPr>
            </w:pPr>
            <w:r w:rsidRPr="000A37C8">
              <w:rPr>
                <w:rFonts w:ascii="Segoe UI Light" w:eastAsia="Times New Roman" w:hAnsi="Segoe UI Light" w:cs="Segoe UI Light"/>
                <w:sz w:val="18"/>
                <w:szCs w:val="18"/>
                <w:lang w:eastAsia="en-AU"/>
              </w:rPr>
              <w:t xml:space="preserve">Certification of Final Report </w:t>
            </w:r>
            <w:r w:rsidRPr="00D364FD">
              <w:rPr>
                <w:rFonts w:ascii="Segoe UI Light" w:eastAsia="Times New Roman" w:hAnsi="Segoe UI Light" w:cs="Segoe UI Light"/>
                <w:sz w:val="18"/>
                <w:szCs w:val="18"/>
                <w:lang w:eastAsia="en-AU"/>
              </w:rPr>
              <w:t xml:space="preserve">of the EPBC Act Review: </w:t>
            </w:r>
            <w:r>
              <w:rPr>
                <w:rFonts w:ascii="Segoe UI Light" w:eastAsia="Times New Roman" w:hAnsi="Segoe UI Light" w:cs="Segoe UI Light"/>
                <w:sz w:val="18"/>
                <w:szCs w:val="18"/>
                <w:lang w:eastAsia="en-AU"/>
              </w:rPr>
              <w:br/>
            </w:r>
            <w:r w:rsidRPr="00D364FD">
              <w:rPr>
                <w:rFonts w:ascii="Segoe UI Light" w:eastAsia="Times New Roman" w:hAnsi="Segoe UI Light" w:cs="Segoe UI Light"/>
                <w:sz w:val="18"/>
                <w:szCs w:val="18"/>
                <w:lang w:eastAsia="en-AU"/>
              </w:rPr>
              <w:t>Addendum 2 September 2026 –</w:t>
            </w:r>
            <w:r>
              <w:rPr>
                <w:rFonts w:ascii="Segoe UI Light" w:eastAsia="Times New Roman" w:hAnsi="Segoe UI Light" w:cs="Segoe UI Light"/>
                <w:sz w:val="18"/>
                <w:szCs w:val="18"/>
                <w:lang w:eastAsia="en-AU"/>
              </w:rPr>
              <w:br/>
            </w:r>
            <w:r w:rsidRPr="00B21951">
              <w:rPr>
                <w:rFonts w:ascii="Segoe UI Light" w:eastAsia="Times New Roman" w:hAnsi="Segoe UI Light" w:cs="Segoe UI Light"/>
                <w:sz w:val="18"/>
                <w:szCs w:val="18"/>
                <w:lang w:eastAsia="en-AU"/>
              </w:rPr>
              <w:t>National Environmental Standard for Data and Information</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9F5E587" w14:textId="335FA7FB" w:rsidR="002570DE" w:rsidRDefault="002570DE" w:rsidP="002570DE">
            <w:pPr>
              <w:jc w:val="right"/>
              <w:rPr>
                <w:sz w:val="18"/>
                <w:szCs w:val="18"/>
              </w:rPr>
            </w:pPr>
            <w:r w:rsidRPr="003706CA">
              <w:rPr>
                <w:sz w:val="18"/>
                <w:szCs w:val="18"/>
              </w:rPr>
              <w:t>Addendum</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9732E95" w14:textId="79BE9629" w:rsidR="002570DE" w:rsidRDefault="002570DE" w:rsidP="002570DE">
            <w:pPr>
              <w:jc w:val="right"/>
              <w:rPr>
                <w:sz w:val="18"/>
                <w:szCs w:val="18"/>
              </w:rPr>
            </w:pPr>
            <w:r>
              <w:rPr>
                <w:sz w:val="18"/>
                <w:szCs w:val="18"/>
              </w:rPr>
              <w:t>C</w:t>
            </w:r>
            <w:r w:rsidRPr="00250A94">
              <w:rPr>
                <w:sz w:val="18"/>
                <w:szCs w:val="18"/>
              </w:rPr>
              <w:t xml:space="preserve">ontributory portion of the overall $3,045,000,000 p/a in reduced </w:t>
            </w:r>
            <w:r>
              <w:rPr>
                <w:sz w:val="18"/>
                <w:szCs w:val="18"/>
              </w:rPr>
              <w:br/>
            </w:r>
            <w:r w:rsidRPr="00250A94">
              <w:rPr>
                <w:sz w:val="18"/>
                <w:szCs w:val="18"/>
              </w:rPr>
              <w:t xml:space="preserve">regulatory burden </w:t>
            </w:r>
            <w:r>
              <w:rPr>
                <w:sz w:val="18"/>
                <w:szCs w:val="18"/>
              </w:rPr>
              <w:t xml:space="preserve">reported in the </w:t>
            </w:r>
            <w:r>
              <w:rPr>
                <w:sz w:val="18"/>
                <w:szCs w:val="18"/>
              </w:rPr>
              <w:br/>
            </w:r>
            <w:r w:rsidRPr="00051F26">
              <w:rPr>
                <w:sz w:val="18"/>
                <w:szCs w:val="18"/>
              </w:rPr>
              <w:t>Addendum 30 October</w:t>
            </w:r>
            <w:r>
              <w:rPr>
                <w:sz w:val="18"/>
                <w:szCs w:val="18"/>
              </w:rPr>
              <w:t xml:space="preserve"> </w:t>
            </w:r>
            <w:r w:rsidRPr="00051F26">
              <w:rPr>
                <w:sz w:val="18"/>
                <w:szCs w:val="18"/>
              </w:rPr>
              <w:t>2025</w:t>
            </w:r>
            <w:r>
              <w:rPr>
                <w:rStyle w:val="FootnoteReference"/>
                <w:sz w:val="18"/>
                <w:szCs w:val="18"/>
              </w:rPr>
              <w:footnoteReference w:id="6"/>
            </w:r>
          </w:p>
        </w:tc>
      </w:tr>
    </w:tbl>
    <w:p w14:paraId="1796E4B6" w14:textId="66A66877" w:rsidR="00AD4ABD" w:rsidRDefault="00AD4ABD" w:rsidP="00AD4ABD">
      <w:pPr>
        <w:pStyle w:val="Heading2"/>
        <w:rPr>
          <w:rFonts w:ascii="Times New Roman" w:eastAsia="Times New Roman" w:hAnsi="Times New Roman" w:cs="Times New Roman"/>
          <w:color w:val="192D56"/>
        </w:rPr>
      </w:pPr>
      <w:bookmarkStart w:id="7" w:name="_Toc243562616"/>
      <w:r>
        <w:rPr>
          <w:rFonts w:ascii="Times New Roman" w:eastAsia="Times New Roman" w:hAnsi="Times New Roman" w:cs="Times New Roman"/>
          <w:color w:val="192D56"/>
        </w:rPr>
        <w:t>Department of Defence</w:t>
      </w:r>
      <w:bookmarkEnd w:id="7"/>
      <w:r>
        <w:rPr>
          <w:rFonts w:ascii="Times New Roman" w:eastAsia="Times New Roman" w:hAnsi="Times New Roman" w:cs="Times New Roman"/>
          <w:color w:val="192D56"/>
        </w:rPr>
        <w:t xml:space="preserve"> </w:t>
      </w:r>
    </w:p>
    <w:p w14:paraId="12D0E739" w14:textId="753F2449" w:rsidR="00AD4ABD" w:rsidRDefault="00AD4ABD" w:rsidP="00AD4ABD">
      <w:pPr>
        <w:pStyle w:val="Caption"/>
      </w:pPr>
      <w:r>
        <w:t xml:space="preserve">Table </w:t>
      </w:r>
      <w:r w:rsidR="00A07E60">
        <w:t>4</w:t>
      </w:r>
      <w:r>
        <w:t xml:space="preserve">. </w:t>
      </w:r>
      <w:r w:rsidRPr="00A33F15">
        <w:t>Department of</w:t>
      </w:r>
      <w:r>
        <w:t xml:space="preserve"> Defence</w:t>
      </w:r>
      <w:r w:rsidRPr="00A33F15">
        <w:t xml:space="preserve"> </w:t>
      </w:r>
    </w:p>
    <w:tbl>
      <w:tblPr>
        <w:tblStyle w:val="ListTable4-Accent1"/>
        <w:tblW w:w="5000" w:type="pct"/>
        <w:tblLayout w:type="fixed"/>
        <w:tblLook w:val="0620" w:firstRow="1" w:lastRow="0" w:firstColumn="0" w:lastColumn="0" w:noHBand="1" w:noVBand="1"/>
      </w:tblPr>
      <w:tblGrid>
        <w:gridCol w:w="3770"/>
        <w:gridCol w:w="2458"/>
        <w:gridCol w:w="3730"/>
      </w:tblGrid>
      <w:tr w:rsidR="002570DE" w14:paraId="1BDC967D" w14:textId="77777777" w:rsidTr="009E3839">
        <w:trPr>
          <w:cnfStyle w:val="100000000000" w:firstRow="1" w:lastRow="0" w:firstColumn="0" w:lastColumn="0" w:oddVBand="0" w:evenVBand="0" w:oddHBand="0" w:evenHBand="0" w:firstRowFirstColumn="0" w:firstRowLastColumn="0" w:lastRowFirstColumn="0" w:lastRowLastColumn="0"/>
          <w:cantSplit/>
          <w:trHeight w:val="15"/>
          <w:tblHeader/>
        </w:trPr>
        <w:tc>
          <w:tcPr>
            <w:tcW w:w="189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34325A9" w14:textId="77777777" w:rsidR="002570DE" w:rsidRPr="00DF0B7F" w:rsidRDefault="002570DE" w:rsidP="002570DE">
            <w:r w:rsidRPr="00DF0B7F">
              <w:rPr>
                <w:rFonts w:ascii="Segoe UI" w:eastAsia="Segoe UI" w:hAnsi="Segoe UI" w:cs="Segoe UI"/>
                <w:sz w:val="18"/>
                <w:szCs w:val="18"/>
              </w:rPr>
              <w:t>Proposal</w:t>
            </w:r>
          </w:p>
        </w:tc>
        <w:tc>
          <w:tcPr>
            <w:tcW w:w="1234"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511B24FD" w14:textId="77777777" w:rsidR="002570DE" w:rsidRPr="00DF0B7F" w:rsidRDefault="002570DE" w:rsidP="002570DE">
            <w:pPr>
              <w:jc w:val="right"/>
            </w:pPr>
            <w:r>
              <w:rPr>
                <w:rFonts w:ascii="Segoe UI" w:eastAsia="Segoe UI" w:hAnsi="Segoe UI" w:cs="Segoe UI"/>
                <w:sz w:val="18"/>
                <w:szCs w:val="18"/>
              </w:rPr>
              <w:t>IA type</w:t>
            </w:r>
          </w:p>
        </w:tc>
        <w:tc>
          <w:tcPr>
            <w:tcW w:w="187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966E7F0" w14:textId="0009D0D2" w:rsidR="002570DE" w:rsidRPr="00DF0B7F" w:rsidRDefault="002570DE" w:rsidP="002570DE">
            <w:pPr>
              <w:jc w:val="right"/>
            </w:pPr>
            <w:r>
              <w:rPr>
                <w:rFonts w:ascii="Segoe UI" w:eastAsia="Segoe UI" w:hAnsi="Segoe UI" w:cs="Segoe UI"/>
                <w:sz w:val="18"/>
                <w:szCs w:val="18"/>
              </w:rPr>
              <w:t xml:space="preserve">Estimated Average </w:t>
            </w:r>
            <w:r w:rsidRPr="00DF0B7F">
              <w:rPr>
                <w:rFonts w:ascii="Segoe UI" w:eastAsia="Segoe UI" w:hAnsi="Segoe UI" w:cs="Segoe UI"/>
                <w:sz w:val="18"/>
                <w:szCs w:val="18"/>
              </w:rPr>
              <w:t>Annual</w:t>
            </w:r>
            <w:r>
              <w:rPr>
                <w:rFonts w:ascii="Segoe UI" w:eastAsia="Segoe UI" w:hAnsi="Segoe UI" w:cs="Segoe UI"/>
                <w:sz w:val="18"/>
                <w:szCs w:val="18"/>
              </w:rPr>
              <w:t xml:space="preserve"> impact on</w:t>
            </w:r>
            <w:r w:rsidRPr="00DF0B7F">
              <w:rPr>
                <w:rFonts w:ascii="Segoe UI" w:eastAsia="Segoe UI" w:hAnsi="Segoe UI" w:cs="Segoe UI"/>
                <w:sz w:val="18"/>
                <w:szCs w:val="18"/>
              </w:rPr>
              <w:t xml:space="preserve"> </w:t>
            </w:r>
            <w:r>
              <w:rPr>
                <w:rFonts w:ascii="Segoe UI" w:eastAsia="Segoe UI" w:hAnsi="Segoe UI" w:cs="Segoe UI"/>
                <w:sz w:val="18"/>
                <w:szCs w:val="18"/>
              </w:rPr>
              <w:br/>
            </w:r>
            <w:r w:rsidRPr="00DF0B7F">
              <w:rPr>
                <w:rFonts w:ascii="Segoe UI" w:eastAsia="Segoe UI" w:hAnsi="Segoe UI" w:cs="Segoe UI"/>
                <w:sz w:val="18"/>
                <w:szCs w:val="18"/>
              </w:rPr>
              <w:t>Regulatory Burden ($m)</w:t>
            </w:r>
          </w:p>
        </w:tc>
      </w:tr>
      <w:tr w:rsidR="002570DE" w14:paraId="212E078C" w14:textId="77777777" w:rsidTr="009E3839">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9611E26" w14:textId="76B71BB1" w:rsidR="002570DE" w:rsidRDefault="002570DE" w:rsidP="002570DE">
            <w:pPr>
              <w:spacing w:after="0"/>
              <w:rPr>
                <w:rFonts w:ascii="Segoe UI Light" w:eastAsia="Times New Roman" w:hAnsi="Segoe UI Light" w:cs="Segoe UI Light"/>
                <w:sz w:val="18"/>
                <w:szCs w:val="18"/>
                <w:lang w:eastAsia="en-AU"/>
              </w:rPr>
            </w:pPr>
            <w:r w:rsidRPr="00A31F88">
              <w:rPr>
                <w:rFonts w:ascii="Segoe UI Light" w:eastAsia="Times New Roman" w:hAnsi="Segoe UI Light" w:cs="Segoe UI Light"/>
                <w:sz w:val="18"/>
                <w:szCs w:val="18"/>
                <w:lang w:eastAsia="en-AU"/>
              </w:rPr>
              <w:t>Woomera Prohibited Area Rule 2014</w:t>
            </w:r>
            <w:r w:rsidRPr="00C87DDB">
              <w:rPr>
                <w:rFonts w:ascii="Segoe UI Light" w:eastAsia="Times New Roman" w:hAnsi="Segoe UI Light" w:cs="Segoe UI Light"/>
                <w:sz w:val="18"/>
                <w:szCs w:val="18"/>
                <w:lang w:eastAsia="en-AU"/>
              </w:rPr>
              <w:t xml:space="preserve"> </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2CB258B" w14:textId="3C2EF593" w:rsidR="002570DE" w:rsidRPr="001F2F2A" w:rsidRDefault="002570DE" w:rsidP="002570DE">
            <w:pPr>
              <w:jc w:val="right"/>
              <w:rPr>
                <w:sz w:val="18"/>
                <w:szCs w:val="18"/>
              </w:rPr>
            </w:pPr>
            <w:r>
              <w:rPr>
                <w:sz w:val="18"/>
                <w:szCs w:val="18"/>
              </w:rPr>
              <w:t>Sunsetting Instrument</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266C3B5C" w14:textId="708FE157" w:rsidR="002570DE" w:rsidRPr="001F2F2A" w:rsidRDefault="002570DE" w:rsidP="002570DE">
            <w:pPr>
              <w:jc w:val="right"/>
              <w:rPr>
                <w:sz w:val="18"/>
                <w:szCs w:val="18"/>
              </w:rPr>
            </w:pPr>
            <w:r w:rsidRPr="001F2F2A">
              <w:rPr>
                <w:sz w:val="18"/>
                <w:szCs w:val="18"/>
              </w:rPr>
              <w:t>$</w:t>
            </w:r>
            <w:r w:rsidRPr="00C87DDB">
              <w:rPr>
                <w:sz w:val="18"/>
                <w:szCs w:val="18"/>
              </w:rPr>
              <w:t>0.02</w:t>
            </w:r>
            <w:r>
              <w:rPr>
                <w:rStyle w:val="FootnoteReference"/>
                <w:sz w:val="18"/>
                <w:szCs w:val="18"/>
              </w:rPr>
              <w:footnoteReference w:id="7"/>
            </w:r>
          </w:p>
        </w:tc>
      </w:tr>
    </w:tbl>
    <w:p w14:paraId="6625B173" w14:textId="10E6B27D" w:rsidR="32166D2D" w:rsidRDefault="32166D2D" w:rsidP="74E77BBC">
      <w:pPr>
        <w:pStyle w:val="Heading2"/>
        <w:rPr>
          <w:rFonts w:ascii="Times New Roman" w:eastAsia="Times New Roman" w:hAnsi="Times New Roman" w:cs="Times New Roman"/>
          <w:color w:val="192D56"/>
        </w:rPr>
      </w:pPr>
      <w:bookmarkStart w:id="8" w:name="_Toc243562617"/>
      <w:r w:rsidRPr="74E77BBC">
        <w:rPr>
          <w:rFonts w:ascii="Times New Roman" w:eastAsia="Times New Roman" w:hAnsi="Times New Roman" w:cs="Times New Roman"/>
          <w:color w:val="192D56"/>
        </w:rPr>
        <w:t xml:space="preserve">Department of </w:t>
      </w:r>
      <w:r w:rsidRPr="6D5FD215">
        <w:rPr>
          <w:rFonts w:ascii="Times New Roman" w:eastAsia="Times New Roman" w:hAnsi="Times New Roman" w:cs="Times New Roman"/>
          <w:color w:val="192D56"/>
        </w:rPr>
        <w:t xml:space="preserve">Health, </w:t>
      </w:r>
      <w:r w:rsidRPr="72101F2B">
        <w:rPr>
          <w:rFonts w:ascii="Times New Roman" w:eastAsia="Times New Roman" w:hAnsi="Times New Roman" w:cs="Times New Roman"/>
          <w:color w:val="192D56"/>
        </w:rPr>
        <w:t>Disability</w:t>
      </w:r>
      <w:r w:rsidRPr="6D5FD215">
        <w:rPr>
          <w:rFonts w:ascii="Times New Roman" w:eastAsia="Times New Roman" w:hAnsi="Times New Roman" w:cs="Times New Roman"/>
          <w:color w:val="192D56"/>
        </w:rPr>
        <w:t xml:space="preserve"> </w:t>
      </w:r>
      <w:r w:rsidRPr="15165DFF">
        <w:rPr>
          <w:rFonts w:ascii="Times New Roman" w:eastAsia="Times New Roman" w:hAnsi="Times New Roman" w:cs="Times New Roman"/>
          <w:color w:val="192D56"/>
        </w:rPr>
        <w:t>and Ageing</w:t>
      </w:r>
      <w:bookmarkEnd w:id="8"/>
      <w:r w:rsidRPr="74E77BBC">
        <w:rPr>
          <w:rFonts w:ascii="Times New Roman" w:eastAsia="Times New Roman" w:hAnsi="Times New Roman" w:cs="Times New Roman"/>
          <w:color w:val="192D56"/>
        </w:rPr>
        <w:t xml:space="preserve"> </w:t>
      </w:r>
    </w:p>
    <w:p w14:paraId="5F6E7278" w14:textId="3E9398D4" w:rsidR="32166D2D" w:rsidRDefault="32166D2D" w:rsidP="007F2A5C">
      <w:pPr>
        <w:pStyle w:val="Caption"/>
        <w:keepNext/>
      </w:pPr>
      <w:r>
        <w:t xml:space="preserve">Table 5. </w:t>
      </w:r>
      <w:r w:rsidRPr="181FD410">
        <w:rPr>
          <w:rFonts w:eastAsia="Segoe UI" w:cs="Segoe UI"/>
          <w:sz w:val="21"/>
        </w:rPr>
        <w:t xml:space="preserve">Department of Health, Disability and Ageing   </w:t>
      </w:r>
      <w:r>
        <w:t xml:space="preserve"> </w:t>
      </w:r>
    </w:p>
    <w:tbl>
      <w:tblPr>
        <w:tblStyle w:val="ListTable4-Accent1"/>
        <w:tblW w:w="0" w:type="auto"/>
        <w:tblLook w:val="0620" w:firstRow="1" w:lastRow="0" w:firstColumn="0" w:lastColumn="0" w:noHBand="1" w:noVBand="1"/>
      </w:tblPr>
      <w:tblGrid>
        <w:gridCol w:w="3770"/>
        <w:gridCol w:w="2457"/>
        <w:gridCol w:w="3731"/>
      </w:tblGrid>
      <w:tr w:rsidR="002570DE" w14:paraId="7CE342F0" w14:textId="77777777" w:rsidTr="00E72D5C">
        <w:trPr>
          <w:cnfStyle w:val="100000000000" w:firstRow="1" w:lastRow="0" w:firstColumn="0" w:lastColumn="0" w:oddVBand="0" w:evenVBand="0" w:oddHBand="0" w:evenHBand="0" w:firstRowFirstColumn="0" w:firstRowLastColumn="0" w:lastRowFirstColumn="0" w:lastRowLastColumn="0"/>
          <w:trHeight w:val="15"/>
        </w:trPr>
        <w:tc>
          <w:tcPr>
            <w:tcW w:w="3770"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D5420EF" w14:textId="77777777" w:rsidR="002570DE" w:rsidRDefault="002570DE" w:rsidP="002570DE">
            <w:pPr>
              <w:keepNext/>
            </w:pPr>
            <w:r w:rsidRPr="74E77BBC">
              <w:rPr>
                <w:rFonts w:ascii="Segoe UI" w:eastAsia="Segoe UI" w:hAnsi="Segoe UI" w:cs="Segoe UI"/>
                <w:sz w:val="18"/>
                <w:szCs w:val="18"/>
              </w:rPr>
              <w:t>Proposal</w:t>
            </w:r>
          </w:p>
        </w:tc>
        <w:tc>
          <w:tcPr>
            <w:tcW w:w="2457"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707F19A0" w14:textId="77777777" w:rsidR="002570DE" w:rsidRDefault="002570DE" w:rsidP="002570DE">
            <w:pPr>
              <w:keepNext/>
              <w:jc w:val="right"/>
            </w:pPr>
            <w:r w:rsidRPr="74E77BBC">
              <w:rPr>
                <w:rFonts w:ascii="Segoe UI" w:eastAsia="Segoe UI" w:hAnsi="Segoe UI" w:cs="Segoe UI"/>
                <w:sz w:val="18"/>
                <w:szCs w:val="18"/>
              </w:rPr>
              <w:t>IA type</w:t>
            </w:r>
          </w:p>
        </w:tc>
        <w:tc>
          <w:tcPr>
            <w:tcW w:w="3731" w:type="dxa"/>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605EC6E8" w14:textId="21404AAA" w:rsidR="002570DE" w:rsidRDefault="002570DE" w:rsidP="002570DE">
            <w:pPr>
              <w:keepNext/>
              <w:jc w:val="right"/>
            </w:pPr>
            <w:r>
              <w:rPr>
                <w:rFonts w:ascii="Segoe UI" w:eastAsia="Segoe UI" w:hAnsi="Segoe UI" w:cs="Segoe UI"/>
                <w:sz w:val="18"/>
                <w:szCs w:val="18"/>
              </w:rPr>
              <w:t xml:space="preserve">Estimated Average </w:t>
            </w:r>
            <w:r w:rsidRPr="00DF0B7F">
              <w:rPr>
                <w:rFonts w:ascii="Segoe UI" w:eastAsia="Segoe UI" w:hAnsi="Segoe UI" w:cs="Segoe UI"/>
                <w:sz w:val="18"/>
                <w:szCs w:val="18"/>
              </w:rPr>
              <w:t>Annual</w:t>
            </w:r>
            <w:r>
              <w:rPr>
                <w:rFonts w:ascii="Segoe UI" w:eastAsia="Segoe UI" w:hAnsi="Segoe UI" w:cs="Segoe UI"/>
                <w:sz w:val="18"/>
                <w:szCs w:val="18"/>
              </w:rPr>
              <w:t xml:space="preserve"> impact on</w:t>
            </w:r>
            <w:r w:rsidRPr="00DF0B7F">
              <w:rPr>
                <w:rFonts w:ascii="Segoe UI" w:eastAsia="Segoe UI" w:hAnsi="Segoe UI" w:cs="Segoe UI"/>
                <w:sz w:val="18"/>
                <w:szCs w:val="18"/>
              </w:rPr>
              <w:t xml:space="preserve"> </w:t>
            </w:r>
            <w:r>
              <w:rPr>
                <w:rFonts w:ascii="Segoe UI" w:eastAsia="Segoe UI" w:hAnsi="Segoe UI" w:cs="Segoe UI"/>
                <w:sz w:val="18"/>
                <w:szCs w:val="18"/>
              </w:rPr>
              <w:br/>
            </w:r>
            <w:r w:rsidRPr="00DF0B7F">
              <w:rPr>
                <w:rFonts w:ascii="Segoe UI" w:eastAsia="Segoe UI" w:hAnsi="Segoe UI" w:cs="Segoe UI"/>
                <w:sz w:val="18"/>
                <w:szCs w:val="18"/>
              </w:rPr>
              <w:t>Regulatory Burden ($m)</w:t>
            </w:r>
          </w:p>
        </w:tc>
      </w:tr>
      <w:tr w:rsidR="00E72D5C" w14:paraId="178DBDB8" w14:textId="77777777" w:rsidTr="00E72D5C">
        <w:trPr>
          <w:trHeight w:val="15"/>
        </w:trPr>
        <w:tc>
          <w:tcPr>
            <w:tcW w:w="377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C1BB8CF" w14:textId="33213EE9" w:rsidR="00E72D5C" w:rsidRPr="008C0928" w:rsidRDefault="00E72D5C" w:rsidP="007F2A5C">
            <w:pPr>
              <w:keepNext/>
              <w:tabs>
                <w:tab w:val="left" w:pos="2780"/>
              </w:tabs>
              <w:rPr>
                <w:rFonts w:ascii="Segoe UI Light" w:eastAsia="Times New Roman" w:hAnsi="Segoe UI Light" w:cs="Segoe UI Light"/>
                <w:sz w:val="18"/>
                <w:szCs w:val="18"/>
                <w:lang w:eastAsia="en-AU"/>
              </w:rPr>
            </w:pPr>
            <w:r w:rsidRPr="008C0928">
              <w:rPr>
                <w:rFonts w:ascii="Segoe UI Light" w:eastAsia="Times New Roman" w:hAnsi="Segoe UI Light" w:cs="Segoe UI Light"/>
                <w:sz w:val="18"/>
                <w:szCs w:val="18"/>
                <w:lang w:eastAsia="en-AU"/>
              </w:rPr>
              <w:t>Bios</w:t>
            </w:r>
            <w:r w:rsidRPr="0014581C">
              <w:rPr>
                <w:rFonts w:ascii="Segoe UI Light" w:eastAsia="Times New Roman" w:hAnsi="Segoe UI Light" w:cs="Segoe UI Light"/>
                <w:sz w:val="18"/>
                <w:szCs w:val="18"/>
                <w:lang w:eastAsia="en-AU"/>
              </w:rPr>
              <w:t>ecurity (Ship Sanitation Certification Scheme</w:t>
            </w:r>
            <w:r w:rsidR="0014581C" w:rsidRPr="0014581C">
              <w:rPr>
                <w:rFonts w:ascii="Segoe UI Light" w:eastAsia="Times New Roman" w:hAnsi="Segoe UI Light" w:cs="Segoe UI Light"/>
                <w:sz w:val="18"/>
                <w:szCs w:val="18"/>
                <w:lang w:eastAsia="en-AU"/>
              </w:rPr>
              <w:t xml:space="preserve"> – </w:t>
            </w:r>
            <w:r w:rsidRPr="0014581C">
              <w:rPr>
                <w:rFonts w:ascii="Segoe UI Light" w:eastAsia="Times New Roman" w:hAnsi="Segoe UI Light" w:cs="Segoe UI Light"/>
                <w:sz w:val="18"/>
                <w:szCs w:val="18"/>
                <w:lang w:eastAsia="en-AU"/>
              </w:rPr>
              <w:t>Ports</w:t>
            </w:r>
            <w:r w:rsidRPr="008C0928">
              <w:rPr>
                <w:rFonts w:ascii="Segoe UI Light" w:eastAsia="Times New Roman" w:hAnsi="Segoe UI Light" w:cs="Segoe UI Light"/>
                <w:sz w:val="18"/>
                <w:szCs w:val="18"/>
                <w:lang w:eastAsia="en-AU"/>
              </w:rPr>
              <w:t>) Declaration 2026</w:t>
            </w:r>
          </w:p>
        </w:tc>
        <w:tc>
          <w:tcPr>
            <w:tcW w:w="2457"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95D6050" w14:textId="2F316CEB" w:rsidR="00E72D5C" w:rsidRDefault="00E72D5C" w:rsidP="007F2A5C">
            <w:pPr>
              <w:keepNext/>
              <w:jc w:val="right"/>
              <w:rPr>
                <w:sz w:val="18"/>
                <w:szCs w:val="18"/>
              </w:rPr>
            </w:pPr>
            <w:r>
              <w:rPr>
                <w:sz w:val="18"/>
                <w:szCs w:val="18"/>
              </w:rPr>
              <w:t>Sunsetting Instrument</w:t>
            </w:r>
          </w:p>
        </w:tc>
        <w:tc>
          <w:tcPr>
            <w:tcW w:w="3731"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6E34615" w14:textId="70830ACD" w:rsidR="00E72D5C" w:rsidRDefault="009364E6" w:rsidP="007F2A5C">
            <w:pPr>
              <w:keepNext/>
              <w:jc w:val="right"/>
              <w:rPr>
                <w:sz w:val="18"/>
                <w:szCs w:val="18"/>
              </w:rPr>
            </w:pPr>
            <w:r>
              <w:rPr>
                <w:sz w:val="18"/>
                <w:szCs w:val="18"/>
              </w:rPr>
              <w:t>$0,</w:t>
            </w:r>
            <w:r w:rsidR="00AD1BE6">
              <w:rPr>
                <w:sz w:val="18"/>
                <w:szCs w:val="18"/>
              </w:rPr>
              <w:t xml:space="preserve"> t</w:t>
            </w:r>
            <w:r w:rsidR="00B12B73" w:rsidRPr="00B12B73">
              <w:rPr>
                <w:sz w:val="18"/>
                <w:szCs w:val="18"/>
              </w:rPr>
              <w:t>he Department noted it is not possible to certify that no shipping operator will incur any cost increase at all, but their assessment is that any potential cost increase is negligible, due to the multiple alternative options for accessing ship sanitation inspections at 36 other Australian ports and hundreds of ports internationally</w:t>
            </w:r>
            <w:r w:rsidR="00E72D5C">
              <w:rPr>
                <w:rStyle w:val="FootnoteReference"/>
                <w:sz w:val="18"/>
                <w:szCs w:val="18"/>
              </w:rPr>
              <w:footnoteReference w:id="8"/>
            </w:r>
          </w:p>
        </w:tc>
      </w:tr>
      <w:tr w:rsidR="00E72D5C" w14:paraId="6A01F232" w14:textId="77777777" w:rsidTr="00E72D5C">
        <w:trPr>
          <w:trHeight w:val="15"/>
        </w:trPr>
        <w:tc>
          <w:tcPr>
            <w:tcW w:w="377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28FF77E" w14:textId="1EF3777D" w:rsidR="00E72D5C" w:rsidRPr="008C0928" w:rsidRDefault="00E72D5C" w:rsidP="000A1EC6">
            <w:pPr>
              <w:tabs>
                <w:tab w:val="left" w:pos="2780"/>
              </w:tabs>
              <w:rPr>
                <w:rFonts w:ascii="Segoe UI Light" w:eastAsia="Times New Roman" w:hAnsi="Segoe UI Light" w:cs="Segoe UI Light"/>
                <w:sz w:val="18"/>
                <w:szCs w:val="18"/>
                <w:lang w:eastAsia="en-AU"/>
              </w:rPr>
            </w:pPr>
            <w:r w:rsidRPr="008C0928">
              <w:rPr>
                <w:rFonts w:ascii="Segoe UI Light" w:eastAsia="Times New Roman" w:hAnsi="Segoe UI Light" w:cs="Segoe UI Light"/>
                <w:sz w:val="18"/>
                <w:szCs w:val="18"/>
                <w:lang w:eastAsia="en-AU"/>
              </w:rPr>
              <w:t>Biosecurity (Human Health) Regulations 2026</w:t>
            </w:r>
          </w:p>
        </w:tc>
        <w:tc>
          <w:tcPr>
            <w:tcW w:w="2457"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EE88CB1" w14:textId="0D4DC1B4" w:rsidR="00E72D5C" w:rsidRDefault="00E72D5C" w:rsidP="00E72D5C">
            <w:pPr>
              <w:jc w:val="right"/>
              <w:rPr>
                <w:sz w:val="18"/>
                <w:szCs w:val="18"/>
              </w:rPr>
            </w:pPr>
            <w:r>
              <w:rPr>
                <w:sz w:val="18"/>
                <w:szCs w:val="18"/>
              </w:rPr>
              <w:t>Sunsetting Instrument</w:t>
            </w:r>
          </w:p>
        </w:tc>
        <w:tc>
          <w:tcPr>
            <w:tcW w:w="3731"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A6A45BB" w14:textId="0011FE38" w:rsidR="00E72D5C" w:rsidRDefault="00E72D5C" w:rsidP="00E72D5C">
            <w:pPr>
              <w:jc w:val="right"/>
              <w:rPr>
                <w:sz w:val="18"/>
                <w:szCs w:val="18"/>
              </w:rPr>
            </w:pPr>
            <w:r>
              <w:rPr>
                <w:sz w:val="18"/>
                <w:szCs w:val="18"/>
              </w:rPr>
              <w:t>$0</w:t>
            </w:r>
            <w:r w:rsidR="00BC450B">
              <w:rPr>
                <w:rStyle w:val="FootnoteReference"/>
                <w:sz w:val="18"/>
                <w:szCs w:val="18"/>
              </w:rPr>
              <w:footnoteReference w:id="9"/>
            </w:r>
          </w:p>
        </w:tc>
      </w:tr>
      <w:tr w:rsidR="00E72D5C" w14:paraId="5170C077" w14:textId="77777777" w:rsidTr="00E72D5C">
        <w:trPr>
          <w:trHeight w:val="15"/>
        </w:trPr>
        <w:tc>
          <w:tcPr>
            <w:tcW w:w="3770"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1983DBF" w14:textId="1CB06405" w:rsidR="00E72D5C" w:rsidRPr="000A1EC6" w:rsidRDefault="00E72D5C" w:rsidP="000A1EC6">
            <w:pPr>
              <w:tabs>
                <w:tab w:val="left" w:pos="2780"/>
              </w:tabs>
              <w:rPr>
                <w:rFonts w:ascii="Segoe UI Light" w:eastAsia="Times New Roman" w:hAnsi="Segoe UI Light" w:cs="Segoe UI Light"/>
                <w:sz w:val="18"/>
                <w:szCs w:val="18"/>
                <w:highlight w:val="yellow"/>
                <w:lang w:eastAsia="en-AU"/>
              </w:rPr>
            </w:pPr>
            <w:r w:rsidRPr="00D11B48">
              <w:rPr>
                <w:rFonts w:ascii="Segoe UI Light" w:eastAsia="Times New Roman" w:hAnsi="Segoe UI Light" w:cs="Segoe UI Light"/>
                <w:sz w:val="18"/>
                <w:szCs w:val="18"/>
                <w:lang w:eastAsia="en-AU"/>
              </w:rPr>
              <w:t>Implementation of Support Determinations in NDIS old framework plans – exclusions and safeguards for NDIS participants</w:t>
            </w:r>
          </w:p>
        </w:tc>
        <w:tc>
          <w:tcPr>
            <w:tcW w:w="2457"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6AAFF66" w14:textId="279BCB00" w:rsidR="00E72D5C" w:rsidRDefault="00E72D5C" w:rsidP="00E72D5C">
            <w:pPr>
              <w:jc w:val="right"/>
              <w:rPr>
                <w:sz w:val="18"/>
                <w:szCs w:val="18"/>
              </w:rPr>
            </w:pPr>
            <w:r>
              <w:rPr>
                <w:sz w:val="18"/>
                <w:szCs w:val="18"/>
              </w:rPr>
              <w:t>Dashboard IA</w:t>
            </w:r>
          </w:p>
        </w:tc>
        <w:tc>
          <w:tcPr>
            <w:tcW w:w="3731" w:type="dxa"/>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914E3B8" w14:textId="756E7677" w:rsidR="00E72D5C" w:rsidRDefault="00FB6E72" w:rsidP="00E72D5C">
            <w:pPr>
              <w:jc w:val="right"/>
              <w:rPr>
                <w:sz w:val="18"/>
                <w:szCs w:val="18"/>
              </w:rPr>
            </w:pPr>
            <w:r>
              <w:rPr>
                <w:sz w:val="18"/>
                <w:szCs w:val="18"/>
              </w:rPr>
              <w:t xml:space="preserve"> </w:t>
            </w:r>
            <w:r w:rsidRPr="00FB6E72">
              <w:rPr>
                <w:sz w:val="18"/>
                <w:szCs w:val="18"/>
              </w:rPr>
              <w:t>The regulatory burden</w:t>
            </w:r>
            <w:r w:rsidR="002576D9">
              <w:rPr>
                <w:sz w:val="18"/>
                <w:szCs w:val="18"/>
              </w:rPr>
              <w:t xml:space="preserve"> is not quantified</w:t>
            </w:r>
          </w:p>
        </w:tc>
      </w:tr>
    </w:tbl>
    <w:p w14:paraId="7D226827" w14:textId="3A23F8E1" w:rsidR="001C1F1D" w:rsidRDefault="001C1F1D" w:rsidP="006B3D88">
      <w:pPr>
        <w:pStyle w:val="Heading2"/>
        <w:rPr>
          <w:rFonts w:ascii="Times New Roman" w:eastAsia="Times New Roman" w:hAnsi="Times New Roman" w:cs="Times New Roman"/>
          <w:color w:val="192D56"/>
        </w:rPr>
      </w:pPr>
      <w:bookmarkStart w:id="9" w:name="_Toc243562618"/>
      <w:r>
        <w:rPr>
          <w:rFonts w:ascii="Times New Roman" w:eastAsia="Times New Roman" w:hAnsi="Times New Roman" w:cs="Times New Roman"/>
          <w:color w:val="192D56"/>
        </w:rPr>
        <w:t>Department of Home Affairs</w:t>
      </w:r>
      <w:bookmarkEnd w:id="9"/>
      <w:r>
        <w:rPr>
          <w:rFonts w:ascii="Times New Roman" w:eastAsia="Times New Roman" w:hAnsi="Times New Roman" w:cs="Times New Roman"/>
          <w:color w:val="192D56"/>
        </w:rPr>
        <w:t xml:space="preserve"> </w:t>
      </w:r>
    </w:p>
    <w:p w14:paraId="13D2B05E" w14:textId="37EF08BA" w:rsidR="00D3497F" w:rsidRDefault="00D3497F" w:rsidP="00D3497F">
      <w:pPr>
        <w:pStyle w:val="Caption"/>
      </w:pPr>
      <w:r>
        <w:t xml:space="preserve">Table </w:t>
      </w:r>
      <w:r w:rsidR="47DEDFFB">
        <w:t>6</w:t>
      </w:r>
      <w:r>
        <w:t xml:space="preserve">. </w:t>
      </w:r>
      <w:r w:rsidRPr="00A33F15">
        <w:t>Department of</w:t>
      </w:r>
      <w:r>
        <w:t xml:space="preserve"> </w:t>
      </w:r>
      <w:r w:rsidR="00AD4ABD">
        <w:t>Home Affairs</w:t>
      </w:r>
      <w:r w:rsidRPr="00A33F15">
        <w:t xml:space="preserve"> </w:t>
      </w:r>
    </w:p>
    <w:tbl>
      <w:tblPr>
        <w:tblStyle w:val="ListTable4-Accent1"/>
        <w:tblW w:w="5000" w:type="pct"/>
        <w:tblLayout w:type="fixed"/>
        <w:tblLook w:val="0620" w:firstRow="1" w:lastRow="0" w:firstColumn="0" w:lastColumn="0" w:noHBand="1" w:noVBand="1"/>
      </w:tblPr>
      <w:tblGrid>
        <w:gridCol w:w="3770"/>
        <w:gridCol w:w="2458"/>
        <w:gridCol w:w="3730"/>
      </w:tblGrid>
      <w:tr w:rsidR="002570DE" w14:paraId="0F2952C1" w14:textId="77777777" w:rsidTr="007E7A47">
        <w:trPr>
          <w:cnfStyle w:val="100000000000" w:firstRow="1" w:lastRow="0" w:firstColumn="0" w:lastColumn="0" w:oddVBand="0" w:evenVBand="0" w:oddHBand="0" w:evenHBand="0" w:firstRowFirstColumn="0" w:firstRowLastColumn="0" w:lastRowFirstColumn="0" w:lastRowLastColumn="0"/>
          <w:cantSplit/>
          <w:trHeight w:val="15"/>
          <w:tblHeader/>
        </w:trPr>
        <w:tc>
          <w:tcPr>
            <w:tcW w:w="189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4C4BA87" w14:textId="77777777" w:rsidR="002570DE" w:rsidRPr="00DF0B7F" w:rsidRDefault="002570DE" w:rsidP="002570DE">
            <w:r w:rsidRPr="00DF0B7F">
              <w:rPr>
                <w:rFonts w:ascii="Segoe UI" w:eastAsia="Segoe UI" w:hAnsi="Segoe UI" w:cs="Segoe UI"/>
                <w:sz w:val="18"/>
                <w:szCs w:val="18"/>
              </w:rPr>
              <w:t>Proposal</w:t>
            </w:r>
          </w:p>
        </w:tc>
        <w:tc>
          <w:tcPr>
            <w:tcW w:w="1234"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2B026230" w14:textId="77777777" w:rsidR="002570DE" w:rsidRPr="00DF0B7F" w:rsidRDefault="002570DE" w:rsidP="002570DE">
            <w:pPr>
              <w:jc w:val="right"/>
            </w:pPr>
            <w:r>
              <w:rPr>
                <w:rFonts w:ascii="Segoe UI" w:eastAsia="Segoe UI" w:hAnsi="Segoe UI" w:cs="Segoe UI"/>
                <w:sz w:val="18"/>
                <w:szCs w:val="18"/>
              </w:rPr>
              <w:t>IA type</w:t>
            </w:r>
          </w:p>
        </w:tc>
        <w:tc>
          <w:tcPr>
            <w:tcW w:w="187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57D9E29" w14:textId="38835A2B" w:rsidR="002570DE" w:rsidRPr="00DF0B7F" w:rsidRDefault="002570DE" w:rsidP="002570DE">
            <w:pPr>
              <w:jc w:val="right"/>
            </w:pPr>
            <w:r>
              <w:rPr>
                <w:rFonts w:ascii="Segoe UI" w:eastAsia="Segoe UI" w:hAnsi="Segoe UI" w:cs="Segoe UI"/>
                <w:sz w:val="18"/>
                <w:szCs w:val="18"/>
              </w:rPr>
              <w:t xml:space="preserve">Estimated Average </w:t>
            </w:r>
            <w:r w:rsidRPr="00DF0B7F">
              <w:rPr>
                <w:rFonts w:ascii="Segoe UI" w:eastAsia="Segoe UI" w:hAnsi="Segoe UI" w:cs="Segoe UI"/>
                <w:sz w:val="18"/>
                <w:szCs w:val="18"/>
              </w:rPr>
              <w:t>Annual</w:t>
            </w:r>
            <w:r>
              <w:rPr>
                <w:rFonts w:ascii="Segoe UI" w:eastAsia="Segoe UI" w:hAnsi="Segoe UI" w:cs="Segoe UI"/>
                <w:sz w:val="18"/>
                <w:szCs w:val="18"/>
              </w:rPr>
              <w:t xml:space="preserve"> impact on</w:t>
            </w:r>
            <w:r w:rsidRPr="00DF0B7F">
              <w:rPr>
                <w:rFonts w:ascii="Segoe UI" w:eastAsia="Segoe UI" w:hAnsi="Segoe UI" w:cs="Segoe UI"/>
                <w:sz w:val="18"/>
                <w:szCs w:val="18"/>
              </w:rPr>
              <w:t xml:space="preserve"> </w:t>
            </w:r>
            <w:r>
              <w:rPr>
                <w:rFonts w:ascii="Segoe UI" w:eastAsia="Segoe UI" w:hAnsi="Segoe UI" w:cs="Segoe UI"/>
                <w:sz w:val="18"/>
                <w:szCs w:val="18"/>
              </w:rPr>
              <w:br/>
            </w:r>
            <w:r w:rsidRPr="00DF0B7F">
              <w:rPr>
                <w:rFonts w:ascii="Segoe UI" w:eastAsia="Segoe UI" w:hAnsi="Segoe UI" w:cs="Segoe UI"/>
                <w:sz w:val="18"/>
                <w:szCs w:val="18"/>
              </w:rPr>
              <w:t>Regulatory Burden ($m)</w:t>
            </w:r>
          </w:p>
        </w:tc>
      </w:tr>
      <w:tr w:rsidR="00C436AF" w14:paraId="20918D82" w14:textId="77777777" w:rsidTr="007E7A47">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F587102" w14:textId="6490ADB1" w:rsidR="00C436AF" w:rsidRDefault="00C436AF" w:rsidP="000A1EC6">
            <w:pPr>
              <w:rPr>
                <w:rFonts w:ascii="Segoe UI Light" w:eastAsia="Times New Roman" w:hAnsi="Segoe UI Light" w:cs="Segoe UI Light"/>
                <w:sz w:val="18"/>
                <w:szCs w:val="18"/>
                <w:lang w:eastAsia="en-AU"/>
              </w:rPr>
            </w:pPr>
            <w:r w:rsidRPr="00D42CD7">
              <w:rPr>
                <w:rFonts w:ascii="Segoe UI Light" w:eastAsia="Times New Roman" w:hAnsi="Segoe UI Light" w:cs="Segoe UI Light"/>
                <w:sz w:val="18"/>
                <w:szCs w:val="18"/>
                <w:lang w:eastAsia="en-AU"/>
              </w:rPr>
              <w:t>Addendum - Enhanced Critical Infrastructure Risk Management Program (CIRMP) Reforms 2025</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817E29C" w14:textId="1344217B" w:rsidR="00C436AF" w:rsidRPr="001F2F2A" w:rsidRDefault="00C436AF" w:rsidP="007E7A47">
            <w:pPr>
              <w:jc w:val="right"/>
              <w:rPr>
                <w:sz w:val="18"/>
                <w:szCs w:val="18"/>
              </w:rPr>
            </w:pPr>
            <w:r>
              <w:rPr>
                <w:sz w:val="18"/>
                <w:szCs w:val="18"/>
              </w:rPr>
              <w:t>Addendum</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75D47A1" w14:textId="7B35A004" w:rsidR="00C436AF" w:rsidRPr="001F2F2A" w:rsidRDefault="00C436AF" w:rsidP="007E7A47">
            <w:pPr>
              <w:jc w:val="right"/>
              <w:rPr>
                <w:sz w:val="18"/>
                <w:szCs w:val="18"/>
              </w:rPr>
            </w:pPr>
            <w:r w:rsidRPr="001F2F2A">
              <w:rPr>
                <w:sz w:val="18"/>
                <w:szCs w:val="18"/>
              </w:rPr>
              <w:t>$</w:t>
            </w:r>
            <w:r>
              <w:rPr>
                <w:sz w:val="18"/>
                <w:szCs w:val="18"/>
              </w:rPr>
              <w:t>57.5</w:t>
            </w:r>
          </w:p>
        </w:tc>
      </w:tr>
    </w:tbl>
    <w:p w14:paraId="62E6AB4E" w14:textId="0B74F7DF" w:rsidR="00987E48" w:rsidRDefault="004F5A66" w:rsidP="006B3D88">
      <w:pPr>
        <w:pStyle w:val="Heading2"/>
        <w:rPr>
          <w:rFonts w:ascii="Times New Roman" w:eastAsia="Times New Roman" w:hAnsi="Times New Roman" w:cs="Times New Roman"/>
          <w:color w:val="192D56"/>
        </w:rPr>
      </w:pPr>
      <w:bookmarkStart w:id="10" w:name="_Toc243562619"/>
      <w:bookmarkEnd w:id="4"/>
      <w:r w:rsidRPr="004F5A66">
        <w:rPr>
          <w:rFonts w:ascii="Times New Roman" w:eastAsia="Times New Roman" w:hAnsi="Times New Roman" w:cs="Times New Roman"/>
          <w:color w:val="192D56"/>
        </w:rPr>
        <w:t>Department of Infrastructure, Transport, Regional Development, Communications, Sport and the Arts</w:t>
      </w:r>
      <w:bookmarkEnd w:id="10"/>
      <w:r w:rsidRPr="004F5A66" w:rsidDel="00B22ADD">
        <w:rPr>
          <w:rFonts w:ascii="Times New Roman" w:eastAsia="Times New Roman" w:hAnsi="Times New Roman" w:cs="Times New Roman"/>
          <w:color w:val="192D56"/>
          <w:highlight w:val="yellow"/>
        </w:rPr>
        <w:t xml:space="preserve"> </w:t>
      </w:r>
    </w:p>
    <w:p w14:paraId="411EA87A" w14:textId="3C4E02E9" w:rsidR="00987E48" w:rsidRDefault="00987E48" w:rsidP="00987E48">
      <w:pPr>
        <w:pStyle w:val="Caption"/>
      </w:pPr>
      <w:r>
        <w:t xml:space="preserve">Table </w:t>
      </w:r>
      <w:r w:rsidR="0EC7BB48">
        <w:t>7</w:t>
      </w:r>
      <w:r>
        <w:t xml:space="preserve">. </w:t>
      </w:r>
      <w:r w:rsidR="004F5A66" w:rsidRPr="004F5A66">
        <w:t>Department of Infrastructure, Transport, Regional Development, Communications, Sport and the Arts</w:t>
      </w:r>
      <w:r w:rsidR="004F5A66" w:rsidRPr="004F5A66" w:rsidDel="004F5A66">
        <w:rPr>
          <w:highlight w:val="yellow"/>
        </w:rPr>
        <w:t xml:space="preserve"> </w:t>
      </w:r>
    </w:p>
    <w:tbl>
      <w:tblPr>
        <w:tblStyle w:val="ListTable4-Accent1"/>
        <w:tblW w:w="5000" w:type="pct"/>
        <w:tblLayout w:type="fixed"/>
        <w:tblLook w:val="0620" w:firstRow="1" w:lastRow="0" w:firstColumn="0" w:lastColumn="0" w:noHBand="1" w:noVBand="1"/>
      </w:tblPr>
      <w:tblGrid>
        <w:gridCol w:w="3770"/>
        <w:gridCol w:w="2458"/>
        <w:gridCol w:w="3730"/>
      </w:tblGrid>
      <w:tr w:rsidR="002570DE" w14:paraId="687E3FA9" w14:textId="77777777" w:rsidTr="00DE2D7A">
        <w:trPr>
          <w:cnfStyle w:val="100000000000" w:firstRow="1" w:lastRow="0" w:firstColumn="0" w:lastColumn="0" w:oddVBand="0" w:evenVBand="0" w:oddHBand="0" w:evenHBand="0" w:firstRowFirstColumn="0" w:firstRowLastColumn="0" w:lastRowFirstColumn="0" w:lastRowLastColumn="0"/>
          <w:cantSplit/>
          <w:trHeight w:val="15"/>
          <w:tblHeader/>
        </w:trPr>
        <w:tc>
          <w:tcPr>
            <w:tcW w:w="189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4E2F7839" w14:textId="77777777" w:rsidR="002570DE" w:rsidRPr="00DF0B7F" w:rsidRDefault="002570DE" w:rsidP="002570DE">
            <w:r w:rsidRPr="00DF0B7F">
              <w:rPr>
                <w:rFonts w:ascii="Segoe UI" w:eastAsia="Segoe UI" w:hAnsi="Segoe UI" w:cs="Segoe UI"/>
                <w:sz w:val="18"/>
                <w:szCs w:val="18"/>
              </w:rPr>
              <w:t>Proposal</w:t>
            </w:r>
          </w:p>
        </w:tc>
        <w:tc>
          <w:tcPr>
            <w:tcW w:w="1234"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856D91C" w14:textId="6D05ED31" w:rsidR="002570DE" w:rsidRPr="00DF0B7F" w:rsidRDefault="002570DE" w:rsidP="002570DE">
            <w:pPr>
              <w:jc w:val="right"/>
            </w:pPr>
            <w:r>
              <w:rPr>
                <w:rFonts w:ascii="Segoe UI" w:eastAsia="Segoe UI" w:hAnsi="Segoe UI" w:cs="Segoe UI"/>
                <w:sz w:val="18"/>
                <w:szCs w:val="18"/>
              </w:rPr>
              <w:t>IA type</w:t>
            </w:r>
          </w:p>
        </w:tc>
        <w:tc>
          <w:tcPr>
            <w:tcW w:w="187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302AB9C" w14:textId="5ED3DCD1" w:rsidR="002570DE" w:rsidRPr="00DF0B7F" w:rsidRDefault="002570DE" w:rsidP="002570DE">
            <w:pPr>
              <w:jc w:val="right"/>
            </w:pPr>
            <w:r>
              <w:rPr>
                <w:rFonts w:ascii="Segoe UI" w:eastAsia="Segoe UI" w:hAnsi="Segoe UI" w:cs="Segoe UI"/>
                <w:sz w:val="18"/>
                <w:szCs w:val="18"/>
              </w:rPr>
              <w:t xml:space="preserve">Estimated Average </w:t>
            </w:r>
            <w:r w:rsidRPr="00DF0B7F">
              <w:rPr>
                <w:rFonts w:ascii="Segoe UI" w:eastAsia="Segoe UI" w:hAnsi="Segoe UI" w:cs="Segoe UI"/>
                <w:sz w:val="18"/>
                <w:szCs w:val="18"/>
              </w:rPr>
              <w:t>Annual</w:t>
            </w:r>
            <w:r>
              <w:rPr>
                <w:rFonts w:ascii="Segoe UI" w:eastAsia="Segoe UI" w:hAnsi="Segoe UI" w:cs="Segoe UI"/>
                <w:sz w:val="18"/>
                <w:szCs w:val="18"/>
              </w:rPr>
              <w:t xml:space="preserve"> impact on</w:t>
            </w:r>
            <w:r w:rsidRPr="00DF0B7F">
              <w:rPr>
                <w:rFonts w:ascii="Segoe UI" w:eastAsia="Segoe UI" w:hAnsi="Segoe UI" w:cs="Segoe UI"/>
                <w:sz w:val="18"/>
                <w:szCs w:val="18"/>
              </w:rPr>
              <w:t xml:space="preserve"> </w:t>
            </w:r>
            <w:r>
              <w:rPr>
                <w:rFonts w:ascii="Segoe UI" w:eastAsia="Segoe UI" w:hAnsi="Segoe UI" w:cs="Segoe UI"/>
                <w:sz w:val="18"/>
                <w:szCs w:val="18"/>
              </w:rPr>
              <w:br/>
            </w:r>
            <w:r w:rsidRPr="00DF0B7F">
              <w:rPr>
                <w:rFonts w:ascii="Segoe UI" w:eastAsia="Segoe UI" w:hAnsi="Segoe UI" w:cs="Segoe UI"/>
                <w:sz w:val="18"/>
                <w:szCs w:val="18"/>
              </w:rPr>
              <w:t>Regulatory Burden ($m)</w:t>
            </w:r>
          </w:p>
        </w:tc>
      </w:tr>
      <w:tr w:rsidR="002570DE" w14:paraId="7E4CE7AE" w14:textId="77777777" w:rsidTr="00DE2D7A">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3F6D773" w14:textId="68F7C65A" w:rsidR="002570DE" w:rsidRPr="000A1EC6" w:rsidRDefault="002570DE" w:rsidP="002570DE">
            <w:pPr>
              <w:rPr>
                <w:rFonts w:ascii="Segoe UI Light" w:eastAsia="Times New Roman" w:hAnsi="Segoe UI Light" w:cs="Segoe UI Light"/>
                <w:sz w:val="18"/>
                <w:szCs w:val="18"/>
                <w:highlight w:val="yellow"/>
                <w:lang w:eastAsia="en-AU"/>
              </w:rPr>
            </w:pPr>
            <w:r w:rsidRPr="00094F6F">
              <w:rPr>
                <w:rFonts w:ascii="Segoe UI Light" w:eastAsia="Times New Roman" w:hAnsi="Segoe UI Light" w:cs="Segoe UI Light"/>
                <w:sz w:val="18"/>
                <w:szCs w:val="18"/>
                <w:lang w:eastAsia="en-AU"/>
              </w:rPr>
              <w:t>Radio Prominence Framework for Smart Speakers</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09CD959" w14:textId="3458B0DC" w:rsidR="002570DE" w:rsidRPr="0098144E" w:rsidRDefault="002570DE" w:rsidP="002570DE">
            <w:pPr>
              <w:jc w:val="right"/>
              <w:rPr>
                <w:sz w:val="18"/>
                <w:szCs w:val="18"/>
              </w:rPr>
            </w:pPr>
            <w:r>
              <w:rPr>
                <w:sz w:val="18"/>
                <w:szCs w:val="18"/>
              </w:rPr>
              <w:t>Detailed IA</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EFC40C1" w14:textId="25727183" w:rsidR="002570DE" w:rsidRPr="00847964" w:rsidRDefault="002570DE" w:rsidP="002570DE">
            <w:pPr>
              <w:jc w:val="right"/>
              <w:rPr>
                <w:sz w:val="18"/>
                <w:szCs w:val="18"/>
              </w:rPr>
            </w:pPr>
            <w:r w:rsidRPr="00847964">
              <w:rPr>
                <w:sz w:val="18"/>
                <w:szCs w:val="18"/>
              </w:rPr>
              <w:t>$1.313</w:t>
            </w:r>
          </w:p>
        </w:tc>
      </w:tr>
      <w:tr w:rsidR="002570DE" w14:paraId="72261406" w14:textId="77777777" w:rsidTr="00DE2D7A">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D2A0369" w14:textId="205F96B8" w:rsidR="002570DE" w:rsidRPr="000A1EC6" w:rsidRDefault="002570DE" w:rsidP="002570DE">
            <w:pPr>
              <w:rPr>
                <w:rFonts w:ascii="Segoe UI Light" w:eastAsia="Times New Roman" w:hAnsi="Segoe UI Light" w:cs="Segoe UI Light"/>
                <w:sz w:val="18"/>
                <w:szCs w:val="18"/>
                <w:highlight w:val="yellow"/>
                <w:lang w:eastAsia="en-AU"/>
              </w:rPr>
            </w:pPr>
            <w:r w:rsidRPr="00DC30FE">
              <w:rPr>
                <w:rFonts w:ascii="Segoe UI Light" w:eastAsia="Times New Roman" w:hAnsi="Segoe UI Light" w:cs="Segoe UI Light"/>
                <w:sz w:val="18"/>
                <w:szCs w:val="18"/>
                <w:lang w:eastAsia="en-AU"/>
              </w:rPr>
              <w:t>Digital Duty of Care Model for Online Safety</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A506C70" w14:textId="5CA0F02A" w:rsidR="002570DE" w:rsidRDefault="002570DE" w:rsidP="002570DE">
            <w:pPr>
              <w:jc w:val="right"/>
              <w:rPr>
                <w:sz w:val="18"/>
                <w:szCs w:val="18"/>
              </w:rPr>
            </w:pPr>
            <w:r w:rsidRPr="00734441">
              <w:rPr>
                <w:sz w:val="18"/>
                <w:szCs w:val="18"/>
              </w:rPr>
              <w:t>Impact Analysis Equivalent</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A5CB8B1" w14:textId="24AD0066" w:rsidR="002570DE" w:rsidRPr="00847964" w:rsidRDefault="002570DE" w:rsidP="002570DE">
            <w:pPr>
              <w:jc w:val="right"/>
              <w:rPr>
                <w:sz w:val="18"/>
                <w:szCs w:val="18"/>
              </w:rPr>
            </w:pPr>
            <w:r w:rsidRPr="00847964">
              <w:rPr>
                <w:sz w:val="18"/>
                <w:szCs w:val="18"/>
              </w:rPr>
              <w:t>$1.408</w:t>
            </w:r>
          </w:p>
        </w:tc>
      </w:tr>
      <w:tr w:rsidR="002570DE" w14:paraId="6D50EA00" w14:textId="77777777" w:rsidTr="00DE2D7A">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7A638C1D" w14:textId="14E190CD" w:rsidR="002570DE" w:rsidRPr="000A1EC6" w:rsidRDefault="002570DE" w:rsidP="002570DE">
            <w:pPr>
              <w:rPr>
                <w:rFonts w:ascii="Segoe UI Light" w:eastAsia="Times New Roman" w:hAnsi="Segoe UI Light" w:cs="Segoe UI Light"/>
                <w:sz w:val="18"/>
                <w:szCs w:val="18"/>
                <w:highlight w:val="yellow"/>
                <w:lang w:eastAsia="en-AU"/>
              </w:rPr>
            </w:pPr>
            <w:r w:rsidRPr="00AB2010">
              <w:rPr>
                <w:rFonts w:ascii="Segoe UI Light" w:eastAsia="Times New Roman" w:hAnsi="Segoe UI Light" w:cs="Segoe UI Light"/>
                <w:sz w:val="18"/>
                <w:szCs w:val="18"/>
                <w:lang w:eastAsia="en-AU"/>
              </w:rPr>
              <w:t>Exemption from Public Tenders Threshold under the National Land Transport Act 2014</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DC32BB8" w14:textId="595FF42C" w:rsidR="002570DE" w:rsidRDefault="002570DE" w:rsidP="002570DE">
            <w:pPr>
              <w:jc w:val="right"/>
              <w:rPr>
                <w:sz w:val="18"/>
                <w:szCs w:val="18"/>
              </w:rPr>
            </w:pPr>
            <w:r>
              <w:rPr>
                <w:sz w:val="18"/>
                <w:szCs w:val="18"/>
              </w:rPr>
              <w:t>Sunsetting Instrument</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370E6BF" w14:textId="582CE64A" w:rsidR="002570DE" w:rsidRPr="00F962C5" w:rsidRDefault="002570DE" w:rsidP="002570DE">
            <w:pPr>
              <w:jc w:val="right"/>
              <w:rPr>
                <w:sz w:val="18"/>
                <w:szCs w:val="18"/>
              </w:rPr>
            </w:pPr>
            <w:r w:rsidRPr="00734441">
              <w:rPr>
                <w:sz w:val="18"/>
                <w:szCs w:val="18"/>
              </w:rPr>
              <w:t>-$</w:t>
            </w:r>
            <w:r>
              <w:rPr>
                <w:sz w:val="18"/>
                <w:szCs w:val="18"/>
              </w:rPr>
              <w:t>0.35</w:t>
            </w:r>
          </w:p>
        </w:tc>
      </w:tr>
    </w:tbl>
    <w:p w14:paraId="4D7026E0" w14:textId="69F35DB4" w:rsidR="00DB5482" w:rsidRDefault="00DB5482" w:rsidP="00DB5482">
      <w:pPr>
        <w:pStyle w:val="Heading2"/>
        <w:rPr>
          <w:rFonts w:ascii="Times New Roman" w:eastAsia="Times New Roman" w:hAnsi="Times New Roman" w:cs="Times New Roman"/>
          <w:color w:val="192D56"/>
        </w:rPr>
      </w:pPr>
      <w:bookmarkStart w:id="11" w:name="_Toc243562620"/>
      <w:r w:rsidRPr="2EB90531">
        <w:rPr>
          <w:rFonts w:ascii="Times New Roman" w:eastAsia="Times New Roman" w:hAnsi="Times New Roman" w:cs="Times New Roman"/>
          <w:color w:val="192D56"/>
        </w:rPr>
        <w:t xml:space="preserve">Department of </w:t>
      </w:r>
      <w:r w:rsidR="004F5A66">
        <w:rPr>
          <w:rFonts w:ascii="Times New Roman" w:eastAsia="Times New Roman" w:hAnsi="Times New Roman" w:cs="Times New Roman"/>
          <w:color w:val="192D56"/>
        </w:rPr>
        <w:t>the Treasury</w:t>
      </w:r>
      <w:bookmarkEnd w:id="11"/>
      <w:r w:rsidRPr="2EB90531">
        <w:rPr>
          <w:rFonts w:ascii="Times New Roman" w:eastAsia="Times New Roman" w:hAnsi="Times New Roman" w:cs="Times New Roman"/>
          <w:color w:val="192D56"/>
        </w:rPr>
        <w:t xml:space="preserve"> </w:t>
      </w:r>
    </w:p>
    <w:p w14:paraId="629030BF" w14:textId="072FFD3B" w:rsidR="00DB5482" w:rsidRDefault="00DB5482" w:rsidP="00DB5482">
      <w:pPr>
        <w:pStyle w:val="Caption"/>
      </w:pPr>
      <w:r>
        <w:t xml:space="preserve">Table </w:t>
      </w:r>
      <w:r w:rsidR="1F56A576">
        <w:t>8</w:t>
      </w:r>
      <w:r>
        <w:t xml:space="preserve">. </w:t>
      </w:r>
      <w:r w:rsidRPr="00A33F15">
        <w:t>Department of</w:t>
      </w:r>
      <w:r>
        <w:t xml:space="preserve"> </w:t>
      </w:r>
      <w:r w:rsidR="004F5A66">
        <w:t>the Treasury</w:t>
      </w:r>
      <w:r w:rsidRPr="00A33F15">
        <w:t xml:space="preserve"> </w:t>
      </w:r>
    </w:p>
    <w:tbl>
      <w:tblPr>
        <w:tblStyle w:val="ListTable4-Accent1"/>
        <w:tblW w:w="5000" w:type="pct"/>
        <w:tblLook w:val="0620" w:firstRow="1" w:lastRow="0" w:firstColumn="0" w:lastColumn="0" w:noHBand="1" w:noVBand="1"/>
      </w:tblPr>
      <w:tblGrid>
        <w:gridCol w:w="3770"/>
        <w:gridCol w:w="2458"/>
        <w:gridCol w:w="3730"/>
      </w:tblGrid>
      <w:tr w:rsidR="002570DE" w14:paraId="6C23C87E" w14:textId="77777777" w:rsidTr="00E64DC1">
        <w:trPr>
          <w:cnfStyle w:val="100000000000" w:firstRow="1" w:lastRow="0" w:firstColumn="0" w:lastColumn="0" w:oddVBand="0" w:evenVBand="0" w:oddHBand="0" w:evenHBand="0" w:firstRowFirstColumn="0" w:firstRowLastColumn="0" w:lastRowFirstColumn="0" w:lastRowLastColumn="0"/>
          <w:cantSplit/>
          <w:trHeight w:val="15"/>
          <w:tblHeader/>
        </w:trPr>
        <w:tc>
          <w:tcPr>
            <w:tcW w:w="189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50AAF344" w14:textId="77777777" w:rsidR="002570DE" w:rsidRPr="00DF0B7F" w:rsidRDefault="002570DE" w:rsidP="002570DE">
            <w:r w:rsidRPr="00DF0B7F">
              <w:rPr>
                <w:rFonts w:ascii="Segoe UI" w:eastAsia="Segoe UI" w:hAnsi="Segoe UI" w:cs="Segoe UI"/>
                <w:sz w:val="18"/>
                <w:szCs w:val="18"/>
              </w:rPr>
              <w:t>Proposal</w:t>
            </w:r>
          </w:p>
        </w:tc>
        <w:tc>
          <w:tcPr>
            <w:tcW w:w="1234"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3756EAC3" w14:textId="77777777" w:rsidR="002570DE" w:rsidRPr="00DF0B7F" w:rsidRDefault="002570DE" w:rsidP="002570DE">
            <w:pPr>
              <w:jc w:val="right"/>
            </w:pPr>
            <w:r>
              <w:rPr>
                <w:rFonts w:ascii="Segoe UI" w:eastAsia="Segoe UI" w:hAnsi="Segoe UI" w:cs="Segoe UI"/>
                <w:sz w:val="18"/>
                <w:szCs w:val="18"/>
              </w:rPr>
              <w:t>IA type</w:t>
            </w:r>
          </w:p>
        </w:tc>
        <w:tc>
          <w:tcPr>
            <w:tcW w:w="1873" w:type="pct"/>
            <w:tcBorders>
              <w:top w:val="single" w:sz="8" w:space="0" w:color="auto"/>
              <w:left w:val="single" w:sz="8" w:space="0" w:color="auto"/>
              <w:bottom w:val="single" w:sz="8" w:space="0" w:color="auto"/>
              <w:right w:val="single" w:sz="8" w:space="0" w:color="auto"/>
            </w:tcBorders>
            <w:shd w:val="clear" w:color="auto" w:fill="192D56"/>
            <w:tcMar>
              <w:top w:w="57" w:type="dxa"/>
              <w:left w:w="57" w:type="dxa"/>
              <w:right w:w="57" w:type="dxa"/>
            </w:tcMar>
          </w:tcPr>
          <w:p w14:paraId="1C7914E8" w14:textId="55770E77" w:rsidR="002570DE" w:rsidRPr="00DF0B7F" w:rsidRDefault="002570DE" w:rsidP="002570DE">
            <w:pPr>
              <w:jc w:val="right"/>
            </w:pPr>
            <w:r>
              <w:rPr>
                <w:rFonts w:ascii="Segoe UI" w:eastAsia="Segoe UI" w:hAnsi="Segoe UI" w:cs="Segoe UI"/>
                <w:sz w:val="18"/>
                <w:szCs w:val="18"/>
              </w:rPr>
              <w:t xml:space="preserve">Estimated Average </w:t>
            </w:r>
            <w:r w:rsidRPr="00DF0B7F">
              <w:rPr>
                <w:rFonts w:ascii="Segoe UI" w:eastAsia="Segoe UI" w:hAnsi="Segoe UI" w:cs="Segoe UI"/>
                <w:sz w:val="18"/>
                <w:szCs w:val="18"/>
              </w:rPr>
              <w:t>Annual</w:t>
            </w:r>
            <w:r>
              <w:rPr>
                <w:rFonts w:ascii="Segoe UI" w:eastAsia="Segoe UI" w:hAnsi="Segoe UI" w:cs="Segoe UI"/>
                <w:sz w:val="18"/>
                <w:szCs w:val="18"/>
              </w:rPr>
              <w:t xml:space="preserve"> impact on</w:t>
            </w:r>
            <w:r w:rsidRPr="00DF0B7F">
              <w:rPr>
                <w:rFonts w:ascii="Segoe UI" w:eastAsia="Segoe UI" w:hAnsi="Segoe UI" w:cs="Segoe UI"/>
                <w:sz w:val="18"/>
                <w:szCs w:val="18"/>
              </w:rPr>
              <w:t xml:space="preserve"> </w:t>
            </w:r>
            <w:r>
              <w:rPr>
                <w:rFonts w:ascii="Segoe UI" w:eastAsia="Segoe UI" w:hAnsi="Segoe UI" w:cs="Segoe UI"/>
                <w:sz w:val="18"/>
                <w:szCs w:val="18"/>
              </w:rPr>
              <w:br/>
            </w:r>
            <w:r w:rsidRPr="00DF0B7F">
              <w:rPr>
                <w:rFonts w:ascii="Segoe UI" w:eastAsia="Segoe UI" w:hAnsi="Segoe UI" w:cs="Segoe UI"/>
                <w:sz w:val="18"/>
                <w:szCs w:val="18"/>
              </w:rPr>
              <w:t>Regulatory Burden ($m)</w:t>
            </w:r>
          </w:p>
        </w:tc>
      </w:tr>
      <w:tr w:rsidR="002570DE" w14:paraId="4A34A92E" w14:textId="77777777" w:rsidTr="00E64DC1">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39D34BF" w14:textId="6C710F31" w:rsidR="002570DE" w:rsidRPr="000A1EC6" w:rsidRDefault="002570DE" w:rsidP="002570DE">
            <w:pPr>
              <w:rPr>
                <w:sz w:val="18"/>
                <w:szCs w:val="18"/>
                <w:highlight w:val="yellow"/>
              </w:rPr>
            </w:pPr>
            <w:r w:rsidRPr="00B20389">
              <w:rPr>
                <w:sz w:val="18"/>
                <w:szCs w:val="18"/>
              </w:rPr>
              <w:t>Non-compete clauses and other worker restraints</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7FEB16B" w14:textId="747A8D1F" w:rsidR="002570DE" w:rsidRPr="002930AF" w:rsidRDefault="002570DE" w:rsidP="002570DE">
            <w:pPr>
              <w:jc w:val="right"/>
              <w:rPr>
                <w:sz w:val="18"/>
                <w:szCs w:val="18"/>
              </w:rPr>
            </w:pPr>
            <w:r>
              <w:rPr>
                <w:sz w:val="18"/>
                <w:szCs w:val="18"/>
              </w:rPr>
              <w:t>Impact Analysis</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40E91E1A" w14:textId="00631E47" w:rsidR="002570DE" w:rsidRPr="000079CE" w:rsidRDefault="002570DE" w:rsidP="002570DE">
            <w:pPr>
              <w:jc w:val="right"/>
              <w:rPr>
                <w:sz w:val="18"/>
                <w:szCs w:val="18"/>
              </w:rPr>
            </w:pPr>
            <w:r>
              <w:rPr>
                <w:sz w:val="18"/>
                <w:szCs w:val="18"/>
              </w:rPr>
              <w:t>O</w:t>
            </w:r>
            <w:r w:rsidRPr="00E87D8E">
              <w:rPr>
                <w:sz w:val="18"/>
                <w:szCs w:val="18"/>
              </w:rPr>
              <w:t>ne-off familiarisation cost of $46.4 million</w:t>
            </w:r>
          </w:p>
        </w:tc>
      </w:tr>
      <w:tr w:rsidR="002570DE" w14:paraId="2C17ADB4" w14:textId="77777777" w:rsidTr="00E64DC1">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3CF7D2A" w14:textId="086A94D2" w:rsidR="002570DE" w:rsidRPr="000A1EC6" w:rsidRDefault="002570DE" w:rsidP="002570DE">
            <w:pPr>
              <w:rPr>
                <w:rFonts w:ascii="Segoe UI Light" w:eastAsia="Times New Roman" w:hAnsi="Segoe UI Light" w:cs="Segoe UI Light"/>
                <w:sz w:val="18"/>
                <w:szCs w:val="18"/>
                <w:highlight w:val="yellow"/>
                <w:lang w:eastAsia="en-AU"/>
              </w:rPr>
            </w:pPr>
            <w:r w:rsidRPr="00CA13AF">
              <w:rPr>
                <w:sz w:val="18"/>
                <w:szCs w:val="18"/>
              </w:rPr>
              <w:t>Superannuation trustee compensation model</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6722B8DC" w14:textId="1311BCBC" w:rsidR="002570DE" w:rsidRPr="0098144E" w:rsidRDefault="002570DE" w:rsidP="002570DE">
            <w:pPr>
              <w:jc w:val="right"/>
              <w:rPr>
                <w:sz w:val="18"/>
                <w:szCs w:val="18"/>
              </w:rPr>
            </w:pPr>
            <w:r w:rsidRPr="0098144E">
              <w:rPr>
                <w:sz w:val="18"/>
                <w:szCs w:val="18"/>
              </w:rPr>
              <w:t>Dashboard IA</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3A1AAAD0" w14:textId="3A330CDC" w:rsidR="002570DE" w:rsidRPr="000079CE" w:rsidRDefault="002570DE" w:rsidP="002570DE">
            <w:pPr>
              <w:jc w:val="right"/>
              <w:rPr>
                <w:sz w:val="18"/>
                <w:szCs w:val="18"/>
              </w:rPr>
            </w:pPr>
            <w:r w:rsidRPr="000079CE">
              <w:rPr>
                <w:sz w:val="18"/>
                <w:szCs w:val="18"/>
              </w:rPr>
              <w:t>$8.8</w:t>
            </w:r>
            <w:r>
              <w:rPr>
                <w:sz w:val="18"/>
                <w:szCs w:val="18"/>
              </w:rPr>
              <w:t>1</w:t>
            </w:r>
          </w:p>
        </w:tc>
      </w:tr>
      <w:tr w:rsidR="002570DE" w14:paraId="02933A3F" w14:textId="77777777" w:rsidTr="00E64DC1">
        <w:trPr>
          <w:cantSplit/>
          <w:trHeight w:val="15"/>
        </w:trPr>
        <w:tc>
          <w:tcPr>
            <w:tcW w:w="189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0F361A8F" w14:textId="7BDBECFD" w:rsidR="002570DE" w:rsidRPr="00601F9C" w:rsidRDefault="002570DE" w:rsidP="002570DE">
            <w:pPr>
              <w:rPr>
                <w:rFonts w:ascii="Segoe UI Light" w:eastAsia="Times New Roman" w:hAnsi="Segoe UI Light" w:cs="Segoe UI Light"/>
                <w:sz w:val="18"/>
                <w:szCs w:val="18"/>
                <w:lang w:eastAsia="en-AU"/>
              </w:rPr>
            </w:pPr>
            <w:r w:rsidRPr="00601F9C">
              <w:rPr>
                <w:sz w:val="18"/>
                <w:szCs w:val="18"/>
              </w:rPr>
              <w:t>Enhancing consumer protections for SMSF establishments, and Realignment of the SMSF supervisory levy</w:t>
            </w:r>
          </w:p>
        </w:tc>
        <w:tc>
          <w:tcPr>
            <w:tcW w:w="1234"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52295658" w14:textId="52315549" w:rsidR="002570DE" w:rsidRPr="0098144E" w:rsidRDefault="002570DE" w:rsidP="002570DE">
            <w:pPr>
              <w:jc w:val="right"/>
              <w:rPr>
                <w:sz w:val="18"/>
                <w:szCs w:val="18"/>
              </w:rPr>
            </w:pPr>
            <w:r w:rsidRPr="0098144E">
              <w:rPr>
                <w:sz w:val="18"/>
                <w:szCs w:val="18"/>
              </w:rPr>
              <w:t>Dashboard IA</w:t>
            </w:r>
          </w:p>
        </w:tc>
        <w:tc>
          <w:tcPr>
            <w:tcW w:w="1873" w:type="pct"/>
            <w:tcBorders>
              <w:top w:val="single" w:sz="8" w:space="0" w:color="auto"/>
              <w:left w:val="single" w:sz="8" w:space="0" w:color="auto"/>
              <w:bottom w:val="single" w:sz="8" w:space="0" w:color="auto"/>
              <w:right w:val="single" w:sz="8" w:space="0" w:color="auto"/>
            </w:tcBorders>
            <w:tcMar>
              <w:top w:w="57" w:type="dxa"/>
              <w:left w:w="57" w:type="dxa"/>
              <w:right w:w="57" w:type="dxa"/>
            </w:tcMar>
          </w:tcPr>
          <w:p w14:paraId="16E24C3B" w14:textId="7EA9F911" w:rsidR="002570DE" w:rsidRPr="000079CE" w:rsidRDefault="002570DE" w:rsidP="002570DE">
            <w:pPr>
              <w:jc w:val="right"/>
              <w:rPr>
                <w:sz w:val="18"/>
                <w:szCs w:val="18"/>
              </w:rPr>
            </w:pPr>
            <w:r w:rsidRPr="000079CE">
              <w:rPr>
                <w:sz w:val="18"/>
                <w:szCs w:val="18"/>
              </w:rPr>
              <w:t>$8.4</w:t>
            </w:r>
          </w:p>
        </w:tc>
      </w:tr>
    </w:tbl>
    <w:p w14:paraId="21F3D289" w14:textId="47BAC5D4" w:rsidR="7DFD55B2" w:rsidRDefault="7DFD55B2" w:rsidP="00C52ABD"/>
    <w:sectPr w:rsidR="7DFD55B2" w:rsidSect="00F70524">
      <w:headerReference w:type="default" r:id="rId15"/>
      <w:footerReference w:type="default" r:id="rId16"/>
      <w:headerReference w:type="first" r:id="rId17"/>
      <w:footerReference w:type="first" r:id="rId18"/>
      <w:pgSz w:w="11906" w:h="16838"/>
      <w:pgMar w:top="1701" w:right="964" w:bottom="1701" w:left="964" w:header="99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8F203" w14:textId="77777777" w:rsidR="00E154E0" w:rsidRDefault="00E154E0">
      <w:pPr>
        <w:spacing w:after="0" w:line="240" w:lineRule="auto"/>
      </w:pPr>
      <w:r>
        <w:separator/>
      </w:r>
    </w:p>
  </w:endnote>
  <w:endnote w:type="continuationSeparator" w:id="0">
    <w:p w14:paraId="293B229E" w14:textId="77777777" w:rsidR="00E154E0" w:rsidRDefault="00E15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do">
    <w:altName w:val="Times New Roman"/>
    <w:charset w:val="00"/>
    <w:family w:val="roman"/>
    <w:pitch w:val="variable"/>
    <w:sig w:usb0="E40008FF" w:usb1="5201E0FB" w:usb2="04608000" w:usb3="00000000" w:csb0="000000BB" w:csb1="00000000"/>
  </w:font>
  <w:font w:name="Segoe UI Light">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E678" w14:textId="77777777" w:rsidR="00EC344D" w:rsidRPr="00285CAF" w:rsidRDefault="00EC344D" w:rsidP="00D10635">
    <w:pPr>
      <w:jc w:val="center"/>
    </w:pPr>
  </w:p>
  <w:p w14:paraId="434C7CF9" w14:textId="243BF6DA" w:rsidR="00EC344D" w:rsidRPr="008046D4" w:rsidRDefault="22B3018A" w:rsidP="7DFD55B2">
    <w:pPr>
      <w:pStyle w:val="Header"/>
    </w:pPr>
    <w:r w:rsidRPr="22B3018A">
      <w:rPr>
        <w:color w:val="7F7F7F" w:themeColor="text1" w:themeTint="80"/>
        <w:sz w:val="18"/>
        <w:szCs w:val="18"/>
      </w:rPr>
      <w:t xml:space="preserve">PM&amp;C | OIA | </w:t>
    </w:r>
    <w:r w:rsidRPr="22B3018A">
      <w:rPr>
        <w:rFonts w:ascii="Segoe UI Light" w:eastAsia="Segoe UI Light" w:hAnsi="Segoe UI Light" w:cs="Segoe UI Light"/>
        <w:color w:val="7F7F7F" w:themeColor="text1" w:themeTint="80"/>
        <w:sz w:val="18"/>
        <w:szCs w:val="18"/>
      </w:rPr>
      <w:t>Australian Government Impact Analysis Status</w:t>
    </w:r>
    <w:r w:rsidRPr="22B3018A">
      <w:rPr>
        <w:color w:val="7F7F7F" w:themeColor="text1" w:themeTint="80"/>
        <w:sz w:val="18"/>
        <w:szCs w:val="18"/>
      </w:rPr>
      <w:t>, 202</w:t>
    </w:r>
    <w:r w:rsidR="007D4504">
      <w:rPr>
        <w:color w:val="7F7F7F" w:themeColor="text1" w:themeTint="80"/>
        <w:sz w:val="18"/>
        <w:szCs w:val="18"/>
      </w:rPr>
      <w:t>6</w:t>
    </w:r>
    <w:r w:rsidRPr="22B3018A">
      <w:rPr>
        <w:color w:val="7F7F7F" w:themeColor="text1" w:themeTint="80"/>
        <w:sz w:val="18"/>
        <w:szCs w:val="18"/>
      </w:rPr>
      <w:t>-2</w:t>
    </w:r>
    <w:r w:rsidR="007D4504">
      <w:rPr>
        <w:color w:val="7F7F7F" w:themeColor="text1" w:themeTint="80"/>
        <w:sz w:val="18"/>
        <w:szCs w:val="18"/>
      </w:rPr>
      <w:t>7</w:t>
    </w:r>
    <w:r w:rsidRPr="22B3018A">
      <w:rPr>
        <w:color w:val="7F7F7F" w:themeColor="text1" w:themeTint="80"/>
        <w:sz w:val="18"/>
        <w:szCs w:val="18"/>
      </w:rPr>
      <w:t xml:space="preserve"> </w:t>
    </w:r>
    <w:r w:rsidR="009F4A59">
      <w:tab/>
    </w:r>
    <w:r w:rsidR="009F4A59" w:rsidRPr="22B3018A">
      <w:rPr>
        <w:noProof/>
      </w:rPr>
      <w:fldChar w:fldCharType="begin"/>
    </w:r>
    <w:r w:rsidR="009F4A59">
      <w:instrText>PAGE</w:instrText>
    </w:r>
    <w:r w:rsidR="009F4A59" w:rsidRPr="22B3018A">
      <w:fldChar w:fldCharType="separate"/>
    </w:r>
    <w:r w:rsidR="00FB6270">
      <w:rPr>
        <w:noProof/>
      </w:rPr>
      <w:t>3</w:t>
    </w:r>
    <w:r w:rsidR="009F4A59" w:rsidRPr="22B3018A">
      <w:rPr>
        <w:noProof/>
      </w:rPr>
      <w:fldChar w:fldCharType="end"/>
    </w:r>
  </w:p>
  <w:p w14:paraId="65943CB1" w14:textId="2E551986" w:rsidR="00EC344D" w:rsidRPr="008046D4" w:rsidRDefault="009F4A59" w:rsidP="7DFD55B2">
    <w:pPr>
      <w:pStyle w:val="Header"/>
      <w:rPr>
        <w:rFonts w:ascii="Segoe UI" w:hAnsi="Segoe UI" w:cs="Segoe UI"/>
        <w:noProof/>
        <w:color w:val="7F7F7F" w:themeColor="text1" w:themeTint="80"/>
        <w:sz w:val="18"/>
        <w:szCs w:val="18"/>
      </w:rPr>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009B4166" w14:paraId="2052A528" w14:textId="77777777" w:rsidTr="00FA1865">
      <w:trPr>
        <w:trHeight w:val="300"/>
      </w:trPr>
      <w:tc>
        <w:tcPr>
          <w:tcW w:w="3325" w:type="dxa"/>
        </w:tcPr>
        <w:p w14:paraId="4C273B04" w14:textId="33BF81C0" w:rsidR="7F5444F9" w:rsidRDefault="7F5444F9" w:rsidP="00FA1865">
          <w:pPr>
            <w:pStyle w:val="Header"/>
            <w:ind w:left="-115"/>
          </w:pPr>
        </w:p>
      </w:tc>
      <w:tc>
        <w:tcPr>
          <w:tcW w:w="3325" w:type="dxa"/>
        </w:tcPr>
        <w:p w14:paraId="003C2F0F" w14:textId="580098D9" w:rsidR="7F5444F9" w:rsidRDefault="7F5444F9" w:rsidP="00FA1865">
          <w:pPr>
            <w:pStyle w:val="Header"/>
            <w:jc w:val="center"/>
          </w:pPr>
        </w:p>
      </w:tc>
      <w:tc>
        <w:tcPr>
          <w:tcW w:w="3325" w:type="dxa"/>
        </w:tcPr>
        <w:p w14:paraId="226FEAE6" w14:textId="542E4BFE" w:rsidR="7F5444F9" w:rsidRDefault="7F5444F9" w:rsidP="00FA1865">
          <w:pPr>
            <w:pStyle w:val="Header"/>
            <w:ind w:right="-115"/>
            <w:jc w:val="right"/>
          </w:pPr>
        </w:p>
      </w:tc>
    </w:tr>
  </w:tbl>
  <w:p w14:paraId="2773D425" w14:textId="5796EB24" w:rsidR="7F5444F9" w:rsidRDefault="7F5444F9" w:rsidP="00FA1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F4AB" w14:textId="77777777" w:rsidR="00E154E0" w:rsidRDefault="00E154E0">
      <w:pPr>
        <w:spacing w:after="0" w:line="240" w:lineRule="auto"/>
      </w:pPr>
      <w:r>
        <w:separator/>
      </w:r>
    </w:p>
  </w:footnote>
  <w:footnote w:type="continuationSeparator" w:id="0">
    <w:p w14:paraId="062ED7A8" w14:textId="77777777" w:rsidR="00E154E0" w:rsidRDefault="00E154E0">
      <w:pPr>
        <w:spacing w:after="0" w:line="240" w:lineRule="auto"/>
      </w:pPr>
      <w:r>
        <w:continuationSeparator/>
      </w:r>
    </w:p>
  </w:footnote>
  <w:footnote w:id="1">
    <w:p w14:paraId="6B4D60F0" w14:textId="608B930D" w:rsidR="00543E74" w:rsidRPr="00D40D71" w:rsidRDefault="00543E74" w:rsidP="005B165B">
      <w:pPr>
        <w:pStyle w:val="FootnoteText"/>
        <w:keepNext/>
        <w:rPr>
          <w:i/>
          <w:iCs/>
        </w:rPr>
      </w:pPr>
      <w:r w:rsidRPr="009C593C">
        <w:rPr>
          <w:rStyle w:val="FootnoteReference"/>
        </w:rPr>
        <w:footnoteRef/>
      </w:r>
      <w:r w:rsidRPr="009C593C">
        <w:t xml:space="preserve"> </w:t>
      </w:r>
      <w:r w:rsidRPr="009C593C">
        <w:rPr>
          <w:iCs/>
        </w:rPr>
        <w:t xml:space="preserve">The estimate </w:t>
      </w:r>
      <w:r w:rsidR="007D52D1">
        <w:rPr>
          <w:iCs/>
        </w:rPr>
        <w:t>draws on</w:t>
      </w:r>
      <w:r w:rsidRPr="009C593C">
        <w:rPr>
          <w:iCs/>
        </w:rPr>
        <w:t xml:space="preserve"> </w:t>
      </w:r>
      <w:r w:rsidR="00BB597B">
        <w:rPr>
          <w:iCs/>
        </w:rPr>
        <w:t xml:space="preserve">analysis in </w:t>
      </w:r>
      <w:r w:rsidRPr="009C593C">
        <w:rPr>
          <w:iCs/>
        </w:rPr>
        <w:t>published</w:t>
      </w:r>
      <w:r w:rsidR="00315F68" w:rsidRPr="009C593C">
        <w:rPr>
          <w:iCs/>
        </w:rPr>
        <w:t xml:space="preserve"> IAs, including </w:t>
      </w:r>
      <w:r w:rsidR="009C593C">
        <w:rPr>
          <w:iCs/>
        </w:rPr>
        <w:t xml:space="preserve">published </w:t>
      </w:r>
      <w:r w:rsidR="00F806F1">
        <w:rPr>
          <w:iCs/>
        </w:rPr>
        <w:t>a</w:t>
      </w:r>
      <w:r w:rsidR="00315F68" w:rsidRPr="009C593C">
        <w:rPr>
          <w:iCs/>
        </w:rPr>
        <w:t>ddenda</w:t>
      </w:r>
      <w:r w:rsidRPr="009C593C">
        <w:rPr>
          <w:iCs/>
        </w:rPr>
        <w:t xml:space="preserve">. </w:t>
      </w:r>
      <w:r w:rsidR="00590703" w:rsidRPr="009C593C">
        <w:rPr>
          <w:iCs/>
        </w:rPr>
        <w:t xml:space="preserve">Regulatory burden </w:t>
      </w:r>
      <w:r w:rsidR="00B56BB1" w:rsidRPr="009C593C">
        <w:rPr>
          <w:iCs/>
        </w:rPr>
        <w:t xml:space="preserve">estimates </w:t>
      </w:r>
      <w:r w:rsidR="00590703" w:rsidRPr="009C593C">
        <w:rPr>
          <w:iCs/>
        </w:rPr>
        <w:t xml:space="preserve">in IAs are </w:t>
      </w:r>
      <w:r w:rsidR="00B56BB1" w:rsidRPr="009C593C">
        <w:rPr>
          <w:iCs/>
        </w:rPr>
        <w:t xml:space="preserve">based on </w:t>
      </w:r>
      <w:r w:rsidR="009C593C" w:rsidRPr="009C593C">
        <w:rPr>
          <w:iCs/>
        </w:rPr>
        <w:t>the ‘</w:t>
      </w:r>
      <w:r w:rsidR="00590703" w:rsidRPr="009C593C">
        <w:rPr>
          <w:iCs/>
        </w:rPr>
        <w:t xml:space="preserve">Regulatory Burden Measurement </w:t>
      </w:r>
      <w:r w:rsidR="0043688F" w:rsidRPr="009C593C">
        <w:rPr>
          <w:iCs/>
        </w:rPr>
        <w:t>F</w:t>
      </w:r>
      <w:r w:rsidR="00590703" w:rsidRPr="009C593C">
        <w:rPr>
          <w:iCs/>
        </w:rPr>
        <w:t>ramework</w:t>
      </w:r>
      <w:r w:rsidR="0043688F" w:rsidRPr="009C593C">
        <w:rPr>
          <w:iCs/>
        </w:rPr>
        <w:t>’</w:t>
      </w:r>
      <w:r w:rsidR="00590703" w:rsidRPr="009C593C">
        <w:rPr>
          <w:iCs/>
        </w:rPr>
        <w:t xml:space="preserve"> </w:t>
      </w:r>
      <w:r w:rsidR="001A00E4" w:rsidRPr="009C593C">
        <w:rPr>
          <w:iCs/>
        </w:rPr>
        <w:t>and estimate the average annual change in regulatory burden over 10 years (without discounting)</w:t>
      </w:r>
      <w:r w:rsidR="00C640AC">
        <w:rPr>
          <w:iCs/>
        </w:rPr>
        <w:t>, where a p</w:t>
      </w:r>
      <w:r w:rsidR="00C640AC" w:rsidRPr="009C593C">
        <w:rPr>
          <w:iCs/>
        </w:rPr>
        <w:t>ositive number represents an increase in regulatory burden</w:t>
      </w:r>
      <w:r w:rsidR="00C604B0" w:rsidRPr="009C593C">
        <w:rPr>
          <w:iCs/>
        </w:rPr>
        <w:t xml:space="preserve">. The </w:t>
      </w:r>
      <w:r w:rsidR="005A7D47" w:rsidRPr="008D1301">
        <w:rPr>
          <w:iCs/>
        </w:rPr>
        <w:t>total annual impact on regulatory burden</w:t>
      </w:r>
      <w:r w:rsidR="00C604B0" w:rsidRPr="009C593C">
        <w:rPr>
          <w:iCs/>
        </w:rPr>
        <w:t xml:space="preserve"> excludes </w:t>
      </w:r>
      <w:r w:rsidR="00814443">
        <w:rPr>
          <w:iCs/>
        </w:rPr>
        <w:t xml:space="preserve">the </w:t>
      </w:r>
      <w:r w:rsidR="00C604B0" w:rsidRPr="009C593C">
        <w:rPr>
          <w:iCs/>
        </w:rPr>
        <w:t>r</w:t>
      </w:r>
      <w:r w:rsidRPr="009C593C">
        <w:rPr>
          <w:iCs/>
        </w:rPr>
        <w:t xml:space="preserve">egulatory burden </w:t>
      </w:r>
      <w:r w:rsidR="003A25FD">
        <w:rPr>
          <w:iCs/>
        </w:rPr>
        <w:t xml:space="preserve">for </w:t>
      </w:r>
      <w:r w:rsidR="002D0CF1">
        <w:rPr>
          <w:iCs/>
        </w:rPr>
        <w:t>IAs</w:t>
      </w:r>
      <w:r w:rsidR="003A25FD">
        <w:rPr>
          <w:iCs/>
        </w:rPr>
        <w:t xml:space="preserve"> where the regulatory burden is</w:t>
      </w:r>
      <w:r w:rsidR="00C604B0" w:rsidRPr="009C593C">
        <w:rPr>
          <w:iCs/>
        </w:rPr>
        <w:t xml:space="preserve"> not presented in a standardised format or </w:t>
      </w:r>
      <w:r w:rsidR="002D0CF1">
        <w:rPr>
          <w:iCs/>
        </w:rPr>
        <w:t xml:space="preserve">is </w:t>
      </w:r>
      <w:r w:rsidR="00C604B0" w:rsidRPr="009C593C">
        <w:rPr>
          <w:iCs/>
        </w:rPr>
        <w:t>not quantified</w:t>
      </w:r>
      <w:r w:rsidR="003A25FD">
        <w:rPr>
          <w:iCs/>
        </w:rPr>
        <w:t xml:space="preserve">, and the regulatory burden due to </w:t>
      </w:r>
      <w:r w:rsidR="003A25FD">
        <w:t>remaking a sunsetting legislative instrument</w:t>
      </w:r>
      <w:r w:rsidRPr="009C593C">
        <w:rPr>
          <w:iCs/>
        </w:rPr>
        <w:t>.</w:t>
      </w:r>
      <w:r>
        <w:rPr>
          <w:iCs/>
        </w:rPr>
        <w:t xml:space="preserve"> </w:t>
      </w:r>
    </w:p>
  </w:footnote>
  <w:footnote w:id="2">
    <w:p w14:paraId="435E91DC" w14:textId="2D773BA5" w:rsidR="00E912A5" w:rsidRDefault="00E912A5" w:rsidP="00FC564F">
      <w:pPr>
        <w:pStyle w:val="FootnoteText"/>
      </w:pPr>
      <w:r>
        <w:rPr>
          <w:rStyle w:val="FootnoteReference"/>
        </w:rPr>
        <w:footnoteRef/>
      </w:r>
      <w:r>
        <w:t xml:space="preserve"> </w:t>
      </w:r>
      <w:r w:rsidR="009430C8">
        <w:t>Under the July 2026 ‘</w:t>
      </w:r>
      <w:r w:rsidR="004440FE" w:rsidRPr="004440FE">
        <w:t xml:space="preserve">Australian Government </w:t>
      </w:r>
      <w:r w:rsidR="009430C8">
        <w:t>Impact Analysis Framework’, w</w:t>
      </w:r>
      <w:r w:rsidR="00A33DB8">
        <w:t xml:space="preserve">here </w:t>
      </w:r>
      <w:r w:rsidR="00CF41B4">
        <w:t>remaking relevant</w:t>
      </w:r>
      <w:r w:rsidR="00A33DB8">
        <w:t xml:space="preserve"> sunsetting legislative instrument, </w:t>
      </w:r>
      <w:r w:rsidR="004C1AC2">
        <w:t>t</w:t>
      </w:r>
      <w:r w:rsidR="00A4231A">
        <w:t>he Dashboard IA should provide a</w:t>
      </w:r>
      <w:r w:rsidR="00FC564F">
        <w:t xml:space="preserve"> regulatory burden estimate of the change in regulatory burden relative to the status quo of there being no instrument in place</w:t>
      </w:r>
      <w:r w:rsidR="00F61451">
        <w:t xml:space="preserve">. However, </w:t>
      </w:r>
      <w:r w:rsidR="00A4231A">
        <w:t>a</w:t>
      </w:r>
      <w:r w:rsidR="00FC564F">
        <w:t>ny change in regulatory burden for remaking a legislative instrument is not included in the Estimated Annual Impact on Regulatory Burden.</w:t>
      </w:r>
    </w:p>
  </w:footnote>
  <w:footnote w:id="3">
    <w:p w14:paraId="07BF02E0" w14:textId="5A693A10" w:rsidR="002570DE" w:rsidRDefault="002570DE" w:rsidP="004532A4">
      <w:pPr>
        <w:pStyle w:val="FootnoteText"/>
      </w:pPr>
      <w:r>
        <w:rPr>
          <w:rStyle w:val="FootnoteReference"/>
        </w:rPr>
        <w:footnoteRef/>
      </w:r>
      <w:r>
        <w:t xml:space="preserve"> As the addenda are contributory portion of the overall $3,045,000,000 p/a in reduced regulatory burden reported in the </w:t>
      </w:r>
      <w:r w:rsidRPr="00390237">
        <w:t>Addendum 30 October 2025</w:t>
      </w:r>
      <w:r>
        <w:t xml:space="preserve"> </w:t>
      </w:r>
      <w:hyperlink r:id="rId1" w:history="1">
        <w:r>
          <w:rPr>
            <w:rStyle w:val="Hyperlink"/>
          </w:rPr>
          <w:t>Environmental Law Reform: Certification of Final Report of the EPBC Act Review Addendum to the Final Report</w:t>
        </w:r>
      </w:hyperlink>
      <w:r>
        <w:t>, this figure was not</w:t>
      </w:r>
      <w:r w:rsidRPr="00617225">
        <w:rPr>
          <w:iCs/>
        </w:rPr>
        <w:t xml:space="preserve"> included in the total estimated annual impact on Regulatory Burden</w:t>
      </w:r>
      <w:r>
        <w:rPr>
          <w:iCs/>
        </w:rPr>
        <w:t>.</w:t>
      </w:r>
    </w:p>
  </w:footnote>
  <w:footnote w:id="4">
    <w:p w14:paraId="75880530" w14:textId="4DAB9EFA" w:rsidR="002570DE" w:rsidRDefault="002570DE" w:rsidP="004532A4">
      <w:pPr>
        <w:pStyle w:val="FootnoteText"/>
      </w:pPr>
      <w:r>
        <w:rPr>
          <w:rStyle w:val="FootnoteReference"/>
        </w:rPr>
        <w:footnoteRef/>
      </w:r>
      <w:r>
        <w:t xml:space="preserve"> See footnote 3.</w:t>
      </w:r>
    </w:p>
  </w:footnote>
  <w:footnote w:id="5">
    <w:p w14:paraId="69556487" w14:textId="62E5108C" w:rsidR="002570DE" w:rsidRDefault="002570DE" w:rsidP="00120CA5">
      <w:pPr>
        <w:pStyle w:val="FootnoteText"/>
      </w:pPr>
      <w:r>
        <w:rPr>
          <w:rStyle w:val="FootnoteReference"/>
        </w:rPr>
        <w:footnoteRef/>
      </w:r>
      <w:r>
        <w:t xml:space="preserve"> See footnote 3.</w:t>
      </w:r>
    </w:p>
  </w:footnote>
  <w:footnote w:id="6">
    <w:p w14:paraId="30A4746C" w14:textId="5D651F3B" w:rsidR="002570DE" w:rsidRDefault="002570DE" w:rsidP="00120CA5">
      <w:pPr>
        <w:pStyle w:val="FootnoteText"/>
      </w:pPr>
      <w:r>
        <w:rPr>
          <w:rStyle w:val="FootnoteReference"/>
        </w:rPr>
        <w:footnoteRef/>
      </w:r>
      <w:r>
        <w:t xml:space="preserve"> See footnote 3.</w:t>
      </w:r>
    </w:p>
  </w:footnote>
  <w:footnote w:id="7">
    <w:p w14:paraId="5AC4B7BF" w14:textId="50885FD6" w:rsidR="002570DE" w:rsidRDefault="002570DE" w:rsidP="002C0236">
      <w:pPr>
        <w:pStyle w:val="FootnoteText"/>
      </w:pPr>
      <w:r>
        <w:rPr>
          <w:rStyle w:val="FootnoteReference"/>
        </w:rPr>
        <w:footnoteRef/>
      </w:r>
      <w:r>
        <w:t xml:space="preserve"> Completed under the March 2023 ‘Australian Government Guide to Policy Impact Analysis’, where the change in the regulatory burden for remaking the sunsetting instrument was estimated as the difference of the proposed changes to the existing regulations against</w:t>
      </w:r>
      <w:r w:rsidRPr="00D016BD">
        <w:rPr>
          <w:sz w:val="22"/>
          <w:szCs w:val="21"/>
        </w:rPr>
        <w:t xml:space="preserve"> </w:t>
      </w:r>
      <w:r w:rsidRPr="00D016BD">
        <w:t>t</w:t>
      </w:r>
      <w:r>
        <w:t xml:space="preserve">he </w:t>
      </w:r>
      <w:r w:rsidRPr="00D016BD">
        <w:t>unamended instrument continu</w:t>
      </w:r>
      <w:r>
        <w:t>ing.</w:t>
      </w:r>
    </w:p>
  </w:footnote>
  <w:footnote w:id="8">
    <w:p w14:paraId="22A1FAF1" w14:textId="102B3DDC" w:rsidR="00E72D5C" w:rsidRDefault="00E72D5C">
      <w:pPr>
        <w:pStyle w:val="FootnoteText"/>
      </w:pPr>
      <w:r>
        <w:rPr>
          <w:rStyle w:val="FootnoteReference"/>
        </w:rPr>
        <w:footnoteRef/>
      </w:r>
      <w:r w:rsidR="009364E6">
        <w:t xml:space="preserve"> Completed under the previous March 2023 ‘Australian Government Guide to Policy Impact Analysis’, where the change in the regulatory burden for remaking the sunsetting instrument was estimated as the difference of the proposed changes to the existing regulations against</w:t>
      </w:r>
      <w:r w:rsidR="009364E6" w:rsidRPr="00D016BD">
        <w:rPr>
          <w:sz w:val="22"/>
          <w:szCs w:val="21"/>
        </w:rPr>
        <w:t xml:space="preserve"> </w:t>
      </w:r>
      <w:r w:rsidR="009364E6" w:rsidRPr="00D016BD">
        <w:t>t</w:t>
      </w:r>
      <w:r w:rsidR="009364E6">
        <w:t xml:space="preserve">he </w:t>
      </w:r>
      <w:r w:rsidR="009364E6" w:rsidRPr="00D016BD">
        <w:t>unamended instrument continu</w:t>
      </w:r>
      <w:r w:rsidR="009364E6">
        <w:t>ing</w:t>
      </w:r>
      <w:r>
        <w:t>.</w:t>
      </w:r>
    </w:p>
  </w:footnote>
  <w:footnote w:id="9">
    <w:p w14:paraId="017991A0" w14:textId="546CD9F9" w:rsidR="00BC450B" w:rsidRDefault="00BC450B" w:rsidP="00BC450B">
      <w:pPr>
        <w:pStyle w:val="FootnoteText"/>
      </w:pPr>
      <w:r>
        <w:rPr>
          <w:rStyle w:val="FootnoteReference"/>
        </w:rPr>
        <w:footnoteRef/>
      </w:r>
      <w:r>
        <w:t xml:space="preserve"> Completed under the previous March 2023 ‘Australian Government Guide to Policy Impact Analysis’, where the change in the regulatory burden for remaking the sunsetting instrument was estimated as the difference of the proposed changes to the existing regulations against</w:t>
      </w:r>
      <w:r w:rsidRPr="00D016BD">
        <w:rPr>
          <w:sz w:val="22"/>
          <w:szCs w:val="21"/>
        </w:rPr>
        <w:t xml:space="preserve"> </w:t>
      </w:r>
      <w:r w:rsidRPr="00D016BD">
        <w:t>t</w:t>
      </w:r>
      <w:r>
        <w:t xml:space="preserve">he </w:t>
      </w:r>
      <w:r w:rsidRPr="00D016BD">
        <w:t>unamended instrument continu</w:t>
      </w:r>
      <w:r>
        <w: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6FA7" w14:textId="495C0C2E" w:rsidR="00EC344D" w:rsidRPr="00D10635" w:rsidRDefault="009F4A59" w:rsidP="00D10635">
    <w:pPr>
      <w:jc w:val="center"/>
    </w:pPr>
    <w:r>
      <w:rPr>
        <w:noProof/>
        <w:lang w:eastAsia="en-AU"/>
      </w:rPr>
      <mc:AlternateContent>
        <mc:Choice Requires="wps">
          <w:drawing>
            <wp:anchor distT="0" distB="0" distL="114300" distR="114300" simplePos="0" relativeHeight="251658241" behindDoc="1" locked="0" layoutInCell="1" allowOverlap="1" wp14:anchorId="7ED0CB52" wp14:editId="07777777">
              <wp:simplePos x="0" y="0"/>
              <wp:positionH relativeFrom="column">
                <wp:posOffset>6334941</wp:posOffset>
              </wp:positionH>
              <wp:positionV relativeFrom="page">
                <wp:posOffset>691515</wp:posOffset>
              </wp:positionV>
              <wp:extent cx="608400"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608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76F9AF55">
            <v:line id="Straight Connector 4" style="position:absolute;z-index:-251658239;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o:spid="_x0000_s1026" strokecolor="black [3200]" strokeweight=".5pt" from="498.8pt,54.45pt" to="546.7pt,54.45pt" w14:anchorId="3407CD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">
              <v:stroke joinstyle="miter"/>
              <w10:wrap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B88E" w14:textId="4814E2AE" w:rsidR="00EC344D" w:rsidRDefault="009F4A59" w:rsidP="00F70524">
    <w:pPr>
      <w:pStyle w:val="Header"/>
    </w:pPr>
    <w:r>
      <w:rPr>
        <w:noProof/>
        <w:lang w:eastAsia="en-AU"/>
      </w:rPr>
      <w:drawing>
        <wp:anchor distT="0" distB="0" distL="114300" distR="114300" simplePos="0" relativeHeight="251658243" behindDoc="0" locked="0" layoutInCell="1" allowOverlap="1" wp14:anchorId="579B05D2" wp14:editId="07777777">
          <wp:simplePos x="0" y="0"/>
          <wp:positionH relativeFrom="column">
            <wp:posOffset>3764626</wp:posOffset>
          </wp:positionH>
          <wp:positionV relativeFrom="paragraph">
            <wp:posOffset>-613868</wp:posOffset>
          </wp:positionV>
          <wp:extent cx="1102995" cy="885190"/>
          <wp:effectExtent l="0" t="0" r="1905" b="0"/>
          <wp:wrapSquare wrapText="bothSides"/>
          <wp:docPr id="3" name="Picture 3" descr="The Office of Impac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IA-LOGO-CMYK-BOTTOM.png"/>
                  <pic:cNvPicPr/>
                </pic:nvPicPr>
                <pic:blipFill>
                  <a:blip r:embed="rId1">
                    <a:extLst>
                      <a:ext uri="{28A0092B-C50C-407E-A947-70E740481C1C}">
                        <a14:useLocalDpi xmlns:a14="http://schemas.microsoft.com/office/drawing/2010/main" val="0"/>
                      </a:ext>
                    </a:extLst>
                  </a:blip>
                  <a:stretch>
                    <a:fillRect/>
                  </a:stretch>
                </pic:blipFill>
                <pic:spPr>
                  <a:xfrm>
                    <a:off x="0" y="0"/>
                    <a:ext cx="1102995" cy="885190"/>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8242" behindDoc="0" locked="0" layoutInCell="1" allowOverlap="1" wp14:anchorId="6CB00189" wp14:editId="07777777">
          <wp:simplePos x="0" y="0"/>
          <wp:positionH relativeFrom="column">
            <wp:posOffset>-480350</wp:posOffset>
          </wp:positionH>
          <wp:positionV relativeFrom="paragraph">
            <wp:posOffset>-469185</wp:posOffset>
          </wp:positionV>
          <wp:extent cx="3239168" cy="907993"/>
          <wp:effectExtent l="0" t="0" r="0" b="6985"/>
          <wp:wrapSquare wrapText="bothSides"/>
          <wp:docPr id="5" name="Picture 5" descr="Australian Government Department of the Prime Minister and Cabei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MC logo.jpg"/>
                  <pic:cNvPicPr/>
                </pic:nvPicPr>
                <pic:blipFill>
                  <a:blip r:embed="rId2">
                    <a:extLst>
                      <a:ext uri="{28A0092B-C50C-407E-A947-70E740481C1C}">
                        <a14:useLocalDpi xmlns:a14="http://schemas.microsoft.com/office/drawing/2010/main" val="0"/>
                      </a:ext>
                    </a:extLst>
                  </a:blip>
                  <a:stretch>
                    <a:fillRect/>
                  </a:stretch>
                </pic:blipFill>
                <pic:spPr>
                  <a:xfrm>
                    <a:off x="0" y="0"/>
                    <a:ext cx="3239168" cy="907993"/>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8240" behindDoc="1" locked="0" layoutInCell="1" allowOverlap="1" wp14:anchorId="0496D35C" wp14:editId="07777777">
              <wp:simplePos x="0" y="0"/>
              <wp:positionH relativeFrom="column">
                <wp:posOffset>6220460</wp:posOffset>
              </wp:positionH>
              <wp:positionV relativeFrom="page">
                <wp:posOffset>691515</wp:posOffset>
              </wp:positionV>
              <wp:extent cx="609600" cy="0"/>
              <wp:effectExtent l="0" t="0" r="19050" b="19050"/>
              <wp:wrapNone/>
              <wp:docPr id="108" name="Straight Connector 108"/>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6E9BE72">
            <v:line id="Straight Connector 108" style="position:absolute;z-index:-251658240;visibility:visible;mso-wrap-style:square;mso-wrap-distance-left:9pt;mso-wrap-distance-top:0;mso-wrap-distance-right:9pt;mso-wrap-distance-bottom:0;mso-position-horizontal:absolute;mso-position-horizontal-relative:text;mso-position-vertical:absolute;mso-position-vertical-relative:page" o:spid="_x0000_s1026" strokecolor="black [3200]" strokeweight=".5pt" from="489.8pt,54.45pt" to="537.8pt,54.45pt" w14:anchorId="26C68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&#1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8E5"/>
    <w:multiLevelType w:val="hybridMultilevel"/>
    <w:tmpl w:val="5CB04DAC"/>
    <w:lvl w:ilvl="0" w:tplc="B886986C">
      <w:start w:val="1"/>
      <w:numFmt w:val="bullet"/>
      <w:lvlText w:val=""/>
      <w:lvlJc w:val="left"/>
      <w:pPr>
        <w:ind w:left="720" w:hanging="360"/>
      </w:pPr>
      <w:rPr>
        <w:rFonts w:ascii="Symbol" w:hAnsi="Symbol" w:hint="default"/>
      </w:rPr>
    </w:lvl>
    <w:lvl w:ilvl="1" w:tplc="0CD825A6" w:tentative="1">
      <w:start w:val="1"/>
      <w:numFmt w:val="bullet"/>
      <w:lvlText w:val="o"/>
      <w:lvlJc w:val="left"/>
      <w:pPr>
        <w:ind w:left="1440" w:hanging="360"/>
      </w:pPr>
      <w:rPr>
        <w:rFonts w:ascii="Courier New" w:hAnsi="Courier New" w:cs="Courier New" w:hint="default"/>
      </w:rPr>
    </w:lvl>
    <w:lvl w:ilvl="2" w:tplc="D700DA0A" w:tentative="1">
      <w:start w:val="1"/>
      <w:numFmt w:val="bullet"/>
      <w:lvlText w:val=""/>
      <w:lvlJc w:val="left"/>
      <w:pPr>
        <w:ind w:left="2160" w:hanging="360"/>
      </w:pPr>
      <w:rPr>
        <w:rFonts w:ascii="Wingdings" w:hAnsi="Wingdings" w:hint="default"/>
      </w:rPr>
    </w:lvl>
    <w:lvl w:ilvl="3" w:tplc="61DEF0E6" w:tentative="1">
      <w:start w:val="1"/>
      <w:numFmt w:val="bullet"/>
      <w:lvlText w:val=""/>
      <w:lvlJc w:val="left"/>
      <w:pPr>
        <w:ind w:left="2880" w:hanging="360"/>
      </w:pPr>
      <w:rPr>
        <w:rFonts w:ascii="Symbol" w:hAnsi="Symbol" w:hint="default"/>
      </w:rPr>
    </w:lvl>
    <w:lvl w:ilvl="4" w:tplc="6B041088" w:tentative="1">
      <w:start w:val="1"/>
      <w:numFmt w:val="bullet"/>
      <w:lvlText w:val="o"/>
      <w:lvlJc w:val="left"/>
      <w:pPr>
        <w:ind w:left="3600" w:hanging="360"/>
      </w:pPr>
      <w:rPr>
        <w:rFonts w:ascii="Courier New" w:hAnsi="Courier New" w:cs="Courier New" w:hint="default"/>
      </w:rPr>
    </w:lvl>
    <w:lvl w:ilvl="5" w:tplc="844854C8" w:tentative="1">
      <w:start w:val="1"/>
      <w:numFmt w:val="bullet"/>
      <w:lvlText w:val=""/>
      <w:lvlJc w:val="left"/>
      <w:pPr>
        <w:ind w:left="4320" w:hanging="360"/>
      </w:pPr>
      <w:rPr>
        <w:rFonts w:ascii="Wingdings" w:hAnsi="Wingdings" w:hint="default"/>
      </w:rPr>
    </w:lvl>
    <w:lvl w:ilvl="6" w:tplc="10CA77A0" w:tentative="1">
      <w:start w:val="1"/>
      <w:numFmt w:val="bullet"/>
      <w:lvlText w:val=""/>
      <w:lvlJc w:val="left"/>
      <w:pPr>
        <w:ind w:left="5040" w:hanging="360"/>
      </w:pPr>
      <w:rPr>
        <w:rFonts w:ascii="Symbol" w:hAnsi="Symbol" w:hint="default"/>
      </w:rPr>
    </w:lvl>
    <w:lvl w:ilvl="7" w:tplc="B16E7E68" w:tentative="1">
      <w:start w:val="1"/>
      <w:numFmt w:val="bullet"/>
      <w:lvlText w:val="o"/>
      <w:lvlJc w:val="left"/>
      <w:pPr>
        <w:ind w:left="5760" w:hanging="360"/>
      </w:pPr>
      <w:rPr>
        <w:rFonts w:ascii="Courier New" w:hAnsi="Courier New" w:cs="Courier New" w:hint="default"/>
      </w:rPr>
    </w:lvl>
    <w:lvl w:ilvl="8" w:tplc="E4AC3288" w:tentative="1">
      <w:start w:val="1"/>
      <w:numFmt w:val="bullet"/>
      <w:lvlText w:val=""/>
      <w:lvlJc w:val="left"/>
      <w:pPr>
        <w:ind w:left="6480" w:hanging="360"/>
      </w:pPr>
      <w:rPr>
        <w:rFonts w:ascii="Wingdings" w:hAnsi="Wingdings" w:hint="default"/>
      </w:rPr>
    </w:lvl>
  </w:abstractNum>
  <w:abstractNum w:abstractNumId="1" w15:restartNumberingAfterBreak="0">
    <w:nsid w:val="056A72B2"/>
    <w:multiLevelType w:val="hybridMultilevel"/>
    <w:tmpl w:val="701A34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6E5E65"/>
    <w:multiLevelType w:val="multilevel"/>
    <w:tmpl w:val="04B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F811CC"/>
    <w:multiLevelType w:val="hybridMultilevel"/>
    <w:tmpl w:val="E034CC74"/>
    <w:lvl w:ilvl="0" w:tplc="B35093DA">
      <w:start w:val="1"/>
      <w:numFmt w:val="bullet"/>
      <w:lvlText w:val=""/>
      <w:lvlJc w:val="left"/>
      <w:pPr>
        <w:ind w:left="720" w:hanging="360"/>
      </w:pPr>
      <w:rPr>
        <w:rFonts w:ascii="Symbol" w:hAnsi="Symbol" w:hint="default"/>
      </w:rPr>
    </w:lvl>
    <w:lvl w:ilvl="1" w:tplc="A47EE474" w:tentative="1">
      <w:start w:val="1"/>
      <w:numFmt w:val="bullet"/>
      <w:lvlText w:val="o"/>
      <w:lvlJc w:val="left"/>
      <w:pPr>
        <w:ind w:left="1440" w:hanging="360"/>
      </w:pPr>
      <w:rPr>
        <w:rFonts w:ascii="Courier New" w:hAnsi="Courier New" w:cs="Courier New" w:hint="default"/>
      </w:rPr>
    </w:lvl>
    <w:lvl w:ilvl="2" w:tplc="E876A2C0" w:tentative="1">
      <w:start w:val="1"/>
      <w:numFmt w:val="bullet"/>
      <w:lvlText w:val=""/>
      <w:lvlJc w:val="left"/>
      <w:pPr>
        <w:ind w:left="2160" w:hanging="360"/>
      </w:pPr>
      <w:rPr>
        <w:rFonts w:ascii="Wingdings" w:hAnsi="Wingdings" w:hint="default"/>
      </w:rPr>
    </w:lvl>
    <w:lvl w:ilvl="3" w:tplc="2D28B758" w:tentative="1">
      <w:start w:val="1"/>
      <w:numFmt w:val="bullet"/>
      <w:lvlText w:val=""/>
      <w:lvlJc w:val="left"/>
      <w:pPr>
        <w:ind w:left="2880" w:hanging="360"/>
      </w:pPr>
      <w:rPr>
        <w:rFonts w:ascii="Symbol" w:hAnsi="Symbol" w:hint="default"/>
      </w:rPr>
    </w:lvl>
    <w:lvl w:ilvl="4" w:tplc="3B5A5132" w:tentative="1">
      <w:start w:val="1"/>
      <w:numFmt w:val="bullet"/>
      <w:lvlText w:val="o"/>
      <w:lvlJc w:val="left"/>
      <w:pPr>
        <w:ind w:left="3600" w:hanging="360"/>
      </w:pPr>
      <w:rPr>
        <w:rFonts w:ascii="Courier New" w:hAnsi="Courier New" w:cs="Courier New" w:hint="default"/>
      </w:rPr>
    </w:lvl>
    <w:lvl w:ilvl="5" w:tplc="7CEA9170" w:tentative="1">
      <w:start w:val="1"/>
      <w:numFmt w:val="bullet"/>
      <w:lvlText w:val=""/>
      <w:lvlJc w:val="left"/>
      <w:pPr>
        <w:ind w:left="4320" w:hanging="360"/>
      </w:pPr>
      <w:rPr>
        <w:rFonts w:ascii="Wingdings" w:hAnsi="Wingdings" w:hint="default"/>
      </w:rPr>
    </w:lvl>
    <w:lvl w:ilvl="6" w:tplc="2370E068" w:tentative="1">
      <w:start w:val="1"/>
      <w:numFmt w:val="bullet"/>
      <w:lvlText w:val=""/>
      <w:lvlJc w:val="left"/>
      <w:pPr>
        <w:ind w:left="5040" w:hanging="360"/>
      </w:pPr>
      <w:rPr>
        <w:rFonts w:ascii="Symbol" w:hAnsi="Symbol" w:hint="default"/>
      </w:rPr>
    </w:lvl>
    <w:lvl w:ilvl="7" w:tplc="B4E0A658" w:tentative="1">
      <w:start w:val="1"/>
      <w:numFmt w:val="bullet"/>
      <w:lvlText w:val="o"/>
      <w:lvlJc w:val="left"/>
      <w:pPr>
        <w:ind w:left="5760" w:hanging="360"/>
      </w:pPr>
      <w:rPr>
        <w:rFonts w:ascii="Courier New" w:hAnsi="Courier New" w:cs="Courier New" w:hint="default"/>
      </w:rPr>
    </w:lvl>
    <w:lvl w:ilvl="8" w:tplc="026C28B0" w:tentative="1">
      <w:start w:val="1"/>
      <w:numFmt w:val="bullet"/>
      <w:lvlText w:val=""/>
      <w:lvlJc w:val="left"/>
      <w:pPr>
        <w:ind w:left="6480" w:hanging="360"/>
      </w:pPr>
      <w:rPr>
        <w:rFonts w:ascii="Wingdings" w:hAnsi="Wingdings" w:hint="default"/>
      </w:rPr>
    </w:lvl>
  </w:abstractNum>
  <w:abstractNum w:abstractNumId="4" w15:restartNumberingAfterBreak="0">
    <w:nsid w:val="0AB75033"/>
    <w:multiLevelType w:val="hybridMultilevel"/>
    <w:tmpl w:val="51ACA69A"/>
    <w:lvl w:ilvl="0" w:tplc="87147866">
      <w:start w:val="1"/>
      <w:numFmt w:val="bullet"/>
      <w:pStyle w:val="TBLBulletedList"/>
      <w:lvlText w:val=""/>
      <w:lvlJc w:val="left"/>
      <w:pPr>
        <w:ind w:left="720" w:hanging="360"/>
      </w:pPr>
      <w:rPr>
        <w:rFonts w:ascii="Symbol" w:hAnsi="Symbol" w:hint="default"/>
      </w:rPr>
    </w:lvl>
    <w:lvl w:ilvl="1" w:tplc="60BEBE9C" w:tentative="1">
      <w:start w:val="1"/>
      <w:numFmt w:val="bullet"/>
      <w:lvlText w:val="o"/>
      <w:lvlJc w:val="left"/>
      <w:pPr>
        <w:ind w:left="1440" w:hanging="360"/>
      </w:pPr>
      <w:rPr>
        <w:rFonts w:ascii="Courier New" w:hAnsi="Courier New" w:cs="Courier New" w:hint="default"/>
      </w:rPr>
    </w:lvl>
    <w:lvl w:ilvl="2" w:tplc="115C5DAA" w:tentative="1">
      <w:start w:val="1"/>
      <w:numFmt w:val="bullet"/>
      <w:lvlText w:val=""/>
      <w:lvlJc w:val="left"/>
      <w:pPr>
        <w:ind w:left="2160" w:hanging="360"/>
      </w:pPr>
      <w:rPr>
        <w:rFonts w:ascii="Wingdings" w:hAnsi="Wingdings" w:hint="default"/>
      </w:rPr>
    </w:lvl>
    <w:lvl w:ilvl="3" w:tplc="E0BE968E" w:tentative="1">
      <w:start w:val="1"/>
      <w:numFmt w:val="bullet"/>
      <w:lvlText w:val=""/>
      <w:lvlJc w:val="left"/>
      <w:pPr>
        <w:ind w:left="2880" w:hanging="360"/>
      </w:pPr>
      <w:rPr>
        <w:rFonts w:ascii="Symbol" w:hAnsi="Symbol" w:hint="default"/>
      </w:rPr>
    </w:lvl>
    <w:lvl w:ilvl="4" w:tplc="2C22A240" w:tentative="1">
      <w:start w:val="1"/>
      <w:numFmt w:val="bullet"/>
      <w:lvlText w:val="o"/>
      <w:lvlJc w:val="left"/>
      <w:pPr>
        <w:ind w:left="3600" w:hanging="360"/>
      </w:pPr>
      <w:rPr>
        <w:rFonts w:ascii="Courier New" w:hAnsi="Courier New" w:cs="Courier New" w:hint="default"/>
      </w:rPr>
    </w:lvl>
    <w:lvl w:ilvl="5" w:tplc="F35C9682" w:tentative="1">
      <w:start w:val="1"/>
      <w:numFmt w:val="bullet"/>
      <w:lvlText w:val=""/>
      <w:lvlJc w:val="left"/>
      <w:pPr>
        <w:ind w:left="4320" w:hanging="360"/>
      </w:pPr>
      <w:rPr>
        <w:rFonts w:ascii="Wingdings" w:hAnsi="Wingdings" w:hint="default"/>
      </w:rPr>
    </w:lvl>
    <w:lvl w:ilvl="6" w:tplc="5DC0E7AE" w:tentative="1">
      <w:start w:val="1"/>
      <w:numFmt w:val="bullet"/>
      <w:lvlText w:val=""/>
      <w:lvlJc w:val="left"/>
      <w:pPr>
        <w:ind w:left="5040" w:hanging="360"/>
      </w:pPr>
      <w:rPr>
        <w:rFonts w:ascii="Symbol" w:hAnsi="Symbol" w:hint="default"/>
      </w:rPr>
    </w:lvl>
    <w:lvl w:ilvl="7" w:tplc="A4B647A0" w:tentative="1">
      <w:start w:val="1"/>
      <w:numFmt w:val="bullet"/>
      <w:lvlText w:val="o"/>
      <w:lvlJc w:val="left"/>
      <w:pPr>
        <w:ind w:left="5760" w:hanging="360"/>
      </w:pPr>
      <w:rPr>
        <w:rFonts w:ascii="Courier New" w:hAnsi="Courier New" w:cs="Courier New" w:hint="default"/>
      </w:rPr>
    </w:lvl>
    <w:lvl w:ilvl="8" w:tplc="32A075AC" w:tentative="1">
      <w:start w:val="1"/>
      <w:numFmt w:val="bullet"/>
      <w:lvlText w:val=""/>
      <w:lvlJc w:val="left"/>
      <w:pPr>
        <w:ind w:left="6480" w:hanging="360"/>
      </w:pPr>
      <w:rPr>
        <w:rFonts w:ascii="Wingdings" w:hAnsi="Wingdings" w:hint="default"/>
      </w:rPr>
    </w:lvl>
  </w:abstractNum>
  <w:abstractNum w:abstractNumId="5" w15:restartNumberingAfterBreak="0">
    <w:nsid w:val="0B014CCD"/>
    <w:multiLevelType w:val="hybridMultilevel"/>
    <w:tmpl w:val="72DE1CAA"/>
    <w:lvl w:ilvl="0" w:tplc="401CED3A">
      <w:start w:val="1"/>
      <w:numFmt w:val="bullet"/>
      <w:pStyle w:val="BOXBulletedList"/>
      <w:lvlText w:val=""/>
      <w:lvlJc w:val="left"/>
      <w:pPr>
        <w:ind w:left="284" w:hanging="284"/>
      </w:pPr>
      <w:rPr>
        <w:rFonts w:ascii="Symbol" w:hAnsi="Symbol" w:hint="default"/>
      </w:rPr>
    </w:lvl>
    <w:lvl w:ilvl="1" w:tplc="7B5C1E4C">
      <w:start w:val="1"/>
      <w:numFmt w:val="bullet"/>
      <w:lvlText w:val="o"/>
      <w:lvlJc w:val="left"/>
      <w:pPr>
        <w:ind w:left="1440" w:hanging="360"/>
      </w:pPr>
      <w:rPr>
        <w:rFonts w:ascii="Courier New" w:hAnsi="Courier New" w:cs="Courier New" w:hint="default"/>
      </w:rPr>
    </w:lvl>
    <w:lvl w:ilvl="2" w:tplc="A47A5CE4" w:tentative="1">
      <w:start w:val="1"/>
      <w:numFmt w:val="bullet"/>
      <w:lvlText w:val=""/>
      <w:lvlJc w:val="left"/>
      <w:pPr>
        <w:ind w:left="2160" w:hanging="360"/>
      </w:pPr>
      <w:rPr>
        <w:rFonts w:ascii="Wingdings" w:hAnsi="Wingdings" w:hint="default"/>
      </w:rPr>
    </w:lvl>
    <w:lvl w:ilvl="3" w:tplc="1BD88246" w:tentative="1">
      <w:start w:val="1"/>
      <w:numFmt w:val="bullet"/>
      <w:lvlText w:val=""/>
      <w:lvlJc w:val="left"/>
      <w:pPr>
        <w:ind w:left="2880" w:hanging="360"/>
      </w:pPr>
      <w:rPr>
        <w:rFonts w:ascii="Symbol" w:hAnsi="Symbol" w:hint="default"/>
      </w:rPr>
    </w:lvl>
    <w:lvl w:ilvl="4" w:tplc="3BA82DB6" w:tentative="1">
      <w:start w:val="1"/>
      <w:numFmt w:val="bullet"/>
      <w:lvlText w:val="o"/>
      <w:lvlJc w:val="left"/>
      <w:pPr>
        <w:ind w:left="3600" w:hanging="360"/>
      </w:pPr>
      <w:rPr>
        <w:rFonts w:ascii="Courier New" w:hAnsi="Courier New" w:cs="Courier New" w:hint="default"/>
      </w:rPr>
    </w:lvl>
    <w:lvl w:ilvl="5" w:tplc="0CCE96EE" w:tentative="1">
      <w:start w:val="1"/>
      <w:numFmt w:val="bullet"/>
      <w:lvlText w:val=""/>
      <w:lvlJc w:val="left"/>
      <w:pPr>
        <w:ind w:left="4320" w:hanging="360"/>
      </w:pPr>
      <w:rPr>
        <w:rFonts w:ascii="Wingdings" w:hAnsi="Wingdings" w:hint="default"/>
      </w:rPr>
    </w:lvl>
    <w:lvl w:ilvl="6" w:tplc="B8D08B8C" w:tentative="1">
      <w:start w:val="1"/>
      <w:numFmt w:val="bullet"/>
      <w:lvlText w:val=""/>
      <w:lvlJc w:val="left"/>
      <w:pPr>
        <w:ind w:left="5040" w:hanging="360"/>
      </w:pPr>
      <w:rPr>
        <w:rFonts w:ascii="Symbol" w:hAnsi="Symbol" w:hint="default"/>
      </w:rPr>
    </w:lvl>
    <w:lvl w:ilvl="7" w:tplc="E580E26E" w:tentative="1">
      <w:start w:val="1"/>
      <w:numFmt w:val="bullet"/>
      <w:lvlText w:val="o"/>
      <w:lvlJc w:val="left"/>
      <w:pPr>
        <w:ind w:left="5760" w:hanging="360"/>
      </w:pPr>
      <w:rPr>
        <w:rFonts w:ascii="Courier New" w:hAnsi="Courier New" w:cs="Courier New" w:hint="default"/>
      </w:rPr>
    </w:lvl>
    <w:lvl w:ilvl="8" w:tplc="19D20A6E" w:tentative="1">
      <w:start w:val="1"/>
      <w:numFmt w:val="bullet"/>
      <w:lvlText w:val=""/>
      <w:lvlJc w:val="left"/>
      <w:pPr>
        <w:ind w:left="6480" w:hanging="360"/>
      </w:pPr>
      <w:rPr>
        <w:rFonts w:ascii="Wingdings" w:hAnsi="Wingdings" w:hint="default"/>
      </w:rPr>
    </w:lvl>
  </w:abstractNum>
  <w:abstractNum w:abstractNumId="6" w15:restartNumberingAfterBreak="0">
    <w:nsid w:val="0BEC7D34"/>
    <w:multiLevelType w:val="multilevel"/>
    <w:tmpl w:val="FA20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AF6F03"/>
    <w:multiLevelType w:val="hybridMultilevel"/>
    <w:tmpl w:val="F542A2B0"/>
    <w:lvl w:ilvl="0" w:tplc="D2F6D650">
      <w:start w:val="1"/>
      <w:numFmt w:val="bullet"/>
      <w:pStyle w:val="BulletedList-Level3"/>
      <w:lvlText w:val="o"/>
      <w:lvlJc w:val="left"/>
      <w:pPr>
        <w:ind w:left="1134" w:hanging="283"/>
      </w:pPr>
      <w:rPr>
        <w:rFonts w:ascii="Courier New" w:hAnsi="Courier New" w:hint="default"/>
      </w:rPr>
    </w:lvl>
    <w:lvl w:ilvl="1" w:tplc="3C6695F0" w:tentative="1">
      <w:start w:val="1"/>
      <w:numFmt w:val="bullet"/>
      <w:lvlText w:val="o"/>
      <w:lvlJc w:val="left"/>
      <w:pPr>
        <w:ind w:left="2291" w:hanging="360"/>
      </w:pPr>
      <w:rPr>
        <w:rFonts w:ascii="Courier New" w:hAnsi="Courier New" w:cs="Courier New" w:hint="default"/>
      </w:rPr>
    </w:lvl>
    <w:lvl w:ilvl="2" w:tplc="98C090B8" w:tentative="1">
      <w:start w:val="1"/>
      <w:numFmt w:val="bullet"/>
      <w:lvlText w:val=""/>
      <w:lvlJc w:val="left"/>
      <w:pPr>
        <w:ind w:left="3011" w:hanging="360"/>
      </w:pPr>
      <w:rPr>
        <w:rFonts w:ascii="Wingdings" w:hAnsi="Wingdings" w:hint="default"/>
      </w:rPr>
    </w:lvl>
    <w:lvl w:ilvl="3" w:tplc="7408D29E" w:tentative="1">
      <w:start w:val="1"/>
      <w:numFmt w:val="bullet"/>
      <w:lvlText w:val=""/>
      <w:lvlJc w:val="left"/>
      <w:pPr>
        <w:ind w:left="3731" w:hanging="360"/>
      </w:pPr>
      <w:rPr>
        <w:rFonts w:ascii="Symbol" w:hAnsi="Symbol" w:hint="default"/>
      </w:rPr>
    </w:lvl>
    <w:lvl w:ilvl="4" w:tplc="A3D4985A" w:tentative="1">
      <w:start w:val="1"/>
      <w:numFmt w:val="bullet"/>
      <w:lvlText w:val="o"/>
      <w:lvlJc w:val="left"/>
      <w:pPr>
        <w:ind w:left="4451" w:hanging="360"/>
      </w:pPr>
      <w:rPr>
        <w:rFonts w:ascii="Courier New" w:hAnsi="Courier New" w:cs="Courier New" w:hint="default"/>
      </w:rPr>
    </w:lvl>
    <w:lvl w:ilvl="5" w:tplc="38821BBC" w:tentative="1">
      <w:start w:val="1"/>
      <w:numFmt w:val="bullet"/>
      <w:lvlText w:val=""/>
      <w:lvlJc w:val="left"/>
      <w:pPr>
        <w:ind w:left="5171" w:hanging="360"/>
      </w:pPr>
      <w:rPr>
        <w:rFonts w:ascii="Wingdings" w:hAnsi="Wingdings" w:hint="default"/>
      </w:rPr>
    </w:lvl>
    <w:lvl w:ilvl="6" w:tplc="85A8EF62" w:tentative="1">
      <w:start w:val="1"/>
      <w:numFmt w:val="bullet"/>
      <w:lvlText w:val=""/>
      <w:lvlJc w:val="left"/>
      <w:pPr>
        <w:ind w:left="5891" w:hanging="360"/>
      </w:pPr>
      <w:rPr>
        <w:rFonts w:ascii="Symbol" w:hAnsi="Symbol" w:hint="default"/>
      </w:rPr>
    </w:lvl>
    <w:lvl w:ilvl="7" w:tplc="2F448CC4" w:tentative="1">
      <w:start w:val="1"/>
      <w:numFmt w:val="bullet"/>
      <w:lvlText w:val="o"/>
      <w:lvlJc w:val="left"/>
      <w:pPr>
        <w:ind w:left="6611" w:hanging="360"/>
      </w:pPr>
      <w:rPr>
        <w:rFonts w:ascii="Courier New" w:hAnsi="Courier New" w:cs="Courier New" w:hint="default"/>
      </w:rPr>
    </w:lvl>
    <w:lvl w:ilvl="8" w:tplc="D95AEA1C" w:tentative="1">
      <w:start w:val="1"/>
      <w:numFmt w:val="bullet"/>
      <w:lvlText w:val=""/>
      <w:lvlJc w:val="left"/>
      <w:pPr>
        <w:ind w:left="7331" w:hanging="360"/>
      </w:pPr>
      <w:rPr>
        <w:rFonts w:ascii="Wingdings" w:hAnsi="Wingdings" w:hint="default"/>
      </w:rPr>
    </w:lvl>
  </w:abstractNum>
  <w:abstractNum w:abstractNumId="8" w15:restartNumberingAfterBreak="0">
    <w:nsid w:val="108B514B"/>
    <w:multiLevelType w:val="multilevel"/>
    <w:tmpl w:val="E768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A3105B"/>
    <w:multiLevelType w:val="hybridMultilevel"/>
    <w:tmpl w:val="2F88CC68"/>
    <w:lvl w:ilvl="0" w:tplc="8B06EC88">
      <w:start w:val="1"/>
      <w:numFmt w:val="decimal"/>
      <w:pStyle w:val="BoxDark-NumberedList"/>
      <w:lvlText w:val="%1."/>
      <w:lvlJc w:val="left"/>
      <w:pPr>
        <w:ind w:left="947" w:hanging="360"/>
      </w:pPr>
    </w:lvl>
    <w:lvl w:ilvl="1" w:tplc="A538F8A2" w:tentative="1">
      <w:start w:val="1"/>
      <w:numFmt w:val="lowerLetter"/>
      <w:lvlText w:val="%2."/>
      <w:lvlJc w:val="left"/>
      <w:pPr>
        <w:ind w:left="1667" w:hanging="360"/>
      </w:pPr>
    </w:lvl>
    <w:lvl w:ilvl="2" w:tplc="0F7A3254" w:tentative="1">
      <w:start w:val="1"/>
      <w:numFmt w:val="lowerRoman"/>
      <w:lvlText w:val="%3."/>
      <w:lvlJc w:val="right"/>
      <w:pPr>
        <w:ind w:left="2387" w:hanging="180"/>
      </w:pPr>
    </w:lvl>
    <w:lvl w:ilvl="3" w:tplc="1C809F4A" w:tentative="1">
      <w:start w:val="1"/>
      <w:numFmt w:val="decimal"/>
      <w:lvlText w:val="%4."/>
      <w:lvlJc w:val="left"/>
      <w:pPr>
        <w:ind w:left="3107" w:hanging="360"/>
      </w:pPr>
    </w:lvl>
    <w:lvl w:ilvl="4" w:tplc="875C4860" w:tentative="1">
      <w:start w:val="1"/>
      <w:numFmt w:val="lowerLetter"/>
      <w:lvlText w:val="%5."/>
      <w:lvlJc w:val="left"/>
      <w:pPr>
        <w:ind w:left="3827" w:hanging="360"/>
      </w:pPr>
    </w:lvl>
    <w:lvl w:ilvl="5" w:tplc="DEBC8DC2" w:tentative="1">
      <w:start w:val="1"/>
      <w:numFmt w:val="lowerRoman"/>
      <w:lvlText w:val="%6."/>
      <w:lvlJc w:val="right"/>
      <w:pPr>
        <w:ind w:left="4547" w:hanging="180"/>
      </w:pPr>
    </w:lvl>
    <w:lvl w:ilvl="6" w:tplc="EEA2730C" w:tentative="1">
      <w:start w:val="1"/>
      <w:numFmt w:val="decimal"/>
      <w:lvlText w:val="%7."/>
      <w:lvlJc w:val="left"/>
      <w:pPr>
        <w:ind w:left="5267" w:hanging="360"/>
      </w:pPr>
    </w:lvl>
    <w:lvl w:ilvl="7" w:tplc="2E2A4EA0" w:tentative="1">
      <w:start w:val="1"/>
      <w:numFmt w:val="lowerLetter"/>
      <w:lvlText w:val="%8."/>
      <w:lvlJc w:val="left"/>
      <w:pPr>
        <w:ind w:left="5987" w:hanging="360"/>
      </w:pPr>
    </w:lvl>
    <w:lvl w:ilvl="8" w:tplc="AD563316" w:tentative="1">
      <w:start w:val="1"/>
      <w:numFmt w:val="lowerRoman"/>
      <w:lvlText w:val="%9."/>
      <w:lvlJc w:val="right"/>
      <w:pPr>
        <w:ind w:left="6707" w:hanging="180"/>
      </w:pPr>
    </w:lvl>
  </w:abstractNum>
  <w:abstractNum w:abstractNumId="10" w15:restartNumberingAfterBreak="0">
    <w:nsid w:val="14484BBD"/>
    <w:multiLevelType w:val="hybridMultilevel"/>
    <w:tmpl w:val="B41634B4"/>
    <w:lvl w:ilvl="0" w:tplc="470E35C0">
      <w:start w:val="1"/>
      <w:numFmt w:val="bullet"/>
      <w:lvlText w:val=""/>
      <w:lvlJc w:val="left"/>
      <w:pPr>
        <w:ind w:left="720" w:hanging="360"/>
      </w:pPr>
      <w:rPr>
        <w:rFonts w:ascii="Symbol" w:hAnsi="Symbol" w:hint="default"/>
      </w:rPr>
    </w:lvl>
    <w:lvl w:ilvl="1" w:tplc="5F327C98" w:tentative="1">
      <w:start w:val="1"/>
      <w:numFmt w:val="bullet"/>
      <w:lvlText w:val="o"/>
      <w:lvlJc w:val="left"/>
      <w:pPr>
        <w:ind w:left="1440" w:hanging="360"/>
      </w:pPr>
      <w:rPr>
        <w:rFonts w:ascii="Courier New" w:hAnsi="Courier New" w:cs="Courier New" w:hint="default"/>
      </w:rPr>
    </w:lvl>
    <w:lvl w:ilvl="2" w:tplc="5C020D28" w:tentative="1">
      <w:start w:val="1"/>
      <w:numFmt w:val="bullet"/>
      <w:lvlText w:val=""/>
      <w:lvlJc w:val="left"/>
      <w:pPr>
        <w:ind w:left="2160" w:hanging="360"/>
      </w:pPr>
      <w:rPr>
        <w:rFonts w:ascii="Wingdings" w:hAnsi="Wingdings" w:hint="default"/>
      </w:rPr>
    </w:lvl>
    <w:lvl w:ilvl="3" w:tplc="00843788" w:tentative="1">
      <w:start w:val="1"/>
      <w:numFmt w:val="bullet"/>
      <w:lvlText w:val=""/>
      <w:lvlJc w:val="left"/>
      <w:pPr>
        <w:ind w:left="2880" w:hanging="360"/>
      </w:pPr>
      <w:rPr>
        <w:rFonts w:ascii="Symbol" w:hAnsi="Symbol" w:hint="default"/>
      </w:rPr>
    </w:lvl>
    <w:lvl w:ilvl="4" w:tplc="BFB4E4D8" w:tentative="1">
      <w:start w:val="1"/>
      <w:numFmt w:val="bullet"/>
      <w:lvlText w:val="o"/>
      <w:lvlJc w:val="left"/>
      <w:pPr>
        <w:ind w:left="3600" w:hanging="360"/>
      </w:pPr>
      <w:rPr>
        <w:rFonts w:ascii="Courier New" w:hAnsi="Courier New" w:cs="Courier New" w:hint="default"/>
      </w:rPr>
    </w:lvl>
    <w:lvl w:ilvl="5" w:tplc="E9B8D6BA" w:tentative="1">
      <w:start w:val="1"/>
      <w:numFmt w:val="bullet"/>
      <w:lvlText w:val=""/>
      <w:lvlJc w:val="left"/>
      <w:pPr>
        <w:ind w:left="4320" w:hanging="360"/>
      </w:pPr>
      <w:rPr>
        <w:rFonts w:ascii="Wingdings" w:hAnsi="Wingdings" w:hint="default"/>
      </w:rPr>
    </w:lvl>
    <w:lvl w:ilvl="6" w:tplc="39827B46" w:tentative="1">
      <w:start w:val="1"/>
      <w:numFmt w:val="bullet"/>
      <w:lvlText w:val=""/>
      <w:lvlJc w:val="left"/>
      <w:pPr>
        <w:ind w:left="5040" w:hanging="360"/>
      </w:pPr>
      <w:rPr>
        <w:rFonts w:ascii="Symbol" w:hAnsi="Symbol" w:hint="default"/>
      </w:rPr>
    </w:lvl>
    <w:lvl w:ilvl="7" w:tplc="C5B8A5BE" w:tentative="1">
      <w:start w:val="1"/>
      <w:numFmt w:val="bullet"/>
      <w:lvlText w:val="o"/>
      <w:lvlJc w:val="left"/>
      <w:pPr>
        <w:ind w:left="5760" w:hanging="360"/>
      </w:pPr>
      <w:rPr>
        <w:rFonts w:ascii="Courier New" w:hAnsi="Courier New" w:cs="Courier New" w:hint="default"/>
      </w:rPr>
    </w:lvl>
    <w:lvl w:ilvl="8" w:tplc="03900942" w:tentative="1">
      <w:start w:val="1"/>
      <w:numFmt w:val="bullet"/>
      <w:lvlText w:val=""/>
      <w:lvlJc w:val="left"/>
      <w:pPr>
        <w:ind w:left="6480" w:hanging="360"/>
      </w:pPr>
      <w:rPr>
        <w:rFonts w:ascii="Wingdings" w:hAnsi="Wingdings" w:hint="default"/>
      </w:rPr>
    </w:lvl>
  </w:abstractNum>
  <w:abstractNum w:abstractNumId="11" w15:restartNumberingAfterBreak="0">
    <w:nsid w:val="14E3711D"/>
    <w:multiLevelType w:val="multilevel"/>
    <w:tmpl w:val="48F0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33BBA"/>
    <w:multiLevelType w:val="hybridMultilevel"/>
    <w:tmpl w:val="CD002DC0"/>
    <w:lvl w:ilvl="0" w:tplc="206E92D8">
      <w:start w:val="1"/>
      <w:numFmt w:val="decimal"/>
      <w:pStyle w:val="Figure"/>
      <w:suff w:val="space"/>
      <w:lvlText w:val="Figure %1."/>
      <w:lvlJc w:val="left"/>
      <w:pPr>
        <w:ind w:left="5235"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00284EAC" w:tentative="1">
      <w:start w:val="1"/>
      <w:numFmt w:val="lowerLetter"/>
      <w:lvlText w:val="%2."/>
      <w:lvlJc w:val="left"/>
      <w:pPr>
        <w:ind w:left="1147" w:hanging="360"/>
      </w:pPr>
    </w:lvl>
    <w:lvl w:ilvl="2" w:tplc="821C0FB2" w:tentative="1">
      <w:start w:val="1"/>
      <w:numFmt w:val="lowerRoman"/>
      <w:lvlText w:val="%3."/>
      <w:lvlJc w:val="right"/>
      <w:pPr>
        <w:ind w:left="1867" w:hanging="180"/>
      </w:pPr>
    </w:lvl>
    <w:lvl w:ilvl="3" w:tplc="8D64A0D4" w:tentative="1">
      <w:start w:val="1"/>
      <w:numFmt w:val="decimal"/>
      <w:lvlText w:val="%4."/>
      <w:lvlJc w:val="left"/>
      <w:pPr>
        <w:ind w:left="2587" w:hanging="360"/>
      </w:pPr>
    </w:lvl>
    <w:lvl w:ilvl="4" w:tplc="6D94461E" w:tentative="1">
      <w:start w:val="1"/>
      <w:numFmt w:val="lowerLetter"/>
      <w:lvlText w:val="%5."/>
      <w:lvlJc w:val="left"/>
      <w:pPr>
        <w:ind w:left="3307" w:hanging="360"/>
      </w:pPr>
    </w:lvl>
    <w:lvl w:ilvl="5" w:tplc="4FD637FE" w:tentative="1">
      <w:start w:val="1"/>
      <w:numFmt w:val="lowerRoman"/>
      <w:lvlText w:val="%6."/>
      <w:lvlJc w:val="right"/>
      <w:pPr>
        <w:ind w:left="4027" w:hanging="180"/>
      </w:pPr>
    </w:lvl>
    <w:lvl w:ilvl="6" w:tplc="8E18CFF6" w:tentative="1">
      <w:start w:val="1"/>
      <w:numFmt w:val="decimal"/>
      <w:lvlText w:val="%7."/>
      <w:lvlJc w:val="left"/>
      <w:pPr>
        <w:ind w:left="4747" w:hanging="360"/>
      </w:pPr>
    </w:lvl>
    <w:lvl w:ilvl="7" w:tplc="8DB4CEF2" w:tentative="1">
      <w:start w:val="1"/>
      <w:numFmt w:val="lowerLetter"/>
      <w:lvlText w:val="%8."/>
      <w:lvlJc w:val="left"/>
      <w:pPr>
        <w:ind w:left="5467" w:hanging="360"/>
      </w:pPr>
    </w:lvl>
    <w:lvl w:ilvl="8" w:tplc="BDEEC7E6" w:tentative="1">
      <w:start w:val="1"/>
      <w:numFmt w:val="lowerRoman"/>
      <w:lvlText w:val="%9."/>
      <w:lvlJc w:val="right"/>
      <w:pPr>
        <w:ind w:left="6187" w:hanging="180"/>
      </w:pPr>
    </w:lvl>
  </w:abstractNum>
  <w:abstractNum w:abstractNumId="13" w15:restartNumberingAfterBreak="0">
    <w:nsid w:val="1F507AC4"/>
    <w:multiLevelType w:val="hybridMultilevel"/>
    <w:tmpl w:val="864231E2"/>
    <w:lvl w:ilvl="0" w:tplc="3C2A6B42">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 w:ilvl="1" w:tplc="546E7356" w:tentative="1">
      <w:start w:val="1"/>
      <w:numFmt w:val="bullet"/>
      <w:lvlText w:val="o"/>
      <w:lvlJc w:val="left"/>
      <w:pPr>
        <w:ind w:left="2007" w:hanging="360"/>
      </w:pPr>
      <w:rPr>
        <w:rFonts w:ascii="Courier New" w:hAnsi="Courier New" w:cs="Courier New" w:hint="default"/>
      </w:rPr>
    </w:lvl>
    <w:lvl w:ilvl="2" w:tplc="27041A86" w:tentative="1">
      <w:start w:val="1"/>
      <w:numFmt w:val="bullet"/>
      <w:lvlText w:val=""/>
      <w:lvlJc w:val="left"/>
      <w:pPr>
        <w:ind w:left="2727" w:hanging="360"/>
      </w:pPr>
      <w:rPr>
        <w:rFonts w:ascii="Wingdings" w:hAnsi="Wingdings" w:hint="default"/>
      </w:rPr>
    </w:lvl>
    <w:lvl w:ilvl="3" w:tplc="0C928030" w:tentative="1">
      <w:start w:val="1"/>
      <w:numFmt w:val="bullet"/>
      <w:lvlText w:val=""/>
      <w:lvlJc w:val="left"/>
      <w:pPr>
        <w:ind w:left="3447" w:hanging="360"/>
      </w:pPr>
      <w:rPr>
        <w:rFonts w:ascii="Symbol" w:hAnsi="Symbol" w:hint="default"/>
      </w:rPr>
    </w:lvl>
    <w:lvl w:ilvl="4" w:tplc="32A8AABA" w:tentative="1">
      <w:start w:val="1"/>
      <w:numFmt w:val="bullet"/>
      <w:lvlText w:val="o"/>
      <w:lvlJc w:val="left"/>
      <w:pPr>
        <w:ind w:left="4167" w:hanging="360"/>
      </w:pPr>
      <w:rPr>
        <w:rFonts w:ascii="Courier New" w:hAnsi="Courier New" w:cs="Courier New" w:hint="default"/>
      </w:rPr>
    </w:lvl>
    <w:lvl w:ilvl="5" w:tplc="4AE80884" w:tentative="1">
      <w:start w:val="1"/>
      <w:numFmt w:val="bullet"/>
      <w:lvlText w:val=""/>
      <w:lvlJc w:val="left"/>
      <w:pPr>
        <w:ind w:left="4887" w:hanging="360"/>
      </w:pPr>
      <w:rPr>
        <w:rFonts w:ascii="Wingdings" w:hAnsi="Wingdings" w:hint="default"/>
      </w:rPr>
    </w:lvl>
    <w:lvl w:ilvl="6" w:tplc="2E1AE262" w:tentative="1">
      <w:start w:val="1"/>
      <w:numFmt w:val="bullet"/>
      <w:lvlText w:val=""/>
      <w:lvlJc w:val="left"/>
      <w:pPr>
        <w:ind w:left="5607" w:hanging="360"/>
      </w:pPr>
      <w:rPr>
        <w:rFonts w:ascii="Symbol" w:hAnsi="Symbol" w:hint="default"/>
      </w:rPr>
    </w:lvl>
    <w:lvl w:ilvl="7" w:tplc="7AD855A2" w:tentative="1">
      <w:start w:val="1"/>
      <w:numFmt w:val="bullet"/>
      <w:lvlText w:val="o"/>
      <w:lvlJc w:val="left"/>
      <w:pPr>
        <w:ind w:left="6327" w:hanging="360"/>
      </w:pPr>
      <w:rPr>
        <w:rFonts w:ascii="Courier New" w:hAnsi="Courier New" w:cs="Courier New" w:hint="default"/>
      </w:rPr>
    </w:lvl>
    <w:lvl w:ilvl="8" w:tplc="BC0A7490" w:tentative="1">
      <w:start w:val="1"/>
      <w:numFmt w:val="bullet"/>
      <w:lvlText w:val=""/>
      <w:lvlJc w:val="left"/>
      <w:pPr>
        <w:ind w:left="7047" w:hanging="360"/>
      </w:pPr>
      <w:rPr>
        <w:rFonts w:ascii="Wingdings" w:hAnsi="Wingdings" w:hint="default"/>
      </w:rPr>
    </w:lvl>
  </w:abstractNum>
  <w:abstractNum w:abstractNumId="14" w15:restartNumberingAfterBreak="0">
    <w:nsid w:val="27854A54"/>
    <w:multiLevelType w:val="hybridMultilevel"/>
    <w:tmpl w:val="94DC3E6A"/>
    <w:lvl w:ilvl="0" w:tplc="3E605DB4">
      <w:start w:val="1"/>
      <w:numFmt w:val="bullet"/>
      <w:pStyle w:val="BulletedList-Level1"/>
      <w:lvlText w:val=""/>
      <w:lvlJc w:val="left"/>
      <w:pPr>
        <w:ind w:left="425" w:hanging="283"/>
      </w:pPr>
      <w:rPr>
        <w:rFonts w:ascii="Symbol" w:hAnsi="Symbol" w:hint="default"/>
      </w:rPr>
    </w:lvl>
    <w:lvl w:ilvl="1" w:tplc="52D2A3B0">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tplc="313AE57E">
      <w:start w:val="1"/>
      <w:numFmt w:val="bullet"/>
      <w:lvlText w:val=""/>
      <w:lvlJc w:val="left"/>
      <w:pPr>
        <w:ind w:left="992" w:hanging="283"/>
      </w:pPr>
      <w:rPr>
        <w:rFonts w:ascii="Wingdings" w:hAnsi="Wingdings" w:hint="default"/>
      </w:rPr>
    </w:lvl>
    <w:lvl w:ilvl="3" w:tplc="CC6496FE" w:tentative="1">
      <w:start w:val="1"/>
      <w:numFmt w:val="bullet"/>
      <w:lvlText w:val=""/>
      <w:lvlJc w:val="left"/>
      <w:pPr>
        <w:ind w:left="2738" w:hanging="360"/>
      </w:pPr>
      <w:rPr>
        <w:rFonts w:ascii="Symbol" w:hAnsi="Symbol" w:hint="default"/>
      </w:rPr>
    </w:lvl>
    <w:lvl w:ilvl="4" w:tplc="FA24D56A" w:tentative="1">
      <w:start w:val="1"/>
      <w:numFmt w:val="bullet"/>
      <w:lvlText w:val="o"/>
      <w:lvlJc w:val="left"/>
      <w:pPr>
        <w:ind w:left="3458" w:hanging="360"/>
      </w:pPr>
      <w:rPr>
        <w:rFonts w:ascii="Courier New" w:hAnsi="Courier New" w:cs="Courier New" w:hint="default"/>
      </w:rPr>
    </w:lvl>
    <w:lvl w:ilvl="5" w:tplc="F3D4AC4E" w:tentative="1">
      <w:start w:val="1"/>
      <w:numFmt w:val="bullet"/>
      <w:lvlText w:val=""/>
      <w:lvlJc w:val="left"/>
      <w:pPr>
        <w:ind w:left="4178" w:hanging="360"/>
      </w:pPr>
      <w:rPr>
        <w:rFonts w:ascii="Wingdings" w:hAnsi="Wingdings" w:hint="default"/>
      </w:rPr>
    </w:lvl>
    <w:lvl w:ilvl="6" w:tplc="AF68ADBE" w:tentative="1">
      <w:start w:val="1"/>
      <w:numFmt w:val="bullet"/>
      <w:lvlText w:val=""/>
      <w:lvlJc w:val="left"/>
      <w:pPr>
        <w:ind w:left="4898" w:hanging="360"/>
      </w:pPr>
      <w:rPr>
        <w:rFonts w:ascii="Symbol" w:hAnsi="Symbol" w:hint="default"/>
      </w:rPr>
    </w:lvl>
    <w:lvl w:ilvl="7" w:tplc="EE609486" w:tentative="1">
      <w:start w:val="1"/>
      <w:numFmt w:val="bullet"/>
      <w:lvlText w:val="o"/>
      <w:lvlJc w:val="left"/>
      <w:pPr>
        <w:ind w:left="5618" w:hanging="360"/>
      </w:pPr>
      <w:rPr>
        <w:rFonts w:ascii="Courier New" w:hAnsi="Courier New" w:cs="Courier New" w:hint="default"/>
      </w:rPr>
    </w:lvl>
    <w:lvl w:ilvl="8" w:tplc="844CE840" w:tentative="1">
      <w:start w:val="1"/>
      <w:numFmt w:val="bullet"/>
      <w:lvlText w:val=""/>
      <w:lvlJc w:val="left"/>
      <w:pPr>
        <w:ind w:left="6338" w:hanging="360"/>
      </w:pPr>
      <w:rPr>
        <w:rFonts w:ascii="Wingdings" w:hAnsi="Wingdings" w:hint="default"/>
      </w:rPr>
    </w:lvl>
  </w:abstractNum>
  <w:abstractNum w:abstractNumId="15" w15:restartNumberingAfterBreak="0">
    <w:nsid w:val="2A7B6DC7"/>
    <w:multiLevelType w:val="multilevel"/>
    <w:tmpl w:val="7B2E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545335"/>
    <w:multiLevelType w:val="hybridMultilevel"/>
    <w:tmpl w:val="E10648CA"/>
    <w:lvl w:ilvl="0" w:tplc="A412F83C">
      <w:start w:val="1"/>
      <w:numFmt w:val="bullet"/>
      <w:lvlText w:val=""/>
      <w:lvlJc w:val="left"/>
      <w:pPr>
        <w:ind w:left="720" w:hanging="360"/>
      </w:pPr>
      <w:rPr>
        <w:rFonts w:ascii="Symbol" w:hAnsi="Symbol" w:hint="default"/>
      </w:rPr>
    </w:lvl>
    <w:lvl w:ilvl="1" w:tplc="B3E4C9EE" w:tentative="1">
      <w:start w:val="1"/>
      <w:numFmt w:val="bullet"/>
      <w:lvlText w:val="o"/>
      <w:lvlJc w:val="left"/>
      <w:pPr>
        <w:ind w:left="1440" w:hanging="360"/>
      </w:pPr>
      <w:rPr>
        <w:rFonts w:ascii="Courier New" w:hAnsi="Courier New" w:cs="Courier New" w:hint="default"/>
      </w:rPr>
    </w:lvl>
    <w:lvl w:ilvl="2" w:tplc="5D34197C" w:tentative="1">
      <w:start w:val="1"/>
      <w:numFmt w:val="bullet"/>
      <w:lvlText w:val=""/>
      <w:lvlJc w:val="left"/>
      <w:pPr>
        <w:ind w:left="2160" w:hanging="360"/>
      </w:pPr>
      <w:rPr>
        <w:rFonts w:ascii="Wingdings" w:hAnsi="Wingdings" w:hint="default"/>
      </w:rPr>
    </w:lvl>
    <w:lvl w:ilvl="3" w:tplc="0AE8BAF6" w:tentative="1">
      <w:start w:val="1"/>
      <w:numFmt w:val="bullet"/>
      <w:lvlText w:val=""/>
      <w:lvlJc w:val="left"/>
      <w:pPr>
        <w:ind w:left="2880" w:hanging="360"/>
      </w:pPr>
      <w:rPr>
        <w:rFonts w:ascii="Symbol" w:hAnsi="Symbol" w:hint="default"/>
      </w:rPr>
    </w:lvl>
    <w:lvl w:ilvl="4" w:tplc="ECA0365E" w:tentative="1">
      <w:start w:val="1"/>
      <w:numFmt w:val="bullet"/>
      <w:lvlText w:val="o"/>
      <w:lvlJc w:val="left"/>
      <w:pPr>
        <w:ind w:left="3600" w:hanging="360"/>
      </w:pPr>
      <w:rPr>
        <w:rFonts w:ascii="Courier New" w:hAnsi="Courier New" w:cs="Courier New" w:hint="default"/>
      </w:rPr>
    </w:lvl>
    <w:lvl w:ilvl="5" w:tplc="204ECF6E" w:tentative="1">
      <w:start w:val="1"/>
      <w:numFmt w:val="bullet"/>
      <w:lvlText w:val=""/>
      <w:lvlJc w:val="left"/>
      <w:pPr>
        <w:ind w:left="4320" w:hanging="360"/>
      </w:pPr>
      <w:rPr>
        <w:rFonts w:ascii="Wingdings" w:hAnsi="Wingdings" w:hint="default"/>
      </w:rPr>
    </w:lvl>
    <w:lvl w:ilvl="6" w:tplc="5CACCE12" w:tentative="1">
      <w:start w:val="1"/>
      <w:numFmt w:val="bullet"/>
      <w:lvlText w:val=""/>
      <w:lvlJc w:val="left"/>
      <w:pPr>
        <w:ind w:left="5040" w:hanging="360"/>
      </w:pPr>
      <w:rPr>
        <w:rFonts w:ascii="Symbol" w:hAnsi="Symbol" w:hint="default"/>
      </w:rPr>
    </w:lvl>
    <w:lvl w:ilvl="7" w:tplc="FF32D280" w:tentative="1">
      <w:start w:val="1"/>
      <w:numFmt w:val="bullet"/>
      <w:lvlText w:val="o"/>
      <w:lvlJc w:val="left"/>
      <w:pPr>
        <w:ind w:left="5760" w:hanging="360"/>
      </w:pPr>
      <w:rPr>
        <w:rFonts w:ascii="Courier New" w:hAnsi="Courier New" w:cs="Courier New" w:hint="default"/>
      </w:rPr>
    </w:lvl>
    <w:lvl w:ilvl="8" w:tplc="09FEB802" w:tentative="1">
      <w:start w:val="1"/>
      <w:numFmt w:val="bullet"/>
      <w:lvlText w:val=""/>
      <w:lvlJc w:val="left"/>
      <w:pPr>
        <w:ind w:left="6480" w:hanging="360"/>
      </w:pPr>
      <w:rPr>
        <w:rFonts w:ascii="Wingdings" w:hAnsi="Wingdings" w:hint="default"/>
      </w:rPr>
    </w:lvl>
  </w:abstractNum>
  <w:abstractNum w:abstractNumId="17" w15:restartNumberingAfterBreak="0">
    <w:nsid w:val="311C36D2"/>
    <w:multiLevelType w:val="multilevel"/>
    <w:tmpl w:val="9702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E02A1E"/>
    <w:multiLevelType w:val="multilevel"/>
    <w:tmpl w:val="F858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9C0A7F"/>
    <w:multiLevelType w:val="multilevel"/>
    <w:tmpl w:val="C83AE0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775978"/>
    <w:multiLevelType w:val="multilevel"/>
    <w:tmpl w:val="2E70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8301C7"/>
    <w:multiLevelType w:val="hybridMultilevel"/>
    <w:tmpl w:val="B6E4E5A0"/>
    <w:lvl w:ilvl="0" w:tplc="A3B600C2">
      <w:start w:val="1"/>
      <w:numFmt w:val="bullet"/>
      <w:lvlText w:val=""/>
      <w:lvlJc w:val="left"/>
      <w:pPr>
        <w:ind w:left="720" w:hanging="360"/>
      </w:pPr>
      <w:rPr>
        <w:rFonts w:ascii="Symbol" w:hAnsi="Symbol" w:hint="default"/>
      </w:rPr>
    </w:lvl>
    <w:lvl w:ilvl="1" w:tplc="8758B028" w:tentative="1">
      <w:start w:val="1"/>
      <w:numFmt w:val="bullet"/>
      <w:lvlText w:val="o"/>
      <w:lvlJc w:val="left"/>
      <w:pPr>
        <w:ind w:left="1440" w:hanging="360"/>
      </w:pPr>
      <w:rPr>
        <w:rFonts w:ascii="Courier New" w:hAnsi="Courier New" w:cs="Courier New" w:hint="default"/>
      </w:rPr>
    </w:lvl>
    <w:lvl w:ilvl="2" w:tplc="61CC3F34" w:tentative="1">
      <w:start w:val="1"/>
      <w:numFmt w:val="bullet"/>
      <w:lvlText w:val=""/>
      <w:lvlJc w:val="left"/>
      <w:pPr>
        <w:ind w:left="2160" w:hanging="360"/>
      </w:pPr>
      <w:rPr>
        <w:rFonts w:ascii="Wingdings" w:hAnsi="Wingdings" w:hint="default"/>
      </w:rPr>
    </w:lvl>
    <w:lvl w:ilvl="3" w:tplc="09A8C13E" w:tentative="1">
      <w:start w:val="1"/>
      <w:numFmt w:val="bullet"/>
      <w:lvlText w:val=""/>
      <w:lvlJc w:val="left"/>
      <w:pPr>
        <w:ind w:left="2880" w:hanging="360"/>
      </w:pPr>
      <w:rPr>
        <w:rFonts w:ascii="Symbol" w:hAnsi="Symbol" w:hint="default"/>
      </w:rPr>
    </w:lvl>
    <w:lvl w:ilvl="4" w:tplc="D90AEEA2" w:tentative="1">
      <w:start w:val="1"/>
      <w:numFmt w:val="bullet"/>
      <w:lvlText w:val="o"/>
      <w:lvlJc w:val="left"/>
      <w:pPr>
        <w:ind w:left="3600" w:hanging="360"/>
      </w:pPr>
      <w:rPr>
        <w:rFonts w:ascii="Courier New" w:hAnsi="Courier New" w:cs="Courier New" w:hint="default"/>
      </w:rPr>
    </w:lvl>
    <w:lvl w:ilvl="5" w:tplc="73282600" w:tentative="1">
      <w:start w:val="1"/>
      <w:numFmt w:val="bullet"/>
      <w:lvlText w:val=""/>
      <w:lvlJc w:val="left"/>
      <w:pPr>
        <w:ind w:left="4320" w:hanging="360"/>
      </w:pPr>
      <w:rPr>
        <w:rFonts w:ascii="Wingdings" w:hAnsi="Wingdings" w:hint="default"/>
      </w:rPr>
    </w:lvl>
    <w:lvl w:ilvl="6" w:tplc="56B614E2" w:tentative="1">
      <w:start w:val="1"/>
      <w:numFmt w:val="bullet"/>
      <w:lvlText w:val=""/>
      <w:lvlJc w:val="left"/>
      <w:pPr>
        <w:ind w:left="5040" w:hanging="360"/>
      </w:pPr>
      <w:rPr>
        <w:rFonts w:ascii="Symbol" w:hAnsi="Symbol" w:hint="default"/>
      </w:rPr>
    </w:lvl>
    <w:lvl w:ilvl="7" w:tplc="A6BE43BC" w:tentative="1">
      <w:start w:val="1"/>
      <w:numFmt w:val="bullet"/>
      <w:lvlText w:val="o"/>
      <w:lvlJc w:val="left"/>
      <w:pPr>
        <w:ind w:left="5760" w:hanging="360"/>
      </w:pPr>
      <w:rPr>
        <w:rFonts w:ascii="Courier New" w:hAnsi="Courier New" w:cs="Courier New" w:hint="default"/>
      </w:rPr>
    </w:lvl>
    <w:lvl w:ilvl="8" w:tplc="DD56C2E6" w:tentative="1">
      <w:start w:val="1"/>
      <w:numFmt w:val="bullet"/>
      <w:lvlText w:val=""/>
      <w:lvlJc w:val="left"/>
      <w:pPr>
        <w:ind w:left="6480" w:hanging="360"/>
      </w:pPr>
      <w:rPr>
        <w:rFonts w:ascii="Wingdings" w:hAnsi="Wingdings" w:hint="default"/>
      </w:rPr>
    </w:lvl>
  </w:abstractNum>
  <w:abstractNum w:abstractNumId="22" w15:restartNumberingAfterBreak="0">
    <w:nsid w:val="3C40185A"/>
    <w:multiLevelType w:val="multilevel"/>
    <w:tmpl w:val="DF5E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97650F"/>
    <w:multiLevelType w:val="multilevel"/>
    <w:tmpl w:val="6484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D3083"/>
    <w:multiLevelType w:val="multilevel"/>
    <w:tmpl w:val="8B38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D36C0B"/>
    <w:multiLevelType w:val="hybridMultilevel"/>
    <w:tmpl w:val="76C867E2"/>
    <w:lvl w:ilvl="0" w:tplc="991A1C18">
      <w:start w:val="1"/>
      <w:numFmt w:val="bullet"/>
      <w:lvlText w:val=""/>
      <w:lvlJc w:val="left"/>
      <w:pPr>
        <w:ind w:left="720" w:hanging="360"/>
      </w:pPr>
      <w:rPr>
        <w:rFonts w:ascii="Symbol" w:hAnsi="Symbol" w:hint="default"/>
      </w:rPr>
    </w:lvl>
    <w:lvl w:ilvl="1" w:tplc="29167BD8" w:tentative="1">
      <w:start w:val="1"/>
      <w:numFmt w:val="bullet"/>
      <w:lvlText w:val="o"/>
      <w:lvlJc w:val="left"/>
      <w:pPr>
        <w:ind w:left="1440" w:hanging="360"/>
      </w:pPr>
      <w:rPr>
        <w:rFonts w:ascii="Courier New" w:hAnsi="Courier New" w:cs="Courier New" w:hint="default"/>
      </w:rPr>
    </w:lvl>
    <w:lvl w:ilvl="2" w:tplc="9DD8DDE4" w:tentative="1">
      <w:start w:val="1"/>
      <w:numFmt w:val="bullet"/>
      <w:lvlText w:val=""/>
      <w:lvlJc w:val="left"/>
      <w:pPr>
        <w:ind w:left="2160" w:hanging="360"/>
      </w:pPr>
      <w:rPr>
        <w:rFonts w:ascii="Wingdings" w:hAnsi="Wingdings" w:hint="default"/>
      </w:rPr>
    </w:lvl>
    <w:lvl w:ilvl="3" w:tplc="167CE044" w:tentative="1">
      <w:start w:val="1"/>
      <w:numFmt w:val="bullet"/>
      <w:lvlText w:val=""/>
      <w:lvlJc w:val="left"/>
      <w:pPr>
        <w:ind w:left="2880" w:hanging="360"/>
      </w:pPr>
      <w:rPr>
        <w:rFonts w:ascii="Symbol" w:hAnsi="Symbol" w:hint="default"/>
      </w:rPr>
    </w:lvl>
    <w:lvl w:ilvl="4" w:tplc="27B0D164" w:tentative="1">
      <w:start w:val="1"/>
      <w:numFmt w:val="bullet"/>
      <w:lvlText w:val="o"/>
      <w:lvlJc w:val="left"/>
      <w:pPr>
        <w:ind w:left="3600" w:hanging="360"/>
      </w:pPr>
      <w:rPr>
        <w:rFonts w:ascii="Courier New" w:hAnsi="Courier New" w:cs="Courier New" w:hint="default"/>
      </w:rPr>
    </w:lvl>
    <w:lvl w:ilvl="5" w:tplc="A9B653D2" w:tentative="1">
      <w:start w:val="1"/>
      <w:numFmt w:val="bullet"/>
      <w:lvlText w:val=""/>
      <w:lvlJc w:val="left"/>
      <w:pPr>
        <w:ind w:left="4320" w:hanging="360"/>
      </w:pPr>
      <w:rPr>
        <w:rFonts w:ascii="Wingdings" w:hAnsi="Wingdings" w:hint="default"/>
      </w:rPr>
    </w:lvl>
    <w:lvl w:ilvl="6" w:tplc="2562784E" w:tentative="1">
      <w:start w:val="1"/>
      <w:numFmt w:val="bullet"/>
      <w:lvlText w:val=""/>
      <w:lvlJc w:val="left"/>
      <w:pPr>
        <w:ind w:left="5040" w:hanging="360"/>
      </w:pPr>
      <w:rPr>
        <w:rFonts w:ascii="Symbol" w:hAnsi="Symbol" w:hint="default"/>
      </w:rPr>
    </w:lvl>
    <w:lvl w:ilvl="7" w:tplc="DF8C7ABA" w:tentative="1">
      <w:start w:val="1"/>
      <w:numFmt w:val="bullet"/>
      <w:lvlText w:val="o"/>
      <w:lvlJc w:val="left"/>
      <w:pPr>
        <w:ind w:left="5760" w:hanging="360"/>
      </w:pPr>
      <w:rPr>
        <w:rFonts w:ascii="Courier New" w:hAnsi="Courier New" w:cs="Courier New" w:hint="default"/>
      </w:rPr>
    </w:lvl>
    <w:lvl w:ilvl="8" w:tplc="8FE0255A" w:tentative="1">
      <w:start w:val="1"/>
      <w:numFmt w:val="bullet"/>
      <w:lvlText w:val=""/>
      <w:lvlJc w:val="left"/>
      <w:pPr>
        <w:ind w:left="6480" w:hanging="360"/>
      </w:pPr>
      <w:rPr>
        <w:rFonts w:ascii="Wingdings" w:hAnsi="Wingdings" w:hint="default"/>
      </w:rPr>
    </w:lvl>
  </w:abstractNum>
  <w:abstractNum w:abstractNumId="26" w15:restartNumberingAfterBreak="0">
    <w:nsid w:val="4624164E"/>
    <w:multiLevelType w:val="hybridMultilevel"/>
    <w:tmpl w:val="B6F2E980"/>
    <w:lvl w:ilvl="0" w:tplc="A140BC24">
      <w:start w:val="1"/>
      <w:numFmt w:val="bullet"/>
      <w:lvlText w:val=""/>
      <w:lvlJc w:val="left"/>
      <w:pPr>
        <w:ind w:left="720" w:hanging="360"/>
      </w:pPr>
      <w:rPr>
        <w:rFonts w:ascii="Symbol" w:hAnsi="Symbol" w:hint="default"/>
      </w:rPr>
    </w:lvl>
    <w:lvl w:ilvl="1" w:tplc="4A84107E" w:tentative="1">
      <w:start w:val="1"/>
      <w:numFmt w:val="bullet"/>
      <w:lvlText w:val="o"/>
      <w:lvlJc w:val="left"/>
      <w:pPr>
        <w:ind w:left="1440" w:hanging="360"/>
      </w:pPr>
      <w:rPr>
        <w:rFonts w:ascii="Courier New" w:hAnsi="Courier New" w:cs="Courier New" w:hint="default"/>
      </w:rPr>
    </w:lvl>
    <w:lvl w:ilvl="2" w:tplc="34088E7E" w:tentative="1">
      <w:start w:val="1"/>
      <w:numFmt w:val="bullet"/>
      <w:lvlText w:val=""/>
      <w:lvlJc w:val="left"/>
      <w:pPr>
        <w:ind w:left="2160" w:hanging="360"/>
      </w:pPr>
      <w:rPr>
        <w:rFonts w:ascii="Wingdings" w:hAnsi="Wingdings" w:hint="default"/>
      </w:rPr>
    </w:lvl>
    <w:lvl w:ilvl="3" w:tplc="184EDBE0" w:tentative="1">
      <w:start w:val="1"/>
      <w:numFmt w:val="bullet"/>
      <w:lvlText w:val=""/>
      <w:lvlJc w:val="left"/>
      <w:pPr>
        <w:ind w:left="2880" w:hanging="360"/>
      </w:pPr>
      <w:rPr>
        <w:rFonts w:ascii="Symbol" w:hAnsi="Symbol" w:hint="default"/>
      </w:rPr>
    </w:lvl>
    <w:lvl w:ilvl="4" w:tplc="A2ECD0DE" w:tentative="1">
      <w:start w:val="1"/>
      <w:numFmt w:val="bullet"/>
      <w:lvlText w:val="o"/>
      <w:lvlJc w:val="left"/>
      <w:pPr>
        <w:ind w:left="3600" w:hanging="360"/>
      </w:pPr>
      <w:rPr>
        <w:rFonts w:ascii="Courier New" w:hAnsi="Courier New" w:cs="Courier New" w:hint="default"/>
      </w:rPr>
    </w:lvl>
    <w:lvl w:ilvl="5" w:tplc="6C44EBE0" w:tentative="1">
      <w:start w:val="1"/>
      <w:numFmt w:val="bullet"/>
      <w:lvlText w:val=""/>
      <w:lvlJc w:val="left"/>
      <w:pPr>
        <w:ind w:left="4320" w:hanging="360"/>
      </w:pPr>
      <w:rPr>
        <w:rFonts w:ascii="Wingdings" w:hAnsi="Wingdings" w:hint="default"/>
      </w:rPr>
    </w:lvl>
    <w:lvl w:ilvl="6" w:tplc="70EEC68C" w:tentative="1">
      <w:start w:val="1"/>
      <w:numFmt w:val="bullet"/>
      <w:lvlText w:val=""/>
      <w:lvlJc w:val="left"/>
      <w:pPr>
        <w:ind w:left="5040" w:hanging="360"/>
      </w:pPr>
      <w:rPr>
        <w:rFonts w:ascii="Symbol" w:hAnsi="Symbol" w:hint="default"/>
      </w:rPr>
    </w:lvl>
    <w:lvl w:ilvl="7" w:tplc="81D09F6E" w:tentative="1">
      <w:start w:val="1"/>
      <w:numFmt w:val="bullet"/>
      <w:lvlText w:val="o"/>
      <w:lvlJc w:val="left"/>
      <w:pPr>
        <w:ind w:left="5760" w:hanging="360"/>
      </w:pPr>
      <w:rPr>
        <w:rFonts w:ascii="Courier New" w:hAnsi="Courier New" w:cs="Courier New" w:hint="default"/>
      </w:rPr>
    </w:lvl>
    <w:lvl w:ilvl="8" w:tplc="EB60467A" w:tentative="1">
      <w:start w:val="1"/>
      <w:numFmt w:val="bullet"/>
      <w:lvlText w:val=""/>
      <w:lvlJc w:val="left"/>
      <w:pPr>
        <w:ind w:left="6480" w:hanging="360"/>
      </w:pPr>
      <w:rPr>
        <w:rFonts w:ascii="Wingdings" w:hAnsi="Wingdings" w:hint="default"/>
      </w:rPr>
    </w:lvl>
  </w:abstractNum>
  <w:abstractNum w:abstractNumId="27" w15:restartNumberingAfterBreak="0">
    <w:nsid w:val="46CF3FAB"/>
    <w:multiLevelType w:val="multilevel"/>
    <w:tmpl w:val="7D02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7E5E32"/>
    <w:multiLevelType w:val="hybridMultilevel"/>
    <w:tmpl w:val="CE2C241C"/>
    <w:lvl w:ilvl="0" w:tplc="6E809A22">
      <w:start w:val="1"/>
      <w:numFmt w:val="bullet"/>
      <w:lvlText w:val=""/>
      <w:lvlJc w:val="left"/>
      <w:pPr>
        <w:ind w:left="720" w:hanging="360"/>
      </w:pPr>
      <w:rPr>
        <w:rFonts w:ascii="Symbol" w:hAnsi="Symbol" w:hint="default"/>
      </w:rPr>
    </w:lvl>
    <w:lvl w:ilvl="1" w:tplc="92D09904">
      <w:start w:val="1"/>
      <w:numFmt w:val="bullet"/>
      <w:lvlText w:val="o"/>
      <w:lvlJc w:val="left"/>
      <w:pPr>
        <w:ind w:left="1440" w:hanging="360"/>
      </w:pPr>
      <w:rPr>
        <w:rFonts w:ascii="Courier New" w:hAnsi="Courier New" w:cs="Courier New" w:hint="default"/>
      </w:rPr>
    </w:lvl>
    <w:lvl w:ilvl="2" w:tplc="A998B17C" w:tentative="1">
      <w:start w:val="1"/>
      <w:numFmt w:val="bullet"/>
      <w:lvlText w:val=""/>
      <w:lvlJc w:val="left"/>
      <w:pPr>
        <w:ind w:left="2160" w:hanging="360"/>
      </w:pPr>
      <w:rPr>
        <w:rFonts w:ascii="Wingdings" w:hAnsi="Wingdings" w:hint="default"/>
      </w:rPr>
    </w:lvl>
    <w:lvl w:ilvl="3" w:tplc="4EB86BA2" w:tentative="1">
      <w:start w:val="1"/>
      <w:numFmt w:val="bullet"/>
      <w:lvlText w:val=""/>
      <w:lvlJc w:val="left"/>
      <w:pPr>
        <w:ind w:left="2880" w:hanging="360"/>
      </w:pPr>
      <w:rPr>
        <w:rFonts w:ascii="Symbol" w:hAnsi="Symbol" w:hint="default"/>
      </w:rPr>
    </w:lvl>
    <w:lvl w:ilvl="4" w:tplc="AD4CD582" w:tentative="1">
      <w:start w:val="1"/>
      <w:numFmt w:val="bullet"/>
      <w:lvlText w:val="o"/>
      <w:lvlJc w:val="left"/>
      <w:pPr>
        <w:ind w:left="3600" w:hanging="360"/>
      </w:pPr>
      <w:rPr>
        <w:rFonts w:ascii="Courier New" w:hAnsi="Courier New" w:cs="Courier New" w:hint="default"/>
      </w:rPr>
    </w:lvl>
    <w:lvl w:ilvl="5" w:tplc="78223400" w:tentative="1">
      <w:start w:val="1"/>
      <w:numFmt w:val="bullet"/>
      <w:lvlText w:val=""/>
      <w:lvlJc w:val="left"/>
      <w:pPr>
        <w:ind w:left="4320" w:hanging="360"/>
      </w:pPr>
      <w:rPr>
        <w:rFonts w:ascii="Wingdings" w:hAnsi="Wingdings" w:hint="default"/>
      </w:rPr>
    </w:lvl>
    <w:lvl w:ilvl="6" w:tplc="741E1142" w:tentative="1">
      <w:start w:val="1"/>
      <w:numFmt w:val="bullet"/>
      <w:lvlText w:val=""/>
      <w:lvlJc w:val="left"/>
      <w:pPr>
        <w:ind w:left="5040" w:hanging="360"/>
      </w:pPr>
      <w:rPr>
        <w:rFonts w:ascii="Symbol" w:hAnsi="Symbol" w:hint="default"/>
      </w:rPr>
    </w:lvl>
    <w:lvl w:ilvl="7" w:tplc="8E5CF4CC" w:tentative="1">
      <w:start w:val="1"/>
      <w:numFmt w:val="bullet"/>
      <w:lvlText w:val="o"/>
      <w:lvlJc w:val="left"/>
      <w:pPr>
        <w:ind w:left="5760" w:hanging="360"/>
      </w:pPr>
      <w:rPr>
        <w:rFonts w:ascii="Courier New" w:hAnsi="Courier New" w:cs="Courier New" w:hint="default"/>
      </w:rPr>
    </w:lvl>
    <w:lvl w:ilvl="8" w:tplc="F190A238" w:tentative="1">
      <w:start w:val="1"/>
      <w:numFmt w:val="bullet"/>
      <w:lvlText w:val=""/>
      <w:lvlJc w:val="left"/>
      <w:pPr>
        <w:ind w:left="6480" w:hanging="360"/>
      </w:pPr>
      <w:rPr>
        <w:rFonts w:ascii="Wingdings" w:hAnsi="Wingdings" w:hint="default"/>
      </w:rPr>
    </w:lvl>
  </w:abstractNum>
  <w:abstractNum w:abstractNumId="29" w15:restartNumberingAfterBreak="0">
    <w:nsid w:val="496C7FF6"/>
    <w:multiLevelType w:val="hybridMultilevel"/>
    <w:tmpl w:val="2DC077C0"/>
    <w:lvl w:ilvl="0" w:tplc="6E008F3E">
      <w:start w:val="1"/>
      <w:numFmt w:val="decimal"/>
      <w:pStyle w:val="BOXNumberedList"/>
      <w:lvlText w:val="%1."/>
      <w:lvlJc w:val="left"/>
      <w:pPr>
        <w:ind w:left="840" w:hanging="360"/>
      </w:pPr>
    </w:lvl>
    <w:lvl w:ilvl="1" w:tplc="EA7C3B1E" w:tentative="1">
      <w:start w:val="1"/>
      <w:numFmt w:val="lowerLetter"/>
      <w:lvlText w:val="%2."/>
      <w:lvlJc w:val="left"/>
      <w:pPr>
        <w:ind w:left="1560" w:hanging="360"/>
      </w:pPr>
    </w:lvl>
    <w:lvl w:ilvl="2" w:tplc="3E909F7C" w:tentative="1">
      <w:start w:val="1"/>
      <w:numFmt w:val="lowerRoman"/>
      <w:lvlText w:val="%3."/>
      <w:lvlJc w:val="right"/>
      <w:pPr>
        <w:ind w:left="2280" w:hanging="180"/>
      </w:pPr>
    </w:lvl>
    <w:lvl w:ilvl="3" w:tplc="FD601694" w:tentative="1">
      <w:start w:val="1"/>
      <w:numFmt w:val="decimal"/>
      <w:lvlText w:val="%4."/>
      <w:lvlJc w:val="left"/>
      <w:pPr>
        <w:ind w:left="3000" w:hanging="360"/>
      </w:pPr>
    </w:lvl>
    <w:lvl w:ilvl="4" w:tplc="B0787338" w:tentative="1">
      <w:start w:val="1"/>
      <w:numFmt w:val="lowerLetter"/>
      <w:lvlText w:val="%5."/>
      <w:lvlJc w:val="left"/>
      <w:pPr>
        <w:ind w:left="3720" w:hanging="360"/>
      </w:pPr>
    </w:lvl>
    <w:lvl w:ilvl="5" w:tplc="B13A8ED8" w:tentative="1">
      <w:start w:val="1"/>
      <w:numFmt w:val="lowerRoman"/>
      <w:lvlText w:val="%6."/>
      <w:lvlJc w:val="right"/>
      <w:pPr>
        <w:ind w:left="4440" w:hanging="180"/>
      </w:pPr>
    </w:lvl>
    <w:lvl w:ilvl="6" w:tplc="7422B9E6" w:tentative="1">
      <w:start w:val="1"/>
      <w:numFmt w:val="decimal"/>
      <w:lvlText w:val="%7."/>
      <w:lvlJc w:val="left"/>
      <w:pPr>
        <w:ind w:left="5160" w:hanging="360"/>
      </w:pPr>
    </w:lvl>
    <w:lvl w:ilvl="7" w:tplc="31F6F1DA" w:tentative="1">
      <w:start w:val="1"/>
      <w:numFmt w:val="lowerLetter"/>
      <w:lvlText w:val="%8."/>
      <w:lvlJc w:val="left"/>
      <w:pPr>
        <w:ind w:left="5880" w:hanging="360"/>
      </w:pPr>
    </w:lvl>
    <w:lvl w:ilvl="8" w:tplc="D92E4F3C" w:tentative="1">
      <w:start w:val="1"/>
      <w:numFmt w:val="lowerRoman"/>
      <w:lvlText w:val="%9."/>
      <w:lvlJc w:val="right"/>
      <w:pPr>
        <w:ind w:left="6600" w:hanging="180"/>
      </w:pPr>
    </w:lvl>
  </w:abstractNum>
  <w:abstractNum w:abstractNumId="30" w15:restartNumberingAfterBreak="0">
    <w:nsid w:val="4B5F429E"/>
    <w:multiLevelType w:val="hybridMultilevel"/>
    <w:tmpl w:val="F4B21C2E"/>
    <w:lvl w:ilvl="0" w:tplc="C6F07BAE">
      <w:start w:val="1"/>
      <w:numFmt w:val="bullet"/>
      <w:lvlText w:val=""/>
      <w:lvlJc w:val="left"/>
      <w:pPr>
        <w:ind w:left="720" w:hanging="360"/>
      </w:pPr>
      <w:rPr>
        <w:rFonts w:ascii="Symbol" w:hAnsi="Symbol" w:hint="default"/>
      </w:rPr>
    </w:lvl>
    <w:lvl w:ilvl="1" w:tplc="2D3A8A60" w:tentative="1">
      <w:start w:val="1"/>
      <w:numFmt w:val="lowerLetter"/>
      <w:lvlText w:val="%2."/>
      <w:lvlJc w:val="left"/>
      <w:pPr>
        <w:ind w:left="1440" w:hanging="360"/>
      </w:pPr>
    </w:lvl>
    <w:lvl w:ilvl="2" w:tplc="F69A12EA" w:tentative="1">
      <w:start w:val="1"/>
      <w:numFmt w:val="lowerRoman"/>
      <w:lvlText w:val="%3."/>
      <w:lvlJc w:val="right"/>
      <w:pPr>
        <w:ind w:left="2160" w:hanging="180"/>
      </w:pPr>
    </w:lvl>
    <w:lvl w:ilvl="3" w:tplc="DD92EB92" w:tentative="1">
      <w:start w:val="1"/>
      <w:numFmt w:val="decimal"/>
      <w:lvlText w:val="%4."/>
      <w:lvlJc w:val="left"/>
      <w:pPr>
        <w:ind w:left="2880" w:hanging="360"/>
      </w:pPr>
    </w:lvl>
    <w:lvl w:ilvl="4" w:tplc="C3E829A6" w:tentative="1">
      <w:start w:val="1"/>
      <w:numFmt w:val="lowerLetter"/>
      <w:lvlText w:val="%5."/>
      <w:lvlJc w:val="left"/>
      <w:pPr>
        <w:ind w:left="3600" w:hanging="360"/>
      </w:pPr>
    </w:lvl>
    <w:lvl w:ilvl="5" w:tplc="4D80A816" w:tentative="1">
      <w:start w:val="1"/>
      <w:numFmt w:val="lowerRoman"/>
      <w:lvlText w:val="%6."/>
      <w:lvlJc w:val="right"/>
      <w:pPr>
        <w:ind w:left="4320" w:hanging="180"/>
      </w:pPr>
    </w:lvl>
    <w:lvl w:ilvl="6" w:tplc="EE1642D2" w:tentative="1">
      <w:start w:val="1"/>
      <w:numFmt w:val="decimal"/>
      <w:lvlText w:val="%7."/>
      <w:lvlJc w:val="left"/>
      <w:pPr>
        <w:ind w:left="5040" w:hanging="360"/>
      </w:pPr>
    </w:lvl>
    <w:lvl w:ilvl="7" w:tplc="E534865E" w:tentative="1">
      <w:start w:val="1"/>
      <w:numFmt w:val="lowerLetter"/>
      <w:lvlText w:val="%8."/>
      <w:lvlJc w:val="left"/>
      <w:pPr>
        <w:ind w:left="5760" w:hanging="360"/>
      </w:pPr>
    </w:lvl>
    <w:lvl w:ilvl="8" w:tplc="4C1EA904" w:tentative="1">
      <w:start w:val="1"/>
      <w:numFmt w:val="lowerRoman"/>
      <w:lvlText w:val="%9."/>
      <w:lvlJc w:val="right"/>
      <w:pPr>
        <w:ind w:left="6480" w:hanging="180"/>
      </w:pPr>
    </w:lvl>
  </w:abstractNum>
  <w:abstractNum w:abstractNumId="31" w15:restartNumberingAfterBreak="0">
    <w:nsid w:val="4C9A01A8"/>
    <w:multiLevelType w:val="multilevel"/>
    <w:tmpl w:val="88D6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3C5E86"/>
    <w:multiLevelType w:val="multilevel"/>
    <w:tmpl w:val="1B6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436A45"/>
    <w:multiLevelType w:val="multilevel"/>
    <w:tmpl w:val="454E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05B297"/>
    <w:multiLevelType w:val="hybridMultilevel"/>
    <w:tmpl w:val="00000000"/>
    <w:lvl w:ilvl="0" w:tplc="203E4A68">
      <w:start w:val="1"/>
      <w:numFmt w:val="lowerRoman"/>
      <w:lvlText w:val="%1."/>
      <w:lvlJc w:val="right"/>
      <w:pPr>
        <w:ind w:left="720" w:hanging="360"/>
      </w:pPr>
    </w:lvl>
    <w:lvl w:ilvl="1" w:tplc="FBC68CBE">
      <w:start w:val="1"/>
      <w:numFmt w:val="lowerLetter"/>
      <w:lvlText w:val="%2."/>
      <w:lvlJc w:val="left"/>
      <w:pPr>
        <w:ind w:left="1440" w:hanging="360"/>
      </w:pPr>
    </w:lvl>
    <w:lvl w:ilvl="2" w:tplc="E3D886D4">
      <w:start w:val="1"/>
      <w:numFmt w:val="lowerRoman"/>
      <w:lvlText w:val="%3."/>
      <w:lvlJc w:val="right"/>
      <w:pPr>
        <w:ind w:left="2160" w:hanging="180"/>
      </w:pPr>
    </w:lvl>
    <w:lvl w:ilvl="3" w:tplc="17602BFA">
      <w:start w:val="1"/>
      <w:numFmt w:val="decimal"/>
      <w:lvlText w:val="%4."/>
      <w:lvlJc w:val="left"/>
      <w:pPr>
        <w:ind w:left="2880" w:hanging="360"/>
      </w:pPr>
    </w:lvl>
    <w:lvl w:ilvl="4" w:tplc="8F845378">
      <w:start w:val="1"/>
      <w:numFmt w:val="lowerLetter"/>
      <w:lvlText w:val="%5."/>
      <w:lvlJc w:val="left"/>
      <w:pPr>
        <w:ind w:left="3600" w:hanging="360"/>
      </w:pPr>
    </w:lvl>
    <w:lvl w:ilvl="5" w:tplc="72964434">
      <w:start w:val="1"/>
      <w:numFmt w:val="lowerRoman"/>
      <w:lvlText w:val="%6."/>
      <w:lvlJc w:val="right"/>
      <w:pPr>
        <w:ind w:left="4320" w:hanging="180"/>
      </w:pPr>
    </w:lvl>
    <w:lvl w:ilvl="6" w:tplc="ECDC500E">
      <w:start w:val="1"/>
      <w:numFmt w:val="decimal"/>
      <w:lvlText w:val="%7."/>
      <w:lvlJc w:val="left"/>
      <w:pPr>
        <w:ind w:left="5040" w:hanging="360"/>
      </w:pPr>
    </w:lvl>
    <w:lvl w:ilvl="7" w:tplc="83A24748">
      <w:start w:val="1"/>
      <w:numFmt w:val="lowerLetter"/>
      <w:lvlText w:val="%8."/>
      <w:lvlJc w:val="left"/>
      <w:pPr>
        <w:ind w:left="5760" w:hanging="360"/>
      </w:pPr>
    </w:lvl>
    <w:lvl w:ilvl="8" w:tplc="268C439E">
      <w:start w:val="1"/>
      <w:numFmt w:val="lowerRoman"/>
      <w:lvlText w:val="%9."/>
      <w:lvlJc w:val="right"/>
      <w:pPr>
        <w:ind w:left="6480" w:hanging="180"/>
      </w:pPr>
    </w:lvl>
  </w:abstractNum>
  <w:abstractNum w:abstractNumId="35" w15:restartNumberingAfterBreak="0">
    <w:nsid w:val="64E2057F"/>
    <w:multiLevelType w:val="multilevel"/>
    <w:tmpl w:val="371C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7B47ED"/>
    <w:multiLevelType w:val="hybridMultilevel"/>
    <w:tmpl w:val="13E46082"/>
    <w:lvl w:ilvl="0" w:tplc="D76A8778">
      <w:start w:val="1"/>
      <w:numFmt w:val="bullet"/>
      <w:lvlText w:val=""/>
      <w:lvlJc w:val="left"/>
      <w:pPr>
        <w:ind w:left="720" w:hanging="360"/>
      </w:pPr>
      <w:rPr>
        <w:rFonts w:ascii="Symbol" w:hAnsi="Symbol" w:hint="default"/>
      </w:rPr>
    </w:lvl>
    <w:lvl w:ilvl="1" w:tplc="7B5ACAE2" w:tentative="1">
      <w:start w:val="1"/>
      <w:numFmt w:val="bullet"/>
      <w:lvlText w:val="o"/>
      <w:lvlJc w:val="left"/>
      <w:pPr>
        <w:ind w:left="1440" w:hanging="360"/>
      </w:pPr>
      <w:rPr>
        <w:rFonts w:ascii="Courier New" w:hAnsi="Courier New" w:cs="Courier New" w:hint="default"/>
      </w:rPr>
    </w:lvl>
    <w:lvl w:ilvl="2" w:tplc="D75A290A" w:tentative="1">
      <w:start w:val="1"/>
      <w:numFmt w:val="bullet"/>
      <w:lvlText w:val=""/>
      <w:lvlJc w:val="left"/>
      <w:pPr>
        <w:ind w:left="2160" w:hanging="360"/>
      </w:pPr>
      <w:rPr>
        <w:rFonts w:ascii="Wingdings" w:hAnsi="Wingdings" w:hint="default"/>
      </w:rPr>
    </w:lvl>
    <w:lvl w:ilvl="3" w:tplc="EBEEC6BA" w:tentative="1">
      <w:start w:val="1"/>
      <w:numFmt w:val="bullet"/>
      <w:lvlText w:val=""/>
      <w:lvlJc w:val="left"/>
      <w:pPr>
        <w:ind w:left="2880" w:hanging="360"/>
      </w:pPr>
      <w:rPr>
        <w:rFonts w:ascii="Symbol" w:hAnsi="Symbol" w:hint="default"/>
      </w:rPr>
    </w:lvl>
    <w:lvl w:ilvl="4" w:tplc="67A0C508" w:tentative="1">
      <w:start w:val="1"/>
      <w:numFmt w:val="bullet"/>
      <w:lvlText w:val="o"/>
      <w:lvlJc w:val="left"/>
      <w:pPr>
        <w:ind w:left="3600" w:hanging="360"/>
      </w:pPr>
      <w:rPr>
        <w:rFonts w:ascii="Courier New" w:hAnsi="Courier New" w:cs="Courier New" w:hint="default"/>
      </w:rPr>
    </w:lvl>
    <w:lvl w:ilvl="5" w:tplc="367C955E" w:tentative="1">
      <w:start w:val="1"/>
      <w:numFmt w:val="bullet"/>
      <w:lvlText w:val=""/>
      <w:lvlJc w:val="left"/>
      <w:pPr>
        <w:ind w:left="4320" w:hanging="360"/>
      </w:pPr>
      <w:rPr>
        <w:rFonts w:ascii="Wingdings" w:hAnsi="Wingdings" w:hint="default"/>
      </w:rPr>
    </w:lvl>
    <w:lvl w:ilvl="6" w:tplc="B53C2D48" w:tentative="1">
      <w:start w:val="1"/>
      <w:numFmt w:val="bullet"/>
      <w:lvlText w:val=""/>
      <w:lvlJc w:val="left"/>
      <w:pPr>
        <w:ind w:left="5040" w:hanging="360"/>
      </w:pPr>
      <w:rPr>
        <w:rFonts w:ascii="Symbol" w:hAnsi="Symbol" w:hint="default"/>
      </w:rPr>
    </w:lvl>
    <w:lvl w:ilvl="7" w:tplc="A7C823A6" w:tentative="1">
      <w:start w:val="1"/>
      <w:numFmt w:val="bullet"/>
      <w:lvlText w:val="o"/>
      <w:lvlJc w:val="left"/>
      <w:pPr>
        <w:ind w:left="5760" w:hanging="360"/>
      </w:pPr>
      <w:rPr>
        <w:rFonts w:ascii="Courier New" w:hAnsi="Courier New" w:cs="Courier New" w:hint="default"/>
      </w:rPr>
    </w:lvl>
    <w:lvl w:ilvl="8" w:tplc="04C66B68" w:tentative="1">
      <w:start w:val="1"/>
      <w:numFmt w:val="bullet"/>
      <w:lvlText w:val=""/>
      <w:lvlJc w:val="left"/>
      <w:pPr>
        <w:ind w:left="6480" w:hanging="360"/>
      </w:pPr>
      <w:rPr>
        <w:rFonts w:ascii="Wingdings" w:hAnsi="Wingdings" w:hint="default"/>
      </w:rPr>
    </w:lvl>
  </w:abstractNum>
  <w:abstractNum w:abstractNumId="37" w15:restartNumberingAfterBreak="0">
    <w:nsid w:val="6DCBF692"/>
    <w:multiLevelType w:val="hybridMultilevel"/>
    <w:tmpl w:val="00000000"/>
    <w:lvl w:ilvl="0" w:tplc="ABB4B82C">
      <w:start w:val="1"/>
      <w:numFmt w:val="decimal"/>
      <w:lvlText w:val="%1."/>
      <w:lvlJc w:val="left"/>
      <w:pPr>
        <w:ind w:left="720" w:hanging="360"/>
      </w:pPr>
    </w:lvl>
    <w:lvl w:ilvl="1" w:tplc="04FA6900">
      <w:start w:val="1"/>
      <w:numFmt w:val="lowerLetter"/>
      <w:lvlText w:val="%2."/>
      <w:lvlJc w:val="left"/>
      <w:pPr>
        <w:ind w:left="1440" w:hanging="360"/>
      </w:pPr>
    </w:lvl>
    <w:lvl w:ilvl="2" w:tplc="8F0E9B46">
      <w:start w:val="1"/>
      <w:numFmt w:val="lowerRoman"/>
      <w:lvlText w:val="%3."/>
      <w:lvlJc w:val="right"/>
      <w:pPr>
        <w:ind w:left="2160" w:hanging="180"/>
      </w:pPr>
    </w:lvl>
    <w:lvl w:ilvl="3" w:tplc="5EF443C0">
      <w:start w:val="1"/>
      <w:numFmt w:val="decimal"/>
      <w:lvlText w:val="%4."/>
      <w:lvlJc w:val="left"/>
      <w:pPr>
        <w:ind w:left="2880" w:hanging="360"/>
      </w:pPr>
    </w:lvl>
    <w:lvl w:ilvl="4" w:tplc="701205A0">
      <w:start w:val="1"/>
      <w:numFmt w:val="lowerLetter"/>
      <w:lvlText w:val="%5."/>
      <w:lvlJc w:val="left"/>
      <w:pPr>
        <w:ind w:left="3600" w:hanging="360"/>
      </w:pPr>
    </w:lvl>
    <w:lvl w:ilvl="5" w:tplc="493C0456">
      <w:start w:val="1"/>
      <w:numFmt w:val="lowerRoman"/>
      <w:lvlText w:val="%6."/>
      <w:lvlJc w:val="right"/>
      <w:pPr>
        <w:ind w:left="4320" w:hanging="180"/>
      </w:pPr>
    </w:lvl>
    <w:lvl w:ilvl="6" w:tplc="9A265306">
      <w:start w:val="1"/>
      <w:numFmt w:val="decimal"/>
      <w:lvlText w:val="%7."/>
      <w:lvlJc w:val="left"/>
      <w:pPr>
        <w:ind w:left="5040" w:hanging="360"/>
      </w:pPr>
    </w:lvl>
    <w:lvl w:ilvl="7" w:tplc="98323428">
      <w:start w:val="1"/>
      <w:numFmt w:val="lowerLetter"/>
      <w:lvlText w:val="%8."/>
      <w:lvlJc w:val="left"/>
      <w:pPr>
        <w:ind w:left="5760" w:hanging="360"/>
      </w:pPr>
    </w:lvl>
    <w:lvl w:ilvl="8" w:tplc="4AB0C4F8">
      <w:start w:val="1"/>
      <w:numFmt w:val="lowerRoman"/>
      <w:lvlText w:val="%9."/>
      <w:lvlJc w:val="right"/>
      <w:pPr>
        <w:ind w:left="6480" w:hanging="180"/>
      </w:pPr>
    </w:lvl>
  </w:abstractNum>
  <w:abstractNum w:abstractNumId="38" w15:restartNumberingAfterBreak="0">
    <w:nsid w:val="6EE51B32"/>
    <w:multiLevelType w:val="hybridMultilevel"/>
    <w:tmpl w:val="915C1D12"/>
    <w:lvl w:ilvl="0" w:tplc="8E06DEA4">
      <w:start w:val="1"/>
      <w:numFmt w:val="decimal"/>
      <w:pStyle w:val="TBLNumberedList"/>
      <w:lvlText w:val="%1."/>
      <w:lvlJc w:val="left"/>
      <w:pPr>
        <w:ind w:left="720" w:hanging="360"/>
      </w:pPr>
    </w:lvl>
    <w:lvl w:ilvl="1" w:tplc="B3EAAE1C" w:tentative="1">
      <w:start w:val="1"/>
      <w:numFmt w:val="lowerLetter"/>
      <w:lvlText w:val="%2."/>
      <w:lvlJc w:val="left"/>
      <w:pPr>
        <w:ind w:left="1440" w:hanging="360"/>
      </w:pPr>
    </w:lvl>
    <w:lvl w:ilvl="2" w:tplc="F3745F10" w:tentative="1">
      <w:start w:val="1"/>
      <w:numFmt w:val="lowerRoman"/>
      <w:lvlText w:val="%3."/>
      <w:lvlJc w:val="right"/>
      <w:pPr>
        <w:ind w:left="2160" w:hanging="180"/>
      </w:pPr>
    </w:lvl>
    <w:lvl w:ilvl="3" w:tplc="5F024BC8" w:tentative="1">
      <w:start w:val="1"/>
      <w:numFmt w:val="decimal"/>
      <w:lvlText w:val="%4."/>
      <w:lvlJc w:val="left"/>
      <w:pPr>
        <w:ind w:left="2880" w:hanging="360"/>
      </w:pPr>
    </w:lvl>
    <w:lvl w:ilvl="4" w:tplc="CBA02DB0" w:tentative="1">
      <w:start w:val="1"/>
      <w:numFmt w:val="lowerLetter"/>
      <w:lvlText w:val="%5."/>
      <w:lvlJc w:val="left"/>
      <w:pPr>
        <w:ind w:left="3600" w:hanging="360"/>
      </w:pPr>
    </w:lvl>
    <w:lvl w:ilvl="5" w:tplc="0BBC7552" w:tentative="1">
      <w:start w:val="1"/>
      <w:numFmt w:val="lowerRoman"/>
      <w:lvlText w:val="%6."/>
      <w:lvlJc w:val="right"/>
      <w:pPr>
        <w:ind w:left="4320" w:hanging="180"/>
      </w:pPr>
    </w:lvl>
    <w:lvl w:ilvl="6" w:tplc="673623F8" w:tentative="1">
      <w:start w:val="1"/>
      <w:numFmt w:val="decimal"/>
      <w:lvlText w:val="%7."/>
      <w:lvlJc w:val="left"/>
      <w:pPr>
        <w:ind w:left="5040" w:hanging="360"/>
      </w:pPr>
    </w:lvl>
    <w:lvl w:ilvl="7" w:tplc="313E826A" w:tentative="1">
      <w:start w:val="1"/>
      <w:numFmt w:val="lowerLetter"/>
      <w:lvlText w:val="%8."/>
      <w:lvlJc w:val="left"/>
      <w:pPr>
        <w:ind w:left="5760" w:hanging="360"/>
      </w:pPr>
    </w:lvl>
    <w:lvl w:ilvl="8" w:tplc="AF3288D4" w:tentative="1">
      <w:start w:val="1"/>
      <w:numFmt w:val="lowerRoman"/>
      <w:lvlText w:val="%9."/>
      <w:lvlJc w:val="right"/>
      <w:pPr>
        <w:ind w:left="6480" w:hanging="180"/>
      </w:pPr>
    </w:lvl>
  </w:abstractNum>
  <w:abstractNum w:abstractNumId="39" w15:restartNumberingAfterBreak="0">
    <w:nsid w:val="6FC77EDC"/>
    <w:multiLevelType w:val="multilevel"/>
    <w:tmpl w:val="30B4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EE4792"/>
    <w:multiLevelType w:val="hybridMultilevel"/>
    <w:tmpl w:val="D2162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0455F4B"/>
    <w:multiLevelType w:val="hybridMultilevel"/>
    <w:tmpl w:val="A172419C"/>
    <w:lvl w:ilvl="0" w:tplc="1CD0C388">
      <w:start w:val="1"/>
      <w:numFmt w:val="bullet"/>
      <w:lvlText w:val=""/>
      <w:lvlJc w:val="left"/>
      <w:pPr>
        <w:ind w:left="720" w:hanging="360"/>
      </w:pPr>
      <w:rPr>
        <w:rFonts w:ascii="Symbol" w:hAnsi="Symbol" w:hint="default"/>
      </w:rPr>
    </w:lvl>
    <w:lvl w:ilvl="1" w:tplc="EB8CD7DC" w:tentative="1">
      <w:start w:val="1"/>
      <w:numFmt w:val="bullet"/>
      <w:lvlText w:val="o"/>
      <w:lvlJc w:val="left"/>
      <w:pPr>
        <w:ind w:left="1440" w:hanging="360"/>
      </w:pPr>
      <w:rPr>
        <w:rFonts w:ascii="Courier New" w:hAnsi="Courier New" w:cs="Courier New" w:hint="default"/>
      </w:rPr>
    </w:lvl>
    <w:lvl w:ilvl="2" w:tplc="B784E5D4" w:tentative="1">
      <w:start w:val="1"/>
      <w:numFmt w:val="bullet"/>
      <w:lvlText w:val=""/>
      <w:lvlJc w:val="left"/>
      <w:pPr>
        <w:ind w:left="2160" w:hanging="360"/>
      </w:pPr>
      <w:rPr>
        <w:rFonts w:ascii="Wingdings" w:hAnsi="Wingdings" w:hint="default"/>
      </w:rPr>
    </w:lvl>
    <w:lvl w:ilvl="3" w:tplc="72441DAC" w:tentative="1">
      <w:start w:val="1"/>
      <w:numFmt w:val="bullet"/>
      <w:lvlText w:val=""/>
      <w:lvlJc w:val="left"/>
      <w:pPr>
        <w:ind w:left="2880" w:hanging="360"/>
      </w:pPr>
      <w:rPr>
        <w:rFonts w:ascii="Symbol" w:hAnsi="Symbol" w:hint="default"/>
      </w:rPr>
    </w:lvl>
    <w:lvl w:ilvl="4" w:tplc="C2BEA92C" w:tentative="1">
      <w:start w:val="1"/>
      <w:numFmt w:val="bullet"/>
      <w:lvlText w:val="o"/>
      <w:lvlJc w:val="left"/>
      <w:pPr>
        <w:ind w:left="3600" w:hanging="360"/>
      </w:pPr>
      <w:rPr>
        <w:rFonts w:ascii="Courier New" w:hAnsi="Courier New" w:cs="Courier New" w:hint="default"/>
      </w:rPr>
    </w:lvl>
    <w:lvl w:ilvl="5" w:tplc="6DDA9EF0" w:tentative="1">
      <w:start w:val="1"/>
      <w:numFmt w:val="bullet"/>
      <w:lvlText w:val=""/>
      <w:lvlJc w:val="left"/>
      <w:pPr>
        <w:ind w:left="4320" w:hanging="360"/>
      </w:pPr>
      <w:rPr>
        <w:rFonts w:ascii="Wingdings" w:hAnsi="Wingdings" w:hint="default"/>
      </w:rPr>
    </w:lvl>
    <w:lvl w:ilvl="6" w:tplc="CB0AE340" w:tentative="1">
      <w:start w:val="1"/>
      <w:numFmt w:val="bullet"/>
      <w:lvlText w:val=""/>
      <w:lvlJc w:val="left"/>
      <w:pPr>
        <w:ind w:left="5040" w:hanging="360"/>
      </w:pPr>
      <w:rPr>
        <w:rFonts w:ascii="Symbol" w:hAnsi="Symbol" w:hint="default"/>
      </w:rPr>
    </w:lvl>
    <w:lvl w:ilvl="7" w:tplc="94D63B9A" w:tentative="1">
      <w:start w:val="1"/>
      <w:numFmt w:val="bullet"/>
      <w:lvlText w:val="o"/>
      <w:lvlJc w:val="left"/>
      <w:pPr>
        <w:ind w:left="5760" w:hanging="360"/>
      </w:pPr>
      <w:rPr>
        <w:rFonts w:ascii="Courier New" w:hAnsi="Courier New" w:cs="Courier New" w:hint="default"/>
      </w:rPr>
    </w:lvl>
    <w:lvl w:ilvl="8" w:tplc="EF7C2E48" w:tentative="1">
      <w:start w:val="1"/>
      <w:numFmt w:val="bullet"/>
      <w:lvlText w:val=""/>
      <w:lvlJc w:val="left"/>
      <w:pPr>
        <w:ind w:left="6480" w:hanging="360"/>
      </w:pPr>
      <w:rPr>
        <w:rFonts w:ascii="Wingdings" w:hAnsi="Wingdings" w:hint="default"/>
      </w:rPr>
    </w:lvl>
  </w:abstractNum>
  <w:abstractNum w:abstractNumId="42" w15:restartNumberingAfterBreak="0">
    <w:nsid w:val="74CC0C86"/>
    <w:multiLevelType w:val="multilevel"/>
    <w:tmpl w:val="2D60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4E71C8F"/>
    <w:multiLevelType w:val="multilevel"/>
    <w:tmpl w:val="8D54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1170D5"/>
    <w:multiLevelType w:val="hybridMultilevel"/>
    <w:tmpl w:val="3622095C"/>
    <w:lvl w:ilvl="0" w:tplc="4EE28CCE">
      <w:start w:val="1"/>
      <w:numFmt w:val="decimal"/>
      <w:pStyle w:val="NumberedList-Level1"/>
      <w:lvlText w:val="%1."/>
      <w:lvlJc w:val="left"/>
      <w:pPr>
        <w:ind w:left="567" w:hanging="283"/>
      </w:pPr>
      <w:rPr>
        <w:rFonts w:hint="default"/>
      </w:rPr>
    </w:lvl>
    <w:lvl w:ilvl="1" w:tplc="417A6794">
      <w:start w:val="1"/>
      <w:numFmt w:val="lowerLetter"/>
      <w:pStyle w:val="NumberedList-level2"/>
      <w:lvlText w:val="%2."/>
      <w:lvlJc w:val="left"/>
      <w:pPr>
        <w:ind w:left="851" w:hanging="284"/>
      </w:pPr>
      <w:rPr>
        <w:rFonts w:hint="default"/>
      </w:rPr>
    </w:lvl>
    <w:lvl w:ilvl="2" w:tplc="37809010">
      <w:start w:val="1"/>
      <w:numFmt w:val="lowerRoman"/>
      <w:pStyle w:val="NumberedList-Level3"/>
      <w:lvlText w:val="%3."/>
      <w:lvlJc w:val="right"/>
      <w:pPr>
        <w:ind w:left="1134" w:hanging="170"/>
      </w:pPr>
      <w:rPr>
        <w:rFonts w:hint="default"/>
      </w:rPr>
    </w:lvl>
    <w:lvl w:ilvl="3" w:tplc="26C84E6E">
      <w:start w:val="1"/>
      <w:numFmt w:val="decimal"/>
      <w:lvlText w:val="%4."/>
      <w:lvlJc w:val="left"/>
      <w:pPr>
        <w:ind w:left="2880" w:hanging="360"/>
      </w:pPr>
    </w:lvl>
    <w:lvl w:ilvl="4" w:tplc="39FE397C" w:tentative="1">
      <w:start w:val="1"/>
      <w:numFmt w:val="lowerLetter"/>
      <w:lvlText w:val="%5."/>
      <w:lvlJc w:val="left"/>
      <w:pPr>
        <w:ind w:left="3600" w:hanging="360"/>
      </w:pPr>
    </w:lvl>
    <w:lvl w:ilvl="5" w:tplc="9D44B662" w:tentative="1">
      <w:start w:val="1"/>
      <w:numFmt w:val="lowerRoman"/>
      <w:lvlText w:val="%6."/>
      <w:lvlJc w:val="right"/>
      <w:pPr>
        <w:ind w:left="4320" w:hanging="180"/>
      </w:pPr>
    </w:lvl>
    <w:lvl w:ilvl="6" w:tplc="4FB2C69A" w:tentative="1">
      <w:start w:val="1"/>
      <w:numFmt w:val="decimal"/>
      <w:lvlText w:val="%7."/>
      <w:lvlJc w:val="left"/>
      <w:pPr>
        <w:ind w:left="5040" w:hanging="360"/>
      </w:pPr>
    </w:lvl>
    <w:lvl w:ilvl="7" w:tplc="988838A8" w:tentative="1">
      <w:start w:val="1"/>
      <w:numFmt w:val="lowerLetter"/>
      <w:lvlText w:val="%8."/>
      <w:lvlJc w:val="left"/>
      <w:pPr>
        <w:ind w:left="5760" w:hanging="360"/>
      </w:pPr>
    </w:lvl>
    <w:lvl w:ilvl="8" w:tplc="DE0E6AA8" w:tentative="1">
      <w:start w:val="1"/>
      <w:numFmt w:val="lowerRoman"/>
      <w:lvlText w:val="%9."/>
      <w:lvlJc w:val="right"/>
      <w:pPr>
        <w:ind w:left="6480" w:hanging="180"/>
      </w:pPr>
    </w:lvl>
  </w:abstractNum>
  <w:abstractNum w:abstractNumId="45" w15:restartNumberingAfterBreak="0">
    <w:nsid w:val="7D1C6A21"/>
    <w:multiLevelType w:val="multilevel"/>
    <w:tmpl w:val="A938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1475329">
    <w:abstractNumId w:val="37"/>
  </w:num>
  <w:num w:numId="2" w16cid:durableId="1098908393">
    <w:abstractNumId w:val="34"/>
  </w:num>
  <w:num w:numId="3" w16cid:durableId="722406088">
    <w:abstractNumId w:val="5"/>
  </w:num>
  <w:num w:numId="4" w16cid:durableId="1267346563">
    <w:abstractNumId w:val="4"/>
  </w:num>
  <w:num w:numId="5" w16cid:durableId="1240747452">
    <w:abstractNumId w:val="38"/>
  </w:num>
  <w:num w:numId="6" w16cid:durableId="1832326857">
    <w:abstractNumId w:val="14"/>
  </w:num>
  <w:num w:numId="7" w16cid:durableId="585923480">
    <w:abstractNumId w:val="44"/>
  </w:num>
  <w:num w:numId="8" w16cid:durableId="545527849">
    <w:abstractNumId w:val="12"/>
  </w:num>
  <w:num w:numId="9" w16cid:durableId="109203803">
    <w:abstractNumId w:val="29"/>
  </w:num>
  <w:num w:numId="10" w16cid:durableId="394281639">
    <w:abstractNumId w:val="9"/>
  </w:num>
  <w:num w:numId="11" w16cid:durableId="1374841095">
    <w:abstractNumId w:val="13"/>
  </w:num>
  <w:num w:numId="12" w16cid:durableId="1358584263">
    <w:abstractNumId w:val="7"/>
  </w:num>
  <w:num w:numId="13" w16cid:durableId="821001949">
    <w:abstractNumId w:val="26"/>
  </w:num>
  <w:num w:numId="14" w16cid:durableId="38627653">
    <w:abstractNumId w:val="16"/>
  </w:num>
  <w:num w:numId="15" w16cid:durableId="739790605">
    <w:abstractNumId w:val="30"/>
  </w:num>
  <w:num w:numId="16" w16cid:durableId="835002808">
    <w:abstractNumId w:val="8"/>
  </w:num>
  <w:num w:numId="17" w16cid:durableId="948777404">
    <w:abstractNumId w:val="18"/>
  </w:num>
  <w:num w:numId="18" w16cid:durableId="1045908278">
    <w:abstractNumId w:val="11"/>
  </w:num>
  <w:num w:numId="19" w16cid:durableId="1082526413">
    <w:abstractNumId w:val="15"/>
  </w:num>
  <w:num w:numId="20" w16cid:durableId="797262734">
    <w:abstractNumId w:val="6"/>
  </w:num>
  <w:num w:numId="21" w16cid:durableId="702831421">
    <w:abstractNumId w:val="19"/>
  </w:num>
  <w:num w:numId="22" w16cid:durableId="883978967">
    <w:abstractNumId w:val="23"/>
  </w:num>
  <w:num w:numId="23" w16cid:durableId="466163935">
    <w:abstractNumId w:val="28"/>
  </w:num>
  <w:num w:numId="24" w16cid:durableId="1324510494">
    <w:abstractNumId w:val="22"/>
  </w:num>
  <w:num w:numId="25" w16cid:durableId="106509138">
    <w:abstractNumId w:val="3"/>
  </w:num>
  <w:num w:numId="26" w16cid:durableId="1944532761">
    <w:abstractNumId w:val="25"/>
  </w:num>
  <w:num w:numId="27" w16cid:durableId="716466349">
    <w:abstractNumId w:val="21"/>
  </w:num>
  <w:num w:numId="28" w16cid:durableId="1332637860">
    <w:abstractNumId w:val="36"/>
  </w:num>
  <w:num w:numId="29" w16cid:durableId="901479314">
    <w:abstractNumId w:val="10"/>
  </w:num>
  <w:num w:numId="30" w16cid:durableId="201479119">
    <w:abstractNumId w:val="41"/>
  </w:num>
  <w:num w:numId="31" w16cid:durableId="2118745091">
    <w:abstractNumId w:val="27"/>
  </w:num>
  <w:num w:numId="32" w16cid:durableId="1202787306">
    <w:abstractNumId w:val="2"/>
  </w:num>
  <w:num w:numId="33" w16cid:durableId="336543328">
    <w:abstractNumId w:val="24"/>
  </w:num>
  <w:num w:numId="34" w16cid:durableId="875237441">
    <w:abstractNumId w:val="33"/>
  </w:num>
  <w:num w:numId="35" w16cid:durableId="1202939442">
    <w:abstractNumId w:val="31"/>
  </w:num>
  <w:num w:numId="36" w16cid:durableId="726536297">
    <w:abstractNumId w:val="39"/>
  </w:num>
  <w:num w:numId="37" w16cid:durableId="1527015378">
    <w:abstractNumId w:val="45"/>
  </w:num>
  <w:num w:numId="38" w16cid:durableId="685642072">
    <w:abstractNumId w:val="17"/>
  </w:num>
  <w:num w:numId="39" w16cid:durableId="954598877">
    <w:abstractNumId w:val="32"/>
  </w:num>
  <w:num w:numId="40" w16cid:durableId="1613316658">
    <w:abstractNumId w:val="43"/>
  </w:num>
  <w:num w:numId="41" w16cid:durableId="1203202487">
    <w:abstractNumId w:val="35"/>
  </w:num>
  <w:num w:numId="42" w16cid:durableId="774205122">
    <w:abstractNumId w:val="42"/>
  </w:num>
  <w:num w:numId="43" w16cid:durableId="2104690825">
    <w:abstractNumId w:val="0"/>
  </w:num>
  <w:num w:numId="44" w16cid:durableId="38867166">
    <w:abstractNumId w:val="20"/>
  </w:num>
  <w:num w:numId="45" w16cid:durableId="799806935">
    <w:abstractNumId w:val="1"/>
  </w:num>
  <w:num w:numId="46" w16cid:durableId="1763253982">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4C7"/>
    <w:rsid w:val="0000008B"/>
    <w:rsid w:val="00000A7A"/>
    <w:rsid w:val="000031C4"/>
    <w:rsid w:val="000043D6"/>
    <w:rsid w:val="00005119"/>
    <w:rsid w:val="00006592"/>
    <w:rsid w:val="00007209"/>
    <w:rsid w:val="000079CE"/>
    <w:rsid w:val="00007B84"/>
    <w:rsid w:val="00007D7B"/>
    <w:rsid w:val="00011532"/>
    <w:rsid w:val="00013135"/>
    <w:rsid w:val="000131B9"/>
    <w:rsid w:val="0001496B"/>
    <w:rsid w:val="00015CF1"/>
    <w:rsid w:val="00020EDF"/>
    <w:rsid w:val="000220EA"/>
    <w:rsid w:val="00022A62"/>
    <w:rsid w:val="00023C30"/>
    <w:rsid w:val="00023F20"/>
    <w:rsid w:val="00023F30"/>
    <w:rsid w:val="0002446E"/>
    <w:rsid w:val="0002498D"/>
    <w:rsid w:val="00025AEC"/>
    <w:rsid w:val="00026476"/>
    <w:rsid w:val="00026CB5"/>
    <w:rsid w:val="00026DC9"/>
    <w:rsid w:val="00027038"/>
    <w:rsid w:val="00027B68"/>
    <w:rsid w:val="00030399"/>
    <w:rsid w:val="00030D02"/>
    <w:rsid w:val="00030E54"/>
    <w:rsid w:val="0003154E"/>
    <w:rsid w:val="0003201F"/>
    <w:rsid w:val="00032A31"/>
    <w:rsid w:val="00033CCB"/>
    <w:rsid w:val="00034334"/>
    <w:rsid w:val="000344E4"/>
    <w:rsid w:val="000346A7"/>
    <w:rsid w:val="00034C03"/>
    <w:rsid w:val="00035339"/>
    <w:rsid w:val="000365C4"/>
    <w:rsid w:val="00036D60"/>
    <w:rsid w:val="00036F08"/>
    <w:rsid w:val="0003711C"/>
    <w:rsid w:val="00037513"/>
    <w:rsid w:val="00037BC9"/>
    <w:rsid w:val="0004084A"/>
    <w:rsid w:val="000415A2"/>
    <w:rsid w:val="000418CA"/>
    <w:rsid w:val="00042D03"/>
    <w:rsid w:val="00042F95"/>
    <w:rsid w:val="00042FE4"/>
    <w:rsid w:val="00043333"/>
    <w:rsid w:val="000434F0"/>
    <w:rsid w:val="00043BCB"/>
    <w:rsid w:val="00044067"/>
    <w:rsid w:val="00044A2F"/>
    <w:rsid w:val="00044BAF"/>
    <w:rsid w:val="000461FF"/>
    <w:rsid w:val="00050C05"/>
    <w:rsid w:val="000515DF"/>
    <w:rsid w:val="00051BEF"/>
    <w:rsid w:val="00051F26"/>
    <w:rsid w:val="00052CFC"/>
    <w:rsid w:val="00053ACB"/>
    <w:rsid w:val="00056010"/>
    <w:rsid w:val="000560F5"/>
    <w:rsid w:val="00056CD0"/>
    <w:rsid w:val="00060E3F"/>
    <w:rsid w:val="0006102A"/>
    <w:rsid w:val="00061E8E"/>
    <w:rsid w:val="00064026"/>
    <w:rsid w:val="0006428E"/>
    <w:rsid w:val="00064F31"/>
    <w:rsid w:val="00065847"/>
    <w:rsid w:val="00066040"/>
    <w:rsid w:val="0006627F"/>
    <w:rsid w:val="00066AD4"/>
    <w:rsid w:val="000679E8"/>
    <w:rsid w:val="0007030E"/>
    <w:rsid w:val="0007389B"/>
    <w:rsid w:val="000743FF"/>
    <w:rsid w:val="00074A94"/>
    <w:rsid w:val="0007501A"/>
    <w:rsid w:val="00075257"/>
    <w:rsid w:val="000755B7"/>
    <w:rsid w:val="00075E6C"/>
    <w:rsid w:val="00076819"/>
    <w:rsid w:val="000776AC"/>
    <w:rsid w:val="0008090E"/>
    <w:rsid w:val="00081051"/>
    <w:rsid w:val="00081968"/>
    <w:rsid w:val="000828C2"/>
    <w:rsid w:val="00082AA7"/>
    <w:rsid w:val="00083D73"/>
    <w:rsid w:val="00083F3B"/>
    <w:rsid w:val="0008435A"/>
    <w:rsid w:val="0008534D"/>
    <w:rsid w:val="00085ACB"/>
    <w:rsid w:val="00085D7C"/>
    <w:rsid w:val="000863EB"/>
    <w:rsid w:val="000872C2"/>
    <w:rsid w:val="00090D1A"/>
    <w:rsid w:val="00091009"/>
    <w:rsid w:val="000912DB"/>
    <w:rsid w:val="00092F54"/>
    <w:rsid w:val="00092FAF"/>
    <w:rsid w:val="0009335F"/>
    <w:rsid w:val="00093FAB"/>
    <w:rsid w:val="00094092"/>
    <w:rsid w:val="00094816"/>
    <w:rsid w:val="00094F6F"/>
    <w:rsid w:val="00097683"/>
    <w:rsid w:val="00097C99"/>
    <w:rsid w:val="00097DF2"/>
    <w:rsid w:val="00097EC9"/>
    <w:rsid w:val="000A0DE7"/>
    <w:rsid w:val="000A0DF4"/>
    <w:rsid w:val="000A1055"/>
    <w:rsid w:val="000A1A6B"/>
    <w:rsid w:val="000A1EC6"/>
    <w:rsid w:val="000A1F3D"/>
    <w:rsid w:val="000A37C8"/>
    <w:rsid w:val="000A4249"/>
    <w:rsid w:val="000A4822"/>
    <w:rsid w:val="000A5347"/>
    <w:rsid w:val="000B03B3"/>
    <w:rsid w:val="000B06F1"/>
    <w:rsid w:val="000B0F43"/>
    <w:rsid w:val="000B0FD3"/>
    <w:rsid w:val="000B146C"/>
    <w:rsid w:val="000B1534"/>
    <w:rsid w:val="000B1AB4"/>
    <w:rsid w:val="000B2032"/>
    <w:rsid w:val="000B2268"/>
    <w:rsid w:val="000B3417"/>
    <w:rsid w:val="000B3BD8"/>
    <w:rsid w:val="000B4E6B"/>
    <w:rsid w:val="000B6E1D"/>
    <w:rsid w:val="000B7163"/>
    <w:rsid w:val="000C03C8"/>
    <w:rsid w:val="000C052A"/>
    <w:rsid w:val="000C07E0"/>
    <w:rsid w:val="000C0961"/>
    <w:rsid w:val="000C10AB"/>
    <w:rsid w:val="000C17D6"/>
    <w:rsid w:val="000C19FA"/>
    <w:rsid w:val="000C1C29"/>
    <w:rsid w:val="000C2867"/>
    <w:rsid w:val="000C34E6"/>
    <w:rsid w:val="000C4D3C"/>
    <w:rsid w:val="000C6311"/>
    <w:rsid w:val="000C6DEA"/>
    <w:rsid w:val="000C741C"/>
    <w:rsid w:val="000D01CB"/>
    <w:rsid w:val="000D159E"/>
    <w:rsid w:val="000D17D5"/>
    <w:rsid w:val="000D1F33"/>
    <w:rsid w:val="000D38CD"/>
    <w:rsid w:val="000D3E4A"/>
    <w:rsid w:val="000D4750"/>
    <w:rsid w:val="000D507C"/>
    <w:rsid w:val="000D5183"/>
    <w:rsid w:val="000D594D"/>
    <w:rsid w:val="000D6194"/>
    <w:rsid w:val="000D6C36"/>
    <w:rsid w:val="000D724C"/>
    <w:rsid w:val="000D749D"/>
    <w:rsid w:val="000E0164"/>
    <w:rsid w:val="000E1C70"/>
    <w:rsid w:val="000E4F60"/>
    <w:rsid w:val="000E52C1"/>
    <w:rsid w:val="000E5EDB"/>
    <w:rsid w:val="000E68FE"/>
    <w:rsid w:val="000E6BD7"/>
    <w:rsid w:val="000E786D"/>
    <w:rsid w:val="000F08D0"/>
    <w:rsid w:val="000F1CAB"/>
    <w:rsid w:val="000F1E59"/>
    <w:rsid w:val="000F2FAB"/>
    <w:rsid w:val="000F3253"/>
    <w:rsid w:val="000F3887"/>
    <w:rsid w:val="000F401D"/>
    <w:rsid w:val="000F5766"/>
    <w:rsid w:val="000F58D8"/>
    <w:rsid w:val="0010053A"/>
    <w:rsid w:val="00100975"/>
    <w:rsid w:val="00101262"/>
    <w:rsid w:val="00102061"/>
    <w:rsid w:val="00102E5F"/>
    <w:rsid w:val="001051FD"/>
    <w:rsid w:val="001052C1"/>
    <w:rsid w:val="00105465"/>
    <w:rsid w:val="00105530"/>
    <w:rsid w:val="0010574A"/>
    <w:rsid w:val="001068F8"/>
    <w:rsid w:val="00110CC6"/>
    <w:rsid w:val="00111060"/>
    <w:rsid w:val="00111ADF"/>
    <w:rsid w:val="00112088"/>
    <w:rsid w:val="00112E5A"/>
    <w:rsid w:val="0011375F"/>
    <w:rsid w:val="00115685"/>
    <w:rsid w:val="00115D1D"/>
    <w:rsid w:val="00117658"/>
    <w:rsid w:val="0011773A"/>
    <w:rsid w:val="00117A77"/>
    <w:rsid w:val="00117D1D"/>
    <w:rsid w:val="001201BA"/>
    <w:rsid w:val="00120A7B"/>
    <w:rsid w:val="00120CA5"/>
    <w:rsid w:val="00121333"/>
    <w:rsid w:val="001224D2"/>
    <w:rsid w:val="00122DBF"/>
    <w:rsid w:val="00122FD2"/>
    <w:rsid w:val="00124A23"/>
    <w:rsid w:val="0012540F"/>
    <w:rsid w:val="00125E7B"/>
    <w:rsid w:val="00126809"/>
    <w:rsid w:val="00126DAA"/>
    <w:rsid w:val="001301B7"/>
    <w:rsid w:val="0013046C"/>
    <w:rsid w:val="001309A6"/>
    <w:rsid w:val="001309FC"/>
    <w:rsid w:val="00131611"/>
    <w:rsid w:val="00133318"/>
    <w:rsid w:val="00134CA3"/>
    <w:rsid w:val="0013508F"/>
    <w:rsid w:val="00135EA2"/>
    <w:rsid w:val="0013609C"/>
    <w:rsid w:val="00136D8E"/>
    <w:rsid w:val="001379DC"/>
    <w:rsid w:val="001412E0"/>
    <w:rsid w:val="00141403"/>
    <w:rsid w:val="0014284F"/>
    <w:rsid w:val="00142AAE"/>
    <w:rsid w:val="00142DB9"/>
    <w:rsid w:val="0014328F"/>
    <w:rsid w:val="0014343C"/>
    <w:rsid w:val="00143465"/>
    <w:rsid w:val="0014349E"/>
    <w:rsid w:val="001435E4"/>
    <w:rsid w:val="00143701"/>
    <w:rsid w:val="00143BB3"/>
    <w:rsid w:val="00144301"/>
    <w:rsid w:val="0014489D"/>
    <w:rsid w:val="0014581C"/>
    <w:rsid w:val="00145D70"/>
    <w:rsid w:val="0014602E"/>
    <w:rsid w:val="001460E8"/>
    <w:rsid w:val="00146694"/>
    <w:rsid w:val="00147428"/>
    <w:rsid w:val="00147B69"/>
    <w:rsid w:val="00150AB7"/>
    <w:rsid w:val="00150CC9"/>
    <w:rsid w:val="00151ED2"/>
    <w:rsid w:val="00153784"/>
    <w:rsid w:val="00154EFE"/>
    <w:rsid w:val="00156796"/>
    <w:rsid w:val="00156E46"/>
    <w:rsid w:val="00157D87"/>
    <w:rsid w:val="00157FC1"/>
    <w:rsid w:val="00160869"/>
    <w:rsid w:val="001617B6"/>
    <w:rsid w:val="001626DA"/>
    <w:rsid w:val="001628CA"/>
    <w:rsid w:val="00163719"/>
    <w:rsid w:val="00164392"/>
    <w:rsid w:val="0016441C"/>
    <w:rsid w:val="00164420"/>
    <w:rsid w:val="001661DF"/>
    <w:rsid w:val="0016690A"/>
    <w:rsid w:val="0017036B"/>
    <w:rsid w:val="00170C4E"/>
    <w:rsid w:val="00171DA0"/>
    <w:rsid w:val="001720F0"/>
    <w:rsid w:val="00172812"/>
    <w:rsid w:val="001745D1"/>
    <w:rsid w:val="001746CA"/>
    <w:rsid w:val="001748D6"/>
    <w:rsid w:val="0017556F"/>
    <w:rsid w:val="00175CAD"/>
    <w:rsid w:val="00177D2C"/>
    <w:rsid w:val="00180001"/>
    <w:rsid w:val="0018139F"/>
    <w:rsid w:val="00181A24"/>
    <w:rsid w:val="0018280A"/>
    <w:rsid w:val="001829A5"/>
    <w:rsid w:val="001844C9"/>
    <w:rsid w:val="00184B7F"/>
    <w:rsid w:val="00185922"/>
    <w:rsid w:val="001865D2"/>
    <w:rsid w:val="00187292"/>
    <w:rsid w:val="00187650"/>
    <w:rsid w:val="00187984"/>
    <w:rsid w:val="00187AB6"/>
    <w:rsid w:val="00190DF9"/>
    <w:rsid w:val="001946FC"/>
    <w:rsid w:val="00194D24"/>
    <w:rsid w:val="00194F35"/>
    <w:rsid w:val="001950A9"/>
    <w:rsid w:val="001953B3"/>
    <w:rsid w:val="001962ED"/>
    <w:rsid w:val="0019720F"/>
    <w:rsid w:val="001A00E4"/>
    <w:rsid w:val="001A2F2C"/>
    <w:rsid w:val="001A2FA3"/>
    <w:rsid w:val="001A44FB"/>
    <w:rsid w:val="001A510B"/>
    <w:rsid w:val="001A711C"/>
    <w:rsid w:val="001B072E"/>
    <w:rsid w:val="001B0985"/>
    <w:rsid w:val="001B0D2F"/>
    <w:rsid w:val="001B0EFB"/>
    <w:rsid w:val="001B1A5C"/>
    <w:rsid w:val="001B1E35"/>
    <w:rsid w:val="001B2685"/>
    <w:rsid w:val="001B2D43"/>
    <w:rsid w:val="001B3655"/>
    <w:rsid w:val="001B48D8"/>
    <w:rsid w:val="001B4918"/>
    <w:rsid w:val="001B49EA"/>
    <w:rsid w:val="001B5722"/>
    <w:rsid w:val="001B5D95"/>
    <w:rsid w:val="001B6414"/>
    <w:rsid w:val="001B7925"/>
    <w:rsid w:val="001B7CD8"/>
    <w:rsid w:val="001C0765"/>
    <w:rsid w:val="001C1594"/>
    <w:rsid w:val="001C1F1D"/>
    <w:rsid w:val="001C2166"/>
    <w:rsid w:val="001C2688"/>
    <w:rsid w:val="001C31F8"/>
    <w:rsid w:val="001C5D73"/>
    <w:rsid w:val="001C61D1"/>
    <w:rsid w:val="001C62C7"/>
    <w:rsid w:val="001C667D"/>
    <w:rsid w:val="001C6CA0"/>
    <w:rsid w:val="001D1310"/>
    <w:rsid w:val="001D17EF"/>
    <w:rsid w:val="001D29A2"/>
    <w:rsid w:val="001D41D2"/>
    <w:rsid w:val="001D4C05"/>
    <w:rsid w:val="001D4CEC"/>
    <w:rsid w:val="001D4D54"/>
    <w:rsid w:val="001D57CD"/>
    <w:rsid w:val="001D5E94"/>
    <w:rsid w:val="001D6A36"/>
    <w:rsid w:val="001D7525"/>
    <w:rsid w:val="001D7F6A"/>
    <w:rsid w:val="001E0A99"/>
    <w:rsid w:val="001E0B8C"/>
    <w:rsid w:val="001E1F9C"/>
    <w:rsid w:val="001E219B"/>
    <w:rsid w:val="001E2BCE"/>
    <w:rsid w:val="001E37FB"/>
    <w:rsid w:val="001E417F"/>
    <w:rsid w:val="001E4574"/>
    <w:rsid w:val="001F0CF0"/>
    <w:rsid w:val="001F1563"/>
    <w:rsid w:val="001F30BD"/>
    <w:rsid w:val="001F3C16"/>
    <w:rsid w:val="001F3F6E"/>
    <w:rsid w:val="001F4163"/>
    <w:rsid w:val="001F4299"/>
    <w:rsid w:val="001F4EB8"/>
    <w:rsid w:val="001F60B8"/>
    <w:rsid w:val="001F6A09"/>
    <w:rsid w:val="001F70D3"/>
    <w:rsid w:val="001F72AE"/>
    <w:rsid w:val="002010AE"/>
    <w:rsid w:val="00201EF5"/>
    <w:rsid w:val="0020221A"/>
    <w:rsid w:val="002028BD"/>
    <w:rsid w:val="00202BBB"/>
    <w:rsid w:val="00202FE7"/>
    <w:rsid w:val="00203D92"/>
    <w:rsid w:val="00204B3D"/>
    <w:rsid w:val="00204D22"/>
    <w:rsid w:val="00206632"/>
    <w:rsid w:val="002068C1"/>
    <w:rsid w:val="00207E1D"/>
    <w:rsid w:val="00210179"/>
    <w:rsid w:val="00210D3D"/>
    <w:rsid w:val="00210F3D"/>
    <w:rsid w:val="002118E2"/>
    <w:rsid w:val="00211C69"/>
    <w:rsid w:val="00212036"/>
    <w:rsid w:val="0021204C"/>
    <w:rsid w:val="002143F3"/>
    <w:rsid w:val="00214983"/>
    <w:rsid w:val="00214C5B"/>
    <w:rsid w:val="00216F53"/>
    <w:rsid w:val="00220A7D"/>
    <w:rsid w:val="00220DDA"/>
    <w:rsid w:val="00221638"/>
    <w:rsid w:val="00221683"/>
    <w:rsid w:val="00222ABD"/>
    <w:rsid w:val="002248A8"/>
    <w:rsid w:val="00224A95"/>
    <w:rsid w:val="00225827"/>
    <w:rsid w:val="00226A20"/>
    <w:rsid w:val="00227232"/>
    <w:rsid w:val="00227324"/>
    <w:rsid w:val="00227A72"/>
    <w:rsid w:val="00227CE7"/>
    <w:rsid w:val="00227DB5"/>
    <w:rsid w:val="002300D4"/>
    <w:rsid w:val="00231577"/>
    <w:rsid w:val="0023160A"/>
    <w:rsid w:val="0023233A"/>
    <w:rsid w:val="00232DEA"/>
    <w:rsid w:val="00233B83"/>
    <w:rsid w:val="00234869"/>
    <w:rsid w:val="00234883"/>
    <w:rsid w:val="00234885"/>
    <w:rsid w:val="00235166"/>
    <w:rsid w:val="00235A49"/>
    <w:rsid w:val="0024093C"/>
    <w:rsid w:val="00240B62"/>
    <w:rsid w:val="00240E95"/>
    <w:rsid w:val="0024134E"/>
    <w:rsid w:val="00241897"/>
    <w:rsid w:val="00242884"/>
    <w:rsid w:val="00242EE9"/>
    <w:rsid w:val="00243ED0"/>
    <w:rsid w:val="002446BD"/>
    <w:rsid w:val="00244E86"/>
    <w:rsid w:val="00245E1C"/>
    <w:rsid w:val="00246C68"/>
    <w:rsid w:val="00250A94"/>
    <w:rsid w:val="002543A4"/>
    <w:rsid w:val="0025522C"/>
    <w:rsid w:val="00255E1B"/>
    <w:rsid w:val="00256404"/>
    <w:rsid w:val="002570DE"/>
    <w:rsid w:val="002576D9"/>
    <w:rsid w:val="00260701"/>
    <w:rsid w:val="0026345C"/>
    <w:rsid w:val="00266CCC"/>
    <w:rsid w:val="002671F7"/>
    <w:rsid w:val="0026738F"/>
    <w:rsid w:val="002678EE"/>
    <w:rsid w:val="00271FB4"/>
    <w:rsid w:val="0027229E"/>
    <w:rsid w:val="00273571"/>
    <w:rsid w:val="0027389F"/>
    <w:rsid w:val="00273B9F"/>
    <w:rsid w:val="002748FE"/>
    <w:rsid w:val="00274D42"/>
    <w:rsid w:val="00275422"/>
    <w:rsid w:val="00276708"/>
    <w:rsid w:val="00276953"/>
    <w:rsid w:val="00277270"/>
    <w:rsid w:val="00277C8B"/>
    <w:rsid w:val="00280458"/>
    <w:rsid w:val="0028067E"/>
    <w:rsid w:val="00280B26"/>
    <w:rsid w:val="00281150"/>
    <w:rsid w:val="002825A4"/>
    <w:rsid w:val="002825A9"/>
    <w:rsid w:val="002828B6"/>
    <w:rsid w:val="00282D4B"/>
    <w:rsid w:val="002841F4"/>
    <w:rsid w:val="00285CAF"/>
    <w:rsid w:val="00286436"/>
    <w:rsid w:val="00286D4F"/>
    <w:rsid w:val="00292B90"/>
    <w:rsid w:val="002930AF"/>
    <w:rsid w:val="002942E4"/>
    <w:rsid w:val="00294C19"/>
    <w:rsid w:val="00294F07"/>
    <w:rsid w:val="00295353"/>
    <w:rsid w:val="00295C4D"/>
    <w:rsid w:val="00295F99"/>
    <w:rsid w:val="0029619E"/>
    <w:rsid w:val="00296A3E"/>
    <w:rsid w:val="00296FC9"/>
    <w:rsid w:val="00297A1A"/>
    <w:rsid w:val="002A03C5"/>
    <w:rsid w:val="002A2862"/>
    <w:rsid w:val="002A2B97"/>
    <w:rsid w:val="002A2DC4"/>
    <w:rsid w:val="002A3125"/>
    <w:rsid w:val="002A34BB"/>
    <w:rsid w:val="002A3781"/>
    <w:rsid w:val="002A39CC"/>
    <w:rsid w:val="002A3C05"/>
    <w:rsid w:val="002A4003"/>
    <w:rsid w:val="002A631D"/>
    <w:rsid w:val="002A6343"/>
    <w:rsid w:val="002A64B3"/>
    <w:rsid w:val="002B1D31"/>
    <w:rsid w:val="002B298A"/>
    <w:rsid w:val="002B32A2"/>
    <w:rsid w:val="002B3D2F"/>
    <w:rsid w:val="002B4078"/>
    <w:rsid w:val="002B43B7"/>
    <w:rsid w:val="002B4DB1"/>
    <w:rsid w:val="002B51A5"/>
    <w:rsid w:val="002B62EF"/>
    <w:rsid w:val="002B63C1"/>
    <w:rsid w:val="002B661A"/>
    <w:rsid w:val="002B73B6"/>
    <w:rsid w:val="002B7935"/>
    <w:rsid w:val="002B7F05"/>
    <w:rsid w:val="002C0236"/>
    <w:rsid w:val="002C0F40"/>
    <w:rsid w:val="002C1077"/>
    <w:rsid w:val="002C1488"/>
    <w:rsid w:val="002C38D8"/>
    <w:rsid w:val="002C40F9"/>
    <w:rsid w:val="002C459F"/>
    <w:rsid w:val="002C4A30"/>
    <w:rsid w:val="002C4F34"/>
    <w:rsid w:val="002C50D7"/>
    <w:rsid w:val="002C5FA4"/>
    <w:rsid w:val="002C7A05"/>
    <w:rsid w:val="002C7DE9"/>
    <w:rsid w:val="002D0042"/>
    <w:rsid w:val="002D03E8"/>
    <w:rsid w:val="002D0CF1"/>
    <w:rsid w:val="002D1D15"/>
    <w:rsid w:val="002D1E81"/>
    <w:rsid w:val="002D2921"/>
    <w:rsid w:val="002D298A"/>
    <w:rsid w:val="002D397E"/>
    <w:rsid w:val="002D4495"/>
    <w:rsid w:val="002D487F"/>
    <w:rsid w:val="002D574B"/>
    <w:rsid w:val="002D6B3D"/>
    <w:rsid w:val="002E1446"/>
    <w:rsid w:val="002E2404"/>
    <w:rsid w:val="002E33C3"/>
    <w:rsid w:val="002E57EF"/>
    <w:rsid w:val="002E5957"/>
    <w:rsid w:val="002E62A6"/>
    <w:rsid w:val="002E658A"/>
    <w:rsid w:val="002E67A0"/>
    <w:rsid w:val="002E6B75"/>
    <w:rsid w:val="002E6FBD"/>
    <w:rsid w:val="002E7407"/>
    <w:rsid w:val="002F3AF2"/>
    <w:rsid w:val="002F3EB0"/>
    <w:rsid w:val="002F4637"/>
    <w:rsid w:val="002F5AE3"/>
    <w:rsid w:val="002F61C8"/>
    <w:rsid w:val="002F697A"/>
    <w:rsid w:val="002F7390"/>
    <w:rsid w:val="002F754F"/>
    <w:rsid w:val="002F7571"/>
    <w:rsid w:val="002F7878"/>
    <w:rsid w:val="0030000A"/>
    <w:rsid w:val="00302482"/>
    <w:rsid w:val="00302E0C"/>
    <w:rsid w:val="00303C55"/>
    <w:rsid w:val="00304457"/>
    <w:rsid w:val="00304C70"/>
    <w:rsid w:val="00305D2B"/>
    <w:rsid w:val="00306426"/>
    <w:rsid w:val="003072BC"/>
    <w:rsid w:val="00307542"/>
    <w:rsid w:val="00307827"/>
    <w:rsid w:val="00307890"/>
    <w:rsid w:val="00307C45"/>
    <w:rsid w:val="00311921"/>
    <w:rsid w:val="00311C2D"/>
    <w:rsid w:val="00312656"/>
    <w:rsid w:val="003147DF"/>
    <w:rsid w:val="00315C66"/>
    <w:rsid w:val="00315F68"/>
    <w:rsid w:val="00316A66"/>
    <w:rsid w:val="0031716C"/>
    <w:rsid w:val="00320587"/>
    <w:rsid w:val="003218AF"/>
    <w:rsid w:val="00322644"/>
    <w:rsid w:val="003228CD"/>
    <w:rsid w:val="003234E7"/>
    <w:rsid w:val="003248F9"/>
    <w:rsid w:val="00324DA2"/>
    <w:rsid w:val="00325C02"/>
    <w:rsid w:val="00326714"/>
    <w:rsid w:val="00327824"/>
    <w:rsid w:val="003300D0"/>
    <w:rsid w:val="00330973"/>
    <w:rsid w:val="00330C53"/>
    <w:rsid w:val="003313E8"/>
    <w:rsid w:val="00331941"/>
    <w:rsid w:val="00331FEC"/>
    <w:rsid w:val="0033206A"/>
    <w:rsid w:val="003320FF"/>
    <w:rsid w:val="00332539"/>
    <w:rsid w:val="00333A55"/>
    <w:rsid w:val="00333C34"/>
    <w:rsid w:val="00333FF8"/>
    <w:rsid w:val="00336BBB"/>
    <w:rsid w:val="00337774"/>
    <w:rsid w:val="00337E17"/>
    <w:rsid w:val="00340732"/>
    <w:rsid w:val="00341218"/>
    <w:rsid w:val="00342833"/>
    <w:rsid w:val="00342926"/>
    <w:rsid w:val="00342D56"/>
    <w:rsid w:val="003431EE"/>
    <w:rsid w:val="00343494"/>
    <w:rsid w:val="00343D93"/>
    <w:rsid w:val="003441D4"/>
    <w:rsid w:val="00344540"/>
    <w:rsid w:val="00344F5E"/>
    <w:rsid w:val="00344FC1"/>
    <w:rsid w:val="003458D4"/>
    <w:rsid w:val="0034704F"/>
    <w:rsid w:val="003475AE"/>
    <w:rsid w:val="00350A9F"/>
    <w:rsid w:val="00353A47"/>
    <w:rsid w:val="00353E5E"/>
    <w:rsid w:val="003547BD"/>
    <w:rsid w:val="00356F57"/>
    <w:rsid w:val="00360074"/>
    <w:rsid w:val="003608EB"/>
    <w:rsid w:val="00360C44"/>
    <w:rsid w:val="00360D79"/>
    <w:rsid w:val="00361585"/>
    <w:rsid w:val="003616EB"/>
    <w:rsid w:val="00361B7C"/>
    <w:rsid w:val="003651EE"/>
    <w:rsid w:val="00366047"/>
    <w:rsid w:val="00366726"/>
    <w:rsid w:val="00366C12"/>
    <w:rsid w:val="003678F0"/>
    <w:rsid w:val="00367B3F"/>
    <w:rsid w:val="00367F70"/>
    <w:rsid w:val="003701EA"/>
    <w:rsid w:val="0037036E"/>
    <w:rsid w:val="003705F6"/>
    <w:rsid w:val="00371EA1"/>
    <w:rsid w:val="00371F6D"/>
    <w:rsid w:val="00372498"/>
    <w:rsid w:val="00374D2A"/>
    <w:rsid w:val="00376FE6"/>
    <w:rsid w:val="003804DC"/>
    <w:rsid w:val="003805C5"/>
    <w:rsid w:val="00380659"/>
    <w:rsid w:val="00381331"/>
    <w:rsid w:val="003820AA"/>
    <w:rsid w:val="0038301E"/>
    <w:rsid w:val="00384404"/>
    <w:rsid w:val="0038488F"/>
    <w:rsid w:val="003852F1"/>
    <w:rsid w:val="00385B02"/>
    <w:rsid w:val="00385BD5"/>
    <w:rsid w:val="00387079"/>
    <w:rsid w:val="00387124"/>
    <w:rsid w:val="00387450"/>
    <w:rsid w:val="003877AF"/>
    <w:rsid w:val="00390237"/>
    <w:rsid w:val="00390814"/>
    <w:rsid w:val="003918BF"/>
    <w:rsid w:val="00391B13"/>
    <w:rsid w:val="003937EF"/>
    <w:rsid w:val="00394812"/>
    <w:rsid w:val="0039495A"/>
    <w:rsid w:val="00394BE0"/>
    <w:rsid w:val="00396267"/>
    <w:rsid w:val="00396886"/>
    <w:rsid w:val="003A10A9"/>
    <w:rsid w:val="003A25FD"/>
    <w:rsid w:val="003A2690"/>
    <w:rsid w:val="003A2BDD"/>
    <w:rsid w:val="003A3063"/>
    <w:rsid w:val="003A3333"/>
    <w:rsid w:val="003A4477"/>
    <w:rsid w:val="003A4DA8"/>
    <w:rsid w:val="003A60ED"/>
    <w:rsid w:val="003A7211"/>
    <w:rsid w:val="003B047C"/>
    <w:rsid w:val="003B0BCF"/>
    <w:rsid w:val="003B0C7E"/>
    <w:rsid w:val="003B1984"/>
    <w:rsid w:val="003B3042"/>
    <w:rsid w:val="003B3EE8"/>
    <w:rsid w:val="003B43DF"/>
    <w:rsid w:val="003B67FE"/>
    <w:rsid w:val="003B6C38"/>
    <w:rsid w:val="003B7846"/>
    <w:rsid w:val="003C0808"/>
    <w:rsid w:val="003C0991"/>
    <w:rsid w:val="003C17A9"/>
    <w:rsid w:val="003C4589"/>
    <w:rsid w:val="003C5F05"/>
    <w:rsid w:val="003C5FC4"/>
    <w:rsid w:val="003C6800"/>
    <w:rsid w:val="003C6FCB"/>
    <w:rsid w:val="003D08AC"/>
    <w:rsid w:val="003D1021"/>
    <w:rsid w:val="003D10C8"/>
    <w:rsid w:val="003D1C9B"/>
    <w:rsid w:val="003D1E3D"/>
    <w:rsid w:val="003D1F04"/>
    <w:rsid w:val="003D3208"/>
    <w:rsid w:val="003D3C55"/>
    <w:rsid w:val="003D444A"/>
    <w:rsid w:val="003D4B0F"/>
    <w:rsid w:val="003D5078"/>
    <w:rsid w:val="003D578F"/>
    <w:rsid w:val="003D584F"/>
    <w:rsid w:val="003D5FF3"/>
    <w:rsid w:val="003D641A"/>
    <w:rsid w:val="003D676D"/>
    <w:rsid w:val="003D6932"/>
    <w:rsid w:val="003D72EC"/>
    <w:rsid w:val="003D78F9"/>
    <w:rsid w:val="003E0637"/>
    <w:rsid w:val="003E07FD"/>
    <w:rsid w:val="003E0D52"/>
    <w:rsid w:val="003E1234"/>
    <w:rsid w:val="003E1C46"/>
    <w:rsid w:val="003E1FEB"/>
    <w:rsid w:val="003E3DA8"/>
    <w:rsid w:val="003E4256"/>
    <w:rsid w:val="003E49D8"/>
    <w:rsid w:val="003E4AC2"/>
    <w:rsid w:val="003F0154"/>
    <w:rsid w:val="003F0B36"/>
    <w:rsid w:val="003F0EF8"/>
    <w:rsid w:val="003F1807"/>
    <w:rsid w:val="003F1DF6"/>
    <w:rsid w:val="003F23E9"/>
    <w:rsid w:val="003F520D"/>
    <w:rsid w:val="003F54EB"/>
    <w:rsid w:val="003F58B7"/>
    <w:rsid w:val="003F68D0"/>
    <w:rsid w:val="00400108"/>
    <w:rsid w:val="00401064"/>
    <w:rsid w:val="00401134"/>
    <w:rsid w:val="004020B1"/>
    <w:rsid w:val="0040273D"/>
    <w:rsid w:val="00403270"/>
    <w:rsid w:val="0040628D"/>
    <w:rsid w:val="00406A08"/>
    <w:rsid w:val="00407566"/>
    <w:rsid w:val="004101F5"/>
    <w:rsid w:val="004109BB"/>
    <w:rsid w:val="0041124A"/>
    <w:rsid w:val="004117CC"/>
    <w:rsid w:val="00411B6F"/>
    <w:rsid w:val="004124A1"/>
    <w:rsid w:val="00412918"/>
    <w:rsid w:val="00412D8F"/>
    <w:rsid w:val="00414393"/>
    <w:rsid w:val="0041460E"/>
    <w:rsid w:val="0041482E"/>
    <w:rsid w:val="004153DE"/>
    <w:rsid w:val="00416046"/>
    <w:rsid w:val="00417F84"/>
    <w:rsid w:val="0042044D"/>
    <w:rsid w:val="004220CF"/>
    <w:rsid w:val="00425741"/>
    <w:rsid w:val="00426AF4"/>
    <w:rsid w:val="0043075A"/>
    <w:rsid w:val="00430DCC"/>
    <w:rsid w:val="0043385A"/>
    <w:rsid w:val="004339D9"/>
    <w:rsid w:val="00433B2C"/>
    <w:rsid w:val="004348E1"/>
    <w:rsid w:val="0043526A"/>
    <w:rsid w:val="00435523"/>
    <w:rsid w:val="00435DFF"/>
    <w:rsid w:val="00436056"/>
    <w:rsid w:val="00436698"/>
    <w:rsid w:val="0043688F"/>
    <w:rsid w:val="00436F03"/>
    <w:rsid w:val="004379C5"/>
    <w:rsid w:val="0044109A"/>
    <w:rsid w:val="00441A05"/>
    <w:rsid w:val="004423C6"/>
    <w:rsid w:val="00442ED4"/>
    <w:rsid w:val="004440FE"/>
    <w:rsid w:val="00444F5A"/>
    <w:rsid w:val="004454A9"/>
    <w:rsid w:val="00445562"/>
    <w:rsid w:val="00445F92"/>
    <w:rsid w:val="004464E1"/>
    <w:rsid w:val="00446B79"/>
    <w:rsid w:val="00446BC5"/>
    <w:rsid w:val="004471DB"/>
    <w:rsid w:val="00447700"/>
    <w:rsid w:val="004504A1"/>
    <w:rsid w:val="00451707"/>
    <w:rsid w:val="00452908"/>
    <w:rsid w:val="00453008"/>
    <w:rsid w:val="004532A4"/>
    <w:rsid w:val="00453A6E"/>
    <w:rsid w:val="00460B04"/>
    <w:rsid w:val="00462102"/>
    <w:rsid w:val="004627C3"/>
    <w:rsid w:val="00462F16"/>
    <w:rsid w:val="00462F17"/>
    <w:rsid w:val="00463241"/>
    <w:rsid w:val="0046540D"/>
    <w:rsid w:val="00465EA6"/>
    <w:rsid w:val="00466A31"/>
    <w:rsid w:val="00466CCE"/>
    <w:rsid w:val="004672F9"/>
    <w:rsid w:val="00467755"/>
    <w:rsid w:val="00470A9E"/>
    <w:rsid w:val="00470F85"/>
    <w:rsid w:val="00471120"/>
    <w:rsid w:val="00471A1A"/>
    <w:rsid w:val="004724AE"/>
    <w:rsid w:val="00472F86"/>
    <w:rsid w:val="00473803"/>
    <w:rsid w:val="00474198"/>
    <w:rsid w:val="00475CFE"/>
    <w:rsid w:val="00476AC4"/>
    <w:rsid w:val="00477697"/>
    <w:rsid w:val="00477C27"/>
    <w:rsid w:val="004805E0"/>
    <w:rsid w:val="00482077"/>
    <w:rsid w:val="0048291D"/>
    <w:rsid w:val="00482C8C"/>
    <w:rsid w:val="00483B5B"/>
    <w:rsid w:val="0048433B"/>
    <w:rsid w:val="004857AE"/>
    <w:rsid w:val="0048643C"/>
    <w:rsid w:val="00486BE7"/>
    <w:rsid w:val="0048707F"/>
    <w:rsid w:val="0048732D"/>
    <w:rsid w:val="0049043B"/>
    <w:rsid w:val="004906E9"/>
    <w:rsid w:val="00490CA9"/>
    <w:rsid w:val="0049107F"/>
    <w:rsid w:val="00492879"/>
    <w:rsid w:val="0049443E"/>
    <w:rsid w:val="00494531"/>
    <w:rsid w:val="004947E4"/>
    <w:rsid w:val="00494873"/>
    <w:rsid w:val="00494886"/>
    <w:rsid w:val="00494ED0"/>
    <w:rsid w:val="0049567A"/>
    <w:rsid w:val="00496936"/>
    <w:rsid w:val="00496B9E"/>
    <w:rsid w:val="00496D90"/>
    <w:rsid w:val="00497157"/>
    <w:rsid w:val="004A0CAA"/>
    <w:rsid w:val="004A107D"/>
    <w:rsid w:val="004A1570"/>
    <w:rsid w:val="004A2461"/>
    <w:rsid w:val="004A2EDF"/>
    <w:rsid w:val="004A3021"/>
    <w:rsid w:val="004A3D8B"/>
    <w:rsid w:val="004A50DD"/>
    <w:rsid w:val="004A54ED"/>
    <w:rsid w:val="004A67D3"/>
    <w:rsid w:val="004A7044"/>
    <w:rsid w:val="004A727C"/>
    <w:rsid w:val="004A7CD8"/>
    <w:rsid w:val="004B1182"/>
    <w:rsid w:val="004B13A9"/>
    <w:rsid w:val="004B2988"/>
    <w:rsid w:val="004B2A18"/>
    <w:rsid w:val="004B2C90"/>
    <w:rsid w:val="004B2D32"/>
    <w:rsid w:val="004B34B6"/>
    <w:rsid w:val="004B3DB4"/>
    <w:rsid w:val="004B3E70"/>
    <w:rsid w:val="004B4136"/>
    <w:rsid w:val="004B46FC"/>
    <w:rsid w:val="004B4AF9"/>
    <w:rsid w:val="004B4E82"/>
    <w:rsid w:val="004B5714"/>
    <w:rsid w:val="004B5A27"/>
    <w:rsid w:val="004B6C4A"/>
    <w:rsid w:val="004C0CC5"/>
    <w:rsid w:val="004C166B"/>
    <w:rsid w:val="004C17DE"/>
    <w:rsid w:val="004C1AC2"/>
    <w:rsid w:val="004C1D3D"/>
    <w:rsid w:val="004C2330"/>
    <w:rsid w:val="004C27A0"/>
    <w:rsid w:val="004C2C10"/>
    <w:rsid w:val="004C36C1"/>
    <w:rsid w:val="004C382A"/>
    <w:rsid w:val="004C3C6C"/>
    <w:rsid w:val="004C5D63"/>
    <w:rsid w:val="004C64EB"/>
    <w:rsid w:val="004C7435"/>
    <w:rsid w:val="004D072B"/>
    <w:rsid w:val="004D0CB4"/>
    <w:rsid w:val="004D2711"/>
    <w:rsid w:val="004D2A73"/>
    <w:rsid w:val="004D2F45"/>
    <w:rsid w:val="004D35D7"/>
    <w:rsid w:val="004D368F"/>
    <w:rsid w:val="004D4750"/>
    <w:rsid w:val="004D678D"/>
    <w:rsid w:val="004D70CC"/>
    <w:rsid w:val="004E2108"/>
    <w:rsid w:val="004E29E8"/>
    <w:rsid w:val="004E300C"/>
    <w:rsid w:val="004E318A"/>
    <w:rsid w:val="004E36C6"/>
    <w:rsid w:val="004E4892"/>
    <w:rsid w:val="004E663F"/>
    <w:rsid w:val="004E67D0"/>
    <w:rsid w:val="004E790A"/>
    <w:rsid w:val="004F043A"/>
    <w:rsid w:val="004F0BF3"/>
    <w:rsid w:val="004F10E0"/>
    <w:rsid w:val="004F1350"/>
    <w:rsid w:val="004F14CC"/>
    <w:rsid w:val="004F188A"/>
    <w:rsid w:val="004F1907"/>
    <w:rsid w:val="004F1982"/>
    <w:rsid w:val="004F1FA1"/>
    <w:rsid w:val="004F20B7"/>
    <w:rsid w:val="004F252B"/>
    <w:rsid w:val="004F26C0"/>
    <w:rsid w:val="004F29A7"/>
    <w:rsid w:val="004F4667"/>
    <w:rsid w:val="004F482C"/>
    <w:rsid w:val="004F4C4F"/>
    <w:rsid w:val="004F52B9"/>
    <w:rsid w:val="004F52F9"/>
    <w:rsid w:val="004F5A66"/>
    <w:rsid w:val="004F5FAC"/>
    <w:rsid w:val="004F74B0"/>
    <w:rsid w:val="005006CF"/>
    <w:rsid w:val="00501857"/>
    <w:rsid w:val="00501886"/>
    <w:rsid w:val="005020C7"/>
    <w:rsid w:val="0050309D"/>
    <w:rsid w:val="00504665"/>
    <w:rsid w:val="00504EEA"/>
    <w:rsid w:val="005067A3"/>
    <w:rsid w:val="00506955"/>
    <w:rsid w:val="0050752A"/>
    <w:rsid w:val="0050760E"/>
    <w:rsid w:val="0051121D"/>
    <w:rsid w:val="00511F8B"/>
    <w:rsid w:val="005124BE"/>
    <w:rsid w:val="005125E4"/>
    <w:rsid w:val="00513E3F"/>
    <w:rsid w:val="00514052"/>
    <w:rsid w:val="00514C74"/>
    <w:rsid w:val="00514CA9"/>
    <w:rsid w:val="00514ED9"/>
    <w:rsid w:val="005156A0"/>
    <w:rsid w:val="00515740"/>
    <w:rsid w:val="00515A96"/>
    <w:rsid w:val="005207CB"/>
    <w:rsid w:val="0052194D"/>
    <w:rsid w:val="005226B9"/>
    <w:rsid w:val="00522AAF"/>
    <w:rsid w:val="0052302C"/>
    <w:rsid w:val="00523751"/>
    <w:rsid w:val="005237AE"/>
    <w:rsid w:val="00523AE1"/>
    <w:rsid w:val="00525459"/>
    <w:rsid w:val="00525B7D"/>
    <w:rsid w:val="00525D71"/>
    <w:rsid w:val="00526DA6"/>
    <w:rsid w:val="005270D6"/>
    <w:rsid w:val="005278B0"/>
    <w:rsid w:val="00530A9C"/>
    <w:rsid w:val="00531D95"/>
    <w:rsid w:val="005321C4"/>
    <w:rsid w:val="0053290B"/>
    <w:rsid w:val="00532AC7"/>
    <w:rsid w:val="00533765"/>
    <w:rsid w:val="00534E9C"/>
    <w:rsid w:val="0053569A"/>
    <w:rsid w:val="005365B4"/>
    <w:rsid w:val="00536E98"/>
    <w:rsid w:val="00536FF1"/>
    <w:rsid w:val="0053736F"/>
    <w:rsid w:val="00537FEF"/>
    <w:rsid w:val="005401F2"/>
    <w:rsid w:val="00540ECC"/>
    <w:rsid w:val="00540F51"/>
    <w:rsid w:val="00541F8A"/>
    <w:rsid w:val="005423BA"/>
    <w:rsid w:val="00543E74"/>
    <w:rsid w:val="00544798"/>
    <w:rsid w:val="00544C39"/>
    <w:rsid w:val="00545719"/>
    <w:rsid w:val="00545E96"/>
    <w:rsid w:val="0054622D"/>
    <w:rsid w:val="00547E51"/>
    <w:rsid w:val="0054DB11"/>
    <w:rsid w:val="005509AE"/>
    <w:rsid w:val="005512ED"/>
    <w:rsid w:val="005538E5"/>
    <w:rsid w:val="0055494A"/>
    <w:rsid w:val="005556F4"/>
    <w:rsid w:val="005561D9"/>
    <w:rsid w:val="005561DD"/>
    <w:rsid w:val="0055729D"/>
    <w:rsid w:val="00557B06"/>
    <w:rsid w:val="005613DE"/>
    <w:rsid w:val="005614DB"/>
    <w:rsid w:val="00562085"/>
    <w:rsid w:val="005628B5"/>
    <w:rsid w:val="005633EC"/>
    <w:rsid w:val="00563490"/>
    <w:rsid w:val="00563878"/>
    <w:rsid w:val="00563B6D"/>
    <w:rsid w:val="00563C8D"/>
    <w:rsid w:val="005648D4"/>
    <w:rsid w:val="0056492E"/>
    <w:rsid w:val="00564BA8"/>
    <w:rsid w:val="005655E3"/>
    <w:rsid w:val="00567D84"/>
    <w:rsid w:val="00570402"/>
    <w:rsid w:val="00570741"/>
    <w:rsid w:val="005718C5"/>
    <w:rsid w:val="00571E5E"/>
    <w:rsid w:val="00572634"/>
    <w:rsid w:val="0057280B"/>
    <w:rsid w:val="0057317D"/>
    <w:rsid w:val="005732A5"/>
    <w:rsid w:val="0057358B"/>
    <w:rsid w:val="0057571A"/>
    <w:rsid w:val="00576D3C"/>
    <w:rsid w:val="0057724E"/>
    <w:rsid w:val="005811E2"/>
    <w:rsid w:val="00583B48"/>
    <w:rsid w:val="00583E4D"/>
    <w:rsid w:val="00584333"/>
    <w:rsid w:val="0058590C"/>
    <w:rsid w:val="00585F22"/>
    <w:rsid w:val="0058600C"/>
    <w:rsid w:val="00586449"/>
    <w:rsid w:val="00586562"/>
    <w:rsid w:val="00590703"/>
    <w:rsid w:val="00590DD8"/>
    <w:rsid w:val="005911BA"/>
    <w:rsid w:val="00591288"/>
    <w:rsid w:val="005917FD"/>
    <w:rsid w:val="005924BD"/>
    <w:rsid w:val="00593F7E"/>
    <w:rsid w:val="00595F6C"/>
    <w:rsid w:val="0059611D"/>
    <w:rsid w:val="00596D1A"/>
    <w:rsid w:val="00597503"/>
    <w:rsid w:val="005A0F3B"/>
    <w:rsid w:val="005A131F"/>
    <w:rsid w:val="005A3A97"/>
    <w:rsid w:val="005A4AA1"/>
    <w:rsid w:val="005A6507"/>
    <w:rsid w:val="005A75D9"/>
    <w:rsid w:val="005A7D47"/>
    <w:rsid w:val="005B165B"/>
    <w:rsid w:val="005B1865"/>
    <w:rsid w:val="005B1B2C"/>
    <w:rsid w:val="005B1BF1"/>
    <w:rsid w:val="005B30A9"/>
    <w:rsid w:val="005B32BE"/>
    <w:rsid w:val="005B491B"/>
    <w:rsid w:val="005B5649"/>
    <w:rsid w:val="005B5CEE"/>
    <w:rsid w:val="005B683A"/>
    <w:rsid w:val="005B72FE"/>
    <w:rsid w:val="005B76DD"/>
    <w:rsid w:val="005B7A02"/>
    <w:rsid w:val="005C02C7"/>
    <w:rsid w:val="005C06C3"/>
    <w:rsid w:val="005C0F15"/>
    <w:rsid w:val="005C13BD"/>
    <w:rsid w:val="005C15C2"/>
    <w:rsid w:val="005C1FEA"/>
    <w:rsid w:val="005C2424"/>
    <w:rsid w:val="005C30BD"/>
    <w:rsid w:val="005C32B9"/>
    <w:rsid w:val="005C46AE"/>
    <w:rsid w:val="005C4982"/>
    <w:rsid w:val="005C6259"/>
    <w:rsid w:val="005C6AF2"/>
    <w:rsid w:val="005C71C4"/>
    <w:rsid w:val="005C7BF6"/>
    <w:rsid w:val="005D0C72"/>
    <w:rsid w:val="005D1B7F"/>
    <w:rsid w:val="005D1B80"/>
    <w:rsid w:val="005D22CA"/>
    <w:rsid w:val="005D30D5"/>
    <w:rsid w:val="005D39C7"/>
    <w:rsid w:val="005D4124"/>
    <w:rsid w:val="005D451D"/>
    <w:rsid w:val="005D4706"/>
    <w:rsid w:val="005D48B6"/>
    <w:rsid w:val="005D4C7F"/>
    <w:rsid w:val="005D572C"/>
    <w:rsid w:val="005D6472"/>
    <w:rsid w:val="005D7C21"/>
    <w:rsid w:val="005E0C71"/>
    <w:rsid w:val="005E454F"/>
    <w:rsid w:val="005E4A30"/>
    <w:rsid w:val="005E71DB"/>
    <w:rsid w:val="005E7B21"/>
    <w:rsid w:val="005F0C3C"/>
    <w:rsid w:val="005F131F"/>
    <w:rsid w:val="005F45C0"/>
    <w:rsid w:val="005F4ABB"/>
    <w:rsid w:val="005F4B91"/>
    <w:rsid w:val="005F5801"/>
    <w:rsid w:val="005F5B7C"/>
    <w:rsid w:val="005F685A"/>
    <w:rsid w:val="005F6CC0"/>
    <w:rsid w:val="005F7772"/>
    <w:rsid w:val="005F779D"/>
    <w:rsid w:val="00600BF5"/>
    <w:rsid w:val="006013CA"/>
    <w:rsid w:val="006017B2"/>
    <w:rsid w:val="00601F9C"/>
    <w:rsid w:val="0060282F"/>
    <w:rsid w:val="006045D6"/>
    <w:rsid w:val="00604867"/>
    <w:rsid w:val="00604EFF"/>
    <w:rsid w:val="006053EF"/>
    <w:rsid w:val="00605B9A"/>
    <w:rsid w:val="006069AE"/>
    <w:rsid w:val="0060781C"/>
    <w:rsid w:val="00612A80"/>
    <w:rsid w:val="00612CE7"/>
    <w:rsid w:val="00613A47"/>
    <w:rsid w:val="0061448F"/>
    <w:rsid w:val="00616940"/>
    <w:rsid w:val="00616A5A"/>
    <w:rsid w:val="00616E96"/>
    <w:rsid w:val="00616EEE"/>
    <w:rsid w:val="00617225"/>
    <w:rsid w:val="006200EB"/>
    <w:rsid w:val="006214D0"/>
    <w:rsid w:val="00621EA3"/>
    <w:rsid w:val="00621FE9"/>
    <w:rsid w:val="0062235F"/>
    <w:rsid w:val="006224BD"/>
    <w:rsid w:val="0062283B"/>
    <w:rsid w:val="006232C0"/>
    <w:rsid w:val="006232C6"/>
    <w:rsid w:val="00623D0F"/>
    <w:rsid w:val="006249D7"/>
    <w:rsid w:val="00626384"/>
    <w:rsid w:val="006338BB"/>
    <w:rsid w:val="00633B4F"/>
    <w:rsid w:val="00633DAD"/>
    <w:rsid w:val="00634341"/>
    <w:rsid w:val="0063453C"/>
    <w:rsid w:val="0063456B"/>
    <w:rsid w:val="00634672"/>
    <w:rsid w:val="00635560"/>
    <w:rsid w:val="006370C2"/>
    <w:rsid w:val="00637101"/>
    <w:rsid w:val="006378C2"/>
    <w:rsid w:val="0064021A"/>
    <w:rsid w:val="00640234"/>
    <w:rsid w:val="006402A5"/>
    <w:rsid w:val="00640D51"/>
    <w:rsid w:val="006412DF"/>
    <w:rsid w:val="006413AC"/>
    <w:rsid w:val="00641D43"/>
    <w:rsid w:val="00642BA1"/>
    <w:rsid w:val="00642E39"/>
    <w:rsid w:val="0064343A"/>
    <w:rsid w:val="00644E1A"/>
    <w:rsid w:val="006451A1"/>
    <w:rsid w:val="00646265"/>
    <w:rsid w:val="00646E3A"/>
    <w:rsid w:val="0064774A"/>
    <w:rsid w:val="00650518"/>
    <w:rsid w:val="00650A54"/>
    <w:rsid w:val="006514B4"/>
    <w:rsid w:val="00651557"/>
    <w:rsid w:val="006516FE"/>
    <w:rsid w:val="00652048"/>
    <w:rsid w:val="00652F2B"/>
    <w:rsid w:val="0065512E"/>
    <w:rsid w:val="00655BBC"/>
    <w:rsid w:val="00655EEF"/>
    <w:rsid w:val="00656386"/>
    <w:rsid w:val="00656AC0"/>
    <w:rsid w:val="0065792E"/>
    <w:rsid w:val="00657C81"/>
    <w:rsid w:val="00657DB3"/>
    <w:rsid w:val="006603D2"/>
    <w:rsid w:val="006620B1"/>
    <w:rsid w:val="006623DD"/>
    <w:rsid w:val="00662F25"/>
    <w:rsid w:val="00663B5A"/>
    <w:rsid w:val="00664058"/>
    <w:rsid w:val="00665A0D"/>
    <w:rsid w:val="0066749F"/>
    <w:rsid w:val="00667FD6"/>
    <w:rsid w:val="006701F9"/>
    <w:rsid w:val="00670315"/>
    <w:rsid w:val="00670F4A"/>
    <w:rsid w:val="00671590"/>
    <w:rsid w:val="00672C0A"/>
    <w:rsid w:val="00674A65"/>
    <w:rsid w:val="00674C2C"/>
    <w:rsid w:val="00674F73"/>
    <w:rsid w:val="006750C6"/>
    <w:rsid w:val="00675884"/>
    <w:rsid w:val="006774C5"/>
    <w:rsid w:val="0068127F"/>
    <w:rsid w:val="00681CB5"/>
    <w:rsid w:val="00681D22"/>
    <w:rsid w:val="006821D5"/>
    <w:rsid w:val="006823A0"/>
    <w:rsid w:val="00683391"/>
    <w:rsid w:val="00685C54"/>
    <w:rsid w:val="00686916"/>
    <w:rsid w:val="00686E04"/>
    <w:rsid w:val="006906B8"/>
    <w:rsid w:val="006909D2"/>
    <w:rsid w:val="0069100C"/>
    <w:rsid w:val="00691488"/>
    <w:rsid w:val="0069319B"/>
    <w:rsid w:val="006931BD"/>
    <w:rsid w:val="006935D3"/>
    <w:rsid w:val="00694F8B"/>
    <w:rsid w:val="00696CFA"/>
    <w:rsid w:val="006A008F"/>
    <w:rsid w:val="006A44DA"/>
    <w:rsid w:val="006A4C12"/>
    <w:rsid w:val="006A4D29"/>
    <w:rsid w:val="006A5AA6"/>
    <w:rsid w:val="006A796A"/>
    <w:rsid w:val="006B0552"/>
    <w:rsid w:val="006B147C"/>
    <w:rsid w:val="006B2022"/>
    <w:rsid w:val="006B2E6C"/>
    <w:rsid w:val="006B34A3"/>
    <w:rsid w:val="006B3D88"/>
    <w:rsid w:val="006B40F7"/>
    <w:rsid w:val="006B5169"/>
    <w:rsid w:val="006B5DB1"/>
    <w:rsid w:val="006B7294"/>
    <w:rsid w:val="006B77A5"/>
    <w:rsid w:val="006B7E05"/>
    <w:rsid w:val="006C02D3"/>
    <w:rsid w:val="006C19FA"/>
    <w:rsid w:val="006C21A4"/>
    <w:rsid w:val="006C2523"/>
    <w:rsid w:val="006C25B8"/>
    <w:rsid w:val="006C2B06"/>
    <w:rsid w:val="006C2E5A"/>
    <w:rsid w:val="006C3E64"/>
    <w:rsid w:val="006C40E6"/>
    <w:rsid w:val="006C4C51"/>
    <w:rsid w:val="006C56E7"/>
    <w:rsid w:val="006C6C57"/>
    <w:rsid w:val="006C760B"/>
    <w:rsid w:val="006C7EEB"/>
    <w:rsid w:val="006D0A55"/>
    <w:rsid w:val="006D3E01"/>
    <w:rsid w:val="006D5114"/>
    <w:rsid w:val="006D5AF5"/>
    <w:rsid w:val="006D6D87"/>
    <w:rsid w:val="006D6FBB"/>
    <w:rsid w:val="006D70A1"/>
    <w:rsid w:val="006D7272"/>
    <w:rsid w:val="006E0053"/>
    <w:rsid w:val="006E170D"/>
    <w:rsid w:val="006E3D9D"/>
    <w:rsid w:val="006E4966"/>
    <w:rsid w:val="006E54E1"/>
    <w:rsid w:val="006E559F"/>
    <w:rsid w:val="006E5664"/>
    <w:rsid w:val="006E5AA3"/>
    <w:rsid w:val="006E66E1"/>
    <w:rsid w:val="006E68C2"/>
    <w:rsid w:val="006E6B3F"/>
    <w:rsid w:val="006E6C73"/>
    <w:rsid w:val="006E6E3D"/>
    <w:rsid w:val="006E7249"/>
    <w:rsid w:val="006E7694"/>
    <w:rsid w:val="006F0FA8"/>
    <w:rsid w:val="006F1E37"/>
    <w:rsid w:val="006F2317"/>
    <w:rsid w:val="006F2BF3"/>
    <w:rsid w:val="006F39CB"/>
    <w:rsid w:val="006F3BE4"/>
    <w:rsid w:val="006F4478"/>
    <w:rsid w:val="006F4DC9"/>
    <w:rsid w:val="006F598B"/>
    <w:rsid w:val="006F6A6B"/>
    <w:rsid w:val="006F77CE"/>
    <w:rsid w:val="006F7F40"/>
    <w:rsid w:val="0070140F"/>
    <w:rsid w:val="00701BA1"/>
    <w:rsid w:val="0070232E"/>
    <w:rsid w:val="007034EC"/>
    <w:rsid w:val="007048C8"/>
    <w:rsid w:val="007051E8"/>
    <w:rsid w:val="00705B03"/>
    <w:rsid w:val="00705CB7"/>
    <w:rsid w:val="007061A3"/>
    <w:rsid w:val="00706BAD"/>
    <w:rsid w:val="00710AE3"/>
    <w:rsid w:val="00712AF6"/>
    <w:rsid w:val="00712FE2"/>
    <w:rsid w:val="0071413B"/>
    <w:rsid w:val="00714151"/>
    <w:rsid w:val="007146E4"/>
    <w:rsid w:val="0071548B"/>
    <w:rsid w:val="00715BD1"/>
    <w:rsid w:val="00716410"/>
    <w:rsid w:val="00717743"/>
    <w:rsid w:val="007178A1"/>
    <w:rsid w:val="007204A9"/>
    <w:rsid w:val="00720813"/>
    <w:rsid w:val="0072130A"/>
    <w:rsid w:val="007222D6"/>
    <w:rsid w:val="00722885"/>
    <w:rsid w:val="00722D94"/>
    <w:rsid w:val="0072310C"/>
    <w:rsid w:val="00723BDF"/>
    <w:rsid w:val="00724657"/>
    <w:rsid w:val="00724A98"/>
    <w:rsid w:val="00726566"/>
    <w:rsid w:val="00727ECB"/>
    <w:rsid w:val="00730112"/>
    <w:rsid w:val="00730887"/>
    <w:rsid w:val="00730D18"/>
    <w:rsid w:val="00731174"/>
    <w:rsid w:val="00732BBD"/>
    <w:rsid w:val="00733564"/>
    <w:rsid w:val="00734D24"/>
    <w:rsid w:val="00734FE9"/>
    <w:rsid w:val="00735952"/>
    <w:rsid w:val="007365AB"/>
    <w:rsid w:val="00736AFF"/>
    <w:rsid w:val="00736B50"/>
    <w:rsid w:val="00737282"/>
    <w:rsid w:val="007406C0"/>
    <w:rsid w:val="00740AFB"/>
    <w:rsid w:val="00740DE8"/>
    <w:rsid w:val="007410F0"/>
    <w:rsid w:val="007421B1"/>
    <w:rsid w:val="0074298C"/>
    <w:rsid w:val="00742A1F"/>
    <w:rsid w:val="00742FDA"/>
    <w:rsid w:val="00743EE5"/>
    <w:rsid w:val="007450D5"/>
    <w:rsid w:val="007459E5"/>
    <w:rsid w:val="00745BE9"/>
    <w:rsid w:val="00745DF5"/>
    <w:rsid w:val="00746BD9"/>
    <w:rsid w:val="00750063"/>
    <w:rsid w:val="0075215A"/>
    <w:rsid w:val="00752437"/>
    <w:rsid w:val="00752CE1"/>
    <w:rsid w:val="00752EBD"/>
    <w:rsid w:val="00755827"/>
    <w:rsid w:val="00756929"/>
    <w:rsid w:val="0075791C"/>
    <w:rsid w:val="007579C8"/>
    <w:rsid w:val="007609B2"/>
    <w:rsid w:val="007614CC"/>
    <w:rsid w:val="00761943"/>
    <w:rsid w:val="00761EE2"/>
    <w:rsid w:val="007626E9"/>
    <w:rsid w:val="00762E91"/>
    <w:rsid w:val="0076317B"/>
    <w:rsid w:val="00763402"/>
    <w:rsid w:val="00763C2A"/>
    <w:rsid w:val="00763D64"/>
    <w:rsid w:val="0076499B"/>
    <w:rsid w:val="00764D80"/>
    <w:rsid w:val="00764EE3"/>
    <w:rsid w:val="0076518B"/>
    <w:rsid w:val="00767C44"/>
    <w:rsid w:val="00767DBB"/>
    <w:rsid w:val="00770E21"/>
    <w:rsid w:val="00771451"/>
    <w:rsid w:val="007718B2"/>
    <w:rsid w:val="00772375"/>
    <w:rsid w:val="00772715"/>
    <w:rsid w:val="00774646"/>
    <w:rsid w:val="00774694"/>
    <w:rsid w:val="00774B05"/>
    <w:rsid w:val="00776598"/>
    <w:rsid w:val="00776B9C"/>
    <w:rsid w:val="00777505"/>
    <w:rsid w:val="00780BFA"/>
    <w:rsid w:val="00781695"/>
    <w:rsid w:val="00782B97"/>
    <w:rsid w:val="007835F2"/>
    <w:rsid w:val="007848D4"/>
    <w:rsid w:val="007849D5"/>
    <w:rsid w:val="00784D67"/>
    <w:rsid w:val="00785BA7"/>
    <w:rsid w:val="007865BE"/>
    <w:rsid w:val="007866BC"/>
    <w:rsid w:val="00786927"/>
    <w:rsid w:val="0078731D"/>
    <w:rsid w:val="00790E1B"/>
    <w:rsid w:val="00791FA1"/>
    <w:rsid w:val="0079263E"/>
    <w:rsid w:val="00794127"/>
    <w:rsid w:val="0079466E"/>
    <w:rsid w:val="00795E9B"/>
    <w:rsid w:val="00796216"/>
    <w:rsid w:val="00797853"/>
    <w:rsid w:val="007A02A7"/>
    <w:rsid w:val="007A0CD1"/>
    <w:rsid w:val="007A2D4F"/>
    <w:rsid w:val="007A3B2D"/>
    <w:rsid w:val="007A3C30"/>
    <w:rsid w:val="007A49C1"/>
    <w:rsid w:val="007B0912"/>
    <w:rsid w:val="007B2C5C"/>
    <w:rsid w:val="007B3B08"/>
    <w:rsid w:val="007B5828"/>
    <w:rsid w:val="007B5859"/>
    <w:rsid w:val="007B6B19"/>
    <w:rsid w:val="007B6C32"/>
    <w:rsid w:val="007C0935"/>
    <w:rsid w:val="007C0DCF"/>
    <w:rsid w:val="007C0EBA"/>
    <w:rsid w:val="007C125A"/>
    <w:rsid w:val="007C14FA"/>
    <w:rsid w:val="007C4399"/>
    <w:rsid w:val="007C4CE8"/>
    <w:rsid w:val="007C4E9C"/>
    <w:rsid w:val="007C5317"/>
    <w:rsid w:val="007C5942"/>
    <w:rsid w:val="007C6E41"/>
    <w:rsid w:val="007C75E7"/>
    <w:rsid w:val="007D0DFD"/>
    <w:rsid w:val="007D16F2"/>
    <w:rsid w:val="007D1E90"/>
    <w:rsid w:val="007D3730"/>
    <w:rsid w:val="007D3E01"/>
    <w:rsid w:val="007D4073"/>
    <w:rsid w:val="007D4271"/>
    <w:rsid w:val="007D4504"/>
    <w:rsid w:val="007D50EC"/>
    <w:rsid w:val="007D52D1"/>
    <w:rsid w:val="007D5B9C"/>
    <w:rsid w:val="007D6746"/>
    <w:rsid w:val="007D7A80"/>
    <w:rsid w:val="007E0B21"/>
    <w:rsid w:val="007E2903"/>
    <w:rsid w:val="007E395D"/>
    <w:rsid w:val="007E39EC"/>
    <w:rsid w:val="007E45A4"/>
    <w:rsid w:val="007E4603"/>
    <w:rsid w:val="007E52CA"/>
    <w:rsid w:val="007E635D"/>
    <w:rsid w:val="007E63D7"/>
    <w:rsid w:val="007E65AC"/>
    <w:rsid w:val="007E6A85"/>
    <w:rsid w:val="007E74EF"/>
    <w:rsid w:val="007E7A47"/>
    <w:rsid w:val="007F02C4"/>
    <w:rsid w:val="007F206E"/>
    <w:rsid w:val="007F2A5C"/>
    <w:rsid w:val="007F31B2"/>
    <w:rsid w:val="007F3C68"/>
    <w:rsid w:val="007F3CA8"/>
    <w:rsid w:val="007F3D60"/>
    <w:rsid w:val="007F4679"/>
    <w:rsid w:val="007F494B"/>
    <w:rsid w:val="007F4F89"/>
    <w:rsid w:val="007F6D79"/>
    <w:rsid w:val="00800D94"/>
    <w:rsid w:val="00801B45"/>
    <w:rsid w:val="0080258F"/>
    <w:rsid w:val="008025D9"/>
    <w:rsid w:val="008032D3"/>
    <w:rsid w:val="008037BC"/>
    <w:rsid w:val="00804342"/>
    <w:rsid w:val="00804475"/>
    <w:rsid w:val="008046D4"/>
    <w:rsid w:val="00806818"/>
    <w:rsid w:val="0080687F"/>
    <w:rsid w:val="00806C61"/>
    <w:rsid w:val="00810550"/>
    <w:rsid w:val="00810803"/>
    <w:rsid w:val="00810C40"/>
    <w:rsid w:val="00811004"/>
    <w:rsid w:val="008110DB"/>
    <w:rsid w:val="008117B9"/>
    <w:rsid w:val="00811A2F"/>
    <w:rsid w:val="008131B0"/>
    <w:rsid w:val="00814045"/>
    <w:rsid w:val="00814443"/>
    <w:rsid w:val="008145A2"/>
    <w:rsid w:val="0081466C"/>
    <w:rsid w:val="00814B38"/>
    <w:rsid w:val="0082047A"/>
    <w:rsid w:val="00820BD5"/>
    <w:rsid w:val="00820E55"/>
    <w:rsid w:val="00820FC5"/>
    <w:rsid w:val="008213C1"/>
    <w:rsid w:val="00821F3F"/>
    <w:rsid w:val="008220D0"/>
    <w:rsid w:val="008233CC"/>
    <w:rsid w:val="00823F51"/>
    <w:rsid w:val="0082445A"/>
    <w:rsid w:val="00825A3D"/>
    <w:rsid w:val="00826AF8"/>
    <w:rsid w:val="00827821"/>
    <w:rsid w:val="0082797C"/>
    <w:rsid w:val="00827D26"/>
    <w:rsid w:val="00830792"/>
    <w:rsid w:val="00833537"/>
    <w:rsid w:val="00833792"/>
    <w:rsid w:val="00834276"/>
    <w:rsid w:val="00834AF9"/>
    <w:rsid w:val="008365E0"/>
    <w:rsid w:val="00836678"/>
    <w:rsid w:val="008368F5"/>
    <w:rsid w:val="008403A4"/>
    <w:rsid w:val="008429D8"/>
    <w:rsid w:val="008444B3"/>
    <w:rsid w:val="008445CC"/>
    <w:rsid w:val="0084501B"/>
    <w:rsid w:val="0084555B"/>
    <w:rsid w:val="00846AA3"/>
    <w:rsid w:val="00847964"/>
    <w:rsid w:val="00850D09"/>
    <w:rsid w:val="0085112C"/>
    <w:rsid w:val="0085120B"/>
    <w:rsid w:val="008517C7"/>
    <w:rsid w:val="008523D5"/>
    <w:rsid w:val="00854BF2"/>
    <w:rsid w:val="00854D92"/>
    <w:rsid w:val="00855396"/>
    <w:rsid w:val="008557F5"/>
    <w:rsid w:val="00856056"/>
    <w:rsid w:val="008567D5"/>
    <w:rsid w:val="00857BE8"/>
    <w:rsid w:val="00857E25"/>
    <w:rsid w:val="00860202"/>
    <w:rsid w:val="008607AB"/>
    <w:rsid w:val="008613DA"/>
    <w:rsid w:val="008617DF"/>
    <w:rsid w:val="00862D91"/>
    <w:rsid w:val="00863E2E"/>
    <w:rsid w:val="0086424A"/>
    <w:rsid w:val="00864F41"/>
    <w:rsid w:val="00864FFB"/>
    <w:rsid w:val="0086519B"/>
    <w:rsid w:val="00865ACA"/>
    <w:rsid w:val="00867DD6"/>
    <w:rsid w:val="00870AA8"/>
    <w:rsid w:val="00870D4B"/>
    <w:rsid w:val="00871782"/>
    <w:rsid w:val="00871890"/>
    <w:rsid w:val="00872FC5"/>
    <w:rsid w:val="00873FF4"/>
    <w:rsid w:val="008742A8"/>
    <w:rsid w:val="00874AC1"/>
    <w:rsid w:val="0087561A"/>
    <w:rsid w:val="008756C9"/>
    <w:rsid w:val="0087576F"/>
    <w:rsid w:val="00875FC6"/>
    <w:rsid w:val="00876589"/>
    <w:rsid w:val="00877041"/>
    <w:rsid w:val="0088138B"/>
    <w:rsid w:val="008835A4"/>
    <w:rsid w:val="008837B2"/>
    <w:rsid w:val="008841C2"/>
    <w:rsid w:val="008847E5"/>
    <w:rsid w:val="00884A85"/>
    <w:rsid w:val="00885848"/>
    <w:rsid w:val="00887273"/>
    <w:rsid w:val="0089014B"/>
    <w:rsid w:val="00890C38"/>
    <w:rsid w:val="0089203F"/>
    <w:rsid w:val="008923BE"/>
    <w:rsid w:val="00892EF8"/>
    <w:rsid w:val="00893557"/>
    <w:rsid w:val="00893F79"/>
    <w:rsid w:val="00894EBA"/>
    <w:rsid w:val="008951CB"/>
    <w:rsid w:val="008958E4"/>
    <w:rsid w:val="00895B28"/>
    <w:rsid w:val="0089617B"/>
    <w:rsid w:val="008976E4"/>
    <w:rsid w:val="008A0614"/>
    <w:rsid w:val="008A1061"/>
    <w:rsid w:val="008A1BC1"/>
    <w:rsid w:val="008A1FA1"/>
    <w:rsid w:val="008A2087"/>
    <w:rsid w:val="008A2144"/>
    <w:rsid w:val="008A2637"/>
    <w:rsid w:val="008A3AB8"/>
    <w:rsid w:val="008A441E"/>
    <w:rsid w:val="008A4BBC"/>
    <w:rsid w:val="008A565A"/>
    <w:rsid w:val="008A58C2"/>
    <w:rsid w:val="008A5B8A"/>
    <w:rsid w:val="008A5EB3"/>
    <w:rsid w:val="008A650F"/>
    <w:rsid w:val="008A7DB8"/>
    <w:rsid w:val="008B04C5"/>
    <w:rsid w:val="008B0E97"/>
    <w:rsid w:val="008B1491"/>
    <w:rsid w:val="008B291F"/>
    <w:rsid w:val="008B2FA9"/>
    <w:rsid w:val="008B350A"/>
    <w:rsid w:val="008B43DD"/>
    <w:rsid w:val="008B4479"/>
    <w:rsid w:val="008B456A"/>
    <w:rsid w:val="008B51D3"/>
    <w:rsid w:val="008B6342"/>
    <w:rsid w:val="008B6456"/>
    <w:rsid w:val="008B6821"/>
    <w:rsid w:val="008B6C66"/>
    <w:rsid w:val="008B77F8"/>
    <w:rsid w:val="008C0928"/>
    <w:rsid w:val="008C0B28"/>
    <w:rsid w:val="008C0D2D"/>
    <w:rsid w:val="008C0F10"/>
    <w:rsid w:val="008C2253"/>
    <w:rsid w:val="008C40B6"/>
    <w:rsid w:val="008C47A1"/>
    <w:rsid w:val="008C5C8B"/>
    <w:rsid w:val="008C6541"/>
    <w:rsid w:val="008C656B"/>
    <w:rsid w:val="008C738F"/>
    <w:rsid w:val="008D0128"/>
    <w:rsid w:val="008D08D5"/>
    <w:rsid w:val="008D11E1"/>
    <w:rsid w:val="008D1301"/>
    <w:rsid w:val="008D16B8"/>
    <w:rsid w:val="008D24A4"/>
    <w:rsid w:val="008D39CE"/>
    <w:rsid w:val="008D3A12"/>
    <w:rsid w:val="008D3FA5"/>
    <w:rsid w:val="008D4502"/>
    <w:rsid w:val="008D4C3B"/>
    <w:rsid w:val="008D564A"/>
    <w:rsid w:val="008D5EF2"/>
    <w:rsid w:val="008D5FD0"/>
    <w:rsid w:val="008D6B9E"/>
    <w:rsid w:val="008D704F"/>
    <w:rsid w:val="008D7C34"/>
    <w:rsid w:val="008E00F0"/>
    <w:rsid w:val="008E0ED7"/>
    <w:rsid w:val="008E1024"/>
    <w:rsid w:val="008E1679"/>
    <w:rsid w:val="008E1766"/>
    <w:rsid w:val="008E1FE9"/>
    <w:rsid w:val="008E5270"/>
    <w:rsid w:val="008E58D6"/>
    <w:rsid w:val="008E7961"/>
    <w:rsid w:val="008E7995"/>
    <w:rsid w:val="008F07CD"/>
    <w:rsid w:val="008F189C"/>
    <w:rsid w:val="008F1C62"/>
    <w:rsid w:val="008F3288"/>
    <w:rsid w:val="008F3777"/>
    <w:rsid w:val="008F4F89"/>
    <w:rsid w:val="008F5704"/>
    <w:rsid w:val="008F5F51"/>
    <w:rsid w:val="008F738E"/>
    <w:rsid w:val="008F76A8"/>
    <w:rsid w:val="00900C97"/>
    <w:rsid w:val="00900E08"/>
    <w:rsid w:val="00901426"/>
    <w:rsid w:val="00901B8C"/>
    <w:rsid w:val="00901F96"/>
    <w:rsid w:val="00902152"/>
    <w:rsid w:val="00902519"/>
    <w:rsid w:val="00904DFE"/>
    <w:rsid w:val="00905D08"/>
    <w:rsid w:val="00906051"/>
    <w:rsid w:val="0090677F"/>
    <w:rsid w:val="00906B36"/>
    <w:rsid w:val="009114E0"/>
    <w:rsid w:val="0091168D"/>
    <w:rsid w:val="009116F3"/>
    <w:rsid w:val="00911B4B"/>
    <w:rsid w:val="00912429"/>
    <w:rsid w:val="009133FC"/>
    <w:rsid w:val="00913ED0"/>
    <w:rsid w:val="0091458C"/>
    <w:rsid w:val="00914BFF"/>
    <w:rsid w:val="009164C5"/>
    <w:rsid w:val="0092030C"/>
    <w:rsid w:val="009207BC"/>
    <w:rsid w:val="00920BD9"/>
    <w:rsid w:val="009212F4"/>
    <w:rsid w:val="00921E27"/>
    <w:rsid w:val="00922502"/>
    <w:rsid w:val="00922AB4"/>
    <w:rsid w:val="00922F4C"/>
    <w:rsid w:val="009240A7"/>
    <w:rsid w:val="0092448A"/>
    <w:rsid w:val="009246D0"/>
    <w:rsid w:val="0092485F"/>
    <w:rsid w:val="0092555A"/>
    <w:rsid w:val="00925CBD"/>
    <w:rsid w:val="00926198"/>
    <w:rsid w:val="009270DA"/>
    <w:rsid w:val="0092714D"/>
    <w:rsid w:val="00927650"/>
    <w:rsid w:val="009279A1"/>
    <w:rsid w:val="00930488"/>
    <w:rsid w:val="0093091F"/>
    <w:rsid w:val="00931033"/>
    <w:rsid w:val="0093386C"/>
    <w:rsid w:val="00934166"/>
    <w:rsid w:val="009364E6"/>
    <w:rsid w:val="009365A3"/>
    <w:rsid w:val="00940AC4"/>
    <w:rsid w:val="00942CB6"/>
    <w:rsid w:val="00942CE9"/>
    <w:rsid w:val="009430C8"/>
    <w:rsid w:val="009431DF"/>
    <w:rsid w:val="00943BE0"/>
    <w:rsid w:val="00943F72"/>
    <w:rsid w:val="0094419E"/>
    <w:rsid w:val="0094448D"/>
    <w:rsid w:val="00944A0C"/>
    <w:rsid w:val="009451A4"/>
    <w:rsid w:val="00945492"/>
    <w:rsid w:val="00946622"/>
    <w:rsid w:val="009503D9"/>
    <w:rsid w:val="00950776"/>
    <w:rsid w:val="00950908"/>
    <w:rsid w:val="00950DBC"/>
    <w:rsid w:val="0095120E"/>
    <w:rsid w:val="009513CF"/>
    <w:rsid w:val="00951E99"/>
    <w:rsid w:val="0095225D"/>
    <w:rsid w:val="00953DA4"/>
    <w:rsid w:val="009549B4"/>
    <w:rsid w:val="00954C63"/>
    <w:rsid w:val="00954FF2"/>
    <w:rsid w:val="00955B82"/>
    <w:rsid w:val="0095659E"/>
    <w:rsid w:val="00957229"/>
    <w:rsid w:val="00957275"/>
    <w:rsid w:val="00957D51"/>
    <w:rsid w:val="00961E6D"/>
    <w:rsid w:val="00962EE8"/>
    <w:rsid w:val="009637EC"/>
    <w:rsid w:val="00965393"/>
    <w:rsid w:val="009653C2"/>
    <w:rsid w:val="00967D4D"/>
    <w:rsid w:val="00971846"/>
    <w:rsid w:val="009734C3"/>
    <w:rsid w:val="00973654"/>
    <w:rsid w:val="00973B44"/>
    <w:rsid w:val="00973C98"/>
    <w:rsid w:val="009748F2"/>
    <w:rsid w:val="0097517C"/>
    <w:rsid w:val="009753CC"/>
    <w:rsid w:val="00975696"/>
    <w:rsid w:val="009756C3"/>
    <w:rsid w:val="00975896"/>
    <w:rsid w:val="00975E6A"/>
    <w:rsid w:val="0097624A"/>
    <w:rsid w:val="00976746"/>
    <w:rsid w:val="00976EE9"/>
    <w:rsid w:val="00980BA4"/>
    <w:rsid w:val="009810FA"/>
    <w:rsid w:val="0098144E"/>
    <w:rsid w:val="00981623"/>
    <w:rsid w:val="009828D7"/>
    <w:rsid w:val="009829D9"/>
    <w:rsid w:val="00983E65"/>
    <w:rsid w:val="009850FA"/>
    <w:rsid w:val="00985BBE"/>
    <w:rsid w:val="009866FB"/>
    <w:rsid w:val="00986AA5"/>
    <w:rsid w:val="009873E5"/>
    <w:rsid w:val="00987E48"/>
    <w:rsid w:val="009906A3"/>
    <w:rsid w:val="00990A99"/>
    <w:rsid w:val="00991525"/>
    <w:rsid w:val="009918BF"/>
    <w:rsid w:val="0099220F"/>
    <w:rsid w:val="00992B5D"/>
    <w:rsid w:val="00992E6A"/>
    <w:rsid w:val="00993258"/>
    <w:rsid w:val="00994F11"/>
    <w:rsid w:val="00995DD4"/>
    <w:rsid w:val="00995F70"/>
    <w:rsid w:val="009963A7"/>
    <w:rsid w:val="0099645B"/>
    <w:rsid w:val="009971B9"/>
    <w:rsid w:val="00997E86"/>
    <w:rsid w:val="009A01C9"/>
    <w:rsid w:val="009A0F15"/>
    <w:rsid w:val="009A105B"/>
    <w:rsid w:val="009A124A"/>
    <w:rsid w:val="009A1FA3"/>
    <w:rsid w:val="009A2846"/>
    <w:rsid w:val="009A6D9C"/>
    <w:rsid w:val="009A6EA3"/>
    <w:rsid w:val="009B0695"/>
    <w:rsid w:val="009B1AFA"/>
    <w:rsid w:val="009B1C3B"/>
    <w:rsid w:val="009B30CB"/>
    <w:rsid w:val="009B3FDC"/>
    <w:rsid w:val="009B4166"/>
    <w:rsid w:val="009B4A84"/>
    <w:rsid w:val="009B4BDC"/>
    <w:rsid w:val="009B4C76"/>
    <w:rsid w:val="009B4E29"/>
    <w:rsid w:val="009B5943"/>
    <w:rsid w:val="009B6078"/>
    <w:rsid w:val="009C06A0"/>
    <w:rsid w:val="009C1CC5"/>
    <w:rsid w:val="009C1EEB"/>
    <w:rsid w:val="009C238B"/>
    <w:rsid w:val="009C2A40"/>
    <w:rsid w:val="009C3E67"/>
    <w:rsid w:val="009C3FFF"/>
    <w:rsid w:val="009C4D60"/>
    <w:rsid w:val="009C593C"/>
    <w:rsid w:val="009C60F6"/>
    <w:rsid w:val="009C6AD4"/>
    <w:rsid w:val="009C6D9A"/>
    <w:rsid w:val="009C7730"/>
    <w:rsid w:val="009C79C4"/>
    <w:rsid w:val="009D0E73"/>
    <w:rsid w:val="009D1C67"/>
    <w:rsid w:val="009D4B46"/>
    <w:rsid w:val="009D5150"/>
    <w:rsid w:val="009D5291"/>
    <w:rsid w:val="009D5989"/>
    <w:rsid w:val="009D5E00"/>
    <w:rsid w:val="009D6195"/>
    <w:rsid w:val="009D6260"/>
    <w:rsid w:val="009E1E80"/>
    <w:rsid w:val="009E2261"/>
    <w:rsid w:val="009E2262"/>
    <w:rsid w:val="009E2361"/>
    <w:rsid w:val="009E3839"/>
    <w:rsid w:val="009E3ECA"/>
    <w:rsid w:val="009E44F5"/>
    <w:rsid w:val="009E4720"/>
    <w:rsid w:val="009E477A"/>
    <w:rsid w:val="009E6D89"/>
    <w:rsid w:val="009E7490"/>
    <w:rsid w:val="009E7CEA"/>
    <w:rsid w:val="009F0889"/>
    <w:rsid w:val="009F0ADD"/>
    <w:rsid w:val="009F0E12"/>
    <w:rsid w:val="009F11F4"/>
    <w:rsid w:val="009F1FA7"/>
    <w:rsid w:val="009F21B5"/>
    <w:rsid w:val="009F2A66"/>
    <w:rsid w:val="009F305C"/>
    <w:rsid w:val="009F3584"/>
    <w:rsid w:val="009F36E5"/>
    <w:rsid w:val="009F3FB5"/>
    <w:rsid w:val="009F4446"/>
    <w:rsid w:val="009F4604"/>
    <w:rsid w:val="009F4A2E"/>
    <w:rsid w:val="009F4A59"/>
    <w:rsid w:val="009F5B3A"/>
    <w:rsid w:val="009F7C8C"/>
    <w:rsid w:val="00A0048E"/>
    <w:rsid w:val="00A008E6"/>
    <w:rsid w:val="00A0099D"/>
    <w:rsid w:val="00A0134B"/>
    <w:rsid w:val="00A0142D"/>
    <w:rsid w:val="00A01854"/>
    <w:rsid w:val="00A029BD"/>
    <w:rsid w:val="00A02BA0"/>
    <w:rsid w:val="00A032C3"/>
    <w:rsid w:val="00A032CF"/>
    <w:rsid w:val="00A03622"/>
    <w:rsid w:val="00A04894"/>
    <w:rsid w:val="00A05565"/>
    <w:rsid w:val="00A0577E"/>
    <w:rsid w:val="00A062E4"/>
    <w:rsid w:val="00A0679F"/>
    <w:rsid w:val="00A067B1"/>
    <w:rsid w:val="00A069C1"/>
    <w:rsid w:val="00A06FB9"/>
    <w:rsid w:val="00A07E60"/>
    <w:rsid w:val="00A07FC1"/>
    <w:rsid w:val="00A10BAE"/>
    <w:rsid w:val="00A11F02"/>
    <w:rsid w:val="00A12C83"/>
    <w:rsid w:val="00A13C67"/>
    <w:rsid w:val="00A13E52"/>
    <w:rsid w:val="00A13F2B"/>
    <w:rsid w:val="00A14CFE"/>
    <w:rsid w:val="00A15D4F"/>
    <w:rsid w:val="00A163DC"/>
    <w:rsid w:val="00A165D8"/>
    <w:rsid w:val="00A17A7B"/>
    <w:rsid w:val="00A22B98"/>
    <w:rsid w:val="00A22C85"/>
    <w:rsid w:val="00A22E23"/>
    <w:rsid w:val="00A2350F"/>
    <w:rsid w:val="00A239D5"/>
    <w:rsid w:val="00A23EEC"/>
    <w:rsid w:val="00A24335"/>
    <w:rsid w:val="00A2530F"/>
    <w:rsid w:val="00A25E9D"/>
    <w:rsid w:val="00A27A4F"/>
    <w:rsid w:val="00A27ADE"/>
    <w:rsid w:val="00A27CA3"/>
    <w:rsid w:val="00A27D95"/>
    <w:rsid w:val="00A3095B"/>
    <w:rsid w:val="00A310A0"/>
    <w:rsid w:val="00A313DF"/>
    <w:rsid w:val="00A31F88"/>
    <w:rsid w:val="00A329EF"/>
    <w:rsid w:val="00A32DDC"/>
    <w:rsid w:val="00A33B62"/>
    <w:rsid w:val="00A33DB8"/>
    <w:rsid w:val="00A33F15"/>
    <w:rsid w:val="00A34BEA"/>
    <w:rsid w:val="00A37A6F"/>
    <w:rsid w:val="00A410BD"/>
    <w:rsid w:val="00A4231A"/>
    <w:rsid w:val="00A43192"/>
    <w:rsid w:val="00A443E7"/>
    <w:rsid w:val="00A4454D"/>
    <w:rsid w:val="00A44705"/>
    <w:rsid w:val="00A44863"/>
    <w:rsid w:val="00A45F61"/>
    <w:rsid w:val="00A461D6"/>
    <w:rsid w:val="00A4693E"/>
    <w:rsid w:val="00A46E64"/>
    <w:rsid w:val="00A504B2"/>
    <w:rsid w:val="00A510F4"/>
    <w:rsid w:val="00A522CF"/>
    <w:rsid w:val="00A52809"/>
    <w:rsid w:val="00A52DA5"/>
    <w:rsid w:val="00A52E08"/>
    <w:rsid w:val="00A5446B"/>
    <w:rsid w:val="00A54748"/>
    <w:rsid w:val="00A54E9D"/>
    <w:rsid w:val="00A56FEE"/>
    <w:rsid w:val="00A60BC0"/>
    <w:rsid w:val="00A60E39"/>
    <w:rsid w:val="00A611B4"/>
    <w:rsid w:val="00A6236F"/>
    <w:rsid w:val="00A633C9"/>
    <w:rsid w:val="00A64E53"/>
    <w:rsid w:val="00A64F23"/>
    <w:rsid w:val="00A6609E"/>
    <w:rsid w:val="00A67C7E"/>
    <w:rsid w:val="00A701C2"/>
    <w:rsid w:val="00A7099B"/>
    <w:rsid w:val="00A7346F"/>
    <w:rsid w:val="00A738B8"/>
    <w:rsid w:val="00A74019"/>
    <w:rsid w:val="00A740CC"/>
    <w:rsid w:val="00A7417A"/>
    <w:rsid w:val="00A74503"/>
    <w:rsid w:val="00A748F5"/>
    <w:rsid w:val="00A7575F"/>
    <w:rsid w:val="00A76D68"/>
    <w:rsid w:val="00A7708E"/>
    <w:rsid w:val="00A77B92"/>
    <w:rsid w:val="00A77CD7"/>
    <w:rsid w:val="00A805CE"/>
    <w:rsid w:val="00A810F6"/>
    <w:rsid w:val="00A82FE5"/>
    <w:rsid w:val="00A83CD0"/>
    <w:rsid w:val="00A84568"/>
    <w:rsid w:val="00A85092"/>
    <w:rsid w:val="00A85779"/>
    <w:rsid w:val="00A862D7"/>
    <w:rsid w:val="00A867FF"/>
    <w:rsid w:val="00A875AB"/>
    <w:rsid w:val="00A87A20"/>
    <w:rsid w:val="00A907C3"/>
    <w:rsid w:val="00A90AD2"/>
    <w:rsid w:val="00A91881"/>
    <w:rsid w:val="00A91943"/>
    <w:rsid w:val="00A9221E"/>
    <w:rsid w:val="00A94949"/>
    <w:rsid w:val="00A94AAB"/>
    <w:rsid w:val="00A94E61"/>
    <w:rsid w:val="00A95115"/>
    <w:rsid w:val="00A96867"/>
    <w:rsid w:val="00A9782C"/>
    <w:rsid w:val="00A97A1E"/>
    <w:rsid w:val="00AA01A6"/>
    <w:rsid w:val="00AA065B"/>
    <w:rsid w:val="00AA07F1"/>
    <w:rsid w:val="00AA09A8"/>
    <w:rsid w:val="00AA2F9F"/>
    <w:rsid w:val="00AA2FF7"/>
    <w:rsid w:val="00AA34EB"/>
    <w:rsid w:val="00AA4F15"/>
    <w:rsid w:val="00AA5379"/>
    <w:rsid w:val="00AA54B1"/>
    <w:rsid w:val="00AA6094"/>
    <w:rsid w:val="00AA705F"/>
    <w:rsid w:val="00AB0812"/>
    <w:rsid w:val="00AB0FAB"/>
    <w:rsid w:val="00AB1B28"/>
    <w:rsid w:val="00AB2010"/>
    <w:rsid w:val="00AB22AD"/>
    <w:rsid w:val="00AB258D"/>
    <w:rsid w:val="00AB2886"/>
    <w:rsid w:val="00AB3275"/>
    <w:rsid w:val="00AB3CFA"/>
    <w:rsid w:val="00AB3D8B"/>
    <w:rsid w:val="00AB416E"/>
    <w:rsid w:val="00AB4685"/>
    <w:rsid w:val="00AB4B1A"/>
    <w:rsid w:val="00AB639C"/>
    <w:rsid w:val="00AB6BF9"/>
    <w:rsid w:val="00AB7AEB"/>
    <w:rsid w:val="00AC10C1"/>
    <w:rsid w:val="00AC1932"/>
    <w:rsid w:val="00AC1D9E"/>
    <w:rsid w:val="00AC2493"/>
    <w:rsid w:val="00AC3306"/>
    <w:rsid w:val="00AC36DD"/>
    <w:rsid w:val="00AC37B1"/>
    <w:rsid w:val="00AC4357"/>
    <w:rsid w:val="00AC78FB"/>
    <w:rsid w:val="00AD02D8"/>
    <w:rsid w:val="00AD0F36"/>
    <w:rsid w:val="00AD12CA"/>
    <w:rsid w:val="00AD1BE6"/>
    <w:rsid w:val="00AD23DA"/>
    <w:rsid w:val="00AD399B"/>
    <w:rsid w:val="00AD3DEE"/>
    <w:rsid w:val="00AD438D"/>
    <w:rsid w:val="00AD45B9"/>
    <w:rsid w:val="00AD4ABD"/>
    <w:rsid w:val="00AD53E9"/>
    <w:rsid w:val="00AD5D77"/>
    <w:rsid w:val="00AD634B"/>
    <w:rsid w:val="00AD7805"/>
    <w:rsid w:val="00AE02E4"/>
    <w:rsid w:val="00AE0C74"/>
    <w:rsid w:val="00AE12AF"/>
    <w:rsid w:val="00AE1CA4"/>
    <w:rsid w:val="00AE1D0F"/>
    <w:rsid w:val="00AE2435"/>
    <w:rsid w:val="00AE2D87"/>
    <w:rsid w:val="00AE4D42"/>
    <w:rsid w:val="00AE50DB"/>
    <w:rsid w:val="00AE65B7"/>
    <w:rsid w:val="00AE69AF"/>
    <w:rsid w:val="00AE7C16"/>
    <w:rsid w:val="00AE7D62"/>
    <w:rsid w:val="00AF03F2"/>
    <w:rsid w:val="00AF0A5C"/>
    <w:rsid w:val="00AF0CD9"/>
    <w:rsid w:val="00AF2351"/>
    <w:rsid w:val="00AF2D06"/>
    <w:rsid w:val="00AF4456"/>
    <w:rsid w:val="00AF577E"/>
    <w:rsid w:val="00AF6457"/>
    <w:rsid w:val="00B01C6C"/>
    <w:rsid w:val="00B0239F"/>
    <w:rsid w:val="00B02489"/>
    <w:rsid w:val="00B05528"/>
    <w:rsid w:val="00B05DC9"/>
    <w:rsid w:val="00B06114"/>
    <w:rsid w:val="00B062DE"/>
    <w:rsid w:val="00B06E9F"/>
    <w:rsid w:val="00B10400"/>
    <w:rsid w:val="00B11452"/>
    <w:rsid w:val="00B11FB5"/>
    <w:rsid w:val="00B12AB7"/>
    <w:rsid w:val="00B12B73"/>
    <w:rsid w:val="00B133FB"/>
    <w:rsid w:val="00B14A9E"/>
    <w:rsid w:val="00B15442"/>
    <w:rsid w:val="00B16AF9"/>
    <w:rsid w:val="00B20389"/>
    <w:rsid w:val="00B21951"/>
    <w:rsid w:val="00B21F98"/>
    <w:rsid w:val="00B227C0"/>
    <w:rsid w:val="00B22995"/>
    <w:rsid w:val="00B22ADD"/>
    <w:rsid w:val="00B22ED7"/>
    <w:rsid w:val="00B23572"/>
    <w:rsid w:val="00B235C7"/>
    <w:rsid w:val="00B24746"/>
    <w:rsid w:val="00B2533B"/>
    <w:rsid w:val="00B25BEB"/>
    <w:rsid w:val="00B2730C"/>
    <w:rsid w:val="00B3017C"/>
    <w:rsid w:val="00B30E0D"/>
    <w:rsid w:val="00B30E58"/>
    <w:rsid w:val="00B317EC"/>
    <w:rsid w:val="00B32138"/>
    <w:rsid w:val="00B32284"/>
    <w:rsid w:val="00B34F7A"/>
    <w:rsid w:val="00B36B3B"/>
    <w:rsid w:val="00B37261"/>
    <w:rsid w:val="00B37884"/>
    <w:rsid w:val="00B40070"/>
    <w:rsid w:val="00B40517"/>
    <w:rsid w:val="00B43110"/>
    <w:rsid w:val="00B44BB9"/>
    <w:rsid w:val="00B4717B"/>
    <w:rsid w:val="00B47B46"/>
    <w:rsid w:val="00B500A7"/>
    <w:rsid w:val="00B5094C"/>
    <w:rsid w:val="00B50A27"/>
    <w:rsid w:val="00B50D04"/>
    <w:rsid w:val="00B50F38"/>
    <w:rsid w:val="00B517D7"/>
    <w:rsid w:val="00B51EE2"/>
    <w:rsid w:val="00B522F5"/>
    <w:rsid w:val="00B54B68"/>
    <w:rsid w:val="00B54F91"/>
    <w:rsid w:val="00B5571A"/>
    <w:rsid w:val="00B560A5"/>
    <w:rsid w:val="00B5620D"/>
    <w:rsid w:val="00B5686D"/>
    <w:rsid w:val="00B5694D"/>
    <w:rsid w:val="00B56BB1"/>
    <w:rsid w:val="00B57753"/>
    <w:rsid w:val="00B57F7F"/>
    <w:rsid w:val="00B60743"/>
    <w:rsid w:val="00B6110B"/>
    <w:rsid w:val="00B61B96"/>
    <w:rsid w:val="00B61CC9"/>
    <w:rsid w:val="00B61F54"/>
    <w:rsid w:val="00B62173"/>
    <w:rsid w:val="00B623BF"/>
    <w:rsid w:val="00B62AF8"/>
    <w:rsid w:val="00B62E0D"/>
    <w:rsid w:val="00B64292"/>
    <w:rsid w:val="00B6596F"/>
    <w:rsid w:val="00B66CC3"/>
    <w:rsid w:val="00B66D56"/>
    <w:rsid w:val="00B67809"/>
    <w:rsid w:val="00B7095C"/>
    <w:rsid w:val="00B71826"/>
    <w:rsid w:val="00B71923"/>
    <w:rsid w:val="00B71CE8"/>
    <w:rsid w:val="00B71D44"/>
    <w:rsid w:val="00B72489"/>
    <w:rsid w:val="00B73295"/>
    <w:rsid w:val="00B73901"/>
    <w:rsid w:val="00B73BF8"/>
    <w:rsid w:val="00B73F64"/>
    <w:rsid w:val="00B74622"/>
    <w:rsid w:val="00B770A9"/>
    <w:rsid w:val="00B774C3"/>
    <w:rsid w:val="00B81632"/>
    <w:rsid w:val="00B8214B"/>
    <w:rsid w:val="00B822BB"/>
    <w:rsid w:val="00B83E91"/>
    <w:rsid w:val="00B84378"/>
    <w:rsid w:val="00B84E33"/>
    <w:rsid w:val="00B8516F"/>
    <w:rsid w:val="00B8556C"/>
    <w:rsid w:val="00B866D2"/>
    <w:rsid w:val="00B86852"/>
    <w:rsid w:val="00B87A41"/>
    <w:rsid w:val="00B87F49"/>
    <w:rsid w:val="00B90BA6"/>
    <w:rsid w:val="00B90E1C"/>
    <w:rsid w:val="00B91847"/>
    <w:rsid w:val="00B93C58"/>
    <w:rsid w:val="00B94294"/>
    <w:rsid w:val="00B94A35"/>
    <w:rsid w:val="00B94BCF"/>
    <w:rsid w:val="00B95763"/>
    <w:rsid w:val="00B95C1F"/>
    <w:rsid w:val="00B96B23"/>
    <w:rsid w:val="00B97C4D"/>
    <w:rsid w:val="00BA0B0F"/>
    <w:rsid w:val="00BA26B7"/>
    <w:rsid w:val="00BA36A3"/>
    <w:rsid w:val="00BA41CA"/>
    <w:rsid w:val="00BA47E7"/>
    <w:rsid w:val="00BA6239"/>
    <w:rsid w:val="00BA6C18"/>
    <w:rsid w:val="00BA7C28"/>
    <w:rsid w:val="00BB1841"/>
    <w:rsid w:val="00BB2183"/>
    <w:rsid w:val="00BB2464"/>
    <w:rsid w:val="00BB2C4C"/>
    <w:rsid w:val="00BB2F06"/>
    <w:rsid w:val="00BB36B0"/>
    <w:rsid w:val="00BB42E6"/>
    <w:rsid w:val="00BB597B"/>
    <w:rsid w:val="00BB5CDA"/>
    <w:rsid w:val="00BB673C"/>
    <w:rsid w:val="00BB6A96"/>
    <w:rsid w:val="00BB6F4E"/>
    <w:rsid w:val="00BB7469"/>
    <w:rsid w:val="00BB7497"/>
    <w:rsid w:val="00BC062E"/>
    <w:rsid w:val="00BC0FF7"/>
    <w:rsid w:val="00BC18A4"/>
    <w:rsid w:val="00BC450B"/>
    <w:rsid w:val="00BC4A8D"/>
    <w:rsid w:val="00BC4BE8"/>
    <w:rsid w:val="00BC6B00"/>
    <w:rsid w:val="00BC6CFF"/>
    <w:rsid w:val="00BC7C9A"/>
    <w:rsid w:val="00BD0592"/>
    <w:rsid w:val="00BD4EBB"/>
    <w:rsid w:val="00BD5363"/>
    <w:rsid w:val="00BD57F5"/>
    <w:rsid w:val="00BD6FC4"/>
    <w:rsid w:val="00BD7684"/>
    <w:rsid w:val="00BE01FD"/>
    <w:rsid w:val="00BE11AA"/>
    <w:rsid w:val="00BE12FB"/>
    <w:rsid w:val="00BE1C09"/>
    <w:rsid w:val="00BE2A68"/>
    <w:rsid w:val="00BE3975"/>
    <w:rsid w:val="00BE48A4"/>
    <w:rsid w:val="00BE4947"/>
    <w:rsid w:val="00BE49B9"/>
    <w:rsid w:val="00BE56F0"/>
    <w:rsid w:val="00BE5C4C"/>
    <w:rsid w:val="00BE76EA"/>
    <w:rsid w:val="00BE774F"/>
    <w:rsid w:val="00BE7F7D"/>
    <w:rsid w:val="00BF016F"/>
    <w:rsid w:val="00BF0B6E"/>
    <w:rsid w:val="00BF0EF0"/>
    <w:rsid w:val="00BF14DC"/>
    <w:rsid w:val="00BF1C45"/>
    <w:rsid w:val="00BF329F"/>
    <w:rsid w:val="00BF4326"/>
    <w:rsid w:val="00BF4EAC"/>
    <w:rsid w:val="00BF6E04"/>
    <w:rsid w:val="00C014C1"/>
    <w:rsid w:val="00C01BDB"/>
    <w:rsid w:val="00C01D6F"/>
    <w:rsid w:val="00C04947"/>
    <w:rsid w:val="00C05CA2"/>
    <w:rsid w:val="00C06016"/>
    <w:rsid w:val="00C07551"/>
    <w:rsid w:val="00C10136"/>
    <w:rsid w:val="00C12006"/>
    <w:rsid w:val="00C12284"/>
    <w:rsid w:val="00C138E3"/>
    <w:rsid w:val="00C13AE2"/>
    <w:rsid w:val="00C13F31"/>
    <w:rsid w:val="00C147BD"/>
    <w:rsid w:val="00C1555E"/>
    <w:rsid w:val="00C1577C"/>
    <w:rsid w:val="00C15964"/>
    <w:rsid w:val="00C159FB"/>
    <w:rsid w:val="00C16DDC"/>
    <w:rsid w:val="00C2037D"/>
    <w:rsid w:val="00C204A0"/>
    <w:rsid w:val="00C214C9"/>
    <w:rsid w:val="00C21A43"/>
    <w:rsid w:val="00C226F2"/>
    <w:rsid w:val="00C23296"/>
    <w:rsid w:val="00C24097"/>
    <w:rsid w:val="00C243C4"/>
    <w:rsid w:val="00C24994"/>
    <w:rsid w:val="00C24CAE"/>
    <w:rsid w:val="00C250C6"/>
    <w:rsid w:val="00C25D8D"/>
    <w:rsid w:val="00C304E1"/>
    <w:rsid w:val="00C310E2"/>
    <w:rsid w:val="00C323B8"/>
    <w:rsid w:val="00C350BB"/>
    <w:rsid w:val="00C3512F"/>
    <w:rsid w:val="00C35805"/>
    <w:rsid w:val="00C35E4B"/>
    <w:rsid w:val="00C364C7"/>
    <w:rsid w:val="00C36627"/>
    <w:rsid w:val="00C37227"/>
    <w:rsid w:val="00C372E4"/>
    <w:rsid w:val="00C37C44"/>
    <w:rsid w:val="00C37E82"/>
    <w:rsid w:val="00C37F58"/>
    <w:rsid w:val="00C401E5"/>
    <w:rsid w:val="00C411C6"/>
    <w:rsid w:val="00C418B5"/>
    <w:rsid w:val="00C41FA6"/>
    <w:rsid w:val="00C42069"/>
    <w:rsid w:val="00C4345D"/>
    <w:rsid w:val="00C436AF"/>
    <w:rsid w:val="00C43A41"/>
    <w:rsid w:val="00C4428C"/>
    <w:rsid w:val="00C447CC"/>
    <w:rsid w:val="00C44DCD"/>
    <w:rsid w:val="00C45541"/>
    <w:rsid w:val="00C4647C"/>
    <w:rsid w:val="00C46B30"/>
    <w:rsid w:val="00C46C32"/>
    <w:rsid w:val="00C46D2D"/>
    <w:rsid w:val="00C47620"/>
    <w:rsid w:val="00C501F9"/>
    <w:rsid w:val="00C51005"/>
    <w:rsid w:val="00C510D2"/>
    <w:rsid w:val="00C51BF0"/>
    <w:rsid w:val="00C52873"/>
    <w:rsid w:val="00C52ABD"/>
    <w:rsid w:val="00C52CA1"/>
    <w:rsid w:val="00C53403"/>
    <w:rsid w:val="00C5357D"/>
    <w:rsid w:val="00C53599"/>
    <w:rsid w:val="00C53754"/>
    <w:rsid w:val="00C53875"/>
    <w:rsid w:val="00C54281"/>
    <w:rsid w:val="00C543E1"/>
    <w:rsid w:val="00C54A98"/>
    <w:rsid w:val="00C54AE9"/>
    <w:rsid w:val="00C54D1F"/>
    <w:rsid w:val="00C55EFC"/>
    <w:rsid w:val="00C55F6E"/>
    <w:rsid w:val="00C56D7F"/>
    <w:rsid w:val="00C578D2"/>
    <w:rsid w:val="00C5E47F"/>
    <w:rsid w:val="00C604B0"/>
    <w:rsid w:val="00C610F5"/>
    <w:rsid w:val="00C622F1"/>
    <w:rsid w:val="00C62B2D"/>
    <w:rsid w:val="00C62C61"/>
    <w:rsid w:val="00C6382D"/>
    <w:rsid w:val="00C63BA4"/>
    <w:rsid w:val="00C63E6D"/>
    <w:rsid w:val="00C640AC"/>
    <w:rsid w:val="00C65B0A"/>
    <w:rsid w:val="00C67637"/>
    <w:rsid w:val="00C67D18"/>
    <w:rsid w:val="00C703FC"/>
    <w:rsid w:val="00C70BFA"/>
    <w:rsid w:val="00C73BB7"/>
    <w:rsid w:val="00C75F2D"/>
    <w:rsid w:val="00C76399"/>
    <w:rsid w:val="00C76D6E"/>
    <w:rsid w:val="00C7751F"/>
    <w:rsid w:val="00C77CD1"/>
    <w:rsid w:val="00C801D4"/>
    <w:rsid w:val="00C80414"/>
    <w:rsid w:val="00C82010"/>
    <w:rsid w:val="00C82F1F"/>
    <w:rsid w:val="00C8497A"/>
    <w:rsid w:val="00C859A5"/>
    <w:rsid w:val="00C87DDB"/>
    <w:rsid w:val="00C9120D"/>
    <w:rsid w:val="00C920EC"/>
    <w:rsid w:val="00C93608"/>
    <w:rsid w:val="00C942E8"/>
    <w:rsid w:val="00C948BF"/>
    <w:rsid w:val="00C95573"/>
    <w:rsid w:val="00C96407"/>
    <w:rsid w:val="00C966E4"/>
    <w:rsid w:val="00C96BDA"/>
    <w:rsid w:val="00CA042B"/>
    <w:rsid w:val="00CA0505"/>
    <w:rsid w:val="00CA0CEC"/>
    <w:rsid w:val="00CA0FBA"/>
    <w:rsid w:val="00CA13AF"/>
    <w:rsid w:val="00CA214D"/>
    <w:rsid w:val="00CA2709"/>
    <w:rsid w:val="00CA4904"/>
    <w:rsid w:val="00CA4B93"/>
    <w:rsid w:val="00CA4F1B"/>
    <w:rsid w:val="00CA52CD"/>
    <w:rsid w:val="00CA5C04"/>
    <w:rsid w:val="00CA620F"/>
    <w:rsid w:val="00CA6D14"/>
    <w:rsid w:val="00CA71E5"/>
    <w:rsid w:val="00CA7B79"/>
    <w:rsid w:val="00CB10FD"/>
    <w:rsid w:val="00CB1C08"/>
    <w:rsid w:val="00CB1D8D"/>
    <w:rsid w:val="00CB281D"/>
    <w:rsid w:val="00CB50DA"/>
    <w:rsid w:val="00CB50F1"/>
    <w:rsid w:val="00CB6ADD"/>
    <w:rsid w:val="00CB790F"/>
    <w:rsid w:val="00CC0549"/>
    <w:rsid w:val="00CC20C7"/>
    <w:rsid w:val="00CC2282"/>
    <w:rsid w:val="00CC359F"/>
    <w:rsid w:val="00CC38F3"/>
    <w:rsid w:val="00CC3F01"/>
    <w:rsid w:val="00CC4662"/>
    <w:rsid w:val="00CC6110"/>
    <w:rsid w:val="00CC6E52"/>
    <w:rsid w:val="00CC7246"/>
    <w:rsid w:val="00CC7603"/>
    <w:rsid w:val="00CD00C6"/>
    <w:rsid w:val="00CD04B7"/>
    <w:rsid w:val="00CD08F5"/>
    <w:rsid w:val="00CD1104"/>
    <w:rsid w:val="00CD154F"/>
    <w:rsid w:val="00CD1677"/>
    <w:rsid w:val="00CD1888"/>
    <w:rsid w:val="00CD1F02"/>
    <w:rsid w:val="00CD1F9B"/>
    <w:rsid w:val="00CD31BE"/>
    <w:rsid w:val="00CD32D9"/>
    <w:rsid w:val="00CD33CE"/>
    <w:rsid w:val="00CD5A6D"/>
    <w:rsid w:val="00CD5A98"/>
    <w:rsid w:val="00CD6005"/>
    <w:rsid w:val="00CD6142"/>
    <w:rsid w:val="00CD656B"/>
    <w:rsid w:val="00CD68D8"/>
    <w:rsid w:val="00CD6B65"/>
    <w:rsid w:val="00CD7EB5"/>
    <w:rsid w:val="00CE008B"/>
    <w:rsid w:val="00CE03E1"/>
    <w:rsid w:val="00CE2B70"/>
    <w:rsid w:val="00CE2BA7"/>
    <w:rsid w:val="00CE3A4F"/>
    <w:rsid w:val="00CE543B"/>
    <w:rsid w:val="00CE559B"/>
    <w:rsid w:val="00CE563E"/>
    <w:rsid w:val="00CE773B"/>
    <w:rsid w:val="00CE7BD0"/>
    <w:rsid w:val="00CE7C3B"/>
    <w:rsid w:val="00CF057D"/>
    <w:rsid w:val="00CF1C4B"/>
    <w:rsid w:val="00CF2512"/>
    <w:rsid w:val="00CF2D70"/>
    <w:rsid w:val="00CF3120"/>
    <w:rsid w:val="00CF33BB"/>
    <w:rsid w:val="00CF3ABA"/>
    <w:rsid w:val="00CF3D90"/>
    <w:rsid w:val="00CF41B4"/>
    <w:rsid w:val="00CF472E"/>
    <w:rsid w:val="00CF5651"/>
    <w:rsid w:val="00CF7210"/>
    <w:rsid w:val="00D000CA"/>
    <w:rsid w:val="00D016BD"/>
    <w:rsid w:val="00D02BF2"/>
    <w:rsid w:val="00D02C9C"/>
    <w:rsid w:val="00D03322"/>
    <w:rsid w:val="00D03799"/>
    <w:rsid w:val="00D040B3"/>
    <w:rsid w:val="00D04605"/>
    <w:rsid w:val="00D04E61"/>
    <w:rsid w:val="00D06A40"/>
    <w:rsid w:val="00D06BC0"/>
    <w:rsid w:val="00D06FC5"/>
    <w:rsid w:val="00D103E1"/>
    <w:rsid w:val="00D1040A"/>
    <w:rsid w:val="00D10635"/>
    <w:rsid w:val="00D11B48"/>
    <w:rsid w:val="00D11D45"/>
    <w:rsid w:val="00D12FBE"/>
    <w:rsid w:val="00D142C0"/>
    <w:rsid w:val="00D14846"/>
    <w:rsid w:val="00D14EA8"/>
    <w:rsid w:val="00D17BCB"/>
    <w:rsid w:val="00D20440"/>
    <w:rsid w:val="00D2055A"/>
    <w:rsid w:val="00D2061B"/>
    <w:rsid w:val="00D20DC9"/>
    <w:rsid w:val="00D20F51"/>
    <w:rsid w:val="00D217F0"/>
    <w:rsid w:val="00D21D80"/>
    <w:rsid w:val="00D22AFA"/>
    <w:rsid w:val="00D235CC"/>
    <w:rsid w:val="00D23AD9"/>
    <w:rsid w:val="00D23D5E"/>
    <w:rsid w:val="00D2444A"/>
    <w:rsid w:val="00D24712"/>
    <w:rsid w:val="00D24AAB"/>
    <w:rsid w:val="00D24F63"/>
    <w:rsid w:val="00D26EBD"/>
    <w:rsid w:val="00D301FC"/>
    <w:rsid w:val="00D3101C"/>
    <w:rsid w:val="00D310C8"/>
    <w:rsid w:val="00D3178B"/>
    <w:rsid w:val="00D31B04"/>
    <w:rsid w:val="00D3333F"/>
    <w:rsid w:val="00D33703"/>
    <w:rsid w:val="00D3497F"/>
    <w:rsid w:val="00D364FD"/>
    <w:rsid w:val="00D37896"/>
    <w:rsid w:val="00D37AE8"/>
    <w:rsid w:val="00D400CC"/>
    <w:rsid w:val="00D40D71"/>
    <w:rsid w:val="00D40F8D"/>
    <w:rsid w:val="00D412DA"/>
    <w:rsid w:val="00D41BED"/>
    <w:rsid w:val="00D4245A"/>
    <w:rsid w:val="00D42CD7"/>
    <w:rsid w:val="00D43599"/>
    <w:rsid w:val="00D43B86"/>
    <w:rsid w:val="00D43CB9"/>
    <w:rsid w:val="00D43D1F"/>
    <w:rsid w:val="00D46EAF"/>
    <w:rsid w:val="00D46EFC"/>
    <w:rsid w:val="00D47C9B"/>
    <w:rsid w:val="00D4F884"/>
    <w:rsid w:val="00D50B46"/>
    <w:rsid w:val="00D516CB"/>
    <w:rsid w:val="00D521C7"/>
    <w:rsid w:val="00D525B8"/>
    <w:rsid w:val="00D531E4"/>
    <w:rsid w:val="00D54E90"/>
    <w:rsid w:val="00D55CE5"/>
    <w:rsid w:val="00D56F89"/>
    <w:rsid w:val="00D574F3"/>
    <w:rsid w:val="00D6034E"/>
    <w:rsid w:val="00D61B09"/>
    <w:rsid w:val="00D62B1D"/>
    <w:rsid w:val="00D62FB1"/>
    <w:rsid w:val="00D6379E"/>
    <w:rsid w:val="00D64BDE"/>
    <w:rsid w:val="00D65DE6"/>
    <w:rsid w:val="00D661B6"/>
    <w:rsid w:val="00D66633"/>
    <w:rsid w:val="00D6701C"/>
    <w:rsid w:val="00D671BF"/>
    <w:rsid w:val="00D67FA2"/>
    <w:rsid w:val="00D704F3"/>
    <w:rsid w:val="00D70AD8"/>
    <w:rsid w:val="00D70B96"/>
    <w:rsid w:val="00D71BE3"/>
    <w:rsid w:val="00D71D52"/>
    <w:rsid w:val="00D724A0"/>
    <w:rsid w:val="00D72637"/>
    <w:rsid w:val="00D72F56"/>
    <w:rsid w:val="00D73A88"/>
    <w:rsid w:val="00D74B7A"/>
    <w:rsid w:val="00D765F4"/>
    <w:rsid w:val="00D76962"/>
    <w:rsid w:val="00D76E43"/>
    <w:rsid w:val="00D817F2"/>
    <w:rsid w:val="00D82383"/>
    <w:rsid w:val="00D83BD6"/>
    <w:rsid w:val="00D844BB"/>
    <w:rsid w:val="00D868FD"/>
    <w:rsid w:val="00D87B9D"/>
    <w:rsid w:val="00D90364"/>
    <w:rsid w:val="00D932EF"/>
    <w:rsid w:val="00D9635E"/>
    <w:rsid w:val="00D9666D"/>
    <w:rsid w:val="00D966FE"/>
    <w:rsid w:val="00D97A4A"/>
    <w:rsid w:val="00D97C1D"/>
    <w:rsid w:val="00DA15B1"/>
    <w:rsid w:val="00DA18A2"/>
    <w:rsid w:val="00DA1C72"/>
    <w:rsid w:val="00DA1C9C"/>
    <w:rsid w:val="00DA1D6E"/>
    <w:rsid w:val="00DA215B"/>
    <w:rsid w:val="00DA2402"/>
    <w:rsid w:val="00DA2BB0"/>
    <w:rsid w:val="00DA3031"/>
    <w:rsid w:val="00DA4227"/>
    <w:rsid w:val="00DA468A"/>
    <w:rsid w:val="00DA4841"/>
    <w:rsid w:val="00DA66CC"/>
    <w:rsid w:val="00DA7EE2"/>
    <w:rsid w:val="00DB0378"/>
    <w:rsid w:val="00DB08BA"/>
    <w:rsid w:val="00DB0ADE"/>
    <w:rsid w:val="00DB0C24"/>
    <w:rsid w:val="00DB0DB3"/>
    <w:rsid w:val="00DB121D"/>
    <w:rsid w:val="00DB1CF7"/>
    <w:rsid w:val="00DB2C1A"/>
    <w:rsid w:val="00DB2D94"/>
    <w:rsid w:val="00DB336C"/>
    <w:rsid w:val="00DB3A88"/>
    <w:rsid w:val="00DB44DC"/>
    <w:rsid w:val="00DB50A4"/>
    <w:rsid w:val="00DB5482"/>
    <w:rsid w:val="00DB55FB"/>
    <w:rsid w:val="00DB5D23"/>
    <w:rsid w:val="00DB647D"/>
    <w:rsid w:val="00DB6EA1"/>
    <w:rsid w:val="00DB7717"/>
    <w:rsid w:val="00DB7BAB"/>
    <w:rsid w:val="00DC000A"/>
    <w:rsid w:val="00DC0C9E"/>
    <w:rsid w:val="00DC16E5"/>
    <w:rsid w:val="00DC1C0E"/>
    <w:rsid w:val="00DC30FE"/>
    <w:rsid w:val="00DC33DF"/>
    <w:rsid w:val="00DC36B1"/>
    <w:rsid w:val="00DC70B2"/>
    <w:rsid w:val="00DC7F54"/>
    <w:rsid w:val="00DD01AA"/>
    <w:rsid w:val="00DD0E26"/>
    <w:rsid w:val="00DD1785"/>
    <w:rsid w:val="00DD24E0"/>
    <w:rsid w:val="00DD2888"/>
    <w:rsid w:val="00DD3C01"/>
    <w:rsid w:val="00DD3DB3"/>
    <w:rsid w:val="00DD4586"/>
    <w:rsid w:val="00DD4CCF"/>
    <w:rsid w:val="00DD4D4B"/>
    <w:rsid w:val="00DD6BA3"/>
    <w:rsid w:val="00DD6C20"/>
    <w:rsid w:val="00DD7418"/>
    <w:rsid w:val="00DD7EFE"/>
    <w:rsid w:val="00DE2D7A"/>
    <w:rsid w:val="00DE31FE"/>
    <w:rsid w:val="00DE58B2"/>
    <w:rsid w:val="00DE627A"/>
    <w:rsid w:val="00DF0B7F"/>
    <w:rsid w:val="00DF0F5F"/>
    <w:rsid w:val="00DF1320"/>
    <w:rsid w:val="00DF1908"/>
    <w:rsid w:val="00DF2C82"/>
    <w:rsid w:val="00DF2F8D"/>
    <w:rsid w:val="00DF35BF"/>
    <w:rsid w:val="00DF4079"/>
    <w:rsid w:val="00DF4B26"/>
    <w:rsid w:val="00DF629D"/>
    <w:rsid w:val="00DF6E90"/>
    <w:rsid w:val="00DF706D"/>
    <w:rsid w:val="00DF7C43"/>
    <w:rsid w:val="00E024B4"/>
    <w:rsid w:val="00E05D0E"/>
    <w:rsid w:val="00E06BF4"/>
    <w:rsid w:val="00E06CB6"/>
    <w:rsid w:val="00E07575"/>
    <w:rsid w:val="00E07629"/>
    <w:rsid w:val="00E07B08"/>
    <w:rsid w:val="00E11745"/>
    <w:rsid w:val="00E12099"/>
    <w:rsid w:val="00E154E0"/>
    <w:rsid w:val="00E15648"/>
    <w:rsid w:val="00E1580A"/>
    <w:rsid w:val="00E15B53"/>
    <w:rsid w:val="00E15D06"/>
    <w:rsid w:val="00E16855"/>
    <w:rsid w:val="00E16B30"/>
    <w:rsid w:val="00E20383"/>
    <w:rsid w:val="00E224F4"/>
    <w:rsid w:val="00E22614"/>
    <w:rsid w:val="00E228DA"/>
    <w:rsid w:val="00E22F7A"/>
    <w:rsid w:val="00E234C7"/>
    <w:rsid w:val="00E2495B"/>
    <w:rsid w:val="00E251BB"/>
    <w:rsid w:val="00E263AD"/>
    <w:rsid w:val="00E26D9A"/>
    <w:rsid w:val="00E2753F"/>
    <w:rsid w:val="00E318E1"/>
    <w:rsid w:val="00E322C2"/>
    <w:rsid w:val="00E32381"/>
    <w:rsid w:val="00E32AE2"/>
    <w:rsid w:val="00E3410B"/>
    <w:rsid w:val="00E344B0"/>
    <w:rsid w:val="00E347D4"/>
    <w:rsid w:val="00E36ABE"/>
    <w:rsid w:val="00E3712B"/>
    <w:rsid w:val="00E40C7F"/>
    <w:rsid w:val="00E41310"/>
    <w:rsid w:val="00E418C8"/>
    <w:rsid w:val="00E41905"/>
    <w:rsid w:val="00E42503"/>
    <w:rsid w:val="00E4352D"/>
    <w:rsid w:val="00E4486C"/>
    <w:rsid w:val="00E44A84"/>
    <w:rsid w:val="00E44B6C"/>
    <w:rsid w:val="00E46090"/>
    <w:rsid w:val="00E4757E"/>
    <w:rsid w:val="00E501A1"/>
    <w:rsid w:val="00E501C4"/>
    <w:rsid w:val="00E50766"/>
    <w:rsid w:val="00E5089B"/>
    <w:rsid w:val="00E50C34"/>
    <w:rsid w:val="00E517EB"/>
    <w:rsid w:val="00E51FA5"/>
    <w:rsid w:val="00E52A1E"/>
    <w:rsid w:val="00E52ADB"/>
    <w:rsid w:val="00E52B25"/>
    <w:rsid w:val="00E531EB"/>
    <w:rsid w:val="00E53EFB"/>
    <w:rsid w:val="00E5417E"/>
    <w:rsid w:val="00E541A8"/>
    <w:rsid w:val="00E54794"/>
    <w:rsid w:val="00E5531A"/>
    <w:rsid w:val="00E57DFB"/>
    <w:rsid w:val="00E6027B"/>
    <w:rsid w:val="00E60EF7"/>
    <w:rsid w:val="00E62C2B"/>
    <w:rsid w:val="00E64DC1"/>
    <w:rsid w:val="00E6524D"/>
    <w:rsid w:val="00E671BD"/>
    <w:rsid w:val="00E67617"/>
    <w:rsid w:val="00E700DD"/>
    <w:rsid w:val="00E704A8"/>
    <w:rsid w:val="00E70E41"/>
    <w:rsid w:val="00E727F2"/>
    <w:rsid w:val="00E72D5C"/>
    <w:rsid w:val="00E73364"/>
    <w:rsid w:val="00E73B9C"/>
    <w:rsid w:val="00E73E81"/>
    <w:rsid w:val="00E747F7"/>
    <w:rsid w:val="00E74FE4"/>
    <w:rsid w:val="00E75915"/>
    <w:rsid w:val="00E767F0"/>
    <w:rsid w:val="00E76B3E"/>
    <w:rsid w:val="00E779D1"/>
    <w:rsid w:val="00E8039C"/>
    <w:rsid w:val="00E81AD5"/>
    <w:rsid w:val="00E8250B"/>
    <w:rsid w:val="00E82997"/>
    <w:rsid w:val="00E83C02"/>
    <w:rsid w:val="00E83E08"/>
    <w:rsid w:val="00E840CA"/>
    <w:rsid w:val="00E84101"/>
    <w:rsid w:val="00E84F06"/>
    <w:rsid w:val="00E851E7"/>
    <w:rsid w:val="00E85E29"/>
    <w:rsid w:val="00E86158"/>
    <w:rsid w:val="00E863C0"/>
    <w:rsid w:val="00E86E61"/>
    <w:rsid w:val="00E87C06"/>
    <w:rsid w:val="00E87D8E"/>
    <w:rsid w:val="00E90BFC"/>
    <w:rsid w:val="00E912A5"/>
    <w:rsid w:val="00E92551"/>
    <w:rsid w:val="00E92846"/>
    <w:rsid w:val="00E933F8"/>
    <w:rsid w:val="00E942A1"/>
    <w:rsid w:val="00E947C7"/>
    <w:rsid w:val="00E94984"/>
    <w:rsid w:val="00E94C4C"/>
    <w:rsid w:val="00E956D9"/>
    <w:rsid w:val="00E956DC"/>
    <w:rsid w:val="00EA018D"/>
    <w:rsid w:val="00EA083E"/>
    <w:rsid w:val="00EA0B42"/>
    <w:rsid w:val="00EA1101"/>
    <w:rsid w:val="00EA1573"/>
    <w:rsid w:val="00EA385D"/>
    <w:rsid w:val="00EA5684"/>
    <w:rsid w:val="00EA590D"/>
    <w:rsid w:val="00EA66B2"/>
    <w:rsid w:val="00EA7A67"/>
    <w:rsid w:val="00EA7B0B"/>
    <w:rsid w:val="00EB21C3"/>
    <w:rsid w:val="00EB2762"/>
    <w:rsid w:val="00EB2E6F"/>
    <w:rsid w:val="00EB31C1"/>
    <w:rsid w:val="00EB37E3"/>
    <w:rsid w:val="00EB3A19"/>
    <w:rsid w:val="00EB4283"/>
    <w:rsid w:val="00EB4FFF"/>
    <w:rsid w:val="00EB508A"/>
    <w:rsid w:val="00EB51BB"/>
    <w:rsid w:val="00EB59F5"/>
    <w:rsid w:val="00EB7F9A"/>
    <w:rsid w:val="00EC01B8"/>
    <w:rsid w:val="00EC0E7A"/>
    <w:rsid w:val="00EC1281"/>
    <w:rsid w:val="00EC1701"/>
    <w:rsid w:val="00EC195E"/>
    <w:rsid w:val="00EC1B77"/>
    <w:rsid w:val="00EC2686"/>
    <w:rsid w:val="00EC344D"/>
    <w:rsid w:val="00EC3A90"/>
    <w:rsid w:val="00EC3FD4"/>
    <w:rsid w:val="00EC5495"/>
    <w:rsid w:val="00EC59A3"/>
    <w:rsid w:val="00EC61A4"/>
    <w:rsid w:val="00EC6529"/>
    <w:rsid w:val="00EC7F44"/>
    <w:rsid w:val="00ED0697"/>
    <w:rsid w:val="00ED21A7"/>
    <w:rsid w:val="00ED2579"/>
    <w:rsid w:val="00ED2BF6"/>
    <w:rsid w:val="00ED3491"/>
    <w:rsid w:val="00ED3CDC"/>
    <w:rsid w:val="00ED47E2"/>
    <w:rsid w:val="00ED4E9D"/>
    <w:rsid w:val="00ED62C5"/>
    <w:rsid w:val="00ED66B3"/>
    <w:rsid w:val="00ED7455"/>
    <w:rsid w:val="00ED7E79"/>
    <w:rsid w:val="00EE0B9C"/>
    <w:rsid w:val="00EE124A"/>
    <w:rsid w:val="00EE1D4D"/>
    <w:rsid w:val="00EE3A17"/>
    <w:rsid w:val="00EE4426"/>
    <w:rsid w:val="00EE4AAF"/>
    <w:rsid w:val="00EE53CB"/>
    <w:rsid w:val="00EE5BB7"/>
    <w:rsid w:val="00EE5C25"/>
    <w:rsid w:val="00EE6EBA"/>
    <w:rsid w:val="00EE726C"/>
    <w:rsid w:val="00EF118A"/>
    <w:rsid w:val="00EF11D2"/>
    <w:rsid w:val="00EF1CF2"/>
    <w:rsid w:val="00EF1DF0"/>
    <w:rsid w:val="00EF549B"/>
    <w:rsid w:val="00EF5660"/>
    <w:rsid w:val="00EF5CA6"/>
    <w:rsid w:val="00EF6B41"/>
    <w:rsid w:val="00EF6E14"/>
    <w:rsid w:val="00EF7731"/>
    <w:rsid w:val="00EF78B8"/>
    <w:rsid w:val="00EF7B64"/>
    <w:rsid w:val="00EF7D45"/>
    <w:rsid w:val="00F02A10"/>
    <w:rsid w:val="00F02B7E"/>
    <w:rsid w:val="00F02BEB"/>
    <w:rsid w:val="00F02E7A"/>
    <w:rsid w:val="00F03073"/>
    <w:rsid w:val="00F03246"/>
    <w:rsid w:val="00F032F1"/>
    <w:rsid w:val="00F03918"/>
    <w:rsid w:val="00F0396B"/>
    <w:rsid w:val="00F05271"/>
    <w:rsid w:val="00F054A6"/>
    <w:rsid w:val="00F05952"/>
    <w:rsid w:val="00F05D43"/>
    <w:rsid w:val="00F06A34"/>
    <w:rsid w:val="00F07DDA"/>
    <w:rsid w:val="00F102A0"/>
    <w:rsid w:val="00F104B1"/>
    <w:rsid w:val="00F11053"/>
    <w:rsid w:val="00F11631"/>
    <w:rsid w:val="00F11952"/>
    <w:rsid w:val="00F11A10"/>
    <w:rsid w:val="00F11F64"/>
    <w:rsid w:val="00F13201"/>
    <w:rsid w:val="00F13444"/>
    <w:rsid w:val="00F13A49"/>
    <w:rsid w:val="00F13AB8"/>
    <w:rsid w:val="00F14D5B"/>
    <w:rsid w:val="00F154B2"/>
    <w:rsid w:val="00F1558A"/>
    <w:rsid w:val="00F15BF2"/>
    <w:rsid w:val="00F16C8C"/>
    <w:rsid w:val="00F1781F"/>
    <w:rsid w:val="00F17D79"/>
    <w:rsid w:val="00F17D99"/>
    <w:rsid w:val="00F20917"/>
    <w:rsid w:val="00F20C12"/>
    <w:rsid w:val="00F21C86"/>
    <w:rsid w:val="00F21DFF"/>
    <w:rsid w:val="00F230E5"/>
    <w:rsid w:val="00F23546"/>
    <w:rsid w:val="00F2387D"/>
    <w:rsid w:val="00F24C1D"/>
    <w:rsid w:val="00F25011"/>
    <w:rsid w:val="00F25B4D"/>
    <w:rsid w:val="00F2608F"/>
    <w:rsid w:val="00F269F3"/>
    <w:rsid w:val="00F27063"/>
    <w:rsid w:val="00F27B13"/>
    <w:rsid w:val="00F3117E"/>
    <w:rsid w:val="00F311BE"/>
    <w:rsid w:val="00F32196"/>
    <w:rsid w:val="00F326FB"/>
    <w:rsid w:val="00F3438D"/>
    <w:rsid w:val="00F34E46"/>
    <w:rsid w:val="00F362A5"/>
    <w:rsid w:val="00F36BC2"/>
    <w:rsid w:val="00F376F0"/>
    <w:rsid w:val="00F37F67"/>
    <w:rsid w:val="00F40B99"/>
    <w:rsid w:val="00F41CF3"/>
    <w:rsid w:val="00F41D74"/>
    <w:rsid w:val="00F428AD"/>
    <w:rsid w:val="00F43A25"/>
    <w:rsid w:val="00F44205"/>
    <w:rsid w:val="00F453BD"/>
    <w:rsid w:val="00F45554"/>
    <w:rsid w:val="00F460C3"/>
    <w:rsid w:val="00F4614A"/>
    <w:rsid w:val="00F468AF"/>
    <w:rsid w:val="00F47011"/>
    <w:rsid w:val="00F4784C"/>
    <w:rsid w:val="00F515B9"/>
    <w:rsid w:val="00F51C48"/>
    <w:rsid w:val="00F5221A"/>
    <w:rsid w:val="00F538B3"/>
    <w:rsid w:val="00F53E14"/>
    <w:rsid w:val="00F541D1"/>
    <w:rsid w:val="00F54414"/>
    <w:rsid w:val="00F544E5"/>
    <w:rsid w:val="00F56DCA"/>
    <w:rsid w:val="00F610EC"/>
    <w:rsid w:val="00F61451"/>
    <w:rsid w:val="00F623E7"/>
    <w:rsid w:val="00F64303"/>
    <w:rsid w:val="00F64D08"/>
    <w:rsid w:val="00F658CC"/>
    <w:rsid w:val="00F65E4C"/>
    <w:rsid w:val="00F65F8B"/>
    <w:rsid w:val="00F66F22"/>
    <w:rsid w:val="00F66F67"/>
    <w:rsid w:val="00F700D8"/>
    <w:rsid w:val="00F70524"/>
    <w:rsid w:val="00F71091"/>
    <w:rsid w:val="00F71858"/>
    <w:rsid w:val="00F71B79"/>
    <w:rsid w:val="00F73359"/>
    <w:rsid w:val="00F76007"/>
    <w:rsid w:val="00F806F1"/>
    <w:rsid w:val="00F81694"/>
    <w:rsid w:val="00F83753"/>
    <w:rsid w:val="00F838C3"/>
    <w:rsid w:val="00F83EB5"/>
    <w:rsid w:val="00F8428A"/>
    <w:rsid w:val="00F85344"/>
    <w:rsid w:val="00F85AFC"/>
    <w:rsid w:val="00F85E37"/>
    <w:rsid w:val="00F86527"/>
    <w:rsid w:val="00F872AC"/>
    <w:rsid w:val="00F9030D"/>
    <w:rsid w:val="00F90386"/>
    <w:rsid w:val="00F90635"/>
    <w:rsid w:val="00F913B4"/>
    <w:rsid w:val="00F921F3"/>
    <w:rsid w:val="00F934B6"/>
    <w:rsid w:val="00F94032"/>
    <w:rsid w:val="00F957C6"/>
    <w:rsid w:val="00F95C13"/>
    <w:rsid w:val="00F95C51"/>
    <w:rsid w:val="00F95F26"/>
    <w:rsid w:val="00F962C5"/>
    <w:rsid w:val="00F9640D"/>
    <w:rsid w:val="00F96510"/>
    <w:rsid w:val="00F9741B"/>
    <w:rsid w:val="00FA0886"/>
    <w:rsid w:val="00FA1865"/>
    <w:rsid w:val="00FA3E42"/>
    <w:rsid w:val="00FA4546"/>
    <w:rsid w:val="00FA46E9"/>
    <w:rsid w:val="00FA4A02"/>
    <w:rsid w:val="00FA7429"/>
    <w:rsid w:val="00FB082D"/>
    <w:rsid w:val="00FB0884"/>
    <w:rsid w:val="00FB0E4D"/>
    <w:rsid w:val="00FB12D2"/>
    <w:rsid w:val="00FB136F"/>
    <w:rsid w:val="00FB15A6"/>
    <w:rsid w:val="00FB1898"/>
    <w:rsid w:val="00FB1D68"/>
    <w:rsid w:val="00FB241A"/>
    <w:rsid w:val="00FB3123"/>
    <w:rsid w:val="00FB3663"/>
    <w:rsid w:val="00FB3CF0"/>
    <w:rsid w:val="00FB42B8"/>
    <w:rsid w:val="00FB4361"/>
    <w:rsid w:val="00FB44E7"/>
    <w:rsid w:val="00FB589D"/>
    <w:rsid w:val="00FB6270"/>
    <w:rsid w:val="00FB6966"/>
    <w:rsid w:val="00FB6E72"/>
    <w:rsid w:val="00FC01E6"/>
    <w:rsid w:val="00FC1DBD"/>
    <w:rsid w:val="00FC2111"/>
    <w:rsid w:val="00FC2B61"/>
    <w:rsid w:val="00FC3389"/>
    <w:rsid w:val="00FC454B"/>
    <w:rsid w:val="00FC48E8"/>
    <w:rsid w:val="00FC4BF1"/>
    <w:rsid w:val="00FC4ED0"/>
    <w:rsid w:val="00FC564F"/>
    <w:rsid w:val="00FC5CCA"/>
    <w:rsid w:val="00FC6626"/>
    <w:rsid w:val="00FD1895"/>
    <w:rsid w:val="00FD1F7F"/>
    <w:rsid w:val="00FD2573"/>
    <w:rsid w:val="00FD2C22"/>
    <w:rsid w:val="00FD3181"/>
    <w:rsid w:val="00FD4F54"/>
    <w:rsid w:val="00FD6660"/>
    <w:rsid w:val="00FD68AD"/>
    <w:rsid w:val="00FE09A5"/>
    <w:rsid w:val="00FE0B84"/>
    <w:rsid w:val="00FE10DB"/>
    <w:rsid w:val="00FE2C7F"/>
    <w:rsid w:val="00FE3270"/>
    <w:rsid w:val="00FE32D4"/>
    <w:rsid w:val="00FE3FC8"/>
    <w:rsid w:val="00FE3FCD"/>
    <w:rsid w:val="00FE6A1D"/>
    <w:rsid w:val="00FE6C9F"/>
    <w:rsid w:val="00FE775D"/>
    <w:rsid w:val="00FE7EB2"/>
    <w:rsid w:val="00FF00F9"/>
    <w:rsid w:val="00FF038B"/>
    <w:rsid w:val="00FF06AC"/>
    <w:rsid w:val="00FF07F7"/>
    <w:rsid w:val="00FF1E41"/>
    <w:rsid w:val="00FF3B39"/>
    <w:rsid w:val="00FF3FE5"/>
    <w:rsid w:val="00FF4141"/>
    <w:rsid w:val="00FF44DE"/>
    <w:rsid w:val="00FF4BFC"/>
    <w:rsid w:val="00FF4E68"/>
    <w:rsid w:val="00FF69C0"/>
    <w:rsid w:val="00FF7B54"/>
    <w:rsid w:val="011729BC"/>
    <w:rsid w:val="0128249A"/>
    <w:rsid w:val="012CE9CA"/>
    <w:rsid w:val="013F12BB"/>
    <w:rsid w:val="0157D9CB"/>
    <w:rsid w:val="017A8380"/>
    <w:rsid w:val="01AF2BA6"/>
    <w:rsid w:val="01B86E0C"/>
    <w:rsid w:val="01E65206"/>
    <w:rsid w:val="0233349F"/>
    <w:rsid w:val="025B02B0"/>
    <w:rsid w:val="02D010EA"/>
    <w:rsid w:val="02F09D0D"/>
    <w:rsid w:val="0314E407"/>
    <w:rsid w:val="032B4D9F"/>
    <w:rsid w:val="032C9F3F"/>
    <w:rsid w:val="033FBE0D"/>
    <w:rsid w:val="03C8CA46"/>
    <w:rsid w:val="03D48FA2"/>
    <w:rsid w:val="04AA9472"/>
    <w:rsid w:val="04FF8361"/>
    <w:rsid w:val="0547537A"/>
    <w:rsid w:val="05567543"/>
    <w:rsid w:val="0573823C"/>
    <w:rsid w:val="0575BACB"/>
    <w:rsid w:val="05DAEE6B"/>
    <w:rsid w:val="060F2827"/>
    <w:rsid w:val="062808DC"/>
    <w:rsid w:val="06ADEC93"/>
    <w:rsid w:val="07140527"/>
    <w:rsid w:val="074444AF"/>
    <w:rsid w:val="076007E2"/>
    <w:rsid w:val="079B3BB4"/>
    <w:rsid w:val="07C6A7FF"/>
    <w:rsid w:val="07E51D53"/>
    <w:rsid w:val="081A55F2"/>
    <w:rsid w:val="082154DB"/>
    <w:rsid w:val="082401C8"/>
    <w:rsid w:val="08675CF4"/>
    <w:rsid w:val="086C4826"/>
    <w:rsid w:val="089920E0"/>
    <w:rsid w:val="08E92075"/>
    <w:rsid w:val="08FD37E0"/>
    <w:rsid w:val="091CD0D5"/>
    <w:rsid w:val="0952BFBB"/>
    <w:rsid w:val="0952E05E"/>
    <w:rsid w:val="09C71FF1"/>
    <w:rsid w:val="09C88989"/>
    <w:rsid w:val="09E57D09"/>
    <w:rsid w:val="09E9D649"/>
    <w:rsid w:val="0A0A1AD4"/>
    <w:rsid w:val="0A222B92"/>
    <w:rsid w:val="0A635DC1"/>
    <w:rsid w:val="0A8ABA18"/>
    <w:rsid w:val="0ACF1955"/>
    <w:rsid w:val="0AE7BFD4"/>
    <w:rsid w:val="0BDC0485"/>
    <w:rsid w:val="0BEAC4E3"/>
    <w:rsid w:val="0C1CDFA7"/>
    <w:rsid w:val="0C1ED4F2"/>
    <w:rsid w:val="0C8D2BA4"/>
    <w:rsid w:val="0C99789F"/>
    <w:rsid w:val="0CB26A3C"/>
    <w:rsid w:val="0CC51264"/>
    <w:rsid w:val="0CC68B1D"/>
    <w:rsid w:val="0D14BB5B"/>
    <w:rsid w:val="0D28275F"/>
    <w:rsid w:val="0D33177A"/>
    <w:rsid w:val="0D4B00F0"/>
    <w:rsid w:val="0D6C735C"/>
    <w:rsid w:val="0DC9916F"/>
    <w:rsid w:val="0DFFD034"/>
    <w:rsid w:val="0E1C35DB"/>
    <w:rsid w:val="0E428370"/>
    <w:rsid w:val="0E5880F6"/>
    <w:rsid w:val="0E65C3F6"/>
    <w:rsid w:val="0E8A4BC9"/>
    <w:rsid w:val="0EAA5430"/>
    <w:rsid w:val="0EC5BD77"/>
    <w:rsid w:val="0EC7BB48"/>
    <w:rsid w:val="0EDB7D65"/>
    <w:rsid w:val="0F298BD7"/>
    <w:rsid w:val="0F3D0C2A"/>
    <w:rsid w:val="0F575C9E"/>
    <w:rsid w:val="0F9A13F8"/>
    <w:rsid w:val="0FA19017"/>
    <w:rsid w:val="0FC4998D"/>
    <w:rsid w:val="10086592"/>
    <w:rsid w:val="100D56F4"/>
    <w:rsid w:val="10221222"/>
    <w:rsid w:val="1024D6D3"/>
    <w:rsid w:val="1081FC8C"/>
    <w:rsid w:val="10D44628"/>
    <w:rsid w:val="10F5D0BB"/>
    <w:rsid w:val="114DB577"/>
    <w:rsid w:val="1176C00E"/>
    <w:rsid w:val="1184E0CE"/>
    <w:rsid w:val="11D9FD27"/>
    <w:rsid w:val="125E82DF"/>
    <w:rsid w:val="125F07B7"/>
    <w:rsid w:val="12A30BA3"/>
    <w:rsid w:val="12A7D78F"/>
    <w:rsid w:val="12AF230B"/>
    <w:rsid w:val="12B034BF"/>
    <w:rsid w:val="12D6B72A"/>
    <w:rsid w:val="1303E25B"/>
    <w:rsid w:val="1311602D"/>
    <w:rsid w:val="133FB868"/>
    <w:rsid w:val="13F63BE9"/>
    <w:rsid w:val="13FBA2FA"/>
    <w:rsid w:val="14358E66"/>
    <w:rsid w:val="148ECCD5"/>
    <w:rsid w:val="14A1DF55"/>
    <w:rsid w:val="14AFBA35"/>
    <w:rsid w:val="14C065FC"/>
    <w:rsid w:val="14DCAC63"/>
    <w:rsid w:val="14FA19A7"/>
    <w:rsid w:val="14FED10D"/>
    <w:rsid w:val="15007E73"/>
    <w:rsid w:val="15048045"/>
    <w:rsid w:val="15165DFF"/>
    <w:rsid w:val="15569A9A"/>
    <w:rsid w:val="158CB8AA"/>
    <w:rsid w:val="15A4DB7F"/>
    <w:rsid w:val="15BCC90A"/>
    <w:rsid w:val="15D3997E"/>
    <w:rsid w:val="15DE97C5"/>
    <w:rsid w:val="15E4490D"/>
    <w:rsid w:val="15EB17EC"/>
    <w:rsid w:val="1624FD81"/>
    <w:rsid w:val="163CFA30"/>
    <w:rsid w:val="1653BFA5"/>
    <w:rsid w:val="16564099"/>
    <w:rsid w:val="167983A0"/>
    <w:rsid w:val="16BDA3A6"/>
    <w:rsid w:val="1710C021"/>
    <w:rsid w:val="1749066B"/>
    <w:rsid w:val="174BE881"/>
    <w:rsid w:val="176090BB"/>
    <w:rsid w:val="17AFA032"/>
    <w:rsid w:val="17DB519C"/>
    <w:rsid w:val="17EEBA50"/>
    <w:rsid w:val="17FA9792"/>
    <w:rsid w:val="180C9336"/>
    <w:rsid w:val="181FD410"/>
    <w:rsid w:val="184F7F59"/>
    <w:rsid w:val="186E35D3"/>
    <w:rsid w:val="187DC6AA"/>
    <w:rsid w:val="19037F80"/>
    <w:rsid w:val="1903F508"/>
    <w:rsid w:val="1919143D"/>
    <w:rsid w:val="194255A2"/>
    <w:rsid w:val="1985A402"/>
    <w:rsid w:val="1997CA5C"/>
    <w:rsid w:val="19CEA7F2"/>
    <w:rsid w:val="19FCC3FB"/>
    <w:rsid w:val="1A1C1D55"/>
    <w:rsid w:val="1B11C636"/>
    <w:rsid w:val="1B5AAD62"/>
    <w:rsid w:val="1B5F02C2"/>
    <w:rsid w:val="1B7E9EEF"/>
    <w:rsid w:val="1B907B16"/>
    <w:rsid w:val="1BA45D08"/>
    <w:rsid w:val="1BA52D9E"/>
    <w:rsid w:val="1BB3D85E"/>
    <w:rsid w:val="1BC6E8F5"/>
    <w:rsid w:val="1BFFDE1E"/>
    <w:rsid w:val="1C144F2C"/>
    <w:rsid w:val="1C14F1BB"/>
    <w:rsid w:val="1C15F9BC"/>
    <w:rsid w:val="1CD15133"/>
    <w:rsid w:val="1CE109E4"/>
    <w:rsid w:val="1CF4CD13"/>
    <w:rsid w:val="1D08FC23"/>
    <w:rsid w:val="1D11E49C"/>
    <w:rsid w:val="1D4ADF03"/>
    <w:rsid w:val="1DC6BE80"/>
    <w:rsid w:val="1DCC114F"/>
    <w:rsid w:val="1DD2BAA5"/>
    <w:rsid w:val="1E0EDF79"/>
    <w:rsid w:val="1E368D4A"/>
    <w:rsid w:val="1EB5680D"/>
    <w:rsid w:val="1EC592EA"/>
    <w:rsid w:val="1F086920"/>
    <w:rsid w:val="1F0E87C8"/>
    <w:rsid w:val="1F278405"/>
    <w:rsid w:val="1F2B4A48"/>
    <w:rsid w:val="1F40061F"/>
    <w:rsid w:val="1F4AC9A8"/>
    <w:rsid w:val="1F56A576"/>
    <w:rsid w:val="1FA2E5DB"/>
    <w:rsid w:val="1FBFF530"/>
    <w:rsid w:val="1FC93D43"/>
    <w:rsid w:val="1FEAC11A"/>
    <w:rsid w:val="1FEF1217"/>
    <w:rsid w:val="20091D57"/>
    <w:rsid w:val="2029C851"/>
    <w:rsid w:val="2048CE2D"/>
    <w:rsid w:val="20667B8E"/>
    <w:rsid w:val="2097602D"/>
    <w:rsid w:val="20BCED68"/>
    <w:rsid w:val="20C64E32"/>
    <w:rsid w:val="20C7AB7F"/>
    <w:rsid w:val="20D431C3"/>
    <w:rsid w:val="20F15E7E"/>
    <w:rsid w:val="2120BB8F"/>
    <w:rsid w:val="21363E16"/>
    <w:rsid w:val="213708B9"/>
    <w:rsid w:val="2155C965"/>
    <w:rsid w:val="215BC40A"/>
    <w:rsid w:val="218DC4D0"/>
    <w:rsid w:val="21970755"/>
    <w:rsid w:val="21CB39A4"/>
    <w:rsid w:val="21D373A5"/>
    <w:rsid w:val="226C3EFB"/>
    <w:rsid w:val="227594DF"/>
    <w:rsid w:val="22A61AE0"/>
    <w:rsid w:val="22B3018A"/>
    <w:rsid w:val="22C4D555"/>
    <w:rsid w:val="230C9A76"/>
    <w:rsid w:val="231ED352"/>
    <w:rsid w:val="232BFD28"/>
    <w:rsid w:val="23602A48"/>
    <w:rsid w:val="2377A594"/>
    <w:rsid w:val="23E89FA7"/>
    <w:rsid w:val="23F1FA10"/>
    <w:rsid w:val="23F386B0"/>
    <w:rsid w:val="23F3E31A"/>
    <w:rsid w:val="2407031A"/>
    <w:rsid w:val="241DC466"/>
    <w:rsid w:val="2440EA2F"/>
    <w:rsid w:val="244562E9"/>
    <w:rsid w:val="245F9ECC"/>
    <w:rsid w:val="2460BE67"/>
    <w:rsid w:val="246DE8C6"/>
    <w:rsid w:val="246F0432"/>
    <w:rsid w:val="24F7D19A"/>
    <w:rsid w:val="2514880C"/>
    <w:rsid w:val="251AA4AC"/>
    <w:rsid w:val="258A3612"/>
    <w:rsid w:val="258ACD44"/>
    <w:rsid w:val="25A6F5CB"/>
    <w:rsid w:val="260FD433"/>
    <w:rsid w:val="26525C07"/>
    <w:rsid w:val="26AA3F20"/>
    <w:rsid w:val="26C3C5F6"/>
    <w:rsid w:val="26CEBD28"/>
    <w:rsid w:val="26D73973"/>
    <w:rsid w:val="2749AAD5"/>
    <w:rsid w:val="274F4A01"/>
    <w:rsid w:val="27A097D5"/>
    <w:rsid w:val="27B768D8"/>
    <w:rsid w:val="28149ED0"/>
    <w:rsid w:val="281AB020"/>
    <w:rsid w:val="2865F382"/>
    <w:rsid w:val="2870DB8E"/>
    <w:rsid w:val="2878924D"/>
    <w:rsid w:val="2879B51A"/>
    <w:rsid w:val="287F29E2"/>
    <w:rsid w:val="288D2A17"/>
    <w:rsid w:val="29387BB1"/>
    <w:rsid w:val="2974CC39"/>
    <w:rsid w:val="2999D33C"/>
    <w:rsid w:val="29C1630E"/>
    <w:rsid w:val="29C343AE"/>
    <w:rsid w:val="29F0D52A"/>
    <w:rsid w:val="2A27587E"/>
    <w:rsid w:val="2A2A19CD"/>
    <w:rsid w:val="2A46EE41"/>
    <w:rsid w:val="2A532033"/>
    <w:rsid w:val="2A93DEBA"/>
    <w:rsid w:val="2AA82240"/>
    <w:rsid w:val="2AE95BB7"/>
    <w:rsid w:val="2B67EB3D"/>
    <w:rsid w:val="2B6E6883"/>
    <w:rsid w:val="2B788A5E"/>
    <w:rsid w:val="2B8B6075"/>
    <w:rsid w:val="2BCA071B"/>
    <w:rsid w:val="2C09FA2D"/>
    <w:rsid w:val="2C15E769"/>
    <w:rsid w:val="2C25BBD8"/>
    <w:rsid w:val="2C363179"/>
    <w:rsid w:val="2CA458D4"/>
    <w:rsid w:val="2CBF655F"/>
    <w:rsid w:val="2CD62C2C"/>
    <w:rsid w:val="2CE8B98D"/>
    <w:rsid w:val="2CF5E7FA"/>
    <w:rsid w:val="2CFBF78B"/>
    <w:rsid w:val="2D6E5706"/>
    <w:rsid w:val="2D8202E1"/>
    <w:rsid w:val="2D88E618"/>
    <w:rsid w:val="2D999240"/>
    <w:rsid w:val="2DCC6B03"/>
    <w:rsid w:val="2DCD0ED0"/>
    <w:rsid w:val="2DD8DE17"/>
    <w:rsid w:val="2DEDDB82"/>
    <w:rsid w:val="2E14F55A"/>
    <w:rsid w:val="2E4BE1F8"/>
    <w:rsid w:val="2E4D3A87"/>
    <w:rsid w:val="2E717146"/>
    <w:rsid w:val="2EB22974"/>
    <w:rsid w:val="2EB8C8E4"/>
    <w:rsid w:val="2EB90531"/>
    <w:rsid w:val="2EBA6EB4"/>
    <w:rsid w:val="2EDEEB9F"/>
    <w:rsid w:val="2EF7A30C"/>
    <w:rsid w:val="2F0F1F96"/>
    <w:rsid w:val="2F133BBB"/>
    <w:rsid w:val="2F33184A"/>
    <w:rsid w:val="2F439AF5"/>
    <w:rsid w:val="2FB6474A"/>
    <w:rsid w:val="2FEA201E"/>
    <w:rsid w:val="2FEF023C"/>
    <w:rsid w:val="301DD1BD"/>
    <w:rsid w:val="307DB0FE"/>
    <w:rsid w:val="310BF32B"/>
    <w:rsid w:val="311633E0"/>
    <w:rsid w:val="3130F81B"/>
    <w:rsid w:val="3134B0DA"/>
    <w:rsid w:val="314227C5"/>
    <w:rsid w:val="314ABAF4"/>
    <w:rsid w:val="3176E088"/>
    <w:rsid w:val="31838B54"/>
    <w:rsid w:val="31C21D58"/>
    <w:rsid w:val="31CAACF3"/>
    <w:rsid w:val="320F9C71"/>
    <w:rsid w:val="32166D2D"/>
    <w:rsid w:val="32390CBA"/>
    <w:rsid w:val="3256D6CB"/>
    <w:rsid w:val="3257C787"/>
    <w:rsid w:val="326C0F2E"/>
    <w:rsid w:val="329477C8"/>
    <w:rsid w:val="32C290B3"/>
    <w:rsid w:val="33148F1C"/>
    <w:rsid w:val="3334D679"/>
    <w:rsid w:val="33436A98"/>
    <w:rsid w:val="3367F338"/>
    <w:rsid w:val="33B603DA"/>
    <w:rsid w:val="33E51CA6"/>
    <w:rsid w:val="340CFEE5"/>
    <w:rsid w:val="343CD970"/>
    <w:rsid w:val="34A84BCF"/>
    <w:rsid w:val="34B5EA7D"/>
    <w:rsid w:val="34BC25A7"/>
    <w:rsid w:val="34EC85F7"/>
    <w:rsid w:val="351803CC"/>
    <w:rsid w:val="353D3563"/>
    <w:rsid w:val="358EF2F9"/>
    <w:rsid w:val="35D61520"/>
    <w:rsid w:val="35EDA0FF"/>
    <w:rsid w:val="361004D5"/>
    <w:rsid w:val="3639E243"/>
    <w:rsid w:val="36D67480"/>
    <w:rsid w:val="36DA1FEC"/>
    <w:rsid w:val="36EC49D0"/>
    <w:rsid w:val="370D1FDE"/>
    <w:rsid w:val="373DCC24"/>
    <w:rsid w:val="374995B0"/>
    <w:rsid w:val="37623500"/>
    <w:rsid w:val="37D66CE2"/>
    <w:rsid w:val="37F4644C"/>
    <w:rsid w:val="38068405"/>
    <w:rsid w:val="384623DA"/>
    <w:rsid w:val="385FEC7F"/>
    <w:rsid w:val="3877CD0B"/>
    <w:rsid w:val="388B21FD"/>
    <w:rsid w:val="39140709"/>
    <w:rsid w:val="39358119"/>
    <w:rsid w:val="39484F20"/>
    <w:rsid w:val="3953ECDB"/>
    <w:rsid w:val="39B26F48"/>
    <w:rsid w:val="39C6DC1F"/>
    <w:rsid w:val="39C736BF"/>
    <w:rsid w:val="39CABD15"/>
    <w:rsid w:val="39CE231A"/>
    <w:rsid w:val="3A0F1765"/>
    <w:rsid w:val="3A33102E"/>
    <w:rsid w:val="3A3F4FFE"/>
    <w:rsid w:val="3A6E419C"/>
    <w:rsid w:val="3A808797"/>
    <w:rsid w:val="3AAB16A1"/>
    <w:rsid w:val="3AFFE0D7"/>
    <w:rsid w:val="3B023921"/>
    <w:rsid w:val="3B029239"/>
    <w:rsid w:val="3B14F2B1"/>
    <w:rsid w:val="3B2E0DFF"/>
    <w:rsid w:val="3B444E45"/>
    <w:rsid w:val="3BAB5452"/>
    <w:rsid w:val="3C171E66"/>
    <w:rsid w:val="3C347F95"/>
    <w:rsid w:val="3C611C79"/>
    <w:rsid w:val="3C6C7C4A"/>
    <w:rsid w:val="3C6FD384"/>
    <w:rsid w:val="3C7E412D"/>
    <w:rsid w:val="3C9F8A09"/>
    <w:rsid w:val="3CA63BED"/>
    <w:rsid w:val="3CA6AEA2"/>
    <w:rsid w:val="3CD9AF49"/>
    <w:rsid w:val="3CF41D41"/>
    <w:rsid w:val="3D094157"/>
    <w:rsid w:val="3D463B21"/>
    <w:rsid w:val="3D6AB80F"/>
    <w:rsid w:val="3D9BA6CD"/>
    <w:rsid w:val="3DBB2EB1"/>
    <w:rsid w:val="3DC1C854"/>
    <w:rsid w:val="3DDF96F5"/>
    <w:rsid w:val="3DF263FF"/>
    <w:rsid w:val="3E83F1E4"/>
    <w:rsid w:val="3EA855ED"/>
    <w:rsid w:val="3EAC7335"/>
    <w:rsid w:val="3ED120B7"/>
    <w:rsid w:val="3F15DB80"/>
    <w:rsid w:val="3F243940"/>
    <w:rsid w:val="3F42EC7C"/>
    <w:rsid w:val="3F675779"/>
    <w:rsid w:val="3FA4A58E"/>
    <w:rsid w:val="3FB9CD64"/>
    <w:rsid w:val="3FC23C21"/>
    <w:rsid w:val="3FFF3854"/>
    <w:rsid w:val="40182001"/>
    <w:rsid w:val="401A9F12"/>
    <w:rsid w:val="40281E3E"/>
    <w:rsid w:val="40413ADC"/>
    <w:rsid w:val="4094CD2F"/>
    <w:rsid w:val="40D300C3"/>
    <w:rsid w:val="40F52CF0"/>
    <w:rsid w:val="412178D8"/>
    <w:rsid w:val="413D8056"/>
    <w:rsid w:val="41408DE4"/>
    <w:rsid w:val="41E4EBEE"/>
    <w:rsid w:val="41EF33E7"/>
    <w:rsid w:val="41F1F130"/>
    <w:rsid w:val="4206C31D"/>
    <w:rsid w:val="4239FA8E"/>
    <w:rsid w:val="424D0356"/>
    <w:rsid w:val="425B4572"/>
    <w:rsid w:val="42785D1C"/>
    <w:rsid w:val="42BDD324"/>
    <w:rsid w:val="42BE1330"/>
    <w:rsid w:val="42D0EDFF"/>
    <w:rsid w:val="42E5BC4C"/>
    <w:rsid w:val="432CF29F"/>
    <w:rsid w:val="4387AFCA"/>
    <w:rsid w:val="43929105"/>
    <w:rsid w:val="4393B2AA"/>
    <w:rsid w:val="43EDF6BB"/>
    <w:rsid w:val="441EF141"/>
    <w:rsid w:val="4428275F"/>
    <w:rsid w:val="445811E6"/>
    <w:rsid w:val="44A81429"/>
    <w:rsid w:val="44C87002"/>
    <w:rsid w:val="44C9FDDD"/>
    <w:rsid w:val="45934EF1"/>
    <w:rsid w:val="45E638FD"/>
    <w:rsid w:val="461CBADB"/>
    <w:rsid w:val="46342DA0"/>
    <w:rsid w:val="464E3329"/>
    <w:rsid w:val="466DC2DE"/>
    <w:rsid w:val="4674D5B3"/>
    <w:rsid w:val="4691396C"/>
    <w:rsid w:val="46ADC91B"/>
    <w:rsid w:val="46BD4253"/>
    <w:rsid w:val="46F1191C"/>
    <w:rsid w:val="4706F5F5"/>
    <w:rsid w:val="4730335A"/>
    <w:rsid w:val="473ABAC9"/>
    <w:rsid w:val="475C61C2"/>
    <w:rsid w:val="4770BE7C"/>
    <w:rsid w:val="47BFD2E1"/>
    <w:rsid w:val="47DEDFFB"/>
    <w:rsid w:val="47F4D163"/>
    <w:rsid w:val="485CF3DF"/>
    <w:rsid w:val="48E51357"/>
    <w:rsid w:val="48F9AB20"/>
    <w:rsid w:val="49315C22"/>
    <w:rsid w:val="49442BB7"/>
    <w:rsid w:val="49578F1A"/>
    <w:rsid w:val="495D6D78"/>
    <w:rsid w:val="499A3FFF"/>
    <w:rsid w:val="499CFE62"/>
    <w:rsid w:val="499ECE19"/>
    <w:rsid w:val="49ACC1EB"/>
    <w:rsid w:val="49E20071"/>
    <w:rsid w:val="49F53131"/>
    <w:rsid w:val="49FFC7BD"/>
    <w:rsid w:val="4A0B4DA2"/>
    <w:rsid w:val="4A4556F4"/>
    <w:rsid w:val="4A4EEA23"/>
    <w:rsid w:val="4A6719AE"/>
    <w:rsid w:val="4A79EAA4"/>
    <w:rsid w:val="4AA9187F"/>
    <w:rsid w:val="4ACC6146"/>
    <w:rsid w:val="4AE52A9E"/>
    <w:rsid w:val="4B1AC660"/>
    <w:rsid w:val="4B4A9A3B"/>
    <w:rsid w:val="4BBC2FF5"/>
    <w:rsid w:val="4BD73FEA"/>
    <w:rsid w:val="4BDE12E8"/>
    <w:rsid w:val="4C3351B5"/>
    <w:rsid w:val="4C33FC01"/>
    <w:rsid w:val="4C593581"/>
    <w:rsid w:val="4C5E1237"/>
    <w:rsid w:val="4C75C89F"/>
    <w:rsid w:val="4C99A9C4"/>
    <w:rsid w:val="4CCF7025"/>
    <w:rsid w:val="4CD8FA8B"/>
    <w:rsid w:val="4CDBFCBE"/>
    <w:rsid w:val="4CEFD264"/>
    <w:rsid w:val="4D4399CE"/>
    <w:rsid w:val="4D6A2211"/>
    <w:rsid w:val="4D8E6EFB"/>
    <w:rsid w:val="4DABB331"/>
    <w:rsid w:val="4E1B353D"/>
    <w:rsid w:val="4E428BC4"/>
    <w:rsid w:val="4E4CAD8C"/>
    <w:rsid w:val="4E76BEB4"/>
    <w:rsid w:val="4EAEC15B"/>
    <w:rsid w:val="4EBA78FA"/>
    <w:rsid w:val="4EC68586"/>
    <w:rsid w:val="4EEAACBD"/>
    <w:rsid w:val="4F03AFB3"/>
    <w:rsid w:val="4F101D84"/>
    <w:rsid w:val="4F6183C4"/>
    <w:rsid w:val="4FE39CF7"/>
    <w:rsid w:val="50394953"/>
    <w:rsid w:val="50414D2D"/>
    <w:rsid w:val="508C33C0"/>
    <w:rsid w:val="50CF34D1"/>
    <w:rsid w:val="511EE900"/>
    <w:rsid w:val="513C6D8F"/>
    <w:rsid w:val="5183B518"/>
    <w:rsid w:val="519D3E74"/>
    <w:rsid w:val="51A5D0DB"/>
    <w:rsid w:val="51A62921"/>
    <w:rsid w:val="51A6E34A"/>
    <w:rsid w:val="51C88483"/>
    <w:rsid w:val="51D0695D"/>
    <w:rsid w:val="51F5F5E9"/>
    <w:rsid w:val="5206BDA1"/>
    <w:rsid w:val="52534344"/>
    <w:rsid w:val="52892A65"/>
    <w:rsid w:val="529C47BE"/>
    <w:rsid w:val="52E17352"/>
    <w:rsid w:val="52E70967"/>
    <w:rsid w:val="52F38E46"/>
    <w:rsid w:val="53054E29"/>
    <w:rsid w:val="5354D7BC"/>
    <w:rsid w:val="536DFB2B"/>
    <w:rsid w:val="5377808E"/>
    <w:rsid w:val="537D664E"/>
    <w:rsid w:val="539C77AA"/>
    <w:rsid w:val="53A6ED35"/>
    <w:rsid w:val="53BF6C63"/>
    <w:rsid w:val="53F6FE66"/>
    <w:rsid w:val="5472C413"/>
    <w:rsid w:val="54930807"/>
    <w:rsid w:val="549B52BC"/>
    <w:rsid w:val="54F21FDB"/>
    <w:rsid w:val="551A9AC7"/>
    <w:rsid w:val="55565B5A"/>
    <w:rsid w:val="555F807F"/>
    <w:rsid w:val="55753B03"/>
    <w:rsid w:val="55C19FF8"/>
    <w:rsid w:val="55D43116"/>
    <w:rsid w:val="55FB22DA"/>
    <w:rsid w:val="56124F67"/>
    <w:rsid w:val="56128569"/>
    <w:rsid w:val="569E1984"/>
    <w:rsid w:val="56A50BEE"/>
    <w:rsid w:val="56AF6DCB"/>
    <w:rsid w:val="56EF3E02"/>
    <w:rsid w:val="56F6CA70"/>
    <w:rsid w:val="57073D7B"/>
    <w:rsid w:val="572768AA"/>
    <w:rsid w:val="576C4B60"/>
    <w:rsid w:val="5780DEEC"/>
    <w:rsid w:val="57D8E03B"/>
    <w:rsid w:val="57E27CEC"/>
    <w:rsid w:val="57EBCF68"/>
    <w:rsid w:val="57F861BE"/>
    <w:rsid w:val="5815E9B5"/>
    <w:rsid w:val="585BB0DA"/>
    <w:rsid w:val="5863E881"/>
    <w:rsid w:val="5867241C"/>
    <w:rsid w:val="587F608B"/>
    <w:rsid w:val="587FE498"/>
    <w:rsid w:val="58961751"/>
    <w:rsid w:val="58B5C6A5"/>
    <w:rsid w:val="58D4C269"/>
    <w:rsid w:val="58F25E14"/>
    <w:rsid w:val="592ED424"/>
    <w:rsid w:val="59425B6C"/>
    <w:rsid w:val="5953146E"/>
    <w:rsid w:val="59675430"/>
    <w:rsid w:val="597747D7"/>
    <w:rsid w:val="59D98832"/>
    <w:rsid w:val="5AEC22FF"/>
    <w:rsid w:val="5B1D1B88"/>
    <w:rsid w:val="5B21742D"/>
    <w:rsid w:val="5B2B5C6A"/>
    <w:rsid w:val="5B3448B6"/>
    <w:rsid w:val="5B4A0A1B"/>
    <w:rsid w:val="5B6F2E56"/>
    <w:rsid w:val="5B725FBB"/>
    <w:rsid w:val="5BC73E83"/>
    <w:rsid w:val="5BFB40C7"/>
    <w:rsid w:val="5C23E9A3"/>
    <w:rsid w:val="5C5CAF9E"/>
    <w:rsid w:val="5C5E2259"/>
    <w:rsid w:val="5C7940EB"/>
    <w:rsid w:val="5CF0F894"/>
    <w:rsid w:val="5D160450"/>
    <w:rsid w:val="5D3BE084"/>
    <w:rsid w:val="5D4EAAAC"/>
    <w:rsid w:val="5D523F04"/>
    <w:rsid w:val="5DD7026D"/>
    <w:rsid w:val="5E635FE0"/>
    <w:rsid w:val="5E857A8D"/>
    <w:rsid w:val="5ED71A99"/>
    <w:rsid w:val="5EE9541B"/>
    <w:rsid w:val="5F109914"/>
    <w:rsid w:val="5F1615B0"/>
    <w:rsid w:val="5F276CA3"/>
    <w:rsid w:val="5F46CC22"/>
    <w:rsid w:val="5FB0433E"/>
    <w:rsid w:val="5FBB3634"/>
    <w:rsid w:val="5FFD9743"/>
    <w:rsid w:val="6015844F"/>
    <w:rsid w:val="6035DA7A"/>
    <w:rsid w:val="6052F999"/>
    <w:rsid w:val="605AAB3B"/>
    <w:rsid w:val="6063D8BB"/>
    <w:rsid w:val="60724A28"/>
    <w:rsid w:val="60943C72"/>
    <w:rsid w:val="610D1A1E"/>
    <w:rsid w:val="6157B66A"/>
    <w:rsid w:val="6160CD42"/>
    <w:rsid w:val="6174CD64"/>
    <w:rsid w:val="6190E42F"/>
    <w:rsid w:val="619C2499"/>
    <w:rsid w:val="61A8C133"/>
    <w:rsid w:val="61B85B8E"/>
    <w:rsid w:val="61C2A713"/>
    <w:rsid w:val="61D4E8C9"/>
    <w:rsid w:val="62A8404C"/>
    <w:rsid w:val="62B19A67"/>
    <w:rsid w:val="62E3450D"/>
    <w:rsid w:val="6313D9EB"/>
    <w:rsid w:val="631934CA"/>
    <w:rsid w:val="63715AAC"/>
    <w:rsid w:val="63792CD0"/>
    <w:rsid w:val="63AE3129"/>
    <w:rsid w:val="63BBF13F"/>
    <w:rsid w:val="63BE54CA"/>
    <w:rsid w:val="63D34F66"/>
    <w:rsid w:val="63E9D1EF"/>
    <w:rsid w:val="6432460D"/>
    <w:rsid w:val="645B44D3"/>
    <w:rsid w:val="6464EC07"/>
    <w:rsid w:val="64837267"/>
    <w:rsid w:val="648789E1"/>
    <w:rsid w:val="64BEFCED"/>
    <w:rsid w:val="64BF1714"/>
    <w:rsid w:val="64C44BFE"/>
    <w:rsid w:val="64D263FC"/>
    <w:rsid w:val="6523B3E0"/>
    <w:rsid w:val="65345DC7"/>
    <w:rsid w:val="6550DC0F"/>
    <w:rsid w:val="65A7158A"/>
    <w:rsid w:val="65B58143"/>
    <w:rsid w:val="65BC402E"/>
    <w:rsid w:val="65D0FC8B"/>
    <w:rsid w:val="66168F70"/>
    <w:rsid w:val="66370D83"/>
    <w:rsid w:val="66375EEF"/>
    <w:rsid w:val="663B484D"/>
    <w:rsid w:val="66452629"/>
    <w:rsid w:val="66643B57"/>
    <w:rsid w:val="666F9B02"/>
    <w:rsid w:val="667AAE43"/>
    <w:rsid w:val="67E7F3A0"/>
    <w:rsid w:val="67E9CB50"/>
    <w:rsid w:val="68332644"/>
    <w:rsid w:val="685067C5"/>
    <w:rsid w:val="6886C127"/>
    <w:rsid w:val="688C70E0"/>
    <w:rsid w:val="6896462B"/>
    <w:rsid w:val="68EEBBE5"/>
    <w:rsid w:val="696684C5"/>
    <w:rsid w:val="69A41D5D"/>
    <w:rsid w:val="69EF96AE"/>
    <w:rsid w:val="6A4C2F76"/>
    <w:rsid w:val="6A51B0E7"/>
    <w:rsid w:val="6A559942"/>
    <w:rsid w:val="6A60B8EC"/>
    <w:rsid w:val="6A6CD991"/>
    <w:rsid w:val="6A6FC2FF"/>
    <w:rsid w:val="6A737EE1"/>
    <w:rsid w:val="6AB70DEA"/>
    <w:rsid w:val="6AE3DDA7"/>
    <w:rsid w:val="6AE4ACA3"/>
    <w:rsid w:val="6B034BD3"/>
    <w:rsid w:val="6B39B669"/>
    <w:rsid w:val="6B3D7C6E"/>
    <w:rsid w:val="6B46F5B5"/>
    <w:rsid w:val="6B8B83DD"/>
    <w:rsid w:val="6B8C9E34"/>
    <w:rsid w:val="6BB35B5E"/>
    <w:rsid w:val="6C86F938"/>
    <w:rsid w:val="6CAE6E63"/>
    <w:rsid w:val="6D0CEA19"/>
    <w:rsid w:val="6D1D8799"/>
    <w:rsid w:val="6D5BD896"/>
    <w:rsid w:val="6D5FD215"/>
    <w:rsid w:val="6D60DA36"/>
    <w:rsid w:val="6D6174A3"/>
    <w:rsid w:val="6DF541C1"/>
    <w:rsid w:val="6E35AA15"/>
    <w:rsid w:val="6E6B184F"/>
    <w:rsid w:val="6E6BB8FA"/>
    <w:rsid w:val="6E7279B3"/>
    <w:rsid w:val="6E87CEF8"/>
    <w:rsid w:val="6EB0B672"/>
    <w:rsid w:val="6EB266B0"/>
    <w:rsid w:val="6EE35ABD"/>
    <w:rsid w:val="6EF70A62"/>
    <w:rsid w:val="6F1DD511"/>
    <w:rsid w:val="6F37BDB7"/>
    <w:rsid w:val="6F57D2F6"/>
    <w:rsid w:val="6F6CF593"/>
    <w:rsid w:val="6F86872A"/>
    <w:rsid w:val="6F8D7E83"/>
    <w:rsid w:val="6FA28B71"/>
    <w:rsid w:val="7015C4DC"/>
    <w:rsid w:val="70466717"/>
    <w:rsid w:val="7059C441"/>
    <w:rsid w:val="707A3A85"/>
    <w:rsid w:val="708A1354"/>
    <w:rsid w:val="70AF9A06"/>
    <w:rsid w:val="70B1E6D8"/>
    <w:rsid w:val="70D0C4EC"/>
    <w:rsid w:val="713064FA"/>
    <w:rsid w:val="713B9F6D"/>
    <w:rsid w:val="719E400B"/>
    <w:rsid w:val="71A0E25B"/>
    <w:rsid w:val="71B584F6"/>
    <w:rsid w:val="71BBD2DF"/>
    <w:rsid w:val="71C8FB37"/>
    <w:rsid w:val="71E2E32C"/>
    <w:rsid w:val="72101F2B"/>
    <w:rsid w:val="722BB057"/>
    <w:rsid w:val="72B62C06"/>
    <w:rsid w:val="72E599F7"/>
    <w:rsid w:val="72F3C4F5"/>
    <w:rsid w:val="7319C1A1"/>
    <w:rsid w:val="732264BD"/>
    <w:rsid w:val="732BBF33"/>
    <w:rsid w:val="732F746A"/>
    <w:rsid w:val="735B9047"/>
    <w:rsid w:val="7372FD31"/>
    <w:rsid w:val="7410EA71"/>
    <w:rsid w:val="742D78F4"/>
    <w:rsid w:val="748B0DBD"/>
    <w:rsid w:val="74C20271"/>
    <w:rsid w:val="74D38EE4"/>
    <w:rsid w:val="74E77BBC"/>
    <w:rsid w:val="751DF6D4"/>
    <w:rsid w:val="75620493"/>
    <w:rsid w:val="7566BC20"/>
    <w:rsid w:val="758D040F"/>
    <w:rsid w:val="75A333C8"/>
    <w:rsid w:val="75D0BE2C"/>
    <w:rsid w:val="75D28B24"/>
    <w:rsid w:val="75D7665E"/>
    <w:rsid w:val="75EC37AE"/>
    <w:rsid w:val="7607E9B2"/>
    <w:rsid w:val="761F16EA"/>
    <w:rsid w:val="7647114A"/>
    <w:rsid w:val="76595F76"/>
    <w:rsid w:val="7681B0B9"/>
    <w:rsid w:val="7688CF86"/>
    <w:rsid w:val="76BE4885"/>
    <w:rsid w:val="76F06CAC"/>
    <w:rsid w:val="770869F1"/>
    <w:rsid w:val="772AD75E"/>
    <w:rsid w:val="77383406"/>
    <w:rsid w:val="773B7DCC"/>
    <w:rsid w:val="77590E79"/>
    <w:rsid w:val="77648292"/>
    <w:rsid w:val="776D09C4"/>
    <w:rsid w:val="77710110"/>
    <w:rsid w:val="779D2B1C"/>
    <w:rsid w:val="77A46560"/>
    <w:rsid w:val="77A6B89F"/>
    <w:rsid w:val="77B389D5"/>
    <w:rsid w:val="782AD191"/>
    <w:rsid w:val="786F1FD4"/>
    <w:rsid w:val="78B8E9CE"/>
    <w:rsid w:val="78C5F377"/>
    <w:rsid w:val="78D41101"/>
    <w:rsid w:val="791CBE51"/>
    <w:rsid w:val="7928D876"/>
    <w:rsid w:val="793689D8"/>
    <w:rsid w:val="79A66444"/>
    <w:rsid w:val="79CC65AB"/>
    <w:rsid w:val="79FF49DE"/>
    <w:rsid w:val="7A03F5BB"/>
    <w:rsid w:val="7A1FCF47"/>
    <w:rsid w:val="7A81B36B"/>
    <w:rsid w:val="7AB57B80"/>
    <w:rsid w:val="7AB9480B"/>
    <w:rsid w:val="7AB99293"/>
    <w:rsid w:val="7ABA4869"/>
    <w:rsid w:val="7B0AF5A8"/>
    <w:rsid w:val="7B262C7B"/>
    <w:rsid w:val="7BBE40FC"/>
    <w:rsid w:val="7C0E9877"/>
    <w:rsid w:val="7C2E0AB8"/>
    <w:rsid w:val="7C3EAD63"/>
    <w:rsid w:val="7CEC4890"/>
    <w:rsid w:val="7CF5990E"/>
    <w:rsid w:val="7D6D5EDC"/>
    <w:rsid w:val="7D739D52"/>
    <w:rsid w:val="7D75C93F"/>
    <w:rsid w:val="7DB29CBC"/>
    <w:rsid w:val="7DFD55B2"/>
    <w:rsid w:val="7E01D456"/>
    <w:rsid w:val="7E02B8AC"/>
    <w:rsid w:val="7E032157"/>
    <w:rsid w:val="7E03D246"/>
    <w:rsid w:val="7E27A0C9"/>
    <w:rsid w:val="7EC16CD8"/>
    <w:rsid w:val="7F04EE14"/>
    <w:rsid w:val="7F0933C7"/>
    <w:rsid w:val="7F2AC320"/>
    <w:rsid w:val="7F5444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F4215D"/>
  <w14:defaultImageDpi w14:val="330"/>
  <w15:chartTrackingRefBased/>
  <w15:docId w15:val="{E5105D43-F450-469B-A30E-071D0792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35"/>
    <w:pPr>
      <w:spacing w:after="120"/>
    </w:pPr>
    <w:rPr>
      <w:sz w:val="22"/>
    </w:rPr>
  </w:style>
  <w:style w:type="paragraph" w:styleId="Heading1">
    <w:name w:val="heading 1"/>
    <w:basedOn w:val="Normal"/>
    <w:next w:val="Normal"/>
    <w:link w:val="Heading1Char"/>
    <w:uiPriority w:val="2"/>
    <w:qFormat/>
    <w:rsid w:val="00285CAF"/>
    <w:pPr>
      <w:keepNext/>
      <w:keepLines/>
      <w:spacing w:before="360" w:line="240" w:lineRule="auto"/>
      <w:outlineLvl w:val="0"/>
    </w:pPr>
    <w:rPr>
      <w:rFonts w:asciiTheme="majorHAnsi" w:eastAsiaTheme="majorEastAsia" w:hAnsiTheme="majorHAnsi" w:cstheme="majorBidi"/>
      <w:color w:val="1B375C" w:themeColor="accent1"/>
      <w:sz w:val="40"/>
      <w:szCs w:val="40"/>
    </w:rPr>
  </w:style>
  <w:style w:type="paragraph" w:styleId="Heading2">
    <w:name w:val="heading 2"/>
    <w:basedOn w:val="Normal"/>
    <w:next w:val="Normal"/>
    <w:link w:val="Heading2Char"/>
    <w:uiPriority w:val="2"/>
    <w:qFormat/>
    <w:rsid w:val="00117A77"/>
    <w:pPr>
      <w:keepNext/>
      <w:keepLines/>
      <w:spacing w:before="240" w:line="240" w:lineRule="auto"/>
      <w:outlineLvl w:val="1"/>
    </w:pPr>
    <w:rPr>
      <w:rFonts w:asciiTheme="majorHAnsi" w:eastAsiaTheme="majorEastAsia" w:hAnsiTheme="majorHAnsi" w:cstheme="majorBidi"/>
      <w:color w:val="1B375C" w:themeColor="accent1"/>
      <w:sz w:val="32"/>
      <w:szCs w:val="28"/>
    </w:rPr>
  </w:style>
  <w:style w:type="paragraph" w:styleId="Heading3">
    <w:name w:val="heading 3"/>
    <w:basedOn w:val="Heading4"/>
    <w:next w:val="Normal"/>
    <w:link w:val="Heading3Char"/>
    <w:uiPriority w:val="2"/>
    <w:qFormat/>
    <w:rsid w:val="00FE2C7F"/>
    <w:pPr>
      <w:outlineLvl w:val="2"/>
    </w:pPr>
    <w:rPr>
      <w:color w:val="1B375C" w:themeColor="accent1"/>
      <w:sz w:val="26"/>
    </w:rPr>
  </w:style>
  <w:style w:type="paragraph" w:styleId="Heading4">
    <w:name w:val="heading 4"/>
    <w:basedOn w:val="Normal"/>
    <w:next w:val="Normal"/>
    <w:link w:val="Heading4Char"/>
    <w:uiPriority w:val="2"/>
    <w:qFormat/>
    <w:rsid w:val="006200EB"/>
    <w:pPr>
      <w:keepNext/>
      <w:keepLines/>
      <w:spacing w:before="240"/>
      <w:outlineLvl w:val="3"/>
    </w:pPr>
    <w:rPr>
      <w:rFonts w:asciiTheme="majorHAnsi" w:eastAsiaTheme="majorEastAsia" w:hAnsiTheme="majorHAnsi" w:cstheme="majorBidi"/>
      <w:color w:val="3266AB"/>
      <w:szCs w:val="22"/>
    </w:rPr>
  </w:style>
  <w:style w:type="paragraph" w:styleId="Heading5">
    <w:name w:val="heading 5"/>
    <w:basedOn w:val="Normal"/>
    <w:next w:val="Normal"/>
    <w:link w:val="Heading5Char"/>
    <w:uiPriority w:val="2"/>
    <w:unhideWhenUsed/>
    <w:rsid w:val="006200EB"/>
    <w:pPr>
      <w:keepNext/>
      <w:keepLines/>
      <w:spacing w:before="240"/>
      <w:outlineLvl w:val="4"/>
    </w:pPr>
    <w:rPr>
      <w:rFonts w:asciiTheme="majorHAnsi" w:eastAsiaTheme="majorEastAsia" w:hAnsiTheme="majorHAnsi" w:cstheme="majorBidi"/>
      <w:i/>
      <w:iCs/>
      <w:color w:val="3266AB"/>
      <w:szCs w:val="22"/>
    </w:rPr>
  </w:style>
  <w:style w:type="paragraph" w:styleId="Heading6">
    <w:name w:val="heading 6"/>
    <w:basedOn w:val="Normal"/>
    <w:next w:val="Normal"/>
    <w:link w:val="Heading6Char"/>
    <w:uiPriority w:val="2"/>
    <w:unhideWhenUsed/>
    <w:rsid w:val="006200EB"/>
    <w:pPr>
      <w:keepNext/>
      <w:keepLines/>
      <w:spacing w:before="240"/>
      <w:outlineLvl w:val="5"/>
    </w:pPr>
    <w:rPr>
      <w:rFonts w:asciiTheme="majorHAnsi" w:eastAsiaTheme="majorEastAsia" w:hAnsiTheme="majorHAnsi" w:cstheme="majorBidi"/>
      <w:color w:val="3266AB"/>
    </w:rPr>
  </w:style>
  <w:style w:type="paragraph" w:styleId="Heading7">
    <w:name w:val="heading 7"/>
    <w:basedOn w:val="Normal"/>
    <w:next w:val="Normal"/>
    <w:link w:val="Heading7Char"/>
    <w:uiPriority w:val="2"/>
    <w:unhideWhenUsed/>
    <w:rsid w:val="006200EB"/>
    <w:pPr>
      <w:keepNext/>
      <w:keepLines/>
      <w:spacing w:before="240"/>
      <w:outlineLvl w:val="6"/>
    </w:pPr>
    <w:rPr>
      <w:rFonts w:asciiTheme="majorHAnsi" w:eastAsiaTheme="majorEastAsia" w:hAnsiTheme="majorHAnsi" w:cstheme="majorBidi"/>
      <w:b/>
      <w:bCs/>
      <w:color w:val="3266AB"/>
    </w:rPr>
  </w:style>
  <w:style w:type="paragraph" w:styleId="Heading8">
    <w:name w:val="heading 8"/>
    <w:basedOn w:val="Normal"/>
    <w:next w:val="Normal"/>
    <w:link w:val="Heading8Char"/>
    <w:uiPriority w:val="2"/>
    <w:unhideWhenUsed/>
    <w:rsid w:val="006200EB"/>
    <w:pPr>
      <w:keepNext/>
      <w:keepLines/>
      <w:spacing w:before="240"/>
      <w:outlineLvl w:val="7"/>
    </w:pPr>
    <w:rPr>
      <w:rFonts w:asciiTheme="majorHAnsi" w:eastAsiaTheme="majorEastAsia" w:hAnsiTheme="majorHAnsi" w:cstheme="majorBidi"/>
      <w:b/>
      <w:bCs/>
      <w:i/>
      <w:iCs/>
      <w:color w:val="3266AB"/>
      <w:sz w:val="20"/>
      <w:szCs w:val="20"/>
    </w:rPr>
  </w:style>
  <w:style w:type="paragraph" w:styleId="Heading9">
    <w:name w:val="heading 9"/>
    <w:basedOn w:val="Normal"/>
    <w:next w:val="Normal"/>
    <w:link w:val="Heading9Char"/>
    <w:uiPriority w:val="2"/>
    <w:unhideWhenUsed/>
    <w:rsid w:val="006200EB"/>
    <w:pPr>
      <w:keepNext/>
      <w:keepLines/>
      <w:spacing w:before="240"/>
      <w:outlineLvl w:val="8"/>
    </w:pPr>
    <w:rPr>
      <w:rFonts w:asciiTheme="majorHAnsi" w:eastAsiaTheme="majorEastAsia" w:hAnsiTheme="majorHAnsi" w:cstheme="majorBidi"/>
      <w:i/>
      <w:iCs/>
      <w:color w:val="3266A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12C83"/>
    <w:rPr>
      <w:rFonts w:asciiTheme="majorHAnsi" w:eastAsiaTheme="majorEastAsia" w:hAnsiTheme="majorHAnsi" w:cstheme="majorBidi"/>
      <w:color w:val="1B375C" w:themeColor="accent1"/>
      <w:sz w:val="40"/>
      <w:szCs w:val="40"/>
    </w:rPr>
  </w:style>
  <w:style w:type="paragraph" w:styleId="Title">
    <w:name w:val="Title"/>
    <w:basedOn w:val="Normal"/>
    <w:next w:val="Normal"/>
    <w:link w:val="TitleChar"/>
    <w:uiPriority w:val="18"/>
    <w:rsid w:val="005226B9"/>
    <w:pPr>
      <w:spacing w:after="240" w:line="240" w:lineRule="auto"/>
      <w:contextualSpacing/>
    </w:pPr>
    <w:rPr>
      <w:rFonts w:asciiTheme="majorHAnsi" w:eastAsiaTheme="majorEastAsia" w:hAnsiTheme="majorHAnsi" w:cstheme="majorBidi"/>
      <w:noProof/>
      <w:spacing w:val="-15"/>
      <w:sz w:val="56"/>
      <w:szCs w:val="96"/>
    </w:rPr>
  </w:style>
  <w:style w:type="character" w:customStyle="1" w:styleId="TitleChar">
    <w:name w:val="Title Char"/>
    <w:basedOn w:val="DefaultParagraphFont"/>
    <w:link w:val="Title"/>
    <w:uiPriority w:val="18"/>
    <w:rsid w:val="00E2753F"/>
    <w:rPr>
      <w:rFonts w:asciiTheme="majorHAnsi" w:eastAsiaTheme="majorEastAsia" w:hAnsiTheme="majorHAnsi" w:cstheme="majorBidi"/>
      <w:noProof/>
      <w:spacing w:val="-15"/>
      <w:sz w:val="56"/>
      <w:szCs w:val="96"/>
    </w:rPr>
  </w:style>
  <w:style w:type="character" w:customStyle="1" w:styleId="Heading2Char">
    <w:name w:val="Heading 2 Char"/>
    <w:basedOn w:val="DefaultParagraphFont"/>
    <w:link w:val="Heading2"/>
    <w:uiPriority w:val="2"/>
    <w:rsid w:val="00A12C83"/>
    <w:rPr>
      <w:rFonts w:asciiTheme="majorHAnsi" w:eastAsiaTheme="majorEastAsia" w:hAnsiTheme="majorHAnsi" w:cstheme="majorBidi"/>
      <w:color w:val="1B375C" w:themeColor="accent1"/>
      <w:sz w:val="32"/>
      <w:szCs w:val="28"/>
    </w:rPr>
  </w:style>
  <w:style w:type="character" w:customStyle="1" w:styleId="Heading3Char">
    <w:name w:val="Heading 3 Char"/>
    <w:basedOn w:val="DefaultParagraphFont"/>
    <w:link w:val="Heading3"/>
    <w:uiPriority w:val="2"/>
    <w:rsid w:val="00A12C83"/>
    <w:rPr>
      <w:rFonts w:asciiTheme="majorHAnsi" w:eastAsiaTheme="majorEastAsia" w:hAnsiTheme="majorHAnsi" w:cstheme="majorBidi"/>
      <w:color w:val="1B375C" w:themeColor="accent1"/>
      <w:sz w:val="26"/>
      <w:szCs w:val="22"/>
    </w:rPr>
  </w:style>
  <w:style w:type="character" w:customStyle="1" w:styleId="Heading4Char">
    <w:name w:val="Heading 4 Char"/>
    <w:basedOn w:val="DefaultParagraphFont"/>
    <w:link w:val="Heading4"/>
    <w:uiPriority w:val="2"/>
    <w:rsid w:val="006200EB"/>
    <w:rPr>
      <w:rFonts w:asciiTheme="majorHAnsi" w:eastAsiaTheme="majorEastAsia" w:hAnsiTheme="majorHAnsi" w:cstheme="majorBidi"/>
      <w:color w:val="3266AB"/>
      <w:sz w:val="22"/>
      <w:szCs w:val="22"/>
    </w:rPr>
  </w:style>
  <w:style w:type="character" w:customStyle="1" w:styleId="Heading5Char">
    <w:name w:val="Heading 5 Char"/>
    <w:basedOn w:val="DefaultParagraphFont"/>
    <w:link w:val="Heading5"/>
    <w:uiPriority w:val="2"/>
    <w:rsid w:val="006200EB"/>
    <w:rPr>
      <w:rFonts w:asciiTheme="majorHAnsi" w:eastAsiaTheme="majorEastAsia" w:hAnsiTheme="majorHAnsi" w:cstheme="majorBidi"/>
      <w:i/>
      <w:iCs/>
      <w:color w:val="3266AB"/>
      <w:sz w:val="22"/>
      <w:szCs w:val="22"/>
    </w:rPr>
  </w:style>
  <w:style w:type="character" w:customStyle="1" w:styleId="Heading6Char">
    <w:name w:val="Heading 6 Char"/>
    <w:basedOn w:val="DefaultParagraphFont"/>
    <w:link w:val="Heading6"/>
    <w:uiPriority w:val="2"/>
    <w:rsid w:val="006200EB"/>
    <w:rPr>
      <w:rFonts w:asciiTheme="majorHAnsi" w:eastAsiaTheme="majorEastAsia" w:hAnsiTheme="majorHAnsi" w:cstheme="majorBidi"/>
      <w:color w:val="3266AB"/>
      <w:sz w:val="22"/>
    </w:rPr>
  </w:style>
  <w:style w:type="character" w:customStyle="1" w:styleId="Heading7Char">
    <w:name w:val="Heading 7 Char"/>
    <w:basedOn w:val="DefaultParagraphFont"/>
    <w:link w:val="Heading7"/>
    <w:uiPriority w:val="2"/>
    <w:rsid w:val="006200EB"/>
    <w:rPr>
      <w:rFonts w:asciiTheme="majorHAnsi" w:eastAsiaTheme="majorEastAsia" w:hAnsiTheme="majorHAnsi" w:cstheme="majorBidi"/>
      <w:b/>
      <w:bCs/>
      <w:color w:val="3266AB"/>
      <w:sz w:val="22"/>
    </w:rPr>
  </w:style>
  <w:style w:type="character" w:customStyle="1" w:styleId="Heading8Char">
    <w:name w:val="Heading 8 Char"/>
    <w:basedOn w:val="DefaultParagraphFont"/>
    <w:link w:val="Heading8"/>
    <w:uiPriority w:val="2"/>
    <w:rsid w:val="006200EB"/>
    <w:rPr>
      <w:rFonts w:asciiTheme="majorHAnsi" w:eastAsiaTheme="majorEastAsia" w:hAnsiTheme="majorHAnsi" w:cstheme="majorBidi"/>
      <w:b/>
      <w:bCs/>
      <w:i/>
      <w:iCs/>
      <w:color w:val="3266AB"/>
      <w:sz w:val="20"/>
      <w:szCs w:val="20"/>
    </w:rPr>
  </w:style>
  <w:style w:type="character" w:customStyle="1" w:styleId="Heading9Char">
    <w:name w:val="Heading 9 Char"/>
    <w:basedOn w:val="DefaultParagraphFont"/>
    <w:link w:val="Heading9"/>
    <w:uiPriority w:val="2"/>
    <w:rsid w:val="006200EB"/>
    <w:rPr>
      <w:rFonts w:asciiTheme="majorHAnsi" w:eastAsiaTheme="majorEastAsia" w:hAnsiTheme="majorHAnsi" w:cstheme="majorBidi"/>
      <w:i/>
      <w:iCs/>
      <w:color w:val="3266AB"/>
      <w:sz w:val="20"/>
      <w:szCs w:val="20"/>
    </w:rPr>
  </w:style>
  <w:style w:type="paragraph" w:styleId="Subtitle">
    <w:name w:val="Subtitle"/>
    <w:basedOn w:val="Normal"/>
    <w:next w:val="Normal"/>
    <w:link w:val="SubtitleChar"/>
    <w:uiPriority w:val="19"/>
    <w:rsid w:val="00F957C6"/>
    <w:pPr>
      <w:numPr>
        <w:ilvl w:val="1"/>
      </w:numPr>
      <w:spacing w:line="240" w:lineRule="auto"/>
    </w:pPr>
    <w:rPr>
      <w:rFonts w:eastAsiaTheme="majorEastAsia" w:cstheme="minorHAnsi"/>
      <w:noProof/>
      <w:sz w:val="28"/>
      <w:szCs w:val="30"/>
    </w:rPr>
  </w:style>
  <w:style w:type="character" w:customStyle="1" w:styleId="SubtitleChar">
    <w:name w:val="Subtitle Char"/>
    <w:basedOn w:val="DefaultParagraphFont"/>
    <w:link w:val="Subtitle"/>
    <w:uiPriority w:val="19"/>
    <w:rsid w:val="00E2753F"/>
    <w:rPr>
      <w:rFonts w:eastAsiaTheme="majorEastAsia" w:cstheme="minorHAnsi"/>
      <w:noProof/>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unhideWhenUsed/>
    <w:qFormat/>
    <w:rsid w:val="000743FF"/>
    <w:pPr>
      <w:spacing w:line="240" w:lineRule="auto"/>
    </w:pPr>
    <w:rPr>
      <w:rFonts w:ascii="Segoe UI" w:hAnsi="Segoe UI"/>
      <w:bCs/>
      <w:color w:val="3266AB"/>
    </w:rPr>
  </w:style>
  <w:style w:type="character" w:styleId="Strong">
    <w:name w:val="Strong"/>
    <w:basedOn w:val="DefaultParagraphFont"/>
    <w:uiPriority w:val="22"/>
    <w:unhideWhenUsed/>
    <w:qFormat/>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6200EB"/>
    <w:pPr>
      <w:spacing w:before="240"/>
      <w:ind w:left="720" w:right="720"/>
    </w:pPr>
    <w:rPr>
      <w:i/>
      <w:iCs/>
      <w:noProof/>
      <w:color w:val="3266AB"/>
    </w:rPr>
  </w:style>
  <w:style w:type="character" w:customStyle="1" w:styleId="QuoteChar">
    <w:name w:val="Quote Char"/>
    <w:basedOn w:val="DefaultParagraphFont"/>
    <w:link w:val="Quote"/>
    <w:uiPriority w:val="16"/>
    <w:rsid w:val="006200EB"/>
    <w:rPr>
      <w:i/>
      <w:iCs/>
      <w:noProof/>
      <w:color w:val="3266AB"/>
      <w:sz w:val="22"/>
    </w:rPr>
  </w:style>
  <w:style w:type="paragraph" w:styleId="IntenseQuote">
    <w:name w:val="Intense Quote"/>
    <w:basedOn w:val="Normal"/>
    <w:next w:val="Normal"/>
    <w:link w:val="IntenseQuoteChar"/>
    <w:uiPriority w:val="17"/>
    <w:qFormat/>
    <w:rsid w:val="006200EB"/>
    <w:pPr>
      <w:spacing w:before="120" w:line="264" w:lineRule="auto"/>
      <w:ind w:left="720" w:right="720"/>
    </w:pPr>
    <w:rPr>
      <w:rFonts w:asciiTheme="majorHAnsi" w:eastAsiaTheme="majorEastAsia" w:hAnsiTheme="majorHAnsi" w:cstheme="majorBidi"/>
      <w:i/>
      <w:iCs/>
      <w:color w:val="3266AB"/>
      <w:sz w:val="32"/>
      <w:szCs w:val="32"/>
    </w:rPr>
  </w:style>
  <w:style w:type="character" w:customStyle="1" w:styleId="IntenseQuoteChar">
    <w:name w:val="Intense Quote Char"/>
    <w:basedOn w:val="DefaultParagraphFont"/>
    <w:link w:val="IntenseQuote"/>
    <w:uiPriority w:val="17"/>
    <w:rsid w:val="006200EB"/>
    <w:rPr>
      <w:rFonts w:asciiTheme="majorHAnsi" w:eastAsiaTheme="majorEastAsia" w:hAnsiTheme="majorHAnsi" w:cstheme="majorBidi"/>
      <w:i/>
      <w:iCs/>
      <w:color w:val="3266AB"/>
      <w:sz w:val="32"/>
      <w:szCs w:val="32"/>
    </w:rPr>
  </w:style>
  <w:style w:type="character" w:styleId="SubtleEmphasis">
    <w:name w:val="Subtle Emphasis"/>
    <w:basedOn w:val="DefaultParagraphFont"/>
    <w:uiPriority w:val="19"/>
    <w:semiHidden/>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D525B8"/>
    <w:rPr>
      <w:smallCaps/>
      <w:color w:val="595959" w:themeColor="text1" w:themeTint="A6"/>
    </w:rPr>
  </w:style>
  <w:style w:type="character" w:styleId="IntenseReference">
    <w:name w:val="Intense Reference"/>
    <w:basedOn w:val="DefaultParagraphFont"/>
    <w:uiPriority w:val="32"/>
    <w:unhideWhenUsed/>
    <w:rsid w:val="006200EB"/>
    <w:rPr>
      <w:b/>
      <w:bCs/>
      <w:smallCaps/>
      <w:color w:val="3266AB"/>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2C7A05"/>
    <w:pPr>
      <w:jc w:val="center"/>
    </w:pPr>
    <w:rPr>
      <w:rFonts w:ascii="Segoe UI" w:hAnsi="Segoe UI"/>
      <w:caps/>
      <w:color w:val="C00000"/>
      <w:sz w:val="18"/>
    </w:rPr>
  </w:style>
  <w:style w:type="paragraph" w:customStyle="1" w:styleId="BOXHeading2">
    <w:name w:val="BOX Heading 2"/>
    <w:basedOn w:val="Heading2"/>
    <w:next w:val="BOXText"/>
    <w:uiPriority w:val="6"/>
    <w:qFormat/>
    <w:rsid w:val="004C17DE"/>
    <w:pPr>
      <w:pBdr>
        <w:top w:val="single" w:sz="48" w:space="1" w:color="E0E8F2"/>
        <w:left w:val="single" w:sz="48" w:space="4" w:color="E0E8F2"/>
        <w:bottom w:val="single" w:sz="48" w:space="1" w:color="E0E8F2"/>
        <w:right w:val="single" w:sz="48" w:space="4" w:color="E0E8F2"/>
      </w:pBdr>
      <w:shd w:val="clear" w:color="auto" w:fill="E0E8F2"/>
      <w:ind w:left="227" w:right="227"/>
    </w:pPr>
    <w:rPr>
      <w:noProof/>
    </w:rPr>
  </w:style>
  <w:style w:type="character" w:customStyle="1" w:styleId="CLASSIFICATIONChar">
    <w:name w:val="CLASSIFICATION Char"/>
    <w:basedOn w:val="DefaultParagraphFont"/>
    <w:link w:val="CLASSIFICATION"/>
    <w:uiPriority w:val="99"/>
    <w:rsid w:val="00E2753F"/>
    <w:rPr>
      <w:rFonts w:ascii="Segoe UI" w:hAnsi="Segoe UI"/>
      <w:caps/>
      <w:color w:val="C00000"/>
      <w:sz w:val="18"/>
    </w:rPr>
  </w:style>
  <w:style w:type="paragraph" w:customStyle="1" w:styleId="BOXText">
    <w:name w:val="BOX Text"/>
    <w:basedOn w:val="Normal"/>
    <w:uiPriority w:val="4"/>
    <w:qFormat/>
    <w:rsid w:val="004C17DE"/>
    <w:pPr>
      <w:pBdr>
        <w:top w:val="single" w:sz="48" w:space="1" w:color="E0E8F2"/>
        <w:left w:val="single" w:sz="48" w:space="4" w:color="E0E8F2"/>
        <w:bottom w:val="single" w:sz="48" w:space="1" w:color="E0E8F2"/>
        <w:right w:val="single" w:sz="48" w:space="4" w:color="E0E8F2"/>
      </w:pBdr>
      <w:shd w:val="clear" w:color="auto" w:fill="E0E8F2"/>
      <w:tabs>
        <w:tab w:val="left" w:pos="3300"/>
      </w:tabs>
      <w:ind w:left="227" w:right="227"/>
    </w:pPr>
    <w:rPr>
      <w:noProof/>
    </w:rPr>
  </w:style>
  <w:style w:type="paragraph" w:customStyle="1" w:styleId="BOXBulletedList">
    <w:name w:val="BOX Bulleted List"/>
    <w:basedOn w:val="BOXText"/>
    <w:uiPriority w:val="5"/>
    <w:qFormat/>
    <w:rsid w:val="00FE2C7F"/>
    <w:pPr>
      <w:numPr>
        <w:numId w:val="3"/>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4980C9" w:themeColor="accent1" w:themeTint="99"/>
        <w:left w:val="single" w:sz="4" w:space="0" w:color="4980C9" w:themeColor="accent1" w:themeTint="99"/>
        <w:bottom w:val="single" w:sz="4" w:space="0" w:color="4980C9" w:themeColor="accent1" w:themeTint="99"/>
        <w:right w:val="single" w:sz="4" w:space="0" w:color="4980C9" w:themeColor="accent1" w:themeTint="99"/>
        <w:insideH w:val="single" w:sz="4" w:space="0" w:color="4980C9" w:themeColor="accent1" w:themeTint="99"/>
      </w:tblBorders>
    </w:tblPr>
    <w:tblStylePr w:type="firstRow">
      <w:rPr>
        <w:b/>
        <w:bCs/>
        <w:color w:val="FFFFFF" w:themeColor="background1"/>
      </w:rPr>
      <w:tblPr/>
      <w:tcPr>
        <w:tcBorders>
          <w:top w:val="single" w:sz="4" w:space="0" w:color="1B375C" w:themeColor="accent1"/>
          <w:left w:val="single" w:sz="4" w:space="0" w:color="1B375C" w:themeColor="accent1"/>
          <w:bottom w:val="single" w:sz="4" w:space="0" w:color="1B375C" w:themeColor="accent1"/>
          <w:right w:val="single" w:sz="4" w:space="0" w:color="1B375C" w:themeColor="accent1"/>
          <w:insideH w:val="nil"/>
        </w:tcBorders>
        <w:shd w:val="clear" w:color="auto" w:fill="1B375C" w:themeFill="accent1"/>
      </w:tcPr>
    </w:tblStylePr>
    <w:tblStylePr w:type="lastRow">
      <w:rPr>
        <w:b/>
        <w:bCs/>
      </w:rPr>
      <w:tblPr/>
      <w:tcPr>
        <w:tcBorders>
          <w:top w:val="double" w:sz="4" w:space="0" w:color="4980C9" w:themeColor="accent1" w:themeTint="99"/>
        </w:tcBorders>
      </w:tcPr>
    </w:tblStylePr>
    <w:tblStylePr w:type="firstCol">
      <w:rPr>
        <w:b/>
        <w:bCs/>
      </w:rPr>
    </w:tblStylePr>
    <w:tblStylePr w:type="lastCol">
      <w:rPr>
        <w:b/>
        <w:bCs/>
      </w:rPr>
    </w:tblStylePr>
    <w:tblStylePr w:type="band1Vert">
      <w:tblPr/>
      <w:tcPr>
        <w:shd w:val="clear" w:color="auto" w:fill="C2D4ED" w:themeFill="accent1" w:themeFillTint="33"/>
      </w:tcPr>
    </w:tblStylePr>
    <w:tblStylePr w:type="band1Horz">
      <w:tblPr/>
      <w:tcPr>
        <w:shd w:val="clear" w:color="auto" w:fill="C2D4ED" w:themeFill="accent1" w:themeFillTint="33"/>
      </w:tcPr>
    </w:tblStylePr>
  </w:style>
  <w:style w:type="paragraph" w:customStyle="1" w:styleId="Figure">
    <w:name w:val="Figure"/>
    <w:basedOn w:val="Normal"/>
    <w:autoRedefine/>
    <w:uiPriority w:val="2"/>
    <w:qFormat/>
    <w:rsid w:val="00DE58B2"/>
    <w:pPr>
      <w:numPr>
        <w:numId w:val="8"/>
      </w:numPr>
      <w:spacing w:before="240"/>
      <w:ind w:left="567"/>
    </w:pPr>
    <w:rPr>
      <w:rFonts w:asciiTheme="majorHAnsi" w:eastAsiaTheme="majorEastAsia" w:hAnsiTheme="majorHAnsi" w:cstheme="majorBidi"/>
      <w:noProof/>
      <w:color w:val="3266AB"/>
      <w:sz w:val="32"/>
      <w:szCs w:val="28"/>
    </w:rPr>
  </w:style>
  <w:style w:type="paragraph" w:customStyle="1" w:styleId="TBLHeading">
    <w:name w:val="TBL Heading"/>
    <w:basedOn w:val="Normal"/>
    <w:autoRedefine/>
    <w:uiPriority w:val="11"/>
    <w:qFormat/>
    <w:rsid w:val="007B5859"/>
    <w:pPr>
      <w:spacing w:line="240" w:lineRule="auto"/>
      <w:jc w:val="center"/>
    </w:pPr>
    <w:rPr>
      <w:rFonts w:ascii="Segoe UI" w:hAnsi="Segoe UI" w:cs="Segoe UI"/>
      <w:noProof/>
      <w:color w:val="FFFFFF" w:themeColor="background1"/>
      <w:sz w:val="18"/>
    </w:rPr>
  </w:style>
  <w:style w:type="paragraph" w:customStyle="1" w:styleId="TBLText">
    <w:name w:val="TBL Text"/>
    <w:basedOn w:val="Normal"/>
    <w:uiPriority w:val="9"/>
    <w:qFormat/>
    <w:rsid w:val="006E170D"/>
    <w:pPr>
      <w:spacing w:line="240" w:lineRule="auto"/>
    </w:pPr>
    <w:rPr>
      <w:noProof/>
      <w:sz w:val="18"/>
      <w:szCs w:val="18"/>
    </w:rPr>
  </w:style>
  <w:style w:type="paragraph" w:customStyle="1" w:styleId="TBLBulletedList">
    <w:name w:val="TBL Bulleted List"/>
    <w:basedOn w:val="TBLText"/>
    <w:uiPriority w:val="10"/>
    <w:qFormat/>
    <w:rsid w:val="00374D2A"/>
    <w:pPr>
      <w:numPr>
        <w:numId w:val="4"/>
      </w:numPr>
      <w:ind w:left="357" w:hanging="357"/>
    </w:pPr>
  </w:style>
  <w:style w:type="paragraph" w:customStyle="1" w:styleId="TBLNumberedList">
    <w:name w:val="TBL Numbered List"/>
    <w:basedOn w:val="TBLText"/>
    <w:uiPriority w:val="10"/>
    <w:qFormat/>
    <w:rsid w:val="00374D2A"/>
    <w:pPr>
      <w:numPr>
        <w:numId w:val="5"/>
      </w:numPr>
      <w:ind w:left="357" w:hanging="357"/>
    </w:pPr>
  </w:style>
  <w:style w:type="paragraph" w:customStyle="1" w:styleId="BOXHeading3">
    <w:name w:val="BOX Heading 3"/>
    <w:basedOn w:val="BOXHeading2"/>
    <w:next w:val="BOXText"/>
    <w:uiPriority w:val="6"/>
    <w:qFormat/>
    <w:rsid w:val="00FE2C7F"/>
    <w:pPr>
      <w:outlineLvl w:val="2"/>
    </w:pPr>
    <w:rPr>
      <w:sz w:val="26"/>
      <w:szCs w:val="26"/>
    </w:rPr>
  </w:style>
  <w:style w:type="paragraph" w:styleId="ListParagraph">
    <w:name w:val="List Paragraph"/>
    <w:basedOn w:val="Normal"/>
    <w:uiPriority w:val="34"/>
    <w:unhideWhenUsed/>
    <w:rsid w:val="005917FD"/>
    <w:pPr>
      <w:ind w:left="720"/>
      <w:contextualSpacing/>
    </w:pPr>
  </w:style>
  <w:style w:type="paragraph" w:customStyle="1" w:styleId="BulletedList-Level1">
    <w:name w:val="Bulleted List - Level 1"/>
    <w:basedOn w:val="ListParagraph"/>
    <w:uiPriority w:val="1"/>
    <w:qFormat/>
    <w:rsid w:val="00962EE8"/>
    <w:pPr>
      <w:numPr>
        <w:numId w:val="6"/>
      </w:numPr>
      <w:ind w:left="568" w:hanging="284"/>
    </w:pPr>
  </w:style>
  <w:style w:type="paragraph" w:customStyle="1" w:styleId="BulletedList-Level2">
    <w:name w:val="Bulleted List - Level 2"/>
    <w:basedOn w:val="BulletedList-Level1"/>
    <w:uiPriority w:val="1"/>
    <w:qFormat/>
    <w:rsid w:val="00962EE8"/>
    <w:pPr>
      <w:numPr>
        <w:numId w:val="11"/>
      </w:numPr>
    </w:pPr>
  </w:style>
  <w:style w:type="paragraph" w:customStyle="1" w:styleId="BulletedList-Level3">
    <w:name w:val="Bulleted List - Level 3"/>
    <w:basedOn w:val="ListParagraph"/>
    <w:uiPriority w:val="1"/>
    <w:qFormat/>
    <w:rsid w:val="00962EE8"/>
    <w:pPr>
      <w:numPr>
        <w:numId w:val="12"/>
      </w:numPr>
      <w:ind w:left="1135" w:hanging="284"/>
    </w:pPr>
  </w:style>
  <w:style w:type="paragraph" w:customStyle="1" w:styleId="NumberedList-Level1">
    <w:name w:val="Numbered List - Level 1"/>
    <w:basedOn w:val="ListParagraph"/>
    <w:uiPriority w:val="1"/>
    <w:qFormat/>
    <w:rsid w:val="00962EE8"/>
    <w:pPr>
      <w:numPr>
        <w:numId w:val="7"/>
      </w:numPr>
      <w:ind w:left="568" w:hanging="284"/>
    </w:pPr>
  </w:style>
  <w:style w:type="paragraph" w:customStyle="1" w:styleId="NumberedList-level2">
    <w:name w:val="Numbered List - level 2"/>
    <w:basedOn w:val="ListParagraph"/>
    <w:uiPriority w:val="1"/>
    <w:qFormat/>
    <w:rsid w:val="00962EE8"/>
    <w:pPr>
      <w:numPr>
        <w:ilvl w:val="1"/>
        <w:numId w:val="7"/>
      </w:numPr>
    </w:pPr>
  </w:style>
  <w:style w:type="paragraph" w:customStyle="1" w:styleId="NumberedList-Level3">
    <w:name w:val="Numbered List - Level 3"/>
    <w:basedOn w:val="ListParagraph"/>
    <w:uiPriority w:val="1"/>
    <w:qFormat/>
    <w:rsid w:val="00962EE8"/>
    <w:pPr>
      <w:numPr>
        <w:ilvl w:val="2"/>
        <w:numId w:val="7"/>
      </w:numPr>
    </w:pPr>
  </w:style>
  <w:style w:type="paragraph" w:customStyle="1" w:styleId="BoxDark-HeadingLevel1">
    <w:name w:val="Box Dark - Heading Level 1"/>
    <w:basedOn w:val="BOXHeading2"/>
    <w:uiPriority w:val="9"/>
    <w:rsid w:val="00311C2D"/>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DB7717"/>
    <w:pPr>
      <w:tabs>
        <w:tab w:val="right" w:leader="dot" w:pos="9968"/>
      </w:tabs>
      <w:spacing w:after="100"/>
      <w:ind w:left="220"/>
    </w:pPr>
  </w:style>
  <w:style w:type="paragraph" w:styleId="TOC3">
    <w:name w:val="toc 3"/>
    <w:basedOn w:val="Normal"/>
    <w:next w:val="Normal"/>
    <w:autoRedefine/>
    <w:uiPriority w:val="39"/>
    <w:unhideWhenUsed/>
    <w:rsid w:val="00DB7717"/>
    <w:pPr>
      <w:tabs>
        <w:tab w:val="right" w:leader="dot" w:pos="9968"/>
      </w:tabs>
      <w:spacing w:after="100"/>
      <w:ind w:left="440"/>
    </w:pPr>
  </w:style>
  <w:style w:type="character" w:styleId="Hyperlink">
    <w:name w:val="Hyperlink"/>
    <w:basedOn w:val="DefaultParagraphFont"/>
    <w:uiPriority w:val="99"/>
    <w:unhideWhenUsed/>
    <w:rsid w:val="00117A77"/>
    <w:rPr>
      <w:color w:val="3266AB" w:themeColor="hyperlink"/>
      <w:u w:val="single"/>
    </w:rPr>
  </w:style>
  <w:style w:type="paragraph" w:customStyle="1" w:styleId="BoxDark-HeadingLevel3">
    <w:name w:val="Box Dark - Heading Level 3"/>
    <w:basedOn w:val="BOXHeading3"/>
    <w:uiPriority w:val="9"/>
    <w:rsid w:val="00311C2D"/>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color w:val="FFFFFF" w:themeColor="background1"/>
    </w:rPr>
  </w:style>
  <w:style w:type="paragraph" w:customStyle="1" w:styleId="BoxDark-Text">
    <w:name w:val="Box Dark - Text"/>
    <w:basedOn w:val="BOXText"/>
    <w:uiPriority w:val="7"/>
    <w:rsid w:val="00FE2C7F"/>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pPr>
    <w:rPr>
      <w:rFonts w:ascii="Segoe UI Semilight" w:hAnsi="Segoe UI Semilight"/>
    </w:rPr>
  </w:style>
  <w:style w:type="paragraph" w:customStyle="1" w:styleId="BOXNumberedList">
    <w:name w:val="BOX Numbered List"/>
    <w:basedOn w:val="BOXText"/>
    <w:uiPriority w:val="5"/>
    <w:qFormat/>
    <w:rsid w:val="00FE2C7F"/>
    <w:pPr>
      <w:numPr>
        <w:numId w:val="9"/>
      </w:numPr>
      <w:ind w:left="584" w:hanging="357"/>
    </w:pPr>
  </w:style>
  <w:style w:type="paragraph" w:customStyle="1" w:styleId="BoxDark-NumberedList">
    <w:name w:val="Box Dark - Numbered List"/>
    <w:basedOn w:val="BOXNumberedList"/>
    <w:uiPriority w:val="8"/>
    <w:rsid w:val="00FE2C7F"/>
    <w:pPr>
      <w:numPr>
        <w:numId w:val="10"/>
      </w:numPr>
      <w:pBdr>
        <w:top w:val="single" w:sz="48" w:space="1" w:color="1B375C" w:themeColor="accent1"/>
        <w:left w:val="single" w:sz="48" w:space="4" w:color="1B375C" w:themeColor="accent1"/>
        <w:bottom w:val="single" w:sz="48" w:space="1" w:color="1B375C" w:themeColor="accent1"/>
        <w:right w:val="single" w:sz="48" w:space="4" w:color="1B375C" w:themeColor="accent1"/>
      </w:pBdr>
      <w:shd w:val="clear" w:color="auto" w:fill="1B375C" w:themeFill="accent1"/>
      <w:ind w:left="584" w:hanging="357"/>
    </w:pPr>
  </w:style>
  <w:style w:type="paragraph" w:customStyle="1" w:styleId="BodyText1">
    <w:name w:val="Body Text1"/>
    <w:basedOn w:val="Normal"/>
    <w:rsid w:val="00D03322"/>
    <w:pPr>
      <w:spacing w:after="200" w:line="260" w:lineRule="exact"/>
    </w:pPr>
    <w:rPr>
      <w:rFonts w:ascii="Arial" w:eastAsia="Times New Roman" w:hAnsi="Arial" w:cs="Times New Roman"/>
      <w:szCs w:val="24"/>
    </w:rPr>
  </w:style>
  <w:style w:type="paragraph" w:customStyle="1" w:styleId="Sourcenotetext">
    <w:name w:val="Source/note text"/>
    <w:qFormat/>
    <w:rsid w:val="00B05528"/>
    <w:pPr>
      <w:spacing w:before="85" w:after="85" w:line="240" w:lineRule="auto"/>
    </w:pPr>
    <w:rPr>
      <w:rFonts w:ascii="Arial" w:eastAsia="Times New Roman" w:hAnsi="Arial" w:cs="Arial"/>
      <w:i/>
      <w:sz w:val="12"/>
      <w:szCs w:val="12"/>
    </w:rPr>
  </w:style>
  <w:style w:type="paragraph" w:styleId="NormalWeb">
    <w:name w:val="Normal (Web)"/>
    <w:basedOn w:val="Normal"/>
    <w:uiPriority w:val="99"/>
    <w:semiHidden/>
    <w:unhideWhenUsed/>
    <w:rsid w:val="00A239D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field">
    <w:name w:val="field"/>
    <w:basedOn w:val="DefaultParagraphFont"/>
    <w:rsid w:val="00A96867"/>
  </w:style>
  <w:style w:type="character" w:styleId="CommentReference">
    <w:name w:val="annotation reference"/>
    <w:basedOn w:val="DefaultParagraphFont"/>
    <w:uiPriority w:val="99"/>
    <w:semiHidden/>
    <w:unhideWhenUsed/>
    <w:rsid w:val="00446B79"/>
    <w:rPr>
      <w:sz w:val="16"/>
      <w:szCs w:val="16"/>
    </w:rPr>
  </w:style>
  <w:style w:type="paragraph" w:styleId="CommentText">
    <w:name w:val="annotation text"/>
    <w:basedOn w:val="Normal"/>
    <w:link w:val="CommentTextChar"/>
    <w:uiPriority w:val="99"/>
    <w:unhideWhenUsed/>
    <w:rsid w:val="00446B79"/>
    <w:pPr>
      <w:spacing w:line="240" w:lineRule="auto"/>
    </w:pPr>
    <w:rPr>
      <w:sz w:val="20"/>
      <w:szCs w:val="20"/>
    </w:rPr>
  </w:style>
  <w:style w:type="character" w:customStyle="1" w:styleId="CommentTextChar">
    <w:name w:val="Comment Text Char"/>
    <w:basedOn w:val="DefaultParagraphFont"/>
    <w:link w:val="CommentText"/>
    <w:uiPriority w:val="99"/>
    <w:rsid w:val="00446B79"/>
    <w:rPr>
      <w:sz w:val="20"/>
      <w:szCs w:val="20"/>
    </w:rPr>
  </w:style>
  <w:style w:type="paragraph" w:styleId="CommentSubject">
    <w:name w:val="annotation subject"/>
    <w:basedOn w:val="CommentText"/>
    <w:next w:val="CommentText"/>
    <w:link w:val="CommentSubjectChar"/>
    <w:uiPriority w:val="99"/>
    <w:semiHidden/>
    <w:unhideWhenUsed/>
    <w:rsid w:val="00446B79"/>
    <w:rPr>
      <w:b/>
      <w:bCs/>
    </w:rPr>
  </w:style>
  <w:style w:type="character" w:customStyle="1" w:styleId="CommentSubjectChar">
    <w:name w:val="Comment Subject Char"/>
    <w:basedOn w:val="CommentTextChar"/>
    <w:link w:val="CommentSubject"/>
    <w:uiPriority w:val="99"/>
    <w:semiHidden/>
    <w:rsid w:val="00446B79"/>
    <w:rPr>
      <w:b/>
      <w:bCs/>
      <w:sz w:val="20"/>
      <w:szCs w:val="20"/>
    </w:rPr>
  </w:style>
  <w:style w:type="paragraph" w:styleId="Revision">
    <w:name w:val="Revision"/>
    <w:hidden/>
    <w:uiPriority w:val="99"/>
    <w:semiHidden/>
    <w:rsid w:val="00DC0C9E"/>
    <w:pPr>
      <w:spacing w:after="0" w:line="240" w:lineRule="auto"/>
    </w:pPr>
    <w:rPr>
      <w:sz w:val="22"/>
    </w:rPr>
  </w:style>
  <w:style w:type="paragraph" w:customStyle="1" w:styleId="Style1">
    <w:name w:val="Style1"/>
    <w:basedOn w:val="Heading2"/>
    <w:link w:val="Style1Char"/>
    <w:qFormat/>
    <w:rsid w:val="00CA4B93"/>
    <w:rPr>
      <w:noProof/>
    </w:rPr>
  </w:style>
  <w:style w:type="character" w:customStyle="1" w:styleId="Style1Char">
    <w:name w:val="Style1 Char"/>
    <w:basedOn w:val="Heading2Char"/>
    <w:link w:val="Style1"/>
    <w:rsid w:val="00CA4B93"/>
    <w:rPr>
      <w:rFonts w:asciiTheme="majorHAnsi" w:eastAsiaTheme="majorEastAsia" w:hAnsiTheme="majorHAnsi" w:cstheme="majorBidi"/>
      <w:noProof/>
      <w:color w:val="1B375C" w:themeColor="accent1"/>
      <w:sz w:val="32"/>
      <w:szCs w:val="28"/>
    </w:rPr>
  </w:style>
  <w:style w:type="paragraph" w:customStyle="1" w:styleId="TBLFootnore">
    <w:name w:val="TBL Footnore"/>
    <w:basedOn w:val="Normal"/>
    <w:link w:val="TBLFootnoreChar"/>
    <w:qFormat/>
    <w:rsid w:val="00B11452"/>
    <w:pPr>
      <w:spacing w:line="240" w:lineRule="auto"/>
      <w:contextualSpacing/>
    </w:pPr>
    <w:rPr>
      <w:sz w:val="14"/>
      <w:szCs w:val="14"/>
    </w:rPr>
  </w:style>
  <w:style w:type="character" w:customStyle="1" w:styleId="TBLFootnoreChar">
    <w:name w:val="TBL Footnore Char"/>
    <w:basedOn w:val="DefaultParagraphFont"/>
    <w:link w:val="TBLFootnore"/>
    <w:rsid w:val="00B11452"/>
    <w:rPr>
      <w:sz w:val="14"/>
      <w:szCs w:val="14"/>
    </w:rPr>
  </w:style>
  <w:style w:type="paragraph" w:customStyle="1" w:styleId="paragraph">
    <w:name w:val="paragraph"/>
    <w:basedOn w:val="Normal"/>
    <w:rsid w:val="00CD5A6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CD5A6D"/>
  </w:style>
  <w:style w:type="character" w:customStyle="1" w:styleId="eop">
    <w:name w:val="eop"/>
    <w:basedOn w:val="DefaultParagraphFont"/>
    <w:rsid w:val="00CD5A6D"/>
  </w:style>
  <w:style w:type="paragraph" w:styleId="FootnoteText">
    <w:name w:val="footnote text"/>
    <w:basedOn w:val="Normal"/>
    <w:link w:val="FootnoteTextChar"/>
    <w:uiPriority w:val="99"/>
    <w:semiHidden/>
    <w:unhideWhenUsed/>
    <w:rsid w:val="005D1B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B80"/>
    <w:rPr>
      <w:sz w:val="20"/>
      <w:szCs w:val="20"/>
    </w:rPr>
  </w:style>
  <w:style w:type="character" w:styleId="FootnoteReference">
    <w:name w:val="footnote reference"/>
    <w:basedOn w:val="DefaultParagraphFont"/>
    <w:uiPriority w:val="99"/>
    <w:semiHidden/>
    <w:unhideWhenUsed/>
    <w:rsid w:val="005D1B80"/>
    <w:rPr>
      <w:vertAlign w:val="superscript"/>
    </w:rPr>
  </w:style>
  <w:style w:type="character" w:styleId="Mention">
    <w:name w:val="Mention"/>
    <w:basedOn w:val="DefaultParagraphFont"/>
    <w:uiPriority w:val="99"/>
    <w:unhideWhenUsed/>
    <w:rsid w:val="00221638"/>
    <w:rPr>
      <w:color w:val="2B579A"/>
      <w:shd w:val="clear" w:color="auto" w:fill="E1DFDD"/>
    </w:rPr>
  </w:style>
  <w:style w:type="character" w:styleId="UnresolvedMention">
    <w:name w:val="Unresolved Mention"/>
    <w:basedOn w:val="DefaultParagraphFont"/>
    <w:uiPriority w:val="99"/>
    <w:semiHidden/>
    <w:unhideWhenUsed/>
    <w:rsid w:val="00CC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3265">
      <w:marLeft w:val="0"/>
      <w:marRight w:val="0"/>
      <w:marTop w:val="0"/>
      <w:marBottom w:val="0"/>
      <w:divBdr>
        <w:top w:val="none" w:sz="0" w:space="0" w:color="auto"/>
        <w:left w:val="none" w:sz="0" w:space="0" w:color="auto"/>
        <w:bottom w:val="none" w:sz="0" w:space="0" w:color="auto"/>
        <w:right w:val="none" w:sz="0" w:space="0" w:color="auto"/>
      </w:divBdr>
    </w:div>
    <w:div w:id="151603373">
      <w:bodyDiv w:val="1"/>
      <w:marLeft w:val="0"/>
      <w:marRight w:val="0"/>
      <w:marTop w:val="0"/>
      <w:marBottom w:val="0"/>
      <w:divBdr>
        <w:top w:val="none" w:sz="0" w:space="0" w:color="auto"/>
        <w:left w:val="none" w:sz="0" w:space="0" w:color="auto"/>
        <w:bottom w:val="none" w:sz="0" w:space="0" w:color="auto"/>
        <w:right w:val="none" w:sz="0" w:space="0" w:color="auto"/>
      </w:divBdr>
    </w:div>
    <w:div w:id="366637788">
      <w:bodyDiv w:val="1"/>
      <w:marLeft w:val="0"/>
      <w:marRight w:val="0"/>
      <w:marTop w:val="0"/>
      <w:marBottom w:val="0"/>
      <w:divBdr>
        <w:top w:val="none" w:sz="0" w:space="0" w:color="auto"/>
        <w:left w:val="none" w:sz="0" w:space="0" w:color="auto"/>
        <w:bottom w:val="none" w:sz="0" w:space="0" w:color="auto"/>
        <w:right w:val="none" w:sz="0" w:space="0" w:color="auto"/>
      </w:divBdr>
      <w:divsChild>
        <w:div w:id="1251818944">
          <w:marLeft w:val="0"/>
          <w:marRight w:val="0"/>
          <w:marTop w:val="0"/>
          <w:marBottom w:val="0"/>
          <w:divBdr>
            <w:top w:val="none" w:sz="0" w:space="0" w:color="auto"/>
            <w:left w:val="none" w:sz="0" w:space="0" w:color="auto"/>
            <w:bottom w:val="none" w:sz="0" w:space="0" w:color="auto"/>
            <w:right w:val="none" w:sz="0" w:space="0" w:color="auto"/>
          </w:divBdr>
        </w:div>
      </w:divsChild>
    </w:div>
    <w:div w:id="454494697">
      <w:marLeft w:val="0"/>
      <w:marRight w:val="0"/>
      <w:marTop w:val="0"/>
      <w:marBottom w:val="0"/>
      <w:divBdr>
        <w:top w:val="none" w:sz="0" w:space="0" w:color="auto"/>
        <w:left w:val="none" w:sz="0" w:space="0" w:color="auto"/>
        <w:bottom w:val="none" w:sz="0" w:space="0" w:color="auto"/>
        <w:right w:val="none" w:sz="0" w:space="0" w:color="auto"/>
      </w:divBdr>
    </w:div>
    <w:div w:id="503009817">
      <w:marLeft w:val="0"/>
      <w:marRight w:val="0"/>
      <w:marTop w:val="0"/>
      <w:marBottom w:val="0"/>
      <w:divBdr>
        <w:top w:val="none" w:sz="0" w:space="0" w:color="auto"/>
        <w:left w:val="none" w:sz="0" w:space="0" w:color="auto"/>
        <w:bottom w:val="none" w:sz="0" w:space="0" w:color="auto"/>
        <w:right w:val="none" w:sz="0" w:space="0" w:color="auto"/>
      </w:divBdr>
    </w:div>
    <w:div w:id="513737180">
      <w:marLeft w:val="0"/>
      <w:marRight w:val="0"/>
      <w:marTop w:val="0"/>
      <w:marBottom w:val="0"/>
      <w:divBdr>
        <w:top w:val="none" w:sz="0" w:space="0" w:color="auto"/>
        <w:left w:val="none" w:sz="0" w:space="0" w:color="auto"/>
        <w:bottom w:val="none" w:sz="0" w:space="0" w:color="auto"/>
        <w:right w:val="none" w:sz="0" w:space="0" w:color="auto"/>
      </w:divBdr>
    </w:div>
    <w:div w:id="618998545">
      <w:bodyDiv w:val="1"/>
      <w:marLeft w:val="0"/>
      <w:marRight w:val="0"/>
      <w:marTop w:val="0"/>
      <w:marBottom w:val="0"/>
      <w:divBdr>
        <w:top w:val="none" w:sz="0" w:space="0" w:color="auto"/>
        <w:left w:val="none" w:sz="0" w:space="0" w:color="auto"/>
        <w:bottom w:val="none" w:sz="0" w:space="0" w:color="auto"/>
        <w:right w:val="none" w:sz="0" w:space="0" w:color="auto"/>
      </w:divBdr>
    </w:div>
    <w:div w:id="843711033">
      <w:bodyDiv w:val="1"/>
      <w:marLeft w:val="0"/>
      <w:marRight w:val="0"/>
      <w:marTop w:val="0"/>
      <w:marBottom w:val="0"/>
      <w:divBdr>
        <w:top w:val="none" w:sz="0" w:space="0" w:color="auto"/>
        <w:left w:val="none" w:sz="0" w:space="0" w:color="auto"/>
        <w:bottom w:val="none" w:sz="0" w:space="0" w:color="auto"/>
        <w:right w:val="none" w:sz="0" w:space="0" w:color="auto"/>
      </w:divBdr>
    </w:div>
    <w:div w:id="951129322">
      <w:marLeft w:val="0"/>
      <w:marRight w:val="0"/>
      <w:marTop w:val="0"/>
      <w:marBottom w:val="0"/>
      <w:divBdr>
        <w:top w:val="none" w:sz="0" w:space="0" w:color="auto"/>
        <w:left w:val="none" w:sz="0" w:space="0" w:color="auto"/>
        <w:bottom w:val="none" w:sz="0" w:space="0" w:color="auto"/>
        <w:right w:val="none" w:sz="0" w:space="0" w:color="auto"/>
      </w:divBdr>
    </w:div>
    <w:div w:id="962612791">
      <w:bodyDiv w:val="1"/>
      <w:marLeft w:val="0"/>
      <w:marRight w:val="0"/>
      <w:marTop w:val="0"/>
      <w:marBottom w:val="0"/>
      <w:divBdr>
        <w:top w:val="none" w:sz="0" w:space="0" w:color="auto"/>
        <w:left w:val="none" w:sz="0" w:space="0" w:color="auto"/>
        <w:bottom w:val="none" w:sz="0" w:space="0" w:color="auto"/>
        <w:right w:val="none" w:sz="0" w:space="0" w:color="auto"/>
      </w:divBdr>
      <w:divsChild>
        <w:div w:id="638607515">
          <w:marLeft w:val="0"/>
          <w:marRight w:val="0"/>
          <w:marTop w:val="0"/>
          <w:marBottom w:val="0"/>
          <w:divBdr>
            <w:top w:val="none" w:sz="0" w:space="0" w:color="auto"/>
            <w:left w:val="none" w:sz="0" w:space="0" w:color="auto"/>
            <w:bottom w:val="none" w:sz="0" w:space="0" w:color="auto"/>
            <w:right w:val="none" w:sz="0" w:space="0" w:color="auto"/>
          </w:divBdr>
        </w:div>
      </w:divsChild>
    </w:div>
    <w:div w:id="1114249221">
      <w:bodyDiv w:val="1"/>
      <w:marLeft w:val="0"/>
      <w:marRight w:val="0"/>
      <w:marTop w:val="0"/>
      <w:marBottom w:val="0"/>
      <w:divBdr>
        <w:top w:val="none" w:sz="0" w:space="0" w:color="auto"/>
        <w:left w:val="none" w:sz="0" w:space="0" w:color="auto"/>
        <w:bottom w:val="none" w:sz="0" w:space="0" w:color="auto"/>
        <w:right w:val="none" w:sz="0" w:space="0" w:color="auto"/>
      </w:divBdr>
    </w:div>
    <w:div w:id="1155797334">
      <w:marLeft w:val="0"/>
      <w:marRight w:val="0"/>
      <w:marTop w:val="0"/>
      <w:marBottom w:val="0"/>
      <w:divBdr>
        <w:top w:val="none" w:sz="0" w:space="0" w:color="auto"/>
        <w:left w:val="none" w:sz="0" w:space="0" w:color="auto"/>
        <w:bottom w:val="none" w:sz="0" w:space="0" w:color="auto"/>
        <w:right w:val="none" w:sz="0" w:space="0" w:color="auto"/>
      </w:divBdr>
    </w:div>
    <w:div w:id="1263414451">
      <w:bodyDiv w:val="1"/>
      <w:marLeft w:val="0"/>
      <w:marRight w:val="0"/>
      <w:marTop w:val="0"/>
      <w:marBottom w:val="0"/>
      <w:divBdr>
        <w:top w:val="none" w:sz="0" w:space="0" w:color="auto"/>
        <w:left w:val="none" w:sz="0" w:space="0" w:color="auto"/>
        <w:bottom w:val="none" w:sz="0" w:space="0" w:color="auto"/>
        <w:right w:val="none" w:sz="0" w:space="0" w:color="auto"/>
      </w:divBdr>
    </w:div>
    <w:div w:id="1342855877">
      <w:bodyDiv w:val="1"/>
      <w:marLeft w:val="0"/>
      <w:marRight w:val="0"/>
      <w:marTop w:val="0"/>
      <w:marBottom w:val="0"/>
      <w:divBdr>
        <w:top w:val="none" w:sz="0" w:space="0" w:color="auto"/>
        <w:left w:val="none" w:sz="0" w:space="0" w:color="auto"/>
        <w:bottom w:val="none" w:sz="0" w:space="0" w:color="auto"/>
        <w:right w:val="none" w:sz="0" w:space="0" w:color="auto"/>
      </w:divBdr>
      <w:divsChild>
        <w:div w:id="1049453357">
          <w:marLeft w:val="0"/>
          <w:marRight w:val="0"/>
          <w:marTop w:val="0"/>
          <w:marBottom w:val="0"/>
          <w:divBdr>
            <w:top w:val="none" w:sz="0" w:space="0" w:color="auto"/>
            <w:left w:val="none" w:sz="0" w:space="0" w:color="auto"/>
            <w:bottom w:val="none" w:sz="0" w:space="0" w:color="auto"/>
            <w:right w:val="none" w:sz="0" w:space="0" w:color="auto"/>
          </w:divBdr>
        </w:div>
        <w:div w:id="1534727700">
          <w:marLeft w:val="0"/>
          <w:marRight w:val="0"/>
          <w:marTop w:val="0"/>
          <w:marBottom w:val="0"/>
          <w:divBdr>
            <w:top w:val="none" w:sz="0" w:space="0" w:color="auto"/>
            <w:left w:val="none" w:sz="0" w:space="0" w:color="auto"/>
            <w:bottom w:val="none" w:sz="0" w:space="0" w:color="auto"/>
            <w:right w:val="none" w:sz="0" w:space="0" w:color="auto"/>
          </w:divBdr>
        </w:div>
        <w:div w:id="1717460560">
          <w:marLeft w:val="0"/>
          <w:marRight w:val="0"/>
          <w:marTop w:val="0"/>
          <w:marBottom w:val="0"/>
          <w:divBdr>
            <w:top w:val="none" w:sz="0" w:space="0" w:color="auto"/>
            <w:left w:val="none" w:sz="0" w:space="0" w:color="auto"/>
            <w:bottom w:val="none" w:sz="0" w:space="0" w:color="auto"/>
            <w:right w:val="none" w:sz="0" w:space="0" w:color="auto"/>
          </w:divBdr>
          <w:divsChild>
            <w:div w:id="2093970272">
              <w:marLeft w:val="-75"/>
              <w:marRight w:val="0"/>
              <w:marTop w:val="30"/>
              <w:marBottom w:val="30"/>
              <w:divBdr>
                <w:top w:val="none" w:sz="0" w:space="0" w:color="auto"/>
                <w:left w:val="none" w:sz="0" w:space="0" w:color="auto"/>
                <w:bottom w:val="none" w:sz="0" w:space="0" w:color="auto"/>
                <w:right w:val="none" w:sz="0" w:space="0" w:color="auto"/>
              </w:divBdr>
              <w:divsChild>
                <w:div w:id="6640115">
                  <w:marLeft w:val="0"/>
                  <w:marRight w:val="0"/>
                  <w:marTop w:val="0"/>
                  <w:marBottom w:val="0"/>
                  <w:divBdr>
                    <w:top w:val="none" w:sz="0" w:space="0" w:color="auto"/>
                    <w:left w:val="none" w:sz="0" w:space="0" w:color="auto"/>
                    <w:bottom w:val="none" w:sz="0" w:space="0" w:color="auto"/>
                    <w:right w:val="none" w:sz="0" w:space="0" w:color="auto"/>
                  </w:divBdr>
                  <w:divsChild>
                    <w:div w:id="310792231">
                      <w:marLeft w:val="0"/>
                      <w:marRight w:val="0"/>
                      <w:marTop w:val="0"/>
                      <w:marBottom w:val="0"/>
                      <w:divBdr>
                        <w:top w:val="none" w:sz="0" w:space="0" w:color="auto"/>
                        <w:left w:val="none" w:sz="0" w:space="0" w:color="auto"/>
                        <w:bottom w:val="none" w:sz="0" w:space="0" w:color="auto"/>
                        <w:right w:val="none" w:sz="0" w:space="0" w:color="auto"/>
                      </w:divBdr>
                    </w:div>
                  </w:divsChild>
                </w:div>
                <w:div w:id="283004992">
                  <w:marLeft w:val="0"/>
                  <w:marRight w:val="0"/>
                  <w:marTop w:val="0"/>
                  <w:marBottom w:val="0"/>
                  <w:divBdr>
                    <w:top w:val="none" w:sz="0" w:space="0" w:color="auto"/>
                    <w:left w:val="none" w:sz="0" w:space="0" w:color="auto"/>
                    <w:bottom w:val="none" w:sz="0" w:space="0" w:color="auto"/>
                    <w:right w:val="none" w:sz="0" w:space="0" w:color="auto"/>
                  </w:divBdr>
                  <w:divsChild>
                    <w:div w:id="461773896">
                      <w:marLeft w:val="0"/>
                      <w:marRight w:val="0"/>
                      <w:marTop w:val="0"/>
                      <w:marBottom w:val="0"/>
                      <w:divBdr>
                        <w:top w:val="none" w:sz="0" w:space="0" w:color="auto"/>
                        <w:left w:val="none" w:sz="0" w:space="0" w:color="auto"/>
                        <w:bottom w:val="none" w:sz="0" w:space="0" w:color="auto"/>
                        <w:right w:val="none" w:sz="0" w:space="0" w:color="auto"/>
                      </w:divBdr>
                    </w:div>
                  </w:divsChild>
                </w:div>
                <w:div w:id="753552550">
                  <w:marLeft w:val="0"/>
                  <w:marRight w:val="0"/>
                  <w:marTop w:val="0"/>
                  <w:marBottom w:val="0"/>
                  <w:divBdr>
                    <w:top w:val="none" w:sz="0" w:space="0" w:color="auto"/>
                    <w:left w:val="none" w:sz="0" w:space="0" w:color="auto"/>
                    <w:bottom w:val="none" w:sz="0" w:space="0" w:color="auto"/>
                    <w:right w:val="none" w:sz="0" w:space="0" w:color="auto"/>
                  </w:divBdr>
                  <w:divsChild>
                    <w:div w:id="354353477">
                      <w:marLeft w:val="0"/>
                      <w:marRight w:val="0"/>
                      <w:marTop w:val="0"/>
                      <w:marBottom w:val="0"/>
                      <w:divBdr>
                        <w:top w:val="none" w:sz="0" w:space="0" w:color="auto"/>
                        <w:left w:val="none" w:sz="0" w:space="0" w:color="auto"/>
                        <w:bottom w:val="none" w:sz="0" w:space="0" w:color="auto"/>
                        <w:right w:val="none" w:sz="0" w:space="0" w:color="auto"/>
                      </w:divBdr>
                    </w:div>
                  </w:divsChild>
                </w:div>
                <w:div w:id="1002705807">
                  <w:marLeft w:val="0"/>
                  <w:marRight w:val="0"/>
                  <w:marTop w:val="0"/>
                  <w:marBottom w:val="0"/>
                  <w:divBdr>
                    <w:top w:val="none" w:sz="0" w:space="0" w:color="auto"/>
                    <w:left w:val="none" w:sz="0" w:space="0" w:color="auto"/>
                    <w:bottom w:val="none" w:sz="0" w:space="0" w:color="auto"/>
                    <w:right w:val="none" w:sz="0" w:space="0" w:color="auto"/>
                  </w:divBdr>
                  <w:divsChild>
                    <w:div w:id="613289416">
                      <w:marLeft w:val="0"/>
                      <w:marRight w:val="0"/>
                      <w:marTop w:val="0"/>
                      <w:marBottom w:val="0"/>
                      <w:divBdr>
                        <w:top w:val="none" w:sz="0" w:space="0" w:color="auto"/>
                        <w:left w:val="none" w:sz="0" w:space="0" w:color="auto"/>
                        <w:bottom w:val="none" w:sz="0" w:space="0" w:color="auto"/>
                        <w:right w:val="none" w:sz="0" w:space="0" w:color="auto"/>
                      </w:divBdr>
                    </w:div>
                  </w:divsChild>
                </w:div>
                <w:div w:id="1334531352">
                  <w:marLeft w:val="0"/>
                  <w:marRight w:val="0"/>
                  <w:marTop w:val="0"/>
                  <w:marBottom w:val="0"/>
                  <w:divBdr>
                    <w:top w:val="none" w:sz="0" w:space="0" w:color="auto"/>
                    <w:left w:val="none" w:sz="0" w:space="0" w:color="auto"/>
                    <w:bottom w:val="none" w:sz="0" w:space="0" w:color="auto"/>
                    <w:right w:val="none" w:sz="0" w:space="0" w:color="auto"/>
                  </w:divBdr>
                  <w:divsChild>
                    <w:div w:id="1109159672">
                      <w:marLeft w:val="0"/>
                      <w:marRight w:val="0"/>
                      <w:marTop w:val="0"/>
                      <w:marBottom w:val="0"/>
                      <w:divBdr>
                        <w:top w:val="none" w:sz="0" w:space="0" w:color="auto"/>
                        <w:left w:val="none" w:sz="0" w:space="0" w:color="auto"/>
                        <w:bottom w:val="none" w:sz="0" w:space="0" w:color="auto"/>
                        <w:right w:val="none" w:sz="0" w:space="0" w:color="auto"/>
                      </w:divBdr>
                    </w:div>
                  </w:divsChild>
                </w:div>
                <w:div w:id="1365205794">
                  <w:marLeft w:val="0"/>
                  <w:marRight w:val="0"/>
                  <w:marTop w:val="0"/>
                  <w:marBottom w:val="0"/>
                  <w:divBdr>
                    <w:top w:val="none" w:sz="0" w:space="0" w:color="auto"/>
                    <w:left w:val="none" w:sz="0" w:space="0" w:color="auto"/>
                    <w:bottom w:val="none" w:sz="0" w:space="0" w:color="auto"/>
                    <w:right w:val="none" w:sz="0" w:space="0" w:color="auto"/>
                  </w:divBdr>
                  <w:divsChild>
                    <w:div w:id="989989490">
                      <w:marLeft w:val="0"/>
                      <w:marRight w:val="0"/>
                      <w:marTop w:val="0"/>
                      <w:marBottom w:val="0"/>
                      <w:divBdr>
                        <w:top w:val="none" w:sz="0" w:space="0" w:color="auto"/>
                        <w:left w:val="none" w:sz="0" w:space="0" w:color="auto"/>
                        <w:bottom w:val="none" w:sz="0" w:space="0" w:color="auto"/>
                        <w:right w:val="none" w:sz="0" w:space="0" w:color="auto"/>
                      </w:divBdr>
                    </w:div>
                  </w:divsChild>
                </w:div>
                <w:div w:id="2033267317">
                  <w:marLeft w:val="0"/>
                  <w:marRight w:val="0"/>
                  <w:marTop w:val="0"/>
                  <w:marBottom w:val="0"/>
                  <w:divBdr>
                    <w:top w:val="none" w:sz="0" w:space="0" w:color="auto"/>
                    <w:left w:val="none" w:sz="0" w:space="0" w:color="auto"/>
                    <w:bottom w:val="none" w:sz="0" w:space="0" w:color="auto"/>
                    <w:right w:val="none" w:sz="0" w:space="0" w:color="auto"/>
                  </w:divBdr>
                  <w:divsChild>
                    <w:div w:id="1043554491">
                      <w:marLeft w:val="0"/>
                      <w:marRight w:val="0"/>
                      <w:marTop w:val="0"/>
                      <w:marBottom w:val="0"/>
                      <w:divBdr>
                        <w:top w:val="none" w:sz="0" w:space="0" w:color="auto"/>
                        <w:left w:val="none" w:sz="0" w:space="0" w:color="auto"/>
                        <w:bottom w:val="none" w:sz="0" w:space="0" w:color="auto"/>
                        <w:right w:val="none" w:sz="0" w:space="0" w:color="auto"/>
                      </w:divBdr>
                    </w:div>
                  </w:divsChild>
                </w:div>
                <w:div w:id="2062167624">
                  <w:marLeft w:val="0"/>
                  <w:marRight w:val="0"/>
                  <w:marTop w:val="0"/>
                  <w:marBottom w:val="0"/>
                  <w:divBdr>
                    <w:top w:val="none" w:sz="0" w:space="0" w:color="auto"/>
                    <w:left w:val="none" w:sz="0" w:space="0" w:color="auto"/>
                    <w:bottom w:val="none" w:sz="0" w:space="0" w:color="auto"/>
                    <w:right w:val="none" w:sz="0" w:space="0" w:color="auto"/>
                  </w:divBdr>
                  <w:divsChild>
                    <w:div w:id="1376387465">
                      <w:marLeft w:val="0"/>
                      <w:marRight w:val="0"/>
                      <w:marTop w:val="0"/>
                      <w:marBottom w:val="0"/>
                      <w:divBdr>
                        <w:top w:val="none" w:sz="0" w:space="0" w:color="auto"/>
                        <w:left w:val="none" w:sz="0" w:space="0" w:color="auto"/>
                        <w:bottom w:val="none" w:sz="0" w:space="0" w:color="auto"/>
                        <w:right w:val="none" w:sz="0" w:space="0" w:color="auto"/>
                      </w:divBdr>
                    </w:div>
                  </w:divsChild>
                </w:div>
                <w:div w:id="2103793441">
                  <w:marLeft w:val="0"/>
                  <w:marRight w:val="0"/>
                  <w:marTop w:val="0"/>
                  <w:marBottom w:val="0"/>
                  <w:divBdr>
                    <w:top w:val="none" w:sz="0" w:space="0" w:color="auto"/>
                    <w:left w:val="none" w:sz="0" w:space="0" w:color="auto"/>
                    <w:bottom w:val="none" w:sz="0" w:space="0" w:color="auto"/>
                    <w:right w:val="none" w:sz="0" w:space="0" w:color="auto"/>
                  </w:divBdr>
                  <w:divsChild>
                    <w:div w:id="1381056233">
                      <w:marLeft w:val="0"/>
                      <w:marRight w:val="0"/>
                      <w:marTop w:val="0"/>
                      <w:marBottom w:val="0"/>
                      <w:divBdr>
                        <w:top w:val="none" w:sz="0" w:space="0" w:color="auto"/>
                        <w:left w:val="none" w:sz="0" w:space="0" w:color="auto"/>
                        <w:bottom w:val="none" w:sz="0" w:space="0" w:color="auto"/>
                        <w:right w:val="none" w:sz="0" w:space="0" w:color="auto"/>
                      </w:divBdr>
                    </w:div>
                  </w:divsChild>
                </w:div>
                <w:div w:id="2128347327">
                  <w:marLeft w:val="0"/>
                  <w:marRight w:val="0"/>
                  <w:marTop w:val="0"/>
                  <w:marBottom w:val="0"/>
                  <w:divBdr>
                    <w:top w:val="none" w:sz="0" w:space="0" w:color="auto"/>
                    <w:left w:val="none" w:sz="0" w:space="0" w:color="auto"/>
                    <w:bottom w:val="none" w:sz="0" w:space="0" w:color="auto"/>
                    <w:right w:val="none" w:sz="0" w:space="0" w:color="auto"/>
                  </w:divBdr>
                  <w:divsChild>
                    <w:div w:id="4843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792719">
      <w:bodyDiv w:val="1"/>
      <w:marLeft w:val="0"/>
      <w:marRight w:val="0"/>
      <w:marTop w:val="0"/>
      <w:marBottom w:val="0"/>
      <w:divBdr>
        <w:top w:val="none" w:sz="0" w:space="0" w:color="auto"/>
        <w:left w:val="none" w:sz="0" w:space="0" w:color="auto"/>
        <w:bottom w:val="none" w:sz="0" w:space="0" w:color="auto"/>
        <w:right w:val="none" w:sz="0" w:space="0" w:color="auto"/>
      </w:divBdr>
      <w:divsChild>
        <w:div w:id="1995210270">
          <w:marLeft w:val="0"/>
          <w:marRight w:val="0"/>
          <w:marTop w:val="0"/>
          <w:marBottom w:val="0"/>
          <w:divBdr>
            <w:top w:val="none" w:sz="0" w:space="0" w:color="auto"/>
            <w:left w:val="none" w:sz="0" w:space="0" w:color="auto"/>
            <w:bottom w:val="none" w:sz="0" w:space="0" w:color="auto"/>
            <w:right w:val="none" w:sz="0" w:space="0" w:color="auto"/>
          </w:divBdr>
        </w:div>
      </w:divsChild>
    </w:div>
    <w:div w:id="1643651472">
      <w:bodyDiv w:val="1"/>
      <w:marLeft w:val="0"/>
      <w:marRight w:val="0"/>
      <w:marTop w:val="0"/>
      <w:marBottom w:val="0"/>
      <w:divBdr>
        <w:top w:val="none" w:sz="0" w:space="0" w:color="auto"/>
        <w:left w:val="none" w:sz="0" w:space="0" w:color="auto"/>
        <w:bottom w:val="none" w:sz="0" w:space="0" w:color="auto"/>
        <w:right w:val="none" w:sz="0" w:space="0" w:color="auto"/>
      </w:divBdr>
      <w:divsChild>
        <w:div w:id="104741301">
          <w:marLeft w:val="0"/>
          <w:marRight w:val="0"/>
          <w:marTop w:val="0"/>
          <w:marBottom w:val="0"/>
          <w:divBdr>
            <w:top w:val="none" w:sz="0" w:space="0" w:color="auto"/>
            <w:left w:val="none" w:sz="0" w:space="0" w:color="auto"/>
            <w:bottom w:val="none" w:sz="0" w:space="0" w:color="auto"/>
            <w:right w:val="none" w:sz="0" w:space="0" w:color="auto"/>
          </w:divBdr>
        </w:div>
      </w:divsChild>
    </w:div>
    <w:div w:id="1645816457">
      <w:bodyDiv w:val="1"/>
      <w:marLeft w:val="0"/>
      <w:marRight w:val="0"/>
      <w:marTop w:val="0"/>
      <w:marBottom w:val="0"/>
      <w:divBdr>
        <w:top w:val="none" w:sz="0" w:space="0" w:color="auto"/>
        <w:left w:val="none" w:sz="0" w:space="0" w:color="auto"/>
        <w:bottom w:val="none" w:sz="0" w:space="0" w:color="auto"/>
        <w:right w:val="none" w:sz="0" w:space="0" w:color="auto"/>
      </w:divBdr>
      <w:divsChild>
        <w:div w:id="1703482398">
          <w:marLeft w:val="0"/>
          <w:marRight w:val="0"/>
          <w:marTop w:val="0"/>
          <w:marBottom w:val="0"/>
          <w:divBdr>
            <w:top w:val="none" w:sz="0" w:space="0" w:color="auto"/>
            <w:left w:val="none" w:sz="0" w:space="0" w:color="auto"/>
            <w:bottom w:val="none" w:sz="0" w:space="0" w:color="auto"/>
            <w:right w:val="none" w:sz="0" w:space="0" w:color="auto"/>
          </w:divBdr>
        </w:div>
      </w:divsChild>
    </w:div>
    <w:div w:id="1974090948">
      <w:bodyDiv w:val="1"/>
      <w:marLeft w:val="0"/>
      <w:marRight w:val="0"/>
      <w:marTop w:val="0"/>
      <w:marBottom w:val="0"/>
      <w:divBdr>
        <w:top w:val="none" w:sz="0" w:space="0" w:color="auto"/>
        <w:left w:val="none" w:sz="0" w:space="0" w:color="auto"/>
        <w:bottom w:val="none" w:sz="0" w:space="0" w:color="auto"/>
        <w:right w:val="none" w:sz="0" w:space="0" w:color="auto"/>
      </w:divBdr>
    </w:div>
    <w:div w:id="20958579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ia.pmc.gov.au/published-impact-analyses-and-report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ia.pmc.gov.au/resources/australian-government-impact-analysis-framewor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ia.pmc.gov.au/summary-report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ia.pmc.gov.au/sites/default/files/posts/2025/10/Addendum.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rgbClr val="FFFFFF"/>
      </a:lt1>
      <a:dk2>
        <a:srgbClr val="0F1F35"/>
      </a:dk2>
      <a:lt2>
        <a:srgbClr val="E0E8F2"/>
      </a:lt2>
      <a:accent1>
        <a:srgbClr val="1B375C"/>
      </a:accent1>
      <a:accent2>
        <a:srgbClr val="778E61"/>
      </a:accent2>
      <a:accent3>
        <a:srgbClr val="F26337"/>
      </a:accent3>
      <a:accent4>
        <a:srgbClr val="4BADB0"/>
      </a:accent4>
      <a:accent5>
        <a:srgbClr val="B75B53"/>
      </a:accent5>
      <a:accent6>
        <a:srgbClr val="FCB76C"/>
      </a:accent6>
      <a:hlink>
        <a:srgbClr val="3266AB"/>
      </a:hlink>
      <a:folHlink>
        <a:srgbClr val="3266AB"/>
      </a:folHlink>
    </a:clrScheme>
    <a:fontScheme name="PM&amp;C 2022">
      <a:majorFont>
        <a:latin typeface="Times New Roman"/>
        <a:ea typeface=""/>
        <a:cs typeface=""/>
      </a:majorFont>
      <a:minorFont>
        <a:latin typeface="Segoe U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285619428CBE4886618267E9F1076D" ma:contentTypeVersion="33" ma:contentTypeDescription="Create a new document." ma:contentTypeScope="" ma:versionID="7d1d28142d0fceada52ba52bd7ce3fa2">
  <xsd:schema xmlns:xsd="http://www.w3.org/2001/XMLSchema" xmlns:xs="http://www.w3.org/2001/XMLSchema" xmlns:p="http://schemas.microsoft.com/office/2006/metadata/properties" xmlns:ns1="http://schemas.microsoft.com/sharepoint/v3" xmlns:ns2="d0dfa800-9ef0-44cb-8a12-633e29de1e0b" xmlns:ns3="e771ab56-0c5d-40e7-b080-2686d2b89623" xmlns:ns4="ce530a30-1469-477c-a42f-e412a5d2cfe7" targetNamespace="http://schemas.microsoft.com/office/2006/metadata/properties" ma:root="true" ma:fieldsID="a9d7c88e765710a62d7fbfa5d1c39d66" ns1:_="" ns2:_="" ns3:_="" ns4:_="">
    <xsd:import namespace="http://schemas.microsoft.com/sharepoint/v3"/>
    <xsd:import namespace="d0dfa800-9ef0-44cb-8a12-633e29de1e0b"/>
    <xsd:import namespace="e771ab56-0c5d-40e7-b080-2686d2b89623"/>
    <xsd:import namespace="ce530a30-1469-477c-a42f-e412a5d2cfe7"/>
    <xsd:element name="properties">
      <xsd:complexType>
        <xsd:sequence>
          <xsd:element name="documentManagement">
            <xsd:complexType>
              <xsd:all>
                <xsd:element ref="ns2:_dlc_DocId" minOccurs="0"/>
                <xsd:element ref="ns2:_dlc_DocIdUrl" minOccurs="0"/>
                <xsd:element ref="ns2:_dlc_DocIdPersistId" minOccurs="0"/>
                <xsd:element ref="ns2:i33d79d771804d3fbb0a7948c73bb64e" minOccurs="0"/>
                <xsd:element ref="ns2:TaxCatchAll" minOccurs="0"/>
                <xsd:element ref="ns3:ShareHubID" minOccurs="0"/>
                <xsd:element ref="ns2:TaxKeywordTaxHTField" minOccurs="0"/>
                <xsd:element ref="ns1:Comments" minOccurs="0"/>
                <xsd:element ref="ns4:lcf76f155ced4ddcb4097134ff3c332f" minOccurs="0"/>
                <xsd:element ref="ns4:MediaServiceMetadata" minOccurs="0"/>
                <xsd:element ref="ns4:MediaServiceFastMetadata" minOccurs="0"/>
                <xsd:element ref="ns4:MediaServiceSearchProperties" minOccurs="0"/>
                <xsd:element ref="ns4:MediaServiceDateTaken" minOccurs="0"/>
                <xsd:element ref="ns4:MediaServiceObjectDetectorVersion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dfa800-9ef0-44cb-8a12-633e29de1e0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33d79d771804d3fbb0a7948c73bb64e" ma:index="12" nillable="true" ma:taxonomy="true" ma:internalName="i33d79d771804d3fbb0a7948c73bb64e" ma:taxonomyFieldName="SecurityClassification" ma:displayName="Security Classification" ma:default="" ma:fieldId="{233d79d7-7180-4d3f-bb0a-7948c73bb64e}"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3e71626-501d-4005-9cdb-ece5cfae16ce}" ma:internalName="TaxCatchAll" ma:showField="CatchAllData" ma:web="d0dfa800-9ef0-44cb-8a12-633e29de1e0b">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530a30-1469-477c-a42f-e412a5d2cfe7"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HubID xmlns="e771ab56-0c5d-40e7-b080-2686d2b89623" xsi:nil="true"/>
    <Comments xmlns="http://schemas.microsoft.com/sharepoint/v3" xsi:nil="true"/>
    <_dlc_DocId xmlns="d0dfa800-9ef0-44cb-8a12-633e29de1e0b">PMCdoc-213507164-76877</_dlc_DocId>
    <_dlc_DocIdUrl xmlns="d0dfa800-9ef0-44cb-8a12-633e29de1e0b">
      <Url>https://pmc01.sharepoint.com/sites/pmc-ms-cb/_layouts/15/DocIdRedir.aspx?ID=PMCdoc-213507164-76877</Url>
      <Description>PMCdoc-213507164-76877</Description>
    </_dlc_DocIdUrl>
    <TaxCatchAll xmlns="d0dfa800-9ef0-44cb-8a12-633e29de1e0b">
      <Value>4</Value>
    </TaxCatchAll>
    <TaxKeywordTaxHTField xmlns="d0dfa800-9ef0-44cb-8a12-633e29de1e0b">
      <Terms xmlns="http://schemas.microsoft.com/office/infopath/2007/PartnerControls"/>
    </TaxKeywordTaxHTField>
    <i33d79d771804d3fbb0a7948c73bb64e xmlns="d0dfa800-9ef0-44cb-8a12-633e29de1e0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33d79d771804d3fbb0a7948c73bb64e>
    <lcf76f155ced4ddcb4097134ff3c332f xmlns="ce530a30-1469-477c-a42f-e412a5d2cf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E7F099-4EC3-40B6-92BA-07BFB75AD009}">
  <ds:schemaRefs>
    <ds:schemaRef ds:uri="http://schemas.microsoft.com/sharepoint/v3/contenttype/forms"/>
  </ds:schemaRefs>
</ds:datastoreItem>
</file>

<file path=customXml/itemProps2.xml><?xml version="1.0" encoding="utf-8"?>
<ds:datastoreItem xmlns:ds="http://schemas.openxmlformats.org/officeDocument/2006/customXml" ds:itemID="{FCCAEA67-029D-44B6-9D76-E634B4FB67BB}">
  <ds:schemaRefs>
    <ds:schemaRef ds:uri="http://schemas.openxmlformats.org/officeDocument/2006/bibliography"/>
  </ds:schemaRefs>
</ds:datastoreItem>
</file>

<file path=customXml/itemProps3.xml><?xml version="1.0" encoding="utf-8"?>
<ds:datastoreItem xmlns:ds="http://schemas.openxmlformats.org/officeDocument/2006/customXml" ds:itemID="{459FE45D-76CF-4AC8-A26E-FC6F78DD1DFD}">
  <ds:schemaRefs>
    <ds:schemaRef ds:uri="http://schemas.microsoft.com/sharepoint/events"/>
  </ds:schemaRefs>
</ds:datastoreItem>
</file>

<file path=customXml/itemProps4.xml><?xml version="1.0" encoding="utf-8"?>
<ds:datastoreItem xmlns:ds="http://schemas.openxmlformats.org/officeDocument/2006/customXml" ds:itemID="{CAB4F62D-15E1-4E7C-A705-D6F327946261}"/>
</file>

<file path=customXml/itemProps5.xml><?xml version="1.0" encoding="utf-8"?>
<ds:datastoreItem xmlns:ds="http://schemas.openxmlformats.org/officeDocument/2006/customXml" ds:itemID="{4223FEB2-ACCF-4222-9227-EAA2B0F21518}">
  <ds:schemaRefs>
    <ds:schemaRef ds:uri="http://schemas.microsoft.com/office/2006/metadata/properties"/>
    <ds:schemaRef ds:uri="http://schemas.microsoft.com/office/infopath/2007/PartnerControls"/>
    <ds:schemaRef ds:uri="e771ab56-0c5d-40e7-b080-2686d2b89623"/>
    <ds:schemaRef ds:uri="http://schemas.microsoft.com/sharepoint/v3"/>
    <ds:schemaRef ds:uri="4cf56534-3a85-4598-93f6-39f149c921ae"/>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6</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Australian Government Impact Analysis status, 2025-26</vt:lpstr>
    </vt:vector>
  </TitlesOfParts>
  <Company/>
  <LinksUpToDate>false</LinksUpToDate>
  <CharactersWithSpaces>7191</CharactersWithSpaces>
  <SharedDoc>false</SharedDoc>
  <HLinks>
    <vt:vector size="78" baseType="variant">
      <vt:variant>
        <vt:i4>1441841</vt:i4>
      </vt:variant>
      <vt:variant>
        <vt:i4>59</vt:i4>
      </vt:variant>
      <vt:variant>
        <vt:i4>0</vt:i4>
      </vt:variant>
      <vt:variant>
        <vt:i4>5</vt:i4>
      </vt:variant>
      <vt:variant>
        <vt:lpwstr/>
      </vt:variant>
      <vt:variant>
        <vt:lpwstr>_Toc243562620</vt:lpwstr>
      </vt:variant>
      <vt:variant>
        <vt:i4>1376305</vt:i4>
      </vt:variant>
      <vt:variant>
        <vt:i4>53</vt:i4>
      </vt:variant>
      <vt:variant>
        <vt:i4>0</vt:i4>
      </vt:variant>
      <vt:variant>
        <vt:i4>5</vt:i4>
      </vt:variant>
      <vt:variant>
        <vt:lpwstr/>
      </vt:variant>
      <vt:variant>
        <vt:lpwstr>_Toc243562619</vt:lpwstr>
      </vt:variant>
      <vt:variant>
        <vt:i4>1376305</vt:i4>
      </vt:variant>
      <vt:variant>
        <vt:i4>47</vt:i4>
      </vt:variant>
      <vt:variant>
        <vt:i4>0</vt:i4>
      </vt:variant>
      <vt:variant>
        <vt:i4>5</vt:i4>
      </vt:variant>
      <vt:variant>
        <vt:lpwstr/>
      </vt:variant>
      <vt:variant>
        <vt:lpwstr>_Toc243562618</vt:lpwstr>
      </vt:variant>
      <vt:variant>
        <vt:i4>1376305</vt:i4>
      </vt:variant>
      <vt:variant>
        <vt:i4>41</vt:i4>
      </vt:variant>
      <vt:variant>
        <vt:i4>0</vt:i4>
      </vt:variant>
      <vt:variant>
        <vt:i4>5</vt:i4>
      </vt:variant>
      <vt:variant>
        <vt:lpwstr/>
      </vt:variant>
      <vt:variant>
        <vt:lpwstr>_Toc243562617</vt:lpwstr>
      </vt:variant>
      <vt:variant>
        <vt:i4>1376305</vt:i4>
      </vt:variant>
      <vt:variant>
        <vt:i4>35</vt:i4>
      </vt:variant>
      <vt:variant>
        <vt:i4>0</vt:i4>
      </vt:variant>
      <vt:variant>
        <vt:i4>5</vt:i4>
      </vt:variant>
      <vt:variant>
        <vt:lpwstr/>
      </vt:variant>
      <vt:variant>
        <vt:lpwstr>_Toc243562616</vt:lpwstr>
      </vt:variant>
      <vt:variant>
        <vt:i4>1376305</vt:i4>
      </vt:variant>
      <vt:variant>
        <vt:i4>29</vt:i4>
      </vt:variant>
      <vt:variant>
        <vt:i4>0</vt:i4>
      </vt:variant>
      <vt:variant>
        <vt:i4>5</vt:i4>
      </vt:variant>
      <vt:variant>
        <vt:lpwstr/>
      </vt:variant>
      <vt:variant>
        <vt:lpwstr>_Toc243562615</vt:lpwstr>
      </vt:variant>
      <vt:variant>
        <vt:i4>1376305</vt:i4>
      </vt:variant>
      <vt:variant>
        <vt:i4>23</vt:i4>
      </vt:variant>
      <vt:variant>
        <vt:i4>0</vt:i4>
      </vt:variant>
      <vt:variant>
        <vt:i4>5</vt:i4>
      </vt:variant>
      <vt:variant>
        <vt:lpwstr/>
      </vt:variant>
      <vt:variant>
        <vt:lpwstr>_Toc243562614</vt:lpwstr>
      </vt:variant>
      <vt:variant>
        <vt:i4>1376305</vt:i4>
      </vt:variant>
      <vt:variant>
        <vt:i4>17</vt:i4>
      </vt:variant>
      <vt:variant>
        <vt:i4>0</vt:i4>
      </vt:variant>
      <vt:variant>
        <vt:i4>5</vt:i4>
      </vt:variant>
      <vt:variant>
        <vt:lpwstr/>
      </vt:variant>
      <vt:variant>
        <vt:lpwstr>_Toc243562613</vt:lpwstr>
      </vt:variant>
      <vt:variant>
        <vt:i4>1376305</vt:i4>
      </vt:variant>
      <vt:variant>
        <vt:i4>11</vt:i4>
      </vt:variant>
      <vt:variant>
        <vt:i4>0</vt:i4>
      </vt:variant>
      <vt:variant>
        <vt:i4>5</vt:i4>
      </vt:variant>
      <vt:variant>
        <vt:lpwstr/>
      </vt:variant>
      <vt:variant>
        <vt:lpwstr>_Toc243562612</vt:lpwstr>
      </vt:variant>
      <vt:variant>
        <vt:i4>2359355</vt:i4>
      </vt:variant>
      <vt:variant>
        <vt:i4>6</vt:i4>
      </vt:variant>
      <vt:variant>
        <vt:i4>0</vt:i4>
      </vt:variant>
      <vt:variant>
        <vt:i4>5</vt:i4>
      </vt:variant>
      <vt:variant>
        <vt:lpwstr>https://oia.pmc.gov.au/summary-reports</vt:lpwstr>
      </vt:variant>
      <vt:variant>
        <vt:lpwstr/>
      </vt:variant>
      <vt:variant>
        <vt:i4>327764</vt:i4>
      </vt:variant>
      <vt:variant>
        <vt:i4>3</vt:i4>
      </vt:variant>
      <vt:variant>
        <vt:i4>0</vt:i4>
      </vt:variant>
      <vt:variant>
        <vt:i4>5</vt:i4>
      </vt:variant>
      <vt:variant>
        <vt:lpwstr>https://oia.pmc.gov.au/published-impact-analyses-and-reports</vt:lpwstr>
      </vt:variant>
      <vt:variant>
        <vt:lpwstr/>
      </vt:variant>
      <vt:variant>
        <vt:i4>4390981</vt:i4>
      </vt:variant>
      <vt:variant>
        <vt:i4>0</vt:i4>
      </vt:variant>
      <vt:variant>
        <vt:i4>0</vt:i4>
      </vt:variant>
      <vt:variant>
        <vt:i4>5</vt:i4>
      </vt:variant>
      <vt:variant>
        <vt:lpwstr>https://oia.pmc.gov.au/resources/australian-government-impact-analysis-framework</vt:lpwstr>
      </vt:variant>
      <vt:variant>
        <vt:lpwstr/>
      </vt:variant>
      <vt:variant>
        <vt:i4>1310738</vt:i4>
      </vt:variant>
      <vt:variant>
        <vt:i4>0</vt:i4>
      </vt:variant>
      <vt:variant>
        <vt:i4>0</vt:i4>
      </vt:variant>
      <vt:variant>
        <vt:i4>5</vt:i4>
      </vt:variant>
      <vt:variant>
        <vt:lpwstr>https://oia.pmc.gov.au/sites/default/files/posts/2025/10/Addendum.pdf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Government Impact Analysis status, 2026-27</dc:title>
  <dc:subject/>
  <dc:creator/>
  <cp:keywords/>
  <cp:revision>588</cp:revision>
  <dcterms:created xsi:type="dcterms:W3CDTF">2026-09-24T13:05:00Z</dcterms:created>
  <dcterms:modified xsi:type="dcterms:W3CDTF">2026-10-23T00:26:00Z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0x0101004F285619428CBE4886618267E9F1076D</vt:lpwstr>
  </property>
  <property fmtid="{D5CDD505-2E9C-101B-9397-08002B2CF9AE}" pid="3" name="InformationMarker">
    <vt:lpwstr/>
  </property>
  <property fmtid="{D5CDD505-2E9C-101B-9397-08002B2CF9AE}" pid="4" name="SecurityClassification">
    <vt:lpwstr>4;#OFFICIAL|9e0ec9cb-4e7f-4d4a-bd32-1ee7525c6d87</vt:lpwstr>
  </property>
  <property fmtid="{D5CDD505-2E9C-101B-9397-08002B2CF9AE}" pid="5" name="TaxKeyword">
    <vt:lpwstr/>
  </property>
  <property fmtid="{D5CDD505-2E9C-101B-9397-08002B2CF9AE}" pid="6" name="docLang">
    <vt:lpwstr>en</vt:lpwstr>
  </property>
  <property fmtid="{D5CDD505-2E9C-101B-9397-08002B2CF9AE}" pid="7" name="MediaServiceImageTags">
    <vt:lpwstr/>
  </property>
  <property fmtid="{D5CDD505-2E9C-101B-9397-08002B2CF9AE}" pid="8" name="_dlc_DocIdItemGuid">
    <vt:lpwstr>0ccb22f9-48dc-480d-94d2-80f3ac4c72b8</vt:lpwstr>
  </property>
  <property fmtid="{D5CDD505-2E9C-101B-9397-08002B2CF9AE}" pid="9" name="MSIP_Label_78735fde-13bf-4304-b60c-623e0caf8a78_Enabled">
    <vt:lpwstr>True</vt:lpwstr>
  </property>
  <property fmtid="{D5CDD505-2E9C-101B-9397-08002B2CF9AE}" pid="10" name="MSIP_Label_78735fde-13bf-4304-b60c-623e0caf8a78_SiteId">
    <vt:lpwstr>b964751a-419e-4acd-aeb0-b5807bc26fcc</vt:lpwstr>
  </property>
  <property fmtid="{D5CDD505-2E9C-101B-9397-08002B2CF9AE}" pid="11" name="MSIP_Label_78735fde-13bf-4304-b60c-623e0caf8a78_SetDate">
    <vt:lpwstr>2026-09-21T07:07:01Z</vt:lpwstr>
  </property>
  <property fmtid="{D5CDD505-2E9C-101B-9397-08002B2CF9AE}" pid="12" name="MSIP_Label_78735fde-13bf-4304-b60c-623e0caf8a78_Name">
    <vt:lpwstr>OFFICIAL</vt:lpwstr>
  </property>
  <property fmtid="{D5CDD505-2E9C-101B-9397-08002B2CF9AE}" pid="13" name="MSIP_Label_78735fde-13bf-4304-b60c-623e0caf8a78_ActionId">
    <vt:lpwstr>89226b13-c2f7-4fb7-aabc-92d7d69c6da2</vt:lpwstr>
  </property>
  <property fmtid="{D5CDD505-2E9C-101B-9397-08002B2CF9AE}" pid="14" name="MSIP_Label_78735fde-13bf-4304-b60c-623e0caf8a78_Removed">
    <vt:lpwstr>False</vt:lpwstr>
  </property>
  <property fmtid="{D5CDD505-2E9C-101B-9397-08002B2CF9AE}" pid="15" name="MSIP_Label_78735fde-13bf-4304-b60c-623e0caf8a78_Extended_MSFT_Method">
    <vt:lpwstr>Standard</vt:lpwstr>
  </property>
  <property fmtid="{D5CDD505-2E9C-101B-9397-08002B2CF9AE}" pid="16" name="Sensitivity">
    <vt:lpwstr>OFFICIAL</vt:lpwstr>
  </property>
</Properties>
</file>