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DDEB" w14:textId="628B7C3E" w:rsidR="00E92551" w:rsidRPr="00F957C6" w:rsidRDefault="009F4A59" w:rsidP="4BDE12E8">
      <w:pPr>
        <w:pStyle w:val="Title"/>
        <w:spacing w:before="480"/>
        <w:rPr>
          <w:highlight w:val="yellow"/>
        </w:rPr>
      </w:pPr>
      <w:r>
        <w:t>Australian Government</w:t>
      </w:r>
      <w:r w:rsidR="009E2262">
        <w:t xml:space="preserve"> Impact </w:t>
      </w:r>
      <w:r w:rsidR="005D1B80">
        <w:t xml:space="preserve">Analysis </w:t>
      </w:r>
      <w:r w:rsidR="00411B6F">
        <w:t xml:space="preserve">status, </w:t>
      </w:r>
      <w:r w:rsidR="08FD37E0">
        <w:t>2025-26</w:t>
      </w:r>
    </w:p>
    <w:p w14:paraId="2729862F" w14:textId="335D5C8E" w:rsidR="009B4166" w:rsidRDefault="009F4A59" w:rsidP="0097624A">
      <w:pPr>
        <w:pStyle w:val="Subtitle"/>
        <w:spacing w:line="288" w:lineRule="auto"/>
        <w:rPr>
          <w:rFonts w:ascii="Segoe UI" w:eastAsia="Segoe UI" w:hAnsi="Segoe UI" w:cs="Segoe UI"/>
          <w:sz w:val="22"/>
          <w:szCs w:val="22"/>
        </w:rPr>
      </w:pPr>
      <w:r>
        <w:rPr>
          <w:rFonts w:ascii="Segoe UI Light" w:eastAsia="Segoe UI Light" w:hAnsi="Segoe UI Light" w:cs="Segoe UI Light"/>
          <w:sz w:val="22"/>
          <w:szCs w:val="22"/>
        </w:rPr>
        <w:t>The Office of Impact Analysis (OIA) publishes Impact Analyses (IAs) – formerly known as Regulation Impact Statements (RISs) - on its website as soon as practicable after the date of policy announcements, in consultation with the relevant agency. </w:t>
      </w:r>
    </w:p>
    <w:p w14:paraId="26E797CA" w14:textId="5E8E2DD9" w:rsidR="009B4166" w:rsidRDefault="009F4A59" w:rsidP="0097624A">
      <w:pPr>
        <w:pStyle w:val="Subtitle"/>
        <w:spacing w:line="288" w:lineRule="auto"/>
        <w:rPr>
          <w:rFonts w:ascii="Segoe UI" w:eastAsia="Segoe UI" w:hAnsi="Segoe UI" w:cs="Segoe UI"/>
          <w:sz w:val="22"/>
          <w:szCs w:val="22"/>
        </w:rPr>
      </w:pPr>
      <w:r w:rsidRPr="2DCD0ED0">
        <w:rPr>
          <w:rFonts w:ascii="Segoe UI Light" w:eastAsia="Segoe UI Light" w:hAnsi="Segoe UI Light" w:cs="Segoe UI Light"/>
          <w:sz w:val="22"/>
          <w:szCs w:val="22"/>
        </w:rPr>
        <w:t>This compliance report covers IAs published to the OIA website in 2025-26</w:t>
      </w:r>
      <w:r w:rsidR="005D1B80" w:rsidRPr="2DCD0ED0">
        <w:rPr>
          <w:rFonts w:ascii="Segoe UI Light" w:eastAsia="Segoe UI Light" w:hAnsi="Segoe UI Light" w:cs="Segoe UI Light"/>
          <w:sz w:val="22"/>
          <w:szCs w:val="22"/>
        </w:rPr>
        <w:t xml:space="preserve"> up to </w:t>
      </w:r>
      <w:r w:rsidR="00462F16">
        <w:rPr>
          <w:rFonts w:ascii="Segoe UI Light" w:eastAsia="Segoe UI Light" w:hAnsi="Segoe UI Light" w:cs="Segoe UI Light"/>
          <w:sz w:val="22"/>
          <w:szCs w:val="22"/>
        </w:rPr>
        <w:t>30</w:t>
      </w:r>
      <w:r w:rsidR="00FE6C9F" w:rsidRPr="2DCD0ED0">
        <w:rPr>
          <w:rFonts w:ascii="Segoe UI Light" w:eastAsia="Segoe UI Light" w:hAnsi="Segoe UI Light" w:cs="Segoe UI Light"/>
          <w:sz w:val="22"/>
          <w:szCs w:val="22"/>
        </w:rPr>
        <w:t xml:space="preserve"> </w:t>
      </w:r>
      <w:r w:rsidR="00462F16">
        <w:rPr>
          <w:rFonts w:ascii="Segoe UI Light" w:eastAsia="Segoe UI Light" w:hAnsi="Segoe UI Light" w:cs="Segoe UI Light"/>
          <w:sz w:val="22"/>
          <w:szCs w:val="22"/>
        </w:rPr>
        <w:t>June</w:t>
      </w:r>
      <w:r w:rsidR="00462F16" w:rsidRPr="2999D33C">
        <w:rPr>
          <w:rFonts w:ascii="Segoe UI Light" w:eastAsia="Segoe UI Light" w:hAnsi="Segoe UI Light" w:cs="Segoe UI Light"/>
          <w:sz w:val="22"/>
          <w:szCs w:val="22"/>
        </w:rPr>
        <w:t xml:space="preserve"> </w:t>
      </w:r>
      <w:r w:rsidR="00F14D5B" w:rsidRPr="2999D33C">
        <w:rPr>
          <w:rFonts w:ascii="Segoe UI Light" w:eastAsia="Segoe UI Light" w:hAnsi="Segoe UI Light" w:cs="Segoe UI Light"/>
          <w:sz w:val="22"/>
          <w:szCs w:val="22"/>
        </w:rPr>
        <w:t>202</w:t>
      </w:r>
      <w:r w:rsidR="007A0CD1" w:rsidRPr="2999D33C">
        <w:rPr>
          <w:rFonts w:ascii="Segoe UI Light" w:eastAsia="Segoe UI Light" w:hAnsi="Segoe UI Light" w:cs="Segoe UI Light"/>
          <w:sz w:val="22"/>
          <w:szCs w:val="22"/>
        </w:rPr>
        <w:t>6</w:t>
      </w:r>
      <w:r w:rsidRPr="2DCD0ED0">
        <w:rPr>
          <w:rFonts w:ascii="Segoe UI Light" w:eastAsia="Segoe UI Light" w:hAnsi="Segoe UI Light" w:cs="Segoe UI Light"/>
          <w:sz w:val="22"/>
          <w:szCs w:val="22"/>
        </w:rPr>
        <w:t xml:space="preserve">. IA compliance reports for previous years are also available on the OIA website: </w:t>
      </w:r>
      <w:hyperlink r:id="rId12">
        <w:r w:rsidR="005D1B80" w:rsidRPr="2999D33C">
          <w:rPr>
            <w:rFonts w:eastAsiaTheme="minorEastAsia" w:cstheme="minorBidi"/>
            <w:noProof w:val="0"/>
            <w:color w:val="0000FF"/>
            <w:sz w:val="22"/>
            <w:szCs w:val="22"/>
            <w:u w:val="single"/>
          </w:rPr>
          <w:t>Summary Reports | The Office of Impact Analysis</w:t>
        </w:r>
      </w:hyperlink>
      <w:r w:rsidRPr="2DCD0ED0">
        <w:rPr>
          <w:rFonts w:ascii="Segoe UI Light" w:eastAsia="Segoe UI Light" w:hAnsi="Segoe UI Light" w:cs="Segoe UI Light"/>
          <w:sz w:val="22"/>
          <w:szCs w:val="22"/>
        </w:rPr>
        <w:t>. Relevant web posts are available on the OIA website. </w:t>
      </w:r>
    </w:p>
    <w:p w14:paraId="1DB6DBE1" w14:textId="77777777" w:rsidR="009B4166" w:rsidRDefault="009F4A59" w:rsidP="0097624A">
      <w:pPr>
        <w:pStyle w:val="Subtitle"/>
        <w:spacing w:line="288" w:lineRule="auto"/>
        <w:rPr>
          <w:rFonts w:ascii="Segoe UI" w:eastAsia="Segoe UI" w:hAnsi="Segoe UI" w:cs="Segoe UI"/>
          <w:sz w:val="22"/>
          <w:szCs w:val="22"/>
        </w:rPr>
      </w:pPr>
      <w:r>
        <w:rPr>
          <w:rFonts w:ascii="Segoe UI Light" w:eastAsia="Segoe UI Light" w:hAnsi="Segoe UI Light" w:cs="Segoe UI Light"/>
          <w:sz w:val="22"/>
          <w:szCs w:val="22"/>
        </w:rPr>
        <w:t>Please note that all Department and Agency names in this report reflect their name at the time the IA was published.</w:t>
      </w:r>
    </w:p>
    <w:p w14:paraId="0B1E02C2" w14:textId="77777777" w:rsidR="009B4166" w:rsidRDefault="009F4A59" w:rsidP="0097624A">
      <w:pPr>
        <w:pStyle w:val="Subtitle"/>
        <w:spacing w:line="288" w:lineRule="auto"/>
        <w:rPr>
          <w:rFonts w:ascii="Segoe UI" w:eastAsia="Segoe UI" w:hAnsi="Segoe UI" w:cs="Segoe UI"/>
          <w:sz w:val="22"/>
          <w:szCs w:val="22"/>
        </w:rPr>
      </w:pPr>
      <w:r>
        <w:rPr>
          <w:rFonts w:ascii="Segoe UI Light" w:eastAsia="Segoe UI Light" w:hAnsi="Segoe UI Light" w:cs="Segoe UI Light"/>
          <w:sz w:val="22"/>
          <w:szCs w:val="22"/>
        </w:rPr>
        <w:t>Under the current settings, the OIA publishes each IA document, the associated agency certification letter and the OIA assessment letter on its website. An IA can evolve during the policy development process, and can also be published for consultation at an early stage. The OIA assesses IAs for compliance at the final decision point. </w:t>
      </w:r>
    </w:p>
    <w:p w14:paraId="195C92E9" w14:textId="1E035E1E" w:rsidR="009B4166" w:rsidRDefault="009F4A59" w:rsidP="0097624A">
      <w:pPr>
        <w:pStyle w:val="Subtitle"/>
        <w:spacing w:line="288" w:lineRule="auto"/>
        <w:rPr>
          <w:rFonts w:ascii="Segoe UI" w:eastAsia="Segoe UI" w:hAnsi="Segoe UI" w:cs="Segoe UI"/>
          <w:sz w:val="22"/>
          <w:szCs w:val="22"/>
        </w:rPr>
      </w:pPr>
      <w:r>
        <w:rPr>
          <w:rFonts w:ascii="Segoe UI Light" w:eastAsia="Segoe UI Light" w:hAnsi="Segoe UI Light" w:cs="Segoe UI Light"/>
          <w:sz w:val="22"/>
          <w:szCs w:val="22"/>
        </w:rPr>
        <w:t>With the agreement of the OIA, the IA requirements can be met by the relevant Department Deputy Secretary certifying an Impact Analysis equivalent (IAE) process. The OIA does not assess these certifications for quality, only for relevance to the recommended options, and for the coverage of the seven IA questions. </w:t>
      </w:r>
    </w:p>
    <w:p w14:paraId="4FCA3474" w14:textId="77777777" w:rsidR="00CD1F9B" w:rsidRDefault="009F4A59">
      <w:pPr>
        <w:spacing w:after="200"/>
        <w:rPr>
          <w:rFonts w:eastAsiaTheme="majorEastAsia"/>
          <w:sz w:val="28"/>
          <w:szCs w:val="28"/>
        </w:rPr>
      </w:pPr>
      <w:r>
        <w:rPr>
          <w:rFonts w:eastAsiaTheme="majorEastAsia"/>
          <w:sz w:val="28"/>
          <w:szCs w:val="28"/>
        </w:rPr>
        <w:br w:type="page"/>
      </w:r>
    </w:p>
    <w:sdt>
      <w:sdtPr>
        <w:rPr>
          <w:rFonts w:asciiTheme="minorHAnsi" w:eastAsiaTheme="minorEastAsia" w:hAnsiTheme="minorHAnsi" w:cstheme="minorBidi"/>
          <w:color w:val="auto"/>
          <w:sz w:val="22"/>
          <w:szCs w:val="22"/>
        </w:rPr>
        <w:id w:val="910926005"/>
        <w:docPartObj>
          <w:docPartGallery w:val="Table of Contents"/>
          <w:docPartUnique/>
        </w:docPartObj>
      </w:sdtPr>
      <w:sdtContent>
        <w:p w14:paraId="77109E21" w14:textId="705A64A1" w:rsidR="00117A77" w:rsidRDefault="009F4A59">
          <w:pPr>
            <w:pStyle w:val="TOCHeading"/>
          </w:pPr>
          <w:r>
            <w:t>Contents</w:t>
          </w:r>
        </w:p>
        <w:p w14:paraId="068AB2E0" w14:textId="01B32692" w:rsidR="0009335F" w:rsidRDefault="009F4A59">
          <w:pPr>
            <w:pStyle w:val="TOC1"/>
            <w:tabs>
              <w:tab w:val="right" w:leader="dot" w:pos="9968"/>
            </w:tabs>
            <w:rPr>
              <w:noProof/>
              <w:kern w:val="2"/>
              <w:sz w:val="24"/>
              <w:szCs w:val="24"/>
              <w:lang w:eastAsia="en-AU"/>
              <w14:ligatures w14:val="standardContextual"/>
            </w:rPr>
          </w:pPr>
          <w:r w:rsidRPr="00C5357D">
            <w:rPr>
              <w:rFonts w:cstheme="minorHAnsi"/>
            </w:rPr>
            <w:fldChar w:fldCharType="begin"/>
          </w:r>
          <w:r w:rsidRPr="00C5357D">
            <w:rPr>
              <w:rFonts w:cstheme="minorHAnsi"/>
            </w:rPr>
            <w:instrText>TOC \o "1-3" \z \u \h</w:instrText>
          </w:r>
          <w:r w:rsidRPr="00C5357D">
            <w:rPr>
              <w:rFonts w:cstheme="minorHAnsi"/>
            </w:rPr>
            <w:fldChar w:fldCharType="separate"/>
          </w:r>
          <w:hyperlink w:anchor="_Toc233729003" w:history="1">
            <w:r w:rsidR="0009335F" w:rsidRPr="001106EE">
              <w:rPr>
                <w:rStyle w:val="Hyperlink"/>
                <w:rFonts w:eastAsia="Times New Roman"/>
                <w:noProof/>
              </w:rPr>
              <w:t>Summary of compliance</w:t>
            </w:r>
            <w:r w:rsidR="0009335F">
              <w:rPr>
                <w:noProof/>
                <w:webHidden/>
              </w:rPr>
              <w:tab/>
            </w:r>
            <w:r w:rsidR="0009335F">
              <w:rPr>
                <w:noProof/>
                <w:webHidden/>
              </w:rPr>
              <w:fldChar w:fldCharType="begin"/>
            </w:r>
            <w:r w:rsidR="0009335F">
              <w:rPr>
                <w:noProof/>
                <w:webHidden/>
              </w:rPr>
              <w:instrText xml:space="preserve"> PAGEREF _Toc233729003 \h </w:instrText>
            </w:r>
            <w:r w:rsidR="0009335F">
              <w:rPr>
                <w:noProof/>
                <w:webHidden/>
              </w:rPr>
            </w:r>
            <w:r w:rsidR="0009335F">
              <w:rPr>
                <w:noProof/>
                <w:webHidden/>
              </w:rPr>
              <w:fldChar w:fldCharType="separate"/>
            </w:r>
            <w:r w:rsidR="0009335F">
              <w:rPr>
                <w:noProof/>
                <w:webHidden/>
              </w:rPr>
              <w:t>3</w:t>
            </w:r>
            <w:r w:rsidR="0009335F">
              <w:rPr>
                <w:noProof/>
                <w:webHidden/>
              </w:rPr>
              <w:fldChar w:fldCharType="end"/>
            </w:r>
          </w:hyperlink>
        </w:p>
        <w:p w14:paraId="11FCFEE3" w14:textId="0C4DC8E6" w:rsidR="0009335F" w:rsidRPr="0009335F" w:rsidRDefault="0009335F">
          <w:pPr>
            <w:pStyle w:val="TOC1"/>
            <w:tabs>
              <w:tab w:val="right" w:leader="dot" w:pos="9968"/>
            </w:tabs>
            <w:rPr>
              <w:rFonts w:cstheme="minorHAnsi"/>
              <w:noProof/>
              <w:kern w:val="2"/>
              <w:sz w:val="24"/>
              <w:szCs w:val="24"/>
              <w:lang w:eastAsia="en-AU"/>
              <w14:ligatures w14:val="standardContextual"/>
            </w:rPr>
          </w:pPr>
          <w:hyperlink w:anchor="_Toc233729004" w:history="1">
            <w:r w:rsidRPr="00201EF5">
              <w:rPr>
                <w:rStyle w:val="Hyperlink"/>
                <w:rFonts w:eastAsia="Times New Roman" w:cstheme="minorHAnsi"/>
                <w:noProof/>
              </w:rPr>
              <w:t xml:space="preserve">Impact Analysis compliance summary by Department or Agency, </w:t>
            </w:r>
            <w:r w:rsidRPr="0009335F">
              <w:rPr>
                <w:rStyle w:val="Hyperlink"/>
                <w:rFonts w:cstheme="minorHAnsi"/>
                <w:noProof/>
              </w:rPr>
              <w:t>2025-26</w:t>
            </w:r>
            <w:r w:rsidRPr="0009335F">
              <w:rPr>
                <w:rFonts w:cstheme="minorHAnsi"/>
                <w:noProof/>
                <w:webHidden/>
              </w:rPr>
              <w:tab/>
            </w:r>
            <w:r w:rsidRPr="0009335F">
              <w:rPr>
                <w:rFonts w:cstheme="minorHAnsi"/>
                <w:noProof/>
                <w:webHidden/>
              </w:rPr>
              <w:fldChar w:fldCharType="begin"/>
            </w:r>
            <w:r w:rsidRPr="0009335F">
              <w:rPr>
                <w:rFonts w:cstheme="minorHAnsi"/>
                <w:noProof/>
                <w:webHidden/>
              </w:rPr>
              <w:instrText xml:space="preserve"> PAGEREF _Toc233729004 \h </w:instrText>
            </w:r>
            <w:r w:rsidRPr="0009335F">
              <w:rPr>
                <w:rFonts w:cstheme="minorHAnsi"/>
                <w:noProof/>
                <w:webHidden/>
              </w:rPr>
            </w:r>
            <w:r w:rsidRPr="0009335F">
              <w:rPr>
                <w:rFonts w:cstheme="minorHAnsi"/>
                <w:noProof/>
                <w:webHidden/>
              </w:rPr>
              <w:fldChar w:fldCharType="separate"/>
            </w:r>
            <w:r w:rsidRPr="0009335F">
              <w:rPr>
                <w:rFonts w:cstheme="minorHAnsi"/>
                <w:noProof/>
                <w:webHidden/>
              </w:rPr>
              <w:t>3</w:t>
            </w:r>
            <w:r w:rsidRPr="0009335F">
              <w:rPr>
                <w:rFonts w:cstheme="minorHAnsi"/>
                <w:noProof/>
                <w:webHidden/>
              </w:rPr>
              <w:fldChar w:fldCharType="end"/>
            </w:r>
          </w:hyperlink>
        </w:p>
        <w:p w14:paraId="31CB1731" w14:textId="4769C14E" w:rsidR="0009335F" w:rsidRPr="0009335F" w:rsidRDefault="0009335F">
          <w:pPr>
            <w:pStyle w:val="TOC2"/>
            <w:rPr>
              <w:rFonts w:cstheme="minorHAnsi"/>
              <w:noProof/>
              <w:kern w:val="2"/>
              <w:sz w:val="24"/>
              <w:szCs w:val="24"/>
              <w:lang w:eastAsia="en-AU"/>
              <w14:ligatures w14:val="standardContextual"/>
            </w:rPr>
          </w:pPr>
          <w:hyperlink w:anchor="_Toc233729005" w:history="1">
            <w:r w:rsidRPr="00201EF5">
              <w:rPr>
                <w:rStyle w:val="Hyperlink"/>
                <w:rFonts w:eastAsia="Times New Roman" w:cstheme="minorHAnsi"/>
                <w:noProof/>
              </w:rPr>
              <w:t>Department of Agriculture, Fisheries and Forestry</w:t>
            </w:r>
            <w:r w:rsidRPr="0009335F">
              <w:rPr>
                <w:rFonts w:cstheme="minorHAnsi"/>
                <w:noProof/>
                <w:webHidden/>
              </w:rPr>
              <w:tab/>
            </w:r>
            <w:r w:rsidRPr="0009335F">
              <w:rPr>
                <w:rFonts w:cstheme="minorHAnsi"/>
                <w:noProof/>
                <w:webHidden/>
              </w:rPr>
              <w:fldChar w:fldCharType="begin"/>
            </w:r>
            <w:r w:rsidRPr="0009335F">
              <w:rPr>
                <w:rFonts w:cstheme="minorHAnsi"/>
                <w:noProof/>
                <w:webHidden/>
              </w:rPr>
              <w:instrText xml:space="preserve"> PAGEREF _Toc233729005 \h </w:instrText>
            </w:r>
            <w:r w:rsidRPr="0009335F">
              <w:rPr>
                <w:rFonts w:cstheme="minorHAnsi"/>
                <w:noProof/>
                <w:webHidden/>
              </w:rPr>
            </w:r>
            <w:r w:rsidRPr="0009335F">
              <w:rPr>
                <w:rFonts w:cstheme="minorHAnsi"/>
                <w:noProof/>
                <w:webHidden/>
              </w:rPr>
              <w:fldChar w:fldCharType="separate"/>
            </w:r>
            <w:r w:rsidRPr="0009335F">
              <w:rPr>
                <w:rFonts w:cstheme="minorHAnsi"/>
                <w:noProof/>
                <w:webHidden/>
              </w:rPr>
              <w:t>3</w:t>
            </w:r>
            <w:r w:rsidRPr="0009335F">
              <w:rPr>
                <w:rFonts w:cstheme="minorHAnsi"/>
                <w:noProof/>
                <w:webHidden/>
              </w:rPr>
              <w:fldChar w:fldCharType="end"/>
            </w:r>
          </w:hyperlink>
        </w:p>
        <w:p w14:paraId="57458CA4" w14:textId="3C32F8B1" w:rsidR="0009335F" w:rsidRPr="0009335F" w:rsidRDefault="0009335F">
          <w:pPr>
            <w:pStyle w:val="TOC2"/>
            <w:rPr>
              <w:rFonts w:cstheme="minorHAnsi"/>
              <w:noProof/>
              <w:kern w:val="2"/>
              <w:sz w:val="24"/>
              <w:szCs w:val="24"/>
              <w:lang w:eastAsia="en-AU"/>
              <w14:ligatures w14:val="standardContextual"/>
            </w:rPr>
          </w:pPr>
          <w:hyperlink w:anchor="_Toc233729006" w:history="1">
            <w:r w:rsidRPr="00201EF5">
              <w:rPr>
                <w:rStyle w:val="Hyperlink"/>
                <w:rFonts w:eastAsia="Times New Roman" w:cstheme="minorHAnsi"/>
                <w:noProof/>
              </w:rPr>
              <w:t>Department of Climate Change, Energy, the Environment and Water</w:t>
            </w:r>
            <w:r w:rsidRPr="0009335F">
              <w:rPr>
                <w:rFonts w:cstheme="minorHAnsi"/>
                <w:noProof/>
                <w:webHidden/>
              </w:rPr>
              <w:tab/>
            </w:r>
            <w:r w:rsidRPr="0009335F">
              <w:rPr>
                <w:rFonts w:cstheme="minorHAnsi"/>
                <w:noProof/>
                <w:webHidden/>
              </w:rPr>
              <w:fldChar w:fldCharType="begin"/>
            </w:r>
            <w:r w:rsidRPr="0009335F">
              <w:rPr>
                <w:rFonts w:cstheme="minorHAnsi"/>
                <w:noProof/>
                <w:webHidden/>
              </w:rPr>
              <w:instrText xml:space="preserve"> PAGEREF _Toc233729006 \h </w:instrText>
            </w:r>
            <w:r w:rsidRPr="0009335F">
              <w:rPr>
                <w:rFonts w:cstheme="minorHAnsi"/>
                <w:noProof/>
                <w:webHidden/>
              </w:rPr>
            </w:r>
            <w:r w:rsidRPr="0009335F">
              <w:rPr>
                <w:rFonts w:cstheme="minorHAnsi"/>
                <w:noProof/>
                <w:webHidden/>
              </w:rPr>
              <w:fldChar w:fldCharType="separate"/>
            </w:r>
            <w:r w:rsidRPr="0009335F">
              <w:rPr>
                <w:rFonts w:cstheme="minorHAnsi"/>
                <w:noProof/>
                <w:webHidden/>
              </w:rPr>
              <w:t>4</w:t>
            </w:r>
            <w:r w:rsidRPr="0009335F">
              <w:rPr>
                <w:rFonts w:cstheme="minorHAnsi"/>
                <w:noProof/>
                <w:webHidden/>
              </w:rPr>
              <w:fldChar w:fldCharType="end"/>
            </w:r>
          </w:hyperlink>
        </w:p>
        <w:p w14:paraId="22314141" w14:textId="3E0D4B21" w:rsidR="0009335F" w:rsidRPr="0009335F" w:rsidRDefault="0009335F">
          <w:pPr>
            <w:pStyle w:val="TOC2"/>
            <w:rPr>
              <w:rFonts w:cstheme="minorHAnsi"/>
              <w:noProof/>
              <w:kern w:val="2"/>
              <w:sz w:val="24"/>
              <w:szCs w:val="24"/>
              <w:lang w:eastAsia="en-AU"/>
              <w14:ligatures w14:val="standardContextual"/>
            </w:rPr>
          </w:pPr>
          <w:hyperlink w:anchor="_Toc233729007" w:history="1">
            <w:r w:rsidRPr="00201EF5">
              <w:rPr>
                <w:rStyle w:val="Hyperlink"/>
                <w:rFonts w:eastAsia="Times New Roman" w:cstheme="minorHAnsi"/>
                <w:noProof/>
              </w:rPr>
              <w:t>Department of Education</w:t>
            </w:r>
            <w:r w:rsidRPr="0009335F">
              <w:rPr>
                <w:rFonts w:cstheme="minorHAnsi"/>
                <w:noProof/>
                <w:webHidden/>
              </w:rPr>
              <w:tab/>
            </w:r>
            <w:r w:rsidRPr="0009335F">
              <w:rPr>
                <w:rFonts w:cstheme="minorHAnsi"/>
                <w:noProof/>
                <w:webHidden/>
              </w:rPr>
              <w:fldChar w:fldCharType="begin"/>
            </w:r>
            <w:r w:rsidRPr="0009335F">
              <w:rPr>
                <w:rFonts w:cstheme="minorHAnsi"/>
                <w:noProof/>
                <w:webHidden/>
              </w:rPr>
              <w:instrText xml:space="preserve"> PAGEREF _Toc233729007 \h </w:instrText>
            </w:r>
            <w:r w:rsidRPr="0009335F">
              <w:rPr>
                <w:rFonts w:cstheme="minorHAnsi"/>
                <w:noProof/>
                <w:webHidden/>
              </w:rPr>
            </w:r>
            <w:r w:rsidRPr="0009335F">
              <w:rPr>
                <w:rFonts w:cstheme="minorHAnsi"/>
                <w:noProof/>
                <w:webHidden/>
              </w:rPr>
              <w:fldChar w:fldCharType="separate"/>
            </w:r>
            <w:r w:rsidRPr="0009335F">
              <w:rPr>
                <w:rFonts w:cstheme="minorHAnsi"/>
                <w:noProof/>
                <w:webHidden/>
              </w:rPr>
              <w:t>4</w:t>
            </w:r>
            <w:r w:rsidRPr="0009335F">
              <w:rPr>
                <w:rFonts w:cstheme="minorHAnsi"/>
                <w:noProof/>
                <w:webHidden/>
              </w:rPr>
              <w:fldChar w:fldCharType="end"/>
            </w:r>
          </w:hyperlink>
        </w:p>
        <w:p w14:paraId="56A10DA3" w14:textId="127779FC" w:rsidR="0009335F" w:rsidRPr="0009335F" w:rsidRDefault="0009335F">
          <w:pPr>
            <w:pStyle w:val="TOC2"/>
            <w:rPr>
              <w:rFonts w:cstheme="minorHAnsi"/>
              <w:noProof/>
              <w:kern w:val="2"/>
              <w:sz w:val="24"/>
              <w:szCs w:val="24"/>
              <w:lang w:eastAsia="en-AU"/>
              <w14:ligatures w14:val="standardContextual"/>
            </w:rPr>
          </w:pPr>
          <w:hyperlink w:anchor="_Toc233729008" w:history="1">
            <w:r w:rsidRPr="0009335F">
              <w:rPr>
                <w:rStyle w:val="Hyperlink"/>
                <w:rFonts w:cstheme="minorHAnsi"/>
                <w:noProof/>
              </w:rPr>
              <w:t>Department of Employment and Workplace Relations</w:t>
            </w:r>
            <w:r w:rsidRPr="0009335F">
              <w:rPr>
                <w:rFonts w:cstheme="minorHAnsi"/>
                <w:noProof/>
                <w:webHidden/>
              </w:rPr>
              <w:tab/>
            </w:r>
            <w:r w:rsidRPr="0009335F">
              <w:rPr>
                <w:rFonts w:cstheme="minorHAnsi"/>
                <w:noProof/>
                <w:webHidden/>
              </w:rPr>
              <w:fldChar w:fldCharType="begin"/>
            </w:r>
            <w:r w:rsidRPr="0009335F">
              <w:rPr>
                <w:rFonts w:cstheme="minorHAnsi"/>
                <w:noProof/>
                <w:webHidden/>
              </w:rPr>
              <w:instrText xml:space="preserve"> PAGEREF _Toc233729008 \h </w:instrText>
            </w:r>
            <w:r w:rsidRPr="0009335F">
              <w:rPr>
                <w:rFonts w:cstheme="minorHAnsi"/>
                <w:noProof/>
                <w:webHidden/>
              </w:rPr>
            </w:r>
            <w:r w:rsidRPr="0009335F">
              <w:rPr>
                <w:rFonts w:cstheme="minorHAnsi"/>
                <w:noProof/>
                <w:webHidden/>
              </w:rPr>
              <w:fldChar w:fldCharType="separate"/>
            </w:r>
            <w:r w:rsidRPr="0009335F">
              <w:rPr>
                <w:rFonts w:cstheme="minorHAnsi"/>
                <w:noProof/>
                <w:webHidden/>
              </w:rPr>
              <w:t>5</w:t>
            </w:r>
            <w:r w:rsidRPr="0009335F">
              <w:rPr>
                <w:rFonts w:cstheme="minorHAnsi"/>
                <w:noProof/>
                <w:webHidden/>
              </w:rPr>
              <w:fldChar w:fldCharType="end"/>
            </w:r>
          </w:hyperlink>
        </w:p>
        <w:p w14:paraId="7B951ACD" w14:textId="758BEFB6" w:rsidR="0009335F" w:rsidRPr="0009335F" w:rsidRDefault="0009335F">
          <w:pPr>
            <w:pStyle w:val="TOC2"/>
            <w:rPr>
              <w:rFonts w:cstheme="minorHAnsi"/>
              <w:noProof/>
              <w:kern w:val="2"/>
              <w:sz w:val="24"/>
              <w:szCs w:val="24"/>
              <w:lang w:eastAsia="en-AU"/>
              <w14:ligatures w14:val="standardContextual"/>
            </w:rPr>
          </w:pPr>
          <w:hyperlink w:anchor="_Toc233729009" w:history="1">
            <w:r w:rsidRPr="00201EF5">
              <w:rPr>
                <w:rStyle w:val="Hyperlink"/>
                <w:rFonts w:eastAsia="Times New Roman" w:cstheme="minorHAnsi"/>
                <w:noProof/>
              </w:rPr>
              <w:t>Department of Health, Disability and Ageing</w:t>
            </w:r>
            <w:r w:rsidRPr="0009335F">
              <w:rPr>
                <w:rFonts w:cstheme="minorHAnsi"/>
                <w:noProof/>
                <w:webHidden/>
              </w:rPr>
              <w:tab/>
            </w:r>
            <w:r w:rsidRPr="0009335F">
              <w:rPr>
                <w:rFonts w:cstheme="minorHAnsi"/>
                <w:noProof/>
                <w:webHidden/>
              </w:rPr>
              <w:fldChar w:fldCharType="begin"/>
            </w:r>
            <w:r w:rsidRPr="0009335F">
              <w:rPr>
                <w:rFonts w:cstheme="minorHAnsi"/>
                <w:noProof/>
                <w:webHidden/>
              </w:rPr>
              <w:instrText xml:space="preserve"> PAGEREF _Toc233729009 \h </w:instrText>
            </w:r>
            <w:r w:rsidRPr="0009335F">
              <w:rPr>
                <w:rFonts w:cstheme="minorHAnsi"/>
                <w:noProof/>
                <w:webHidden/>
              </w:rPr>
            </w:r>
            <w:r w:rsidRPr="0009335F">
              <w:rPr>
                <w:rFonts w:cstheme="minorHAnsi"/>
                <w:noProof/>
                <w:webHidden/>
              </w:rPr>
              <w:fldChar w:fldCharType="separate"/>
            </w:r>
            <w:r w:rsidRPr="0009335F">
              <w:rPr>
                <w:rFonts w:cstheme="minorHAnsi"/>
                <w:noProof/>
                <w:webHidden/>
              </w:rPr>
              <w:t>5</w:t>
            </w:r>
            <w:r w:rsidRPr="0009335F">
              <w:rPr>
                <w:rFonts w:cstheme="minorHAnsi"/>
                <w:noProof/>
                <w:webHidden/>
              </w:rPr>
              <w:fldChar w:fldCharType="end"/>
            </w:r>
          </w:hyperlink>
        </w:p>
        <w:p w14:paraId="22321C97" w14:textId="5BDB0E48" w:rsidR="0009335F" w:rsidRPr="0009335F" w:rsidRDefault="0009335F">
          <w:pPr>
            <w:pStyle w:val="TOC2"/>
            <w:rPr>
              <w:rFonts w:cstheme="minorHAnsi"/>
              <w:noProof/>
              <w:kern w:val="2"/>
              <w:sz w:val="24"/>
              <w:szCs w:val="24"/>
              <w:lang w:eastAsia="en-AU"/>
              <w14:ligatures w14:val="standardContextual"/>
            </w:rPr>
          </w:pPr>
          <w:hyperlink w:anchor="_Toc233729010" w:history="1">
            <w:r w:rsidRPr="00201EF5">
              <w:rPr>
                <w:rStyle w:val="Hyperlink"/>
                <w:rFonts w:eastAsia="Times New Roman" w:cstheme="minorHAnsi"/>
                <w:noProof/>
              </w:rPr>
              <w:t>Department of Infrastructure, Transport, Regional Development, Communications, Sport and the Arts</w:t>
            </w:r>
            <w:r w:rsidRPr="0009335F">
              <w:rPr>
                <w:rFonts w:cstheme="minorHAnsi"/>
                <w:noProof/>
                <w:webHidden/>
              </w:rPr>
              <w:tab/>
            </w:r>
            <w:r w:rsidRPr="0009335F">
              <w:rPr>
                <w:rFonts w:cstheme="minorHAnsi"/>
                <w:noProof/>
                <w:webHidden/>
              </w:rPr>
              <w:fldChar w:fldCharType="begin"/>
            </w:r>
            <w:r w:rsidRPr="0009335F">
              <w:rPr>
                <w:rFonts w:cstheme="minorHAnsi"/>
                <w:noProof/>
                <w:webHidden/>
              </w:rPr>
              <w:instrText xml:space="preserve"> PAGEREF _Toc233729010 \h </w:instrText>
            </w:r>
            <w:r w:rsidRPr="0009335F">
              <w:rPr>
                <w:rFonts w:cstheme="minorHAnsi"/>
                <w:noProof/>
                <w:webHidden/>
              </w:rPr>
            </w:r>
            <w:r w:rsidRPr="0009335F">
              <w:rPr>
                <w:rFonts w:cstheme="minorHAnsi"/>
                <w:noProof/>
                <w:webHidden/>
              </w:rPr>
              <w:fldChar w:fldCharType="separate"/>
            </w:r>
            <w:r w:rsidRPr="0009335F">
              <w:rPr>
                <w:rFonts w:cstheme="minorHAnsi"/>
                <w:noProof/>
                <w:webHidden/>
              </w:rPr>
              <w:t>7</w:t>
            </w:r>
            <w:r w:rsidRPr="0009335F">
              <w:rPr>
                <w:rFonts w:cstheme="minorHAnsi"/>
                <w:noProof/>
                <w:webHidden/>
              </w:rPr>
              <w:fldChar w:fldCharType="end"/>
            </w:r>
          </w:hyperlink>
        </w:p>
        <w:p w14:paraId="777F98E8" w14:textId="3E9A2575" w:rsidR="0009335F" w:rsidRPr="0009335F" w:rsidRDefault="0009335F">
          <w:pPr>
            <w:pStyle w:val="TOC2"/>
            <w:rPr>
              <w:rFonts w:cstheme="minorHAnsi"/>
              <w:noProof/>
              <w:kern w:val="2"/>
              <w:sz w:val="24"/>
              <w:szCs w:val="24"/>
              <w:lang w:eastAsia="en-AU"/>
              <w14:ligatures w14:val="standardContextual"/>
            </w:rPr>
          </w:pPr>
          <w:hyperlink w:anchor="_Toc233729011" w:history="1">
            <w:r w:rsidRPr="00201EF5">
              <w:rPr>
                <w:rStyle w:val="Hyperlink"/>
                <w:rFonts w:eastAsia="Times New Roman" w:cstheme="minorHAnsi"/>
                <w:noProof/>
              </w:rPr>
              <w:t>Department of Social Services</w:t>
            </w:r>
            <w:r w:rsidRPr="0009335F">
              <w:rPr>
                <w:rFonts w:cstheme="minorHAnsi"/>
                <w:noProof/>
                <w:webHidden/>
              </w:rPr>
              <w:tab/>
            </w:r>
            <w:r w:rsidRPr="0009335F">
              <w:rPr>
                <w:rFonts w:cstheme="minorHAnsi"/>
                <w:noProof/>
                <w:webHidden/>
              </w:rPr>
              <w:fldChar w:fldCharType="begin"/>
            </w:r>
            <w:r w:rsidRPr="0009335F">
              <w:rPr>
                <w:rFonts w:cstheme="minorHAnsi"/>
                <w:noProof/>
                <w:webHidden/>
              </w:rPr>
              <w:instrText xml:space="preserve"> PAGEREF _Toc233729011 \h </w:instrText>
            </w:r>
            <w:r w:rsidRPr="0009335F">
              <w:rPr>
                <w:rFonts w:cstheme="minorHAnsi"/>
                <w:noProof/>
                <w:webHidden/>
              </w:rPr>
            </w:r>
            <w:r w:rsidRPr="0009335F">
              <w:rPr>
                <w:rFonts w:cstheme="minorHAnsi"/>
                <w:noProof/>
                <w:webHidden/>
              </w:rPr>
              <w:fldChar w:fldCharType="separate"/>
            </w:r>
            <w:r w:rsidRPr="0009335F">
              <w:rPr>
                <w:rFonts w:cstheme="minorHAnsi"/>
                <w:noProof/>
                <w:webHidden/>
              </w:rPr>
              <w:t>7</w:t>
            </w:r>
            <w:r w:rsidRPr="0009335F">
              <w:rPr>
                <w:rFonts w:cstheme="minorHAnsi"/>
                <w:noProof/>
                <w:webHidden/>
              </w:rPr>
              <w:fldChar w:fldCharType="end"/>
            </w:r>
          </w:hyperlink>
        </w:p>
        <w:p w14:paraId="7519E421" w14:textId="05A338AE" w:rsidR="0009335F" w:rsidRPr="0009335F" w:rsidRDefault="0009335F">
          <w:pPr>
            <w:pStyle w:val="TOC2"/>
            <w:rPr>
              <w:rFonts w:cstheme="minorHAnsi"/>
              <w:noProof/>
              <w:kern w:val="2"/>
              <w:sz w:val="24"/>
              <w:szCs w:val="24"/>
              <w:lang w:eastAsia="en-AU"/>
              <w14:ligatures w14:val="standardContextual"/>
            </w:rPr>
          </w:pPr>
          <w:hyperlink w:anchor="_Toc233729012" w:history="1">
            <w:r w:rsidRPr="00201EF5">
              <w:rPr>
                <w:rStyle w:val="Hyperlink"/>
                <w:rFonts w:eastAsia="Times New Roman" w:cstheme="minorHAnsi"/>
                <w:noProof/>
              </w:rPr>
              <w:t>Department of the Treasury</w:t>
            </w:r>
            <w:r w:rsidRPr="0009335F">
              <w:rPr>
                <w:rFonts w:cstheme="minorHAnsi"/>
                <w:noProof/>
                <w:webHidden/>
              </w:rPr>
              <w:tab/>
            </w:r>
            <w:r w:rsidRPr="0009335F">
              <w:rPr>
                <w:rFonts w:cstheme="minorHAnsi"/>
                <w:noProof/>
                <w:webHidden/>
              </w:rPr>
              <w:fldChar w:fldCharType="begin"/>
            </w:r>
            <w:r w:rsidRPr="0009335F">
              <w:rPr>
                <w:rFonts w:cstheme="minorHAnsi"/>
                <w:noProof/>
                <w:webHidden/>
              </w:rPr>
              <w:instrText xml:space="preserve"> PAGEREF _Toc233729012 \h </w:instrText>
            </w:r>
            <w:r w:rsidRPr="0009335F">
              <w:rPr>
                <w:rFonts w:cstheme="minorHAnsi"/>
                <w:noProof/>
                <w:webHidden/>
              </w:rPr>
            </w:r>
            <w:r w:rsidRPr="0009335F">
              <w:rPr>
                <w:rFonts w:cstheme="minorHAnsi"/>
                <w:noProof/>
                <w:webHidden/>
              </w:rPr>
              <w:fldChar w:fldCharType="separate"/>
            </w:r>
            <w:r w:rsidRPr="0009335F">
              <w:rPr>
                <w:rFonts w:cstheme="minorHAnsi"/>
                <w:noProof/>
                <w:webHidden/>
              </w:rPr>
              <w:t>8</w:t>
            </w:r>
            <w:r w:rsidRPr="0009335F">
              <w:rPr>
                <w:rFonts w:cstheme="minorHAnsi"/>
                <w:noProof/>
                <w:webHidden/>
              </w:rPr>
              <w:fldChar w:fldCharType="end"/>
            </w:r>
          </w:hyperlink>
        </w:p>
        <w:p w14:paraId="7D51BCE5" w14:textId="70E6432C" w:rsidR="0009335F" w:rsidRPr="0009335F" w:rsidRDefault="0009335F">
          <w:pPr>
            <w:pStyle w:val="TOC1"/>
            <w:tabs>
              <w:tab w:val="right" w:leader="dot" w:pos="9968"/>
            </w:tabs>
            <w:rPr>
              <w:rFonts w:cstheme="minorHAnsi"/>
              <w:noProof/>
              <w:kern w:val="2"/>
              <w:sz w:val="24"/>
              <w:szCs w:val="24"/>
              <w:lang w:eastAsia="en-AU"/>
              <w14:ligatures w14:val="standardContextual"/>
            </w:rPr>
          </w:pPr>
          <w:hyperlink w:anchor="_Toc233729013" w:history="1">
            <w:r w:rsidRPr="00201EF5">
              <w:rPr>
                <w:rStyle w:val="Hyperlink"/>
                <w:rFonts w:eastAsia="Times New Roman" w:cstheme="minorHAnsi"/>
                <w:noProof/>
              </w:rPr>
              <w:t>Prime Minister’s Exemptions</w:t>
            </w:r>
            <w:r w:rsidRPr="0009335F">
              <w:rPr>
                <w:rFonts w:cstheme="minorHAnsi"/>
                <w:noProof/>
                <w:webHidden/>
              </w:rPr>
              <w:tab/>
            </w:r>
            <w:r w:rsidRPr="0009335F">
              <w:rPr>
                <w:rFonts w:cstheme="minorHAnsi"/>
                <w:noProof/>
                <w:webHidden/>
              </w:rPr>
              <w:fldChar w:fldCharType="begin"/>
            </w:r>
            <w:r w:rsidRPr="0009335F">
              <w:rPr>
                <w:rFonts w:cstheme="minorHAnsi"/>
                <w:noProof/>
                <w:webHidden/>
              </w:rPr>
              <w:instrText xml:space="preserve"> PAGEREF _Toc233729013 \h </w:instrText>
            </w:r>
            <w:r w:rsidRPr="0009335F">
              <w:rPr>
                <w:rFonts w:cstheme="minorHAnsi"/>
                <w:noProof/>
                <w:webHidden/>
              </w:rPr>
            </w:r>
            <w:r w:rsidRPr="0009335F">
              <w:rPr>
                <w:rFonts w:cstheme="minorHAnsi"/>
                <w:noProof/>
                <w:webHidden/>
              </w:rPr>
              <w:fldChar w:fldCharType="separate"/>
            </w:r>
            <w:r w:rsidRPr="0009335F">
              <w:rPr>
                <w:rFonts w:cstheme="minorHAnsi"/>
                <w:noProof/>
                <w:webHidden/>
              </w:rPr>
              <w:t>9</w:t>
            </w:r>
            <w:r w:rsidRPr="0009335F">
              <w:rPr>
                <w:rFonts w:cstheme="minorHAnsi"/>
                <w:noProof/>
                <w:webHidden/>
              </w:rPr>
              <w:fldChar w:fldCharType="end"/>
            </w:r>
          </w:hyperlink>
        </w:p>
        <w:p w14:paraId="43C8A796" w14:textId="7B1AD525" w:rsidR="0009335F" w:rsidRDefault="0009335F">
          <w:pPr>
            <w:pStyle w:val="TOC1"/>
            <w:tabs>
              <w:tab w:val="right" w:leader="dot" w:pos="9968"/>
            </w:tabs>
            <w:rPr>
              <w:noProof/>
              <w:kern w:val="2"/>
              <w:sz w:val="24"/>
              <w:szCs w:val="24"/>
              <w:lang w:eastAsia="en-AU"/>
              <w14:ligatures w14:val="standardContextual"/>
            </w:rPr>
          </w:pPr>
          <w:hyperlink w:anchor="_Toc233729014" w:history="1">
            <w:r w:rsidRPr="001106EE">
              <w:rPr>
                <w:rStyle w:val="Hyperlink"/>
                <w:noProof/>
              </w:rPr>
              <w:t>Appendix A: IAs used for consultation, 2025-26</w:t>
            </w:r>
            <w:r>
              <w:rPr>
                <w:noProof/>
                <w:webHidden/>
              </w:rPr>
              <w:tab/>
            </w:r>
            <w:r>
              <w:rPr>
                <w:noProof/>
                <w:webHidden/>
              </w:rPr>
              <w:fldChar w:fldCharType="begin"/>
            </w:r>
            <w:r>
              <w:rPr>
                <w:noProof/>
                <w:webHidden/>
              </w:rPr>
              <w:instrText xml:space="preserve"> PAGEREF _Toc233729014 \h </w:instrText>
            </w:r>
            <w:r>
              <w:rPr>
                <w:noProof/>
                <w:webHidden/>
              </w:rPr>
            </w:r>
            <w:r>
              <w:rPr>
                <w:noProof/>
                <w:webHidden/>
              </w:rPr>
              <w:fldChar w:fldCharType="separate"/>
            </w:r>
            <w:r>
              <w:rPr>
                <w:noProof/>
                <w:webHidden/>
              </w:rPr>
              <w:t>10</w:t>
            </w:r>
            <w:r>
              <w:rPr>
                <w:noProof/>
                <w:webHidden/>
              </w:rPr>
              <w:fldChar w:fldCharType="end"/>
            </w:r>
          </w:hyperlink>
        </w:p>
        <w:p w14:paraId="0156FB41" w14:textId="77777777" w:rsidR="005278B0" w:rsidRDefault="009F4A59" w:rsidP="005278B0">
          <w:pPr>
            <w:pStyle w:val="TOC2"/>
            <w:rPr>
              <w:szCs w:val="22"/>
            </w:rPr>
          </w:pPr>
          <w:r w:rsidRPr="00C5357D">
            <w:rPr>
              <w:rFonts w:cstheme="minorHAnsi"/>
            </w:rPr>
            <w:fldChar w:fldCharType="end"/>
          </w:r>
        </w:p>
      </w:sdtContent>
    </w:sdt>
    <w:p w14:paraId="397CE7B7" w14:textId="6AB6C957" w:rsidR="76F06CAC" w:rsidRPr="005278B0" w:rsidRDefault="009F4A59" w:rsidP="005278B0">
      <w:pPr>
        <w:pStyle w:val="TOC2"/>
        <w:rPr>
          <w:color w:val="3266AB" w:themeColor="hyperlink"/>
          <w:u w:val="single"/>
        </w:rPr>
      </w:pPr>
      <w:r>
        <w:br w:type="page"/>
      </w:r>
    </w:p>
    <w:p w14:paraId="4A4CE8C2" w14:textId="49943FB7" w:rsidR="2CFBF78B" w:rsidRDefault="009F4A59" w:rsidP="71E2E32C">
      <w:pPr>
        <w:pStyle w:val="Heading1"/>
        <w:rPr>
          <w:rFonts w:eastAsia="Times New Roman"/>
        </w:rPr>
      </w:pPr>
      <w:bookmarkStart w:id="0" w:name="_Toc229664789"/>
      <w:bookmarkStart w:id="1" w:name="_Toc233729003"/>
      <w:r w:rsidRPr="2EB90531">
        <w:rPr>
          <w:rFonts w:eastAsia="Times New Roman"/>
        </w:rPr>
        <w:t>S</w:t>
      </w:r>
      <w:r w:rsidR="508C33C0" w:rsidRPr="2EB90531">
        <w:rPr>
          <w:rFonts w:eastAsia="Times New Roman"/>
        </w:rPr>
        <w:t>ummary of compliance</w:t>
      </w:r>
      <w:bookmarkEnd w:id="0"/>
      <w:bookmarkEnd w:id="1"/>
    </w:p>
    <w:p w14:paraId="62956C2D" w14:textId="7CF9E092" w:rsidR="508C33C0" w:rsidRDefault="009F4A59" w:rsidP="76F06CAC">
      <w:pPr>
        <w:spacing w:before="240"/>
      </w:pPr>
      <w:r w:rsidRPr="76F06CAC">
        <w:rPr>
          <w:rFonts w:ascii="Segoe UI" w:eastAsia="Segoe UI" w:hAnsi="Segoe UI" w:cs="Segoe UI"/>
          <w:color w:val="3266AB"/>
          <w:szCs w:val="22"/>
        </w:rPr>
        <w:t>Table 1. Summary of compliance</w:t>
      </w:r>
      <w:r w:rsidR="00865ACA">
        <w:rPr>
          <w:rFonts w:ascii="Segoe UI" w:eastAsia="Segoe UI" w:hAnsi="Segoe UI" w:cs="Segoe UI"/>
          <w:color w:val="3266AB"/>
          <w:szCs w:val="22"/>
        </w:rPr>
        <w:t>,</w:t>
      </w:r>
      <w:r w:rsidR="00850D09">
        <w:rPr>
          <w:rFonts w:ascii="Segoe UI" w:eastAsia="Segoe UI" w:hAnsi="Segoe UI" w:cs="Segoe UI"/>
          <w:color w:val="3266AB"/>
          <w:szCs w:val="22"/>
        </w:rPr>
        <w:t xml:space="preserve"> </w:t>
      </w:r>
      <w:r w:rsidR="00865ACA">
        <w:rPr>
          <w:rFonts w:ascii="Segoe UI" w:eastAsia="Segoe UI" w:hAnsi="Segoe UI" w:cs="Segoe UI"/>
          <w:color w:val="3266AB"/>
          <w:szCs w:val="22"/>
        </w:rPr>
        <w:t>as at</w:t>
      </w:r>
      <w:r w:rsidR="006931BD">
        <w:rPr>
          <w:rFonts w:ascii="Segoe UI" w:eastAsia="Segoe UI" w:hAnsi="Segoe UI" w:cs="Segoe UI"/>
          <w:color w:val="3266AB"/>
          <w:szCs w:val="22"/>
        </w:rPr>
        <w:t xml:space="preserve"> </w:t>
      </w:r>
      <w:r w:rsidR="00C5357D">
        <w:rPr>
          <w:rFonts w:ascii="Segoe UI" w:eastAsia="Segoe UI" w:hAnsi="Segoe UI" w:cs="Segoe UI"/>
          <w:color w:val="3266AB"/>
          <w:szCs w:val="22"/>
        </w:rPr>
        <w:t>21</w:t>
      </w:r>
      <w:r w:rsidR="002942E4" w:rsidRPr="006931BD">
        <w:rPr>
          <w:rFonts w:ascii="Segoe UI" w:eastAsia="Segoe UI" w:hAnsi="Segoe UI" w:cs="Segoe UI"/>
          <w:color w:val="3266AB"/>
          <w:szCs w:val="22"/>
        </w:rPr>
        <w:t xml:space="preserve"> </w:t>
      </w:r>
      <w:r w:rsidR="002942E4">
        <w:rPr>
          <w:rFonts w:ascii="Segoe UI" w:eastAsia="Segoe UI" w:hAnsi="Segoe UI" w:cs="Segoe UI"/>
          <w:color w:val="3266AB"/>
          <w:szCs w:val="22"/>
        </w:rPr>
        <w:t>May</w:t>
      </w:r>
      <w:r w:rsidR="002942E4" w:rsidRPr="006931BD">
        <w:rPr>
          <w:rFonts w:ascii="Segoe UI" w:eastAsia="Segoe UI" w:hAnsi="Segoe UI" w:cs="Segoe UI"/>
          <w:color w:val="3266AB"/>
          <w:szCs w:val="22"/>
        </w:rPr>
        <w:t xml:space="preserve"> </w:t>
      </w:r>
      <w:r w:rsidR="006931BD" w:rsidRPr="006931BD">
        <w:rPr>
          <w:rFonts w:ascii="Segoe UI" w:eastAsia="Segoe UI" w:hAnsi="Segoe UI" w:cs="Segoe UI"/>
          <w:color w:val="3266AB"/>
          <w:szCs w:val="22"/>
        </w:rPr>
        <w:t>2026</w:t>
      </w:r>
    </w:p>
    <w:tbl>
      <w:tblPr>
        <w:tblStyle w:val="ListTable4-Accent1"/>
        <w:tblW w:w="0" w:type="auto"/>
        <w:tblLayout w:type="fixed"/>
        <w:tblLook w:val="0620" w:firstRow="1" w:lastRow="0" w:firstColumn="0" w:lastColumn="0" w:noHBand="1" w:noVBand="1"/>
      </w:tblPr>
      <w:tblGrid>
        <w:gridCol w:w="3129"/>
        <w:gridCol w:w="3526"/>
        <w:gridCol w:w="3320"/>
      </w:tblGrid>
      <w:tr w:rsidR="009B4166" w14:paraId="7A06BA3B" w14:textId="77777777" w:rsidTr="1F086920">
        <w:trPr>
          <w:cnfStyle w:val="100000000000" w:firstRow="1" w:lastRow="0" w:firstColumn="0" w:lastColumn="0" w:oddVBand="0" w:evenVBand="0" w:oddHBand="0" w:evenHBand="0" w:firstRowFirstColumn="0" w:firstRowLastColumn="0" w:lastRowFirstColumn="0" w:lastRowLastColumn="0"/>
          <w:cantSplit/>
          <w:trHeight w:val="15"/>
          <w:tblHeader/>
        </w:trPr>
        <w:tc>
          <w:tcPr>
            <w:tcW w:w="3129" w:type="dxa"/>
            <w:tcBorders>
              <w:top w:val="single" w:sz="8" w:space="0" w:color="192D56"/>
              <w:left w:val="single" w:sz="8" w:space="0" w:color="192D56"/>
              <w:bottom w:val="single" w:sz="8" w:space="0" w:color="192D56"/>
              <w:right w:val="single" w:sz="8" w:space="0" w:color="auto"/>
            </w:tcBorders>
            <w:shd w:val="clear" w:color="auto" w:fill="192D56"/>
            <w:tcMar>
              <w:top w:w="57" w:type="dxa"/>
              <w:left w:w="57" w:type="dxa"/>
              <w:right w:w="57" w:type="dxa"/>
            </w:tcMar>
          </w:tcPr>
          <w:p w14:paraId="0FF98B50" w14:textId="31C9C6BD" w:rsidR="76F06CAC" w:rsidRDefault="009F4A59" w:rsidP="00D40D71">
            <w:r w:rsidRPr="76F06CAC">
              <w:rPr>
                <w:rFonts w:ascii="Segoe UI" w:eastAsia="Segoe UI" w:hAnsi="Segoe UI" w:cs="Segoe UI"/>
                <w:sz w:val="18"/>
                <w:szCs w:val="18"/>
              </w:rPr>
              <w:t>Type</w:t>
            </w:r>
          </w:p>
        </w:tc>
        <w:tc>
          <w:tcPr>
            <w:tcW w:w="3526" w:type="dxa"/>
            <w:tcBorders>
              <w:top w:val="single" w:sz="8" w:space="0" w:color="192D56"/>
              <w:left w:val="single" w:sz="8" w:space="0" w:color="auto"/>
              <w:bottom w:val="single" w:sz="8" w:space="0" w:color="192D56"/>
              <w:right w:val="single" w:sz="8" w:space="0" w:color="auto"/>
            </w:tcBorders>
            <w:shd w:val="clear" w:color="auto" w:fill="192D56"/>
            <w:tcMar>
              <w:top w:w="57" w:type="dxa"/>
              <w:left w:w="57" w:type="dxa"/>
              <w:right w:w="57" w:type="dxa"/>
            </w:tcMar>
          </w:tcPr>
          <w:p w14:paraId="18660848" w14:textId="691A471D" w:rsidR="76F06CAC" w:rsidRDefault="009F4A59" w:rsidP="00D40D71">
            <w:pPr>
              <w:jc w:val="right"/>
            </w:pPr>
            <w:r w:rsidRPr="76F06CAC">
              <w:rPr>
                <w:rFonts w:ascii="Segoe UI" w:eastAsia="Segoe UI" w:hAnsi="Segoe UI" w:cs="Segoe UI"/>
                <w:sz w:val="18"/>
                <w:szCs w:val="18"/>
              </w:rPr>
              <w:t>Count</w:t>
            </w:r>
          </w:p>
        </w:tc>
        <w:tc>
          <w:tcPr>
            <w:tcW w:w="3320" w:type="dxa"/>
            <w:tcBorders>
              <w:top w:val="single" w:sz="8" w:space="0" w:color="192D56"/>
              <w:left w:val="single" w:sz="8" w:space="0" w:color="auto"/>
              <w:bottom w:val="single" w:sz="8" w:space="0" w:color="192D56"/>
              <w:right w:val="single" w:sz="8" w:space="0" w:color="192D56"/>
            </w:tcBorders>
            <w:shd w:val="clear" w:color="auto" w:fill="192D56"/>
            <w:tcMar>
              <w:top w:w="57" w:type="dxa"/>
              <w:left w:w="57" w:type="dxa"/>
              <w:right w:w="57" w:type="dxa"/>
            </w:tcMar>
          </w:tcPr>
          <w:p w14:paraId="0EE8CD7D" w14:textId="1A2E8DDF" w:rsidR="76F06CAC" w:rsidRDefault="009F4A59" w:rsidP="00D40D71">
            <w:pPr>
              <w:jc w:val="right"/>
            </w:pPr>
            <w:r w:rsidRPr="76F06CAC">
              <w:rPr>
                <w:rFonts w:ascii="Segoe UI" w:eastAsia="Segoe UI" w:hAnsi="Segoe UI" w:cs="Segoe UI"/>
                <w:sz w:val="18"/>
                <w:szCs w:val="18"/>
              </w:rPr>
              <w:t>%</w:t>
            </w:r>
          </w:p>
        </w:tc>
      </w:tr>
      <w:tr w:rsidR="009B4166" w14:paraId="52B673A9" w14:textId="77777777" w:rsidTr="1F086920">
        <w:trPr>
          <w:trHeight w:val="15"/>
        </w:trPr>
        <w:tc>
          <w:tcPr>
            <w:tcW w:w="3129" w:type="dxa"/>
            <w:tcBorders>
              <w:top w:val="single" w:sz="8" w:space="0" w:color="192D56"/>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4B9AF1E4" w14:textId="2E0435A1" w:rsidR="76F06CAC" w:rsidRDefault="009F4A59" w:rsidP="76F06CAC">
            <w:r w:rsidRPr="76F06CAC">
              <w:rPr>
                <w:rFonts w:ascii="Segoe UI Light" w:eastAsia="Segoe UI Light" w:hAnsi="Segoe UI Light" w:cs="Segoe UI Light"/>
                <w:sz w:val="18"/>
                <w:szCs w:val="18"/>
              </w:rPr>
              <w:t>Not compliant / Insufficient</w:t>
            </w:r>
          </w:p>
        </w:tc>
        <w:tc>
          <w:tcPr>
            <w:tcW w:w="3526" w:type="dxa"/>
            <w:tcBorders>
              <w:top w:val="single" w:sz="8" w:space="0" w:color="192D56"/>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0F30D8B4" w14:textId="277870B8" w:rsidR="174BE881" w:rsidRPr="00026DC9" w:rsidRDefault="009F4A59"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1</w:t>
            </w:r>
            <w:r w:rsidR="274F4A01" w:rsidRPr="00026DC9">
              <w:rPr>
                <w:rFonts w:ascii="Segoe UI Light" w:eastAsia="Segoe UI Light" w:hAnsi="Segoe UI Light" w:cs="Segoe UI Light"/>
                <w:sz w:val="18"/>
                <w:szCs w:val="18"/>
              </w:rPr>
              <w:t xml:space="preserve"> </w:t>
            </w:r>
            <w:r w:rsidR="76F06CAC" w:rsidRPr="00026DC9">
              <w:rPr>
                <w:rFonts w:ascii="Segoe UI Light" w:eastAsia="Segoe UI Light" w:hAnsi="Segoe UI Light" w:cs="Segoe UI Light"/>
                <w:sz w:val="18"/>
                <w:szCs w:val="18"/>
              </w:rPr>
              <w:t>/</w:t>
            </w:r>
            <w:r w:rsidR="7EC16CD8" w:rsidRPr="00026DC9">
              <w:rPr>
                <w:rFonts w:ascii="Segoe UI Light" w:eastAsia="Segoe UI Light" w:hAnsi="Segoe UI Light" w:cs="Segoe UI Light"/>
                <w:sz w:val="18"/>
                <w:szCs w:val="18"/>
              </w:rPr>
              <w:t xml:space="preserve"> </w:t>
            </w:r>
            <w:r w:rsidR="001829A5" w:rsidRPr="00026DC9">
              <w:rPr>
                <w:rFonts w:ascii="Segoe UI Light" w:eastAsia="Segoe UI Light" w:hAnsi="Segoe UI Light" w:cs="Segoe UI Light"/>
                <w:sz w:val="18"/>
                <w:szCs w:val="18"/>
              </w:rPr>
              <w:t>1</w:t>
            </w:r>
            <w:r w:rsidR="001E1F9C">
              <w:rPr>
                <w:rFonts w:ascii="Segoe UI Light" w:eastAsia="Segoe UI Light" w:hAnsi="Segoe UI Light" w:cs="Segoe UI Light"/>
                <w:sz w:val="18"/>
                <w:szCs w:val="18"/>
              </w:rPr>
              <w:t>9</w:t>
            </w:r>
          </w:p>
        </w:tc>
        <w:tc>
          <w:tcPr>
            <w:tcW w:w="3320" w:type="dxa"/>
            <w:tcBorders>
              <w:top w:val="single" w:sz="8" w:space="0" w:color="192D56"/>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2EA323EB" w14:textId="638943C9" w:rsidR="6B8C9E34" w:rsidRPr="00026DC9" w:rsidRDefault="00D20DC9"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5</w:t>
            </w:r>
            <w:r w:rsidR="009F4A59" w:rsidRPr="00026DC9">
              <w:rPr>
                <w:rFonts w:ascii="Segoe UI Light" w:eastAsia="Segoe UI Light" w:hAnsi="Segoe UI Light" w:cs="Segoe UI Light"/>
                <w:sz w:val="18"/>
                <w:szCs w:val="18"/>
              </w:rPr>
              <w:t>%</w:t>
            </w:r>
          </w:p>
        </w:tc>
      </w:tr>
      <w:tr w:rsidR="009B4166" w14:paraId="76FB3ABC" w14:textId="77777777" w:rsidTr="1F086920">
        <w:trPr>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405062B" w14:textId="48B2B812" w:rsidR="76F06CAC" w:rsidRDefault="009F4A59" w:rsidP="76F06CAC">
            <w:r w:rsidRPr="76F06CAC">
              <w:rPr>
                <w:rFonts w:ascii="Segoe UI Light" w:eastAsia="Segoe UI Light" w:hAnsi="Segoe UI Light" w:cs="Segoe UI Light"/>
                <w:sz w:val="18"/>
                <w:szCs w:val="18"/>
              </w:rPr>
              <w:t>Adequate</w:t>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90AFB2A" w14:textId="52890874" w:rsidR="61B85B8E" w:rsidRPr="00026DC9" w:rsidRDefault="00994F11"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12</w:t>
            </w:r>
            <w:r w:rsidR="009F4A59" w:rsidRPr="00026DC9">
              <w:rPr>
                <w:rFonts w:ascii="Segoe UI Light" w:eastAsia="Segoe UI Light" w:hAnsi="Segoe UI Light" w:cs="Segoe UI Light"/>
                <w:sz w:val="18"/>
                <w:szCs w:val="18"/>
              </w:rPr>
              <w:t xml:space="preserve"> </w:t>
            </w:r>
            <w:r w:rsidR="76F06CAC" w:rsidRPr="00026DC9">
              <w:rPr>
                <w:rFonts w:ascii="Segoe UI Light" w:eastAsia="Segoe UI Light" w:hAnsi="Segoe UI Light" w:cs="Segoe UI Light"/>
                <w:sz w:val="18"/>
                <w:szCs w:val="18"/>
              </w:rPr>
              <w:t>/</w:t>
            </w:r>
            <w:r w:rsidR="00122FD2" w:rsidRPr="00026DC9">
              <w:rPr>
                <w:rFonts w:ascii="Segoe UI Light" w:eastAsia="Segoe UI Light" w:hAnsi="Segoe UI Light" w:cs="Segoe UI Light"/>
                <w:sz w:val="18"/>
                <w:szCs w:val="18"/>
              </w:rPr>
              <w:t xml:space="preserve"> </w:t>
            </w:r>
            <w:r w:rsidR="001829A5" w:rsidRPr="00026DC9">
              <w:rPr>
                <w:rFonts w:ascii="Segoe UI Light" w:eastAsia="Segoe UI Light" w:hAnsi="Segoe UI Light" w:cs="Segoe UI Light"/>
                <w:sz w:val="18"/>
                <w:szCs w:val="18"/>
              </w:rPr>
              <w:t>1</w:t>
            </w:r>
            <w:r w:rsidR="001E1F9C">
              <w:rPr>
                <w:rFonts w:ascii="Segoe UI Light" w:eastAsia="Segoe UI Light" w:hAnsi="Segoe UI Light" w:cs="Segoe UI Light"/>
                <w:sz w:val="18"/>
                <w:szCs w:val="18"/>
              </w:rPr>
              <w:t>9</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7FCAAC5" w14:textId="6E161A29" w:rsidR="791CBE51" w:rsidRPr="00026DC9" w:rsidRDefault="00D20DC9"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6</w:t>
            </w:r>
            <w:r w:rsidR="002C459F">
              <w:rPr>
                <w:rFonts w:ascii="Segoe UI Light" w:eastAsia="Segoe UI Light" w:hAnsi="Segoe UI Light" w:cs="Segoe UI Light"/>
                <w:sz w:val="18"/>
                <w:szCs w:val="18"/>
              </w:rPr>
              <w:t>3</w:t>
            </w:r>
            <w:r w:rsidR="009F4A59" w:rsidRPr="00026DC9">
              <w:rPr>
                <w:rFonts w:ascii="Segoe UI Light" w:eastAsia="Segoe UI Light" w:hAnsi="Segoe UI Light" w:cs="Segoe UI Light"/>
                <w:sz w:val="18"/>
                <w:szCs w:val="18"/>
              </w:rPr>
              <w:t>%</w:t>
            </w:r>
          </w:p>
        </w:tc>
      </w:tr>
      <w:tr w:rsidR="009B4166" w14:paraId="0B7DF25F" w14:textId="77777777" w:rsidTr="1F086920">
        <w:trPr>
          <w:trHeight w:val="15"/>
        </w:trPr>
        <w:tc>
          <w:tcPr>
            <w:tcW w:w="3129"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013FE3A8" w14:textId="0ABF6BDB" w:rsidR="76F06CAC" w:rsidRDefault="009F4A59" w:rsidP="76F06CAC">
            <w:r w:rsidRPr="76F06CAC">
              <w:rPr>
                <w:rFonts w:ascii="Segoe UI Light" w:eastAsia="Segoe UI Light" w:hAnsi="Segoe UI Light" w:cs="Segoe UI Light"/>
                <w:sz w:val="18"/>
                <w:szCs w:val="18"/>
              </w:rPr>
              <w:t>Good Practice</w:t>
            </w:r>
          </w:p>
        </w:tc>
        <w:tc>
          <w:tcPr>
            <w:tcW w:w="3526"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36A37E07" w14:textId="6F03EC58" w:rsidR="1C15F9BC" w:rsidRPr="00026DC9" w:rsidRDefault="005C06C3"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5</w:t>
            </w:r>
            <w:r w:rsidR="009F4A59" w:rsidRPr="00026DC9">
              <w:rPr>
                <w:rFonts w:ascii="Segoe UI Light" w:eastAsia="Segoe UI Light" w:hAnsi="Segoe UI Light" w:cs="Segoe UI Light"/>
                <w:sz w:val="18"/>
                <w:szCs w:val="18"/>
              </w:rPr>
              <w:t xml:space="preserve"> </w:t>
            </w:r>
            <w:r w:rsidR="1985A402" w:rsidRPr="00026DC9">
              <w:rPr>
                <w:rFonts w:ascii="Segoe UI Light" w:eastAsia="Segoe UI Light" w:hAnsi="Segoe UI Light" w:cs="Segoe UI Light"/>
                <w:sz w:val="18"/>
                <w:szCs w:val="18"/>
              </w:rPr>
              <w:t>/</w:t>
            </w:r>
            <w:r w:rsidR="33436A98" w:rsidRPr="00026DC9">
              <w:rPr>
                <w:rFonts w:ascii="Segoe UI Light" w:eastAsia="Segoe UI Light" w:hAnsi="Segoe UI Light" w:cs="Segoe UI Light"/>
                <w:sz w:val="18"/>
                <w:szCs w:val="18"/>
              </w:rPr>
              <w:t xml:space="preserve"> </w:t>
            </w:r>
            <w:r w:rsidR="001829A5" w:rsidRPr="00026DC9">
              <w:rPr>
                <w:rFonts w:ascii="Segoe UI Light" w:eastAsia="Segoe UI Light" w:hAnsi="Segoe UI Light" w:cs="Segoe UI Light"/>
                <w:sz w:val="18"/>
                <w:szCs w:val="18"/>
              </w:rPr>
              <w:t>1</w:t>
            </w:r>
            <w:r>
              <w:rPr>
                <w:rFonts w:ascii="Segoe UI Light" w:eastAsia="Segoe UI Light" w:hAnsi="Segoe UI Light" w:cs="Segoe UI Light"/>
                <w:sz w:val="18"/>
                <w:szCs w:val="18"/>
              </w:rPr>
              <w:t>9</w:t>
            </w:r>
          </w:p>
        </w:tc>
        <w:tc>
          <w:tcPr>
            <w:tcW w:w="3320"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69B6819D" w14:textId="048EDCD1" w:rsidR="2BCA071B" w:rsidRPr="00026DC9" w:rsidRDefault="00333A55"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2</w:t>
            </w:r>
            <w:r w:rsidR="002C459F">
              <w:rPr>
                <w:rFonts w:ascii="Segoe UI Light" w:eastAsia="Segoe UI Light" w:hAnsi="Segoe UI Light" w:cs="Segoe UI Light"/>
                <w:sz w:val="18"/>
                <w:szCs w:val="18"/>
              </w:rPr>
              <w:t>6</w:t>
            </w:r>
            <w:r w:rsidR="009F4A59" w:rsidRPr="00026DC9">
              <w:rPr>
                <w:rFonts w:ascii="Segoe UI Light" w:eastAsia="Segoe UI Light" w:hAnsi="Segoe UI Light" w:cs="Segoe UI Light"/>
                <w:sz w:val="18"/>
                <w:szCs w:val="18"/>
              </w:rPr>
              <w:t>%</w:t>
            </w:r>
          </w:p>
        </w:tc>
      </w:tr>
      <w:tr w:rsidR="009B4166" w14:paraId="2A9EEEAE" w14:textId="77777777" w:rsidTr="1F086920">
        <w:trPr>
          <w:trHeight w:val="300"/>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A0E7029" w14:textId="00747D52" w:rsidR="76F06CAC" w:rsidRDefault="009F4A59" w:rsidP="76F06CAC">
            <w:r w:rsidRPr="76F06CAC">
              <w:rPr>
                <w:rFonts w:ascii="Segoe UI Light" w:eastAsia="Segoe UI Light" w:hAnsi="Segoe UI Light" w:cs="Segoe UI Light"/>
                <w:sz w:val="18"/>
                <w:szCs w:val="18"/>
              </w:rPr>
              <w:t>Exemplary</w:t>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63FEEEF" w14:textId="77B9E051" w:rsidR="19CEA7F2" w:rsidRPr="00026DC9" w:rsidRDefault="00221638"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1</w:t>
            </w:r>
            <w:r w:rsidR="385FEC7F" w:rsidRPr="00026DC9">
              <w:rPr>
                <w:rFonts w:ascii="Segoe UI Light" w:eastAsia="Segoe UI Light" w:hAnsi="Segoe UI Light" w:cs="Segoe UI Light"/>
                <w:sz w:val="18"/>
                <w:szCs w:val="18"/>
              </w:rPr>
              <w:t xml:space="preserve"> /</w:t>
            </w:r>
            <w:r w:rsidR="009F4A59" w:rsidRPr="00026DC9">
              <w:rPr>
                <w:rFonts w:ascii="Segoe UI Light" w:eastAsia="Segoe UI Light" w:hAnsi="Segoe UI Light" w:cs="Segoe UI Light"/>
                <w:sz w:val="18"/>
                <w:szCs w:val="18"/>
              </w:rPr>
              <w:t xml:space="preserve"> </w:t>
            </w:r>
            <w:r w:rsidR="00CD6B65" w:rsidRPr="00026DC9">
              <w:rPr>
                <w:rFonts w:ascii="Segoe UI Light" w:eastAsia="Segoe UI Light" w:hAnsi="Segoe UI Light" w:cs="Segoe UI Light"/>
                <w:sz w:val="18"/>
                <w:szCs w:val="18"/>
              </w:rPr>
              <w:t>1</w:t>
            </w:r>
            <w:r w:rsidR="005C06C3">
              <w:rPr>
                <w:rFonts w:ascii="Segoe UI Light" w:eastAsia="Segoe UI Light" w:hAnsi="Segoe UI Light" w:cs="Segoe UI Light"/>
                <w:sz w:val="18"/>
                <w:szCs w:val="18"/>
              </w:rPr>
              <w:t>9</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9597C09" w14:textId="724E6A7A" w:rsidR="358EF2F9" w:rsidRPr="00026DC9" w:rsidRDefault="00D20DC9"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5</w:t>
            </w:r>
            <w:r w:rsidR="00AE4D42" w:rsidRPr="00026DC9">
              <w:rPr>
                <w:rFonts w:ascii="Segoe UI Light" w:eastAsia="Segoe UI Light" w:hAnsi="Segoe UI Light" w:cs="Segoe UI Light"/>
                <w:sz w:val="18"/>
                <w:szCs w:val="18"/>
              </w:rPr>
              <w:t>%</w:t>
            </w:r>
          </w:p>
        </w:tc>
      </w:tr>
      <w:tr w:rsidR="009B4166" w14:paraId="5E9A62FF" w14:textId="77777777" w:rsidTr="1F086920">
        <w:trPr>
          <w:trHeight w:val="15"/>
        </w:trPr>
        <w:tc>
          <w:tcPr>
            <w:tcW w:w="3129"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694121B8" w14:textId="29788C54" w:rsidR="76F06CAC" w:rsidRDefault="009F4A59" w:rsidP="76F06CAC">
            <w:r w:rsidRPr="76F06CAC">
              <w:rPr>
                <w:rFonts w:ascii="Segoe UI Light" w:eastAsia="Segoe UI Light" w:hAnsi="Segoe UI Light" w:cs="Segoe UI Light"/>
                <w:sz w:val="18"/>
                <w:szCs w:val="18"/>
              </w:rPr>
              <w:t>IA Compliance</w:t>
            </w:r>
          </w:p>
        </w:tc>
        <w:tc>
          <w:tcPr>
            <w:tcW w:w="3526"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71D9AD5D" w14:textId="062ED2D4" w:rsidR="0EC5BD77" w:rsidRPr="00026DC9" w:rsidRDefault="0057358B"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1</w:t>
            </w:r>
            <w:r w:rsidR="005C06C3">
              <w:rPr>
                <w:rFonts w:ascii="Segoe UI Light" w:eastAsia="Segoe UI Light" w:hAnsi="Segoe UI Light" w:cs="Segoe UI Light"/>
                <w:sz w:val="18"/>
                <w:szCs w:val="18"/>
              </w:rPr>
              <w:t>8</w:t>
            </w:r>
            <w:r w:rsidR="75D28B24" w:rsidRPr="00026DC9">
              <w:rPr>
                <w:rFonts w:ascii="Segoe UI Light" w:eastAsia="Segoe UI Light" w:hAnsi="Segoe UI Light" w:cs="Segoe UI Light"/>
                <w:sz w:val="18"/>
                <w:szCs w:val="18"/>
              </w:rPr>
              <w:t xml:space="preserve"> </w:t>
            </w:r>
            <w:r w:rsidR="5AEC22FF" w:rsidRPr="00026DC9">
              <w:rPr>
                <w:rFonts w:ascii="Segoe UI Light" w:eastAsia="Segoe UI Light" w:hAnsi="Segoe UI Light" w:cs="Segoe UI Light"/>
                <w:sz w:val="18"/>
                <w:szCs w:val="18"/>
              </w:rPr>
              <w:t>/</w:t>
            </w:r>
            <w:r w:rsidR="4AA9187F" w:rsidRPr="00026DC9">
              <w:rPr>
                <w:rFonts w:ascii="Segoe UI Light" w:eastAsia="Segoe UI Light" w:hAnsi="Segoe UI Light" w:cs="Segoe UI Light"/>
                <w:sz w:val="18"/>
                <w:szCs w:val="18"/>
              </w:rPr>
              <w:t xml:space="preserve"> </w:t>
            </w:r>
            <w:r w:rsidR="00CD6B65" w:rsidRPr="00026DC9">
              <w:rPr>
                <w:rFonts w:ascii="Segoe UI Light" w:eastAsia="Segoe UI Light" w:hAnsi="Segoe UI Light" w:cs="Segoe UI Light"/>
                <w:sz w:val="18"/>
                <w:szCs w:val="18"/>
              </w:rPr>
              <w:t>1</w:t>
            </w:r>
            <w:r w:rsidR="005C06C3">
              <w:rPr>
                <w:rFonts w:ascii="Segoe UI Light" w:eastAsia="Segoe UI Light" w:hAnsi="Segoe UI Light" w:cs="Segoe UI Light"/>
                <w:sz w:val="18"/>
                <w:szCs w:val="18"/>
              </w:rPr>
              <w:t>9</w:t>
            </w:r>
          </w:p>
        </w:tc>
        <w:tc>
          <w:tcPr>
            <w:tcW w:w="3320"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1D65F1D9" w14:textId="4D5ABC1F" w:rsidR="732264BD" w:rsidRPr="00026DC9" w:rsidRDefault="006338BB"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9</w:t>
            </w:r>
            <w:r w:rsidR="002C459F">
              <w:rPr>
                <w:rFonts w:ascii="Segoe UI Light" w:eastAsia="Segoe UI Light" w:hAnsi="Segoe UI Light" w:cs="Segoe UI Light"/>
                <w:sz w:val="18"/>
                <w:szCs w:val="18"/>
              </w:rPr>
              <w:t>5</w:t>
            </w:r>
            <w:r w:rsidR="2377A594" w:rsidRPr="00026DC9">
              <w:rPr>
                <w:rFonts w:ascii="Segoe UI Light" w:eastAsia="Segoe UI Light" w:hAnsi="Segoe UI Light" w:cs="Segoe UI Light"/>
                <w:sz w:val="18"/>
                <w:szCs w:val="18"/>
              </w:rPr>
              <w:t>%</w:t>
            </w:r>
          </w:p>
        </w:tc>
      </w:tr>
      <w:tr w:rsidR="009B4166" w14:paraId="62EE9D2E" w14:textId="77777777" w:rsidTr="1F086920">
        <w:trPr>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A8DFA22" w14:textId="36AF78CC" w:rsidR="76F06CAC" w:rsidRDefault="009F4A59" w:rsidP="76F06CAC">
            <w:r w:rsidRPr="76F06CAC">
              <w:rPr>
                <w:rFonts w:ascii="Segoe UI Light" w:eastAsia="Segoe UI Light" w:hAnsi="Segoe UI Light" w:cs="Segoe UI Light"/>
                <w:sz w:val="18"/>
                <w:szCs w:val="18"/>
              </w:rPr>
              <w:t>Impact Analysis Equivalents</w:t>
            </w:r>
            <w:r w:rsidR="005D1B80">
              <w:rPr>
                <w:rStyle w:val="FootnoteReference"/>
                <w:rFonts w:ascii="Segoe UI Light" w:eastAsia="Segoe UI Light" w:hAnsi="Segoe UI Light" w:cs="Segoe UI Light"/>
                <w:sz w:val="18"/>
                <w:szCs w:val="18"/>
              </w:rPr>
              <w:footnoteReference w:id="1"/>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221927D" w14:textId="2CEFD871" w:rsidR="17AFA032" w:rsidRPr="00026DC9" w:rsidRDefault="0085120B"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7</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F5BB178" w14:textId="35340216" w:rsidR="76F06CAC" w:rsidRPr="00026DC9" w:rsidRDefault="009F4A59"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w:t>
            </w:r>
          </w:p>
        </w:tc>
      </w:tr>
      <w:tr w:rsidR="009B4166" w14:paraId="65514BB2" w14:textId="77777777" w:rsidTr="1F086920">
        <w:trPr>
          <w:trHeight w:val="15"/>
        </w:trPr>
        <w:tc>
          <w:tcPr>
            <w:tcW w:w="3129"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53B99DBA" w14:textId="38BD9D09" w:rsidR="76F06CAC" w:rsidRDefault="009F4A59" w:rsidP="76F06CAC">
            <w:r w:rsidRPr="76F06CAC">
              <w:rPr>
                <w:rFonts w:ascii="Segoe UI Light" w:eastAsia="Segoe UI Light" w:hAnsi="Segoe UI Light" w:cs="Segoe UI Light"/>
                <w:sz w:val="18"/>
                <w:szCs w:val="18"/>
              </w:rPr>
              <w:t>Overall compliance</w:t>
            </w:r>
          </w:p>
        </w:tc>
        <w:tc>
          <w:tcPr>
            <w:tcW w:w="3526"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3CF6E355" w14:textId="5E68D6D3" w:rsidR="0D14BB5B" w:rsidRPr="00026DC9" w:rsidRDefault="00922F4C"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2</w:t>
            </w:r>
            <w:r w:rsidR="0085120B">
              <w:rPr>
                <w:rFonts w:ascii="Segoe UI Light" w:eastAsia="Segoe UI Light" w:hAnsi="Segoe UI Light" w:cs="Segoe UI Light"/>
                <w:sz w:val="18"/>
                <w:szCs w:val="18"/>
              </w:rPr>
              <w:t>5</w:t>
            </w:r>
            <w:r w:rsidR="6A51B0E7" w:rsidRPr="00026DC9">
              <w:rPr>
                <w:rFonts w:ascii="Segoe UI Light" w:eastAsia="Segoe UI Light" w:hAnsi="Segoe UI Light" w:cs="Segoe UI Light"/>
                <w:sz w:val="18"/>
                <w:szCs w:val="18"/>
              </w:rPr>
              <w:t xml:space="preserve"> </w:t>
            </w:r>
            <w:r w:rsidR="1985A402" w:rsidRPr="00026DC9">
              <w:rPr>
                <w:rFonts w:ascii="Segoe UI Light" w:eastAsia="Segoe UI Light" w:hAnsi="Segoe UI Light" w:cs="Segoe UI Light"/>
                <w:sz w:val="18"/>
                <w:szCs w:val="18"/>
              </w:rPr>
              <w:t>/</w:t>
            </w:r>
            <w:r w:rsidR="63715AAC" w:rsidRPr="00026DC9">
              <w:rPr>
                <w:rFonts w:ascii="Segoe UI Light" w:eastAsia="Segoe UI Light" w:hAnsi="Segoe UI Light" w:cs="Segoe UI Light"/>
                <w:sz w:val="18"/>
                <w:szCs w:val="18"/>
              </w:rPr>
              <w:t xml:space="preserve"> </w:t>
            </w:r>
            <w:r>
              <w:rPr>
                <w:rFonts w:ascii="Segoe UI Light" w:eastAsia="Segoe UI Light" w:hAnsi="Segoe UI Light" w:cs="Segoe UI Light"/>
                <w:sz w:val="18"/>
                <w:szCs w:val="18"/>
              </w:rPr>
              <w:t>2</w:t>
            </w:r>
            <w:r w:rsidR="0085120B">
              <w:rPr>
                <w:rFonts w:ascii="Segoe UI Light" w:eastAsia="Segoe UI Light" w:hAnsi="Segoe UI Light" w:cs="Segoe UI Light"/>
                <w:sz w:val="18"/>
                <w:szCs w:val="18"/>
              </w:rPr>
              <w:t>6</w:t>
            </w:r>
          </w:p>
        </w:tc>
        <w:tc>
          <w:tcPr>
            <w:tcW w:w="3320"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7C528F47" w14:textId="0702FAB9" w:rsidR="373DCC24" w:rsidRPr="00026DC9" w:rsidRDefault="006338BB" w:rsidP="00D40D71">
            <w:pPr>
              <w:jc w:val="right"/>
            </w:pPr>
            <w:r w:rsidRPr="00026DC9">
              <w:rPr>
                <w:rFonts w:ascii="Segoe UI Light" w:eastAsia="Segoe UI Light" w:hAnsi="Segoe UI Light" w:cs="Segoe UI Light"/>
                <w:sz w:val="18"/>
                <w:szCs w:val="18"/>
              </w:rPr>
              <w:t>9</w:t>
            </w:r>
            <w:r w:rsidR="00922F4C">
              <w:rPr>
                <w:rFonts w:ascii="Segoe UI Light" w:eastAsia="Segoe UI Light" w:hAnsi="Segoe UI Light" w:cs="Segoe UI Light"/>
                <w:sz w:val="18"/>
                <w:szCs w:val="18"/>
              </w:rPr>
              <w:t>6</w:t>
            </w:r>
            <w:r w:rsidR="72F3C4F5" w:rsidRPr="00026DC9">
              <w:rPr>
                <w:rFonts w:ascii="Segoe UI Light" w:eastAsia="Segoe UI Light" w:hAnsi="Segoe UI Light" w:cs="Segoe UI Light"/>
                <w:sz w:val="18"/>
                <w:szCs w:val="18"/>
              </w:rPr>
              <w:t>%</w:t>
            </w:r>
          </w:p>
        </w:tc>
      </w:tr>
      <w:tr w:rsidR="009B4166" w14:paraId="2192CB4D" w14:textId="77777777" w:rsidTr="1F086920">
        <w:trPr>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7B62CD4" w14:textId="04B9EF1F" w:rsidR="76F06CAC" w:rsidRDefault="009F4A59" w:rsidP="76F06CAC">
            <w:r w:rsidRPr="76F06CAC">
              <w:rPr>
                <w:rFonts w:ascii="Segoe UI Light" w:eastAsia="Segoe UI Light" w:hAnsi="Segoe UI Light" w:cs="Segoe UI Light"/>
                <w:sz w:val="18"/>
                <w:szCs w:val="18"/>
              </w:rPr>
              <w:t>Exceptional circumstances</w:t>
            </w:r>
            <w:r w:rsidR="005D1B80">
              <w:rPr>
                <w:rStyle w:val="FootnoteReference"/>
                <w:rFonts w:ascii="Segoe UI Light" w:eastAsia="Segoe UI Light" w:hAnsi="Segoe UI Light" w:cs="Segoe UI Light"/>
                <w:sz w:val="18"/>
                <w:szCs w:val="18"/>
              </w:rPr>
              <w:footnoteReference w:id="2"/>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77F472C" w14:textId="1E90E0D5" w:rsidR="56AF6DCB" w:rsidRDefault="006603D2" w:rsidP="00D40D71">
            <w:pPr>
              <w:jc w:val="right"/>
              <w:rPr>
                <w:rFonts w:ascii="Segoe UI Light" w:eastAsia="Segoe UI Light" w:hAnsi="Segoe UI Light" w:cs="Segoe UI Light"/>
                <w:sz w:val="18"/>
                <w:szCs w:val="18"/>
                <w:vertAlign w:val="superscript"/>
              </w:rPr>
            </w:pPr>
            <w:r>
              <w:rPr>
                <w:rFonts w:ascii="Segoe UI Light" w:eastAsia="Segoe UI Light" w:hAnsi="Segoe UI Light" w:cs="Segoe UI Light"/>
                <w:sz w:val="18"/>
                <w:szCs w:val="18"/>
              </w:rPr>
              <w:t>1</w:t>
            </w:r>
            <w:r w:rsidR="009F4A59" w:rsidRPr="71E2E32C">
              <w:rPr>
                <w:rFonts w:ascii="Segoe UI Light" w:eastAsia="Segoe UI Light" w:hAnsi="Segoe UI Light" w:cs="Segoe UI Light"/>
                <w:sz w:val="18"/>
                <w:szCs w:val="18"/>
                <w:vertAlign w:val="superscript"/>
              </w:rPr>
              <w:t xml:space="preserve"> </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81C83E4" w14:textId="2812661A" w:rsidR="76F06CAC" w:rsidRDefault="009F4A59" w:rsidP="00D40D71">
            <w:pPr>
              <w:jc w:val="right"/>
              <w:rPr>
                <w:rFonts w:ascii="Segoe UI Light" w:eastAsia="Segoe UI Light" w:hAnsi="Segoe UI Light" w:cs="Segoe UI Light"/>
                <w:sz w:val="18"/>
                <w:szCs w:val="18"/>
              </w:rPr>
            </w:pPr>
            <w:r w:rsidRPr="76F06CAC">
              <w:rPr>
                <w:rFonts w:ascii="Segoe UI Light" w:eastAsia="Segoe UI Light" w:hAnsi="Segoe UI Light" w:cs="Segoe UI Light"/>
                <w:sz w:val="18"/>
                <w:szCs w:val="18"/>
              </w:rPr>
              <w:t>-</w:t>
            </w:r>
          </w:p>
        </w:tc>
      </w:tr>
      <w:tr w:rsidR="005D1B80" w14:paraId="016E45F6" w14:textId="77777777" w:rsidTr="1F086920">
        <w:trPr>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777CC6C" w14:textId="021A9803" w:rsidR="005D1B80" w:rsidRPr="76F06CAC" w:rsidRDefault="005D1B80" w:rsidP="76F06CAC">
            <w:pPr>
              <w:rPr>
                <w:rFonts w:ascii="Segoe UI Light" w:eastAsia="Segoe UI Light" w:hAnsi="Segoe UI Light" w:cs="Segoe UI Light"/>
                <w:sz w:val="18"/>
                <w:szCs w:val="18"/>
              </w:rPr>
            </w:pPr>
            <w:r>
              <w:rPr>
                <w:rFonts w:ascii="Segoe UI Light" w:eastAsia="Segoe UI Light" w:hAnsi="Segoe UI Light" w:cs="Segoe UI Light"/>
                <w:sz w:val="18"/>
                <w:szCs w:val="18"/>
              </w:rPr>
              <w:t xml:space="preserve">Estimated annual impact on Regulatory </w:t>
            </w:r>
            <w:r w:rsidRPr="00EB7024">
              <w:rPr>
                <w:rFonts w:ascii="Segoe UI Light" w:eastAsia="Segoe UI Light" w:hAnsi="Segoe UI Light" w:cs="Segoe UI Light"/>
                <w:sz w:val="18"/>
                <w:szCs w:val="18"/>
              </w:rPr>
              <w:t>Burden</w:t>
            </w:r>
            <w:r>
              <w:rPr>
                <w:rStyle w:val="FootnoteReference"/>
                <w:rFonts w:ascii="Segoe UI Light" w:eastAsia="Segoe UI Light" w:hAnsi="Segoe UI Light" w:cs="Segoe UI Light"/>
                <w:sz w:val="18"/>
                <w:szCs w:val="18"/>
              </w:rPr>
              <w:footnoteReference w:id="3"/>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9EA1484" w14:textId="35357926" w:rsidR="005D1B80" w:rsidRPr="001B7925" w:rsidRDefault="49578F1A" w:rsidP="2E4BE1F8">
            <w:pPr>
              <w:jc w:val="right"/>
              <w:rPr>
                <w:rFonts w:ascii="Segoe UI Light" w:eastAsia="Segoe UI Light" w:hAnsi="Segoe UI Light" w:cs="Segoe UI Light"/>
                <w:sz w:val="18"/>
                <w:szCs w:val="18"/>
              </w:rPr>
            </w:pPr>
            <w:r w:rsidRPr="2974CC39">
              <w:rPr>
                <w:rFonts w:ascii="Segoe UI Light" w:eastAsia="Segoe UI Light" w:hAnsi="Segoe UI Light" w:cs="Segoe UI Light"/>
                <w:sz w:val="18"/>
                <w:szCs w:val="18"/>
              </w:rPr>
              <w:t>$</w:t>
            </w:r>
            <w:r w:rsidR="2749AAD5" w:rsidRPr="2974CC39">
              <w:rPr>
                <w:rFonts w:ascii="Segoe UI Light" w:eastAsia="Segoe UI Light" w:hAnsi="Segoe UI Light" w:cs="Segoe UI Light"/>
                <w:sz w:val="18"/>
                <w:szCs w:val="18"/>
              </w:rPr>
              <w:t>47</w:t>
            </w:r>
            <w:r w:rsidR="0085120B">
              <w:rPr>
                <w:rFonts w:ascii="Segoe UI Light" w:eastAsia="Segoe UI Light" w:hAnsi="Segoe UI Light" w:cs="Segoe UI Light"/>
                <w:sz w:val="18"/>
                <w:szCs w:val="18"/>
              </w:rPr>
              <w:t>5</w:t>
            </w:r>
            <w:r w:rsidR="19FCC3FB" w:rsidRPr="2974CC39">
              <w:rPr>
                <w:rFonts w:ascii="Segoe UI Light" w:eastAsia="Segoe UI Light" w:hAnsi="Segoe UI Light" w:cs="Segoe UI Light"/>
                <w:sz w:val="18"/>
                <w:szCs w:val="18"/>
              </w:rPr>
              <w:t>.</w:t>
            </w:r>
            <w:r w:rsidR="0085120B">
              <w:rPr>
                <w:rFonts w:ascii="Segoe UI Light" w:eastAsia="Segoe UI Light" w:hAnsi="Segoe UI Light" w:cs="Segoe UI Light"/>
                <w:sz w:val="18"/>
                <w:szCs w:val="18"/>
              </w:rPr>
              <w:t>476</w:t>
            </w:r>
            <w:r w:rsidRPr="2974CC39">
              <w:rPr>
                <w:rFonts w:ascii="Segoe UI Light" w:eastAsia="Segoe UI Light" w:hAnsi="Segoe UI Light" w:cs="Segoe UI Light"/>
                <w:sz w:val="18"/>
                <w:szCs w:val="18"/>
              </w:rPr>
              <w:t>m</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421D827" w14:textId="7F97ED5D" w:rsidR="005D1B80" w:rsidRPr="76F06CAC" w:rsidRDefault="005D1B80"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w:t>
            </w:r>
          </w:p>
        </w:tc>
      </w:tr>
    </w:tbl>
    <w:p w14:paraId="60969BC8" w14:textId="4CAE5F24" w:rsidR="00D70B96" w:rsidRPr="00E32381" w:rsidRDefault="009F4A59" w:rsidP="00E32381">
      <w:pPr>
        <w:pStyle w:val="Heading1"/>
        <w:rPr>
          <w:highlight w:val="yellow"/>
        </w:rPr>
      </w:pPr>
      <w:bookmarkStart w:id="2" w:name="_Toc229664790"/>
      <w:bookmarkStart w:id="3" w:name="_Toc233729004"/>
      <w:r w:rsidRPr="2EB90531">
        <w:rPr>
          <w:rFonts w:ascii="Times New Roman" w:eastAsia="Times New Roman" w:hAnsi="Times New Roman" w:cs="Times New Roman"/>
          <w:color w:val="192D56"/>
        </w:rPr>
        <w:t xml:space="preserve">Impact Analysis compliance summary by Department or Agency, </w:t>
      </w:r>
      <w:r w:rsidR="2D6E5706">
        <w:t>2025-26</w:t>
      </w:r>
      <w:bookmarkStart w:id="4" w:name="_Toc229664791"/>
      <w:bookmarkEnd w:id="2"/>
      <w:bookmarkEnd w:id="3"/>
    </w:p>
    <w:p w14:paraId="62E6AB4E" w14:textId="71DD906A" w:rsidR="00987E48" w:rsidRDefault="00987E48" w:rsidP="006B3D88">
      <w:pPr>
        <w:pStyle w:val="Heading2"/>
        <w:rPr>
          <w:rFonts w:ascii="Times New Roman" w:eastAsia="Times New Roman" w:hAnsi="Times New Roman" w:cs="Times New Roman"/>
          <w:color w:val="192D56"/>
        </w:rPr>
      </w:pPr>
      <w:bookmarkStart w:id="5" w:name="_Toc233729005"/>
      <w:r w:rsidRPr="2EB90531">
        <w:rPr>
          <w:rFonts w:ascii="Times New Roman" w:eastAsia="Times New Roman" w:hAnsi="Times New Roman" w:cs="Times New Roman"/>
          <w:color w:val="192D56"/>
        </w:rPr>
        <w:t>Department of Agriculture, Fisheries and Forestry</w:t>
      </w:r>
      <w:bookmarkEnd w:id="4"/>
      <w:bookmarkEnd w:id="5"/>
      <w:r w:rsidRPr="2EB90531">
        <w:rPr>
          <w:rFonts w:ascii="Times New Roman" w:eastAsia="Times New Roman" w:hAnsi="Times New Roman" w:cs="Times New Roman"/>
          <w:color w:val="192D56"/>
        </w:rPr>
        <w:t xml:space="preserve"> </w:t>
      </w:r>
    </w:p>
    <w:p w14:paraId="411EA87A" w14:textId="2363B670" w:rsidR="00987E48" w:rsidRDefault="00987E48" w:rsidP="00987E48">
      <w:pPr>
        <w:pStyle w:val="Caption"/>
      </w:pPr>
      <w:r>
        <w:t xml:space="preserve">Table 2. </w:t>
      </w:r>
      <w:r w:rsidRPr="2DCD0ED0">
        <w:rPr>
          <w:rFonts w:eastAsia="Segoe UI" w:cs="Segoe UI"/>
          <w:sz w:val="21"/>
        </w:rPr>
        <w:t xml:space="preserve">Compliance summary: </w:t>
      </w:r>
      <w:r>
        <w:t xml:space="preserve"> </w:t>
      </w:r>
      <w:r w:rsidRPr="00A33F15">
        <w:t xml:space="preserve">Department of </w:t>
      </w:r>
      <w:r w:rsidR="00931033">
        <w:t>Agriculture, Fisheries and Forestry</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987E48" w14:paraId="687E3FA9" w14:textId="77777777" w:rsidTr="1919143D">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E2F7839" w14:textId="77777777" w:rsidR="00987E48" w:rsidRPr="00DF0B7F" w:rsidRDefault="00987E48"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0E240EC2" w14:textId="77777777" w:rsidR="00987E48" w:rsidRPr="00DF0B7F" w:rsidRDefault="00987E48"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856D91C" w14:textId="77777777" w:rsidR="00987E48" w:rsidRPr="00DF0B7F" w:rsidRDefault="00987E48"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56D3B63A" w14:textId="77777777" w:rsidR="00987E48" w:rsidRPr="00DF0B7F" w:rsidRDefault="00987E48"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302AB9C" w14:textId="77777777" w:rsidR="00987E48" w:rsidRPr="00DF0B7F" w:rsidRDefault="00987E48" w:rsidP="00C54281">
            <w:pPr>
              <w:jc w:val="center"/>
            </w:pPr>
            <w:r w:rsidRPr="00DF0B7F">
              <w:rPr>
                <w:rFonts w:ascii="Segoe UI" w:eastAsia="Segoe UI" w:hAnsi="Segoe UI" w:cs="Segoe UI"/>
                <w:sz w:val="18"/>
                <w:szCs w:val="18"/>
              </w:rPr>
              <w:t>Annual Regulatory Burden ($m)</w:t>
            </w:r>
          </w:p>
        </w:tc>
      </w:tr>
      <w:tr w:rsidR="00987E48" w14:paraId="7E4CE7AE" w14:textId="77777777" w:rsidTr="1919143D">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3F6D773" w14:textId="0482B242" w:rsidR="00987E48" w:rsidRDefault="0028067E" w:rsidP="00987E48">
            <w:pPr>
              <w:spacing w:after="0"/>
              <w:rPr>
                <w:rFonts w:ascii="Segoe UI Light" w:eastAsia="Times New Roman" w:hAnsi="Segoe UI Light" w:cs="Segoe UI Light"/>
                <w:sz w:val="18"/>
                <w:szCs w:val="18"/>
                <w:lang w:eastAsia="en-AU"/>
              </w:rPr>
            </w:pPr>
            <w:r w:rsidRPr="0028067E">
              <w:rPr>
                <w:rFonts w:ascii="Segoe UI Light" w:eastAsia="Times New Roman" w:hAnsi="Segoe UI Light" w:cs="Segoe UI Light"/>
                <w:sz w:val="18"/>
                <w:szCs w:val="18"/>
                <w:lang w:eastAsia="en-AU"/>
              </w:rPr>
              <w:t>Review of grape and wine sector regulation</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FB43D35" w14:textId="77777777" w:rsidR="00987E48" w:rsidRDefault="00987E48" w:rsidP="00A2350F">
            <w:r w:rsidRPr="2DCD0ED0">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09CD959" w14:textId="7C12594C" w:rsidR="00987E48" w:rsidRDefault="0028067E" w:rsidP="00A2350F">
            <w:r w:rsidRPr="00187984">
              <w:rPr>
                <w:rFonts w:ascii="Segoe UI Light" w:eastAsia="Segoe UI Light" w:hAnsi="Segoe UI Light" w:cs="Segoe UI Light"/>
                <w:sz w:val="18"/>
                <w:szCs w:val="18"/>
              </w:rPr>
              <w:t>Impact Analysis Equivalent</w:t>
            </w:r>
            <w:r>
              <w:t xml:space="preserve"> </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C4ADC8F" w14:textId="77777777" w:rsidR="00987E48" w:rsidRDefault="00987E48" w:rsidP="00A2350F">
            <w:r w:rsidRPr="2DCD0ED0">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EFC40C1" w14:textId="0FA8CFAF" w:rsidR="00987E48" w:rsidRDefault="00B8214B" w:rsidP="00A2350F">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$0.182m</w:t>
            </w:r>
          </w:p>
        </w:tc>
      </w:tr>
      <w:tr w:rsidR="00987E48" w14:paraId="6E754D69" w14:textId="77777777" w:rsidTr="1919143D">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6760E78F" w14:textId="77777777" w:rsidR="00987E48" w:rsidRDefault="00987E48" w:rsidP="00A2350F">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BA041C7" w14:textId="77777777" w:rsidR="00987E48" w:rsidRDefault="00987E48" w:rsidP="00A2350F">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1 / 1</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E082731" w14:textId="77777777" w:rsidR="00987E48" w:rsidRDefault="00987E48" w:rsidP="00A2350F">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9D4499C" w14:textId="43235FDB" w:rsidR="00987E48" w:rsidRDefault="007A3B2D" w:rsidP="00A2350F">
            <w:pPr>
              <w:rPr>
                <w:rFonts w:ascii="Segoe UI Light" w:eastAsia="Segoe UI Light" w:hAnsi="Segoe UI Light" w:cs="Segoe UI Light"/>
                <w:sz w:val="18"/>
                <w:szCs w:val="18"/>
              </w:rPr>
            </w:pPr>
            <w:r w:rsidRPr="1919143D">
              <w:rPr>
                <w:rFonts w:ascii="Segoe UI Light" w:eastAsia="Segoe UI Light" w:hAnsi="Segoe UI Light" w:cs="Segoe UI Light"/>
                <w:sz w:val="18"/>
                <w:szCs w:val="18"/>
              </w:rPr>
              <w:t>0</w:t>
            </w:r>
            <w:r w:rsidR="00D76E43" w:rsidRPr="1919143D">
              <w:rPr>
                <w:rFonts w:ascii="Segoe UI Light" w:eastAsia="Segoe UI Light" w:hAnsi="Segoe UI Light" w:cs="Segoe UI Light"/>
                <w:sz w:val="18"/>
                <w:szCs w:val="18"/>
              </w:rPr>
              <w:t xml:space="preserve"> </w:t>
            </w:r>
            <w:r w:rsidR="00987E48" w:rsidRPr="1919143D">
              <w:rPr>
                <w:rFonts w:ascii="Segoe UI Light" w:eastAsia="Segoe UI Light" w:hAnsi="Segoe UI Light" w:cs="Segoe UI Light"/>
                <w:sz w:val="18"/>
                <w:szCs w:val="18"/>
              </w:rPr>
              <w:t>/ 1</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2018B21A" w14:textId="054CAD50" w:rsidR="00987E48" w:rsidRDefault="00B8214B" w:rsidP="00A2350F">
            <w:pPr>
              <w:rPr>
                <w:rFonts w:ascii="Segoe UI Light" w:eastAsia="Segoe UI Light" w:hAnsi="Segoe UI Light" w:cs="Segoe UI Light"/>
                <w:sz w:val="18"/>
                <w:szCs w:val="18"/>
              </w:rPr>
            </w:pPr>
            <w:r>
              <w:rPr>
                <w:rFonts w:ascii="Segoe UI Light" w:eastAsia="Times New Roman" w:hAnsi="Segoe UI Light" w:cs="Segoe UI Light"/>
                <w:sz w:val="18"/>
                <w:szCs w:val="18"/>
                <w:lang w:eastAsia="en-AU"/>
              </w:rPr>
              <w:t>$0.182m</w:t>
            </w:r>
            <w:r w:rsidR="00987E48" w:rsidRPr="2DCD0ED0">
              <w:rPr>
                <w:rFonts w:ascii="Segoe UI Light" w:eastAsia="Segoe UI Light" w:hAnsi="Segoe UI Light" w:cs="Segoe UI Light"/>
                <w:sz w:val="18"/>
                <w:szCs w:val="18"/>
              </w:rPr>
              <w:t xml:space="preserve"> </w:t>
            </w:r>
          </w:p>
        </w:tc>
      </w:tr>
    </w:tbl>
    <w:p w14:paraId="1DB5BA62" w14:textId="6D975D64" w:rsidR="006B3D88" w:rsidRDefault="006B3D88" w:rsidP="006B3D88">
      <w:pPr>
        <w:pStyle w:val="Heading2"/>
        <w:rPr>
          <w:rFonts w:ascii="Times New Roman" w:eastAsia="Times New Roman" w:hAnsi="Times New Roman" w:cs="Times New Roman"/>
          <w:color w:val="192D56"/>
        </w:rPr>
      </w:pPr>
      <w:bookmarkStart w:id="6" w:name="_Toc229664792"/>
      <w:bookmarkStart w:id="7" w:name="_Toc233729006"/>
      <w:r w:rsidRPr="2EB90531">
        <w:rPr>
          <w:rFonts w:ascii="Times New Roman" w:eastAsia="Times New Roman" w:hAnsi="Times New Roman" w:cs="Times New Roman"/>
          <w:color w:val="192D56"/>
        </w:rPr>
        <w:t xml:space="preserve">Department of </w:t>
      </w:r>
      <w:r w:rsidR="00B95C1F" w:rsidRPr="2EB90531">
        <w:rPr>
          <w:rFonts w:ascii="Times New Roman" w:eastAsia="Times New Roman" w:hAnsi="Times New Roman" w:cs="Times New Roman"/>
          <w:color w:val="192D56"/>
        </w:rPr>
        <w:t>Climate Change, Energy, the Environment and Water</w:t>
      </w:r>
      <w:bookmarkEnd w:id="6"/>
      <w:bookmarkEnd w:id="7"/>
    </w:p>
    <w:p w14:paraId="5FBBF500" w14:textId="796027B5" w:rsidR="006B3D88" w:rsidRDefault="006B3D88" w:rsidP="006B3D88">
      <w:pPr>
        <w:pStyle w:val="Caption"/>
      </w:pPr>
      <w:r>
        <w:t xml:space="preserve">Table </w:t>
      </w:r>
      <w:r w:rsidR="00931033">
        <w:t>3</w:t>
      </w:r>
      <w:r>
        <w:t xml:space="preserve">. </w:t>
      </w:r>
      <w:r w:rsidRPr="2DCD0ED0">
        <w:rPr>
          <w:rFonts w:eastAsia="Segoe UI" w:cs="Segoe UI"/>
          <w:sz w:val="21"/>
        </w:rPr>
        <w:t xml:space="preserve">Compliance summary: </w:t>
      </w:r>
      <w:r>
        <w:t xml:space="preserve"> </w:t>
      </w:r>
      <w:r w:rsidR="00A33F15" w:rsidRPr="00A33F15">
        <w:t>Department of Climate Change, Energy, the Environment and Water</w:t>
      </w:r>
    </w:p>
    <w:tbl>
      <w:tblPr>
        <w:tblStyle w:val="ListTable4-Accent1"/>
        <w:tblW w:w="9984" w:type="dxa"/>
        <w:tblInd w:w="-10" w:type="dxa"/>
        <w:tblLayout w:type="fixed"/>
        <w:tblLook w:val="0620" w:firstRow="1" w:lastRow="0" w:firstColumn="0" w:lastColumn="0" w:noHBand="1" w:noVBand="1"/>
      </w:tblPr>
      <w:tblGrid>
        <w:gridCol w:w="3053"/>
        <w:gridCol w:w="1366"/>
        <w:gridCol w:w="1695"/>
        <w:gridCol w:w="1936"/>
        <w:gridCol w:w="1934"/>
      </w:tblGrid>
      <w:tr w:rsidR="00FE10DB" w14:paraId="04A336DD" w14:textId="77777777" w:rsidTr="00DF0B7F">
        <w:trPr>
          <w:cnfStyle w:val="100000000000" w:firstRow="1" w:lastRow="0" w:firstColumn="0" w:lastColumn="0" w:oddVBand="0" w:evenVBand="0" w:oddHBand="0" w:evenHBand="0" w:firstRowFirstColumn="0" w:firstRowLastColumn="0" w:lastRowFirstColumn="0" w:lastRowLastColumn="0"/>
          <w:cantSplit/>
          <w:trHeight w:val="15"/>
          <w:tblHeader/>
        </w:trPr>
        <w:tc>
          <w:tcPr>
            <w:tcW w:w="305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8B2F211" w14:textId="77777777" w:rsidR="006B3D88" w:rsidRPr="00DF0B7F" w:rsidRDefault="006B3D88"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3FD53B0" w14:textId="77777777" w:rsidR="006B3D88" w:rsidRPr="00DF0B7F" w:rsidRDefault="006B3D88"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88054C9" w14:textId="77777777" w:rsidR="006B3D88" w:rsidRPr="00DF0B7F" w:rsidRDefault="006B3D88"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E4198A8" w14:textId="77777777" w:rsidR="006B3D88" w:rsidRPr="00DF0B7F" w:rsidRDefault="006B3D88"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58A45C3" w14:textId="77777777" w:rsidR="006B3D88" w:rsidRPr="00DF0B7F" w:rsidRDefault="006B3D88" w:rsidP="00C54281">
            <w:pPr>
              <w:jc w:val="center"/>
            </w:pPr>
            <w:r w:rsidRPr="00DF0B7F">
              <w:rPr>
                <w:rFonts w:ascii="Segoe UI" w:eastAsia="Segoe UI" w:hAnsi="Segoe UI" w:cs="Segoe UI"/>
                <w:sz w:val="18"/>
                <w:szCs w:val="18"/>
              </w:rPr>
              <w:t>Annual Regulatory Burden ($m)</w:t>
            </w:r>
          </w:p>
        </w:tc>
      </w:tr>
      <w:tr w:rsidR="00E12099" w14:paraId="72E50BC7" w14:textId="77777777" w:rsidTr="00DF0B7F">
        <w:trPr>
          <w:cantSplit/>
          <w:trHeight w:val="2317"/>
        </w:trPr>
        <w:tc>
          <w:tcPr>
            <w:tcW w:w="305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1A47E4B" w14:textId="30F02AF9" w:rsidR="00E12099" w:rsidRPr="00496D90" w:rsidRDefault="00E12099" w:rsidP="00E12099">
            <w:pPr>
              <w:spacing w:after="0"/>
              <w:rPr>
                <w:rFonts w:ascii="Segoe UI Light" w:eastAsia="Times New Roman" w:hAnsi="Segoe UI Light" w:cs="Segoe UI Light"/>
                <w:sz w:val="18"/>
                <w:szCs w:val="18"/>
                <w:lang w:eastAsia="en-AU"/>
              </w:rPr>
            </w:pPr>
            <w:r w:rsidRPr="00496D90">
              <w:rPr>
                <w:rFonts w:ascii="Segoe UI Light" w:eastAsia="Times New Roman" w:hAnsi="Segoe UI Light" w:cs="Segoe UI Light"/>
                <w:sz w:val="18"/>
                <w:szCs w:val="18"/>
                <w:lang w:eastAsia="en-AU"/>
              </w:rPr>
              <w:t xml:space="preserve">Certification of Final Report of the EPBC </w:t>
            </w:r>
            <w:r w:rsidRPr="009F305C">
              <w:rPr>
                <w:rFonts w:ascii="Segoe UI Light" w:eastAsia="Times New Roman" w:hAnsi="Segoe UI Light" w:cs="Segoe UI Light"/>
                <w:sz w:val="18"/>
                <w:szCs w:val="18"/>
                <w:lang w:eastAsia="en-AU"/>
              </w:rPr>
              <w:t>Act Review: Addendum 30 October 2025</w:t>
            </w:r>
            <w:r w:rsidR="0039495A" w:rsidRPr="00D2061B">
              <w:rPr>
                <w:rStyle w:val="FootnoteReference"/>
                <w:rFonts w:ascii="Segoe UI Light" w:eastAsia="Times New Roman" w:hAnsi="Segoe UI Light" w:cs="Segoe UI Light"/>
                <w:sz w:val="18"/>
                <w:szCs w:val="18"/>
                <w:lang w:eastAsia="en-AU"/>
              </w:rPr>
              <w:footnoteReference w:id="4"/>
            </w:r>
          </w:p>
          <w:p w14:paraId="047C7AC8" w14:textId="0E8DCA5B" w:rsidR="00E12099" w:rsidRDefault="00E12099" w:rsidP="00E12099">
            <w:pPr>
              <w:spacing w:after="0"/>
              <w:rPr>
                <w:rFonts w:ascii="Segoe UI Light" w:eastAsia="Times New Roman" w:hAnsi="Segoe UI Light" w:cs="Segoe UI Light"/>
                <w:sz w:val="18"/>
                <w:szCs w:val="18"/>
                <w:lang w:eastAsia="en-AU"/>
              </w:rPr>
            </w:pP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67EEA80" w14:textId="10E218AA" w:rsidR="00E12099" w:rsidRDefault="00FF07F7" w:rsidP="00E12099">
            <w:r>
              <w:rPr>
                <w:rFonts w:ascii="Segoe UI Light" w:eastAsia="Segoe UI Light" w:hAnsi="Segoe UI Light" w:cs="Segoe UI Light"/>
                <w:sz w:val="18"/>
                <w:szCs w:val="18"/>
              </w:rPr>
              <w: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DF711E8" w14:textId="2ABA82B1" w:rsidR="00E12099" w:rsidRDefault="00E12099" w:rsidP="00E12099">
            <w:r w:rsidRPr="00496D90">
              <w:rPr>
                <w:rFonts w:ascii="Segoe UI Light" w:eastAsia="Times New Roman" w:hAnsi="Segoe UI Light" w:cs="Segoe UI Light"/>
                <w:sz w:val="18"/>
                <w:szCs w:val="18"/>
                <w:lang w:eastAsia="en-AU"/>
              </w:rPr>
              <w:t>Addendum</w:t>
            </w:r>
            <w:r w:rsidRPr="1749066B">
              <w:rPr>
                <w:rFonts w:ascii="Segoe UI Light" w:eastAsia="Segoe UI Light" w:hAnsi="Segoe UI Light" w:cs="Segoe UI Light"/>
                <w:sz w:val="18"/>
                <w:szCs w:val="18"/>
              </w:rPr>
              <w:t xml:space="preserve"> </w:t>
            </w:r>
            <w:r>
              <w:rPr>
                <w:rFonts w:ascii="Segoe UI Light" w:eastAsia="Segoe UI Light" w:hAnsi="Segoe UI Light" w:cs="Segoe UI Light"/>
                <w:sz w:val="18"/>
                <w:szCs w:val="18"/>
              </w:rPr>
              <w:t xml:space="preserve">to </w:t>
            </w:r>
            <w:r w:rsidRPr="1749066B">
              <w:rPr>
                <w:rFonts w:ascii="Segoe UI Light" w:eastAsia="Segoe UI Light" w:hAnsi="Segoe UI Light" w:cs="Segoe UI Light"/>
                <w:sz w:val="18"/>
                <w:szCs w:val="18"/>
              </w:rPr>
              <w:t>Impact Analysis Equivalent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A76D037" w14:textId="756CC2F9" w:rsidR="00E12099" w:rsidRDefault="00FF07F7" w:rsidP="00E12099">
            <w:r>
              <w:rPr>
                <w:rFonts w:ascii="Segoe UI Light" w:eastAsia="Segoe UI Light" w:hAnsi="Segoe UI Light" w:cs="Segoe UI Light"/>
                <w:sz w:val="18"/>
                <w:szCs w:val="18"/>
              </w:rPr>
              <w:t>-</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B1EAD24" w14:textId="1733DE1A" w:rsidR="00E12099" w:rsidRDefault="009240A7" w:rsidP="00E12099">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A</w:t>
            </w:r>
            <w:r w:rsidRPr="009240A7">
              <w:rPr>
                <w:rFonts w:ascii="Segoe UI Light" w:eastAsia="Times New Roman" w:hAnsi="Segoe UI Light" w:cs="Segoe UI Light"/>
                <w:sz w:val="18"/>
                <w:szCs w:val="18"/>
                <w:lang w:eastAsia="en-AU"/>
              </w:rPr>
              <w:t xml:space="preserve">nnual reduction in regulatory burden attributable to reduced delays costs </w:t>
            </w:r>
            <w:r w:rsidR="001435E4">
              <w:rPr>
                <w:rFonts w:ascii="Segoe UI Light" w:eastAsia="Times New Roman" w:hAnsi="Segoe UI Light" w:cs="Segoe UI Light"/>
                <w:sz w:val="18"/>
                <w:szCs w:val="18"/>
                <w:lang w:eastAsia="en-AU"/>
              </w:rPr>
              <w:t xml:space="preserve">is estimated </w:t>
            </w:r>
            <w:r w:rsidRPr="009240A7">
              <w:rPr>
                <w:rFonts w:ascii="Segoe UI Light" w:eastAsia="Times New Roman" w:hAnsi="Segoe UI Light" w:cs="Segoe UI Light"/>
                <w:sz w:val="18"/>
                <w:szCs w:val="18"/>
                <w:lang w:eastAsia="en-AU"/>
              </w:rPr>
              <w:t>to be between $0.45 to $6.9</w:t>
            </w:r>
            <w:r w:rsidR="001435E4">
              <w:rPr>
                <w:rFonts w:ascii="Segoe UI Light" w:eastAsia="Times New Roman" w:hAnsi="Segoe UI Light" w:cs="Segoe UI Light"/>
                <w:sz w:val="18"/>
                <w:szCs w:val="18"/>
                <w:lang w:eastAsia="en-AU"/>
              </w:rPr>
              <w:t> </w:t>
            </w:r>
            <w:r w:rsidRPr="009240A7">
              <w:rPr>
                <w:rFonts w:ascii="Segoe UI Light" w:eastAsia="Times New Roman" w:hAnsi="Segoe UI Light" w:cs="Segoe UI Light"/>
                <w:sz w:val="18"/>
                <w:szCs w:val="18"/>
                <w:lang w:eastAsia="en-AU"/>
              </w:rPr>
              <w:t>billion per annum, with a middle estimate of $3.0 billion.</w:t>
            </w:r>
          </w:p>
        </w:tc>
      </w:tr>
      <w:tr w:rsidR="46F1191C" w14:paraId="592482C4" w14:textId="77777777" w:rsidTr="00DF0B7F">
        <w:trPr>
          <w:cantSplit/>
          <w:trHeight w:val="15"/>
        </w:trPr>
        <w:tc>
          <w:tcPr>
            <w:tcW w:w="305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0BC9794" w14:textId="75E56149" w:rsidR="46F1191C" w:rsidRDefault="46F1191C">
            <w:pPr>
              <w:rPr>
                <w:rFonts w:ascii="Segoe UI Light" w:eastAsia="Times New Roman" w:hAnsi="Segoe UI Light" w:cs="Segoe UI Light"/>
                <w:color w:val="000000" w:themeColor="text1"/>
                <w:sz w:val="18"/>
                <w:szCs w:val="18"/>
              </w:rPr>
            </w:pPr>
            <w:r w:rsidRPr="46F1191C">
              <w:rPr>
                <w:rFonts w:ascii="Segoe UI Light" w:eastAsia="Times New Roman" w:hAnsi="Segoe UI Light" w:cs="Segoe UI Light"/>
                <w:color w:val="000000" w:themeColor="text1"/>
                <w:sz w:val="18"/>
                <w:szCs w:val="18"/>
              </w:rPr>
              <w:t>Improving the water efficiency of commercial ice makers under the Water Efficiency Labelling and Standards (WELS) scheme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E26C869" w14:textId="2B5F0DAD" w:rsidR="46F1191C" w:rsidRDefault="00885848" w:rsidP="46F1191C">
            <w:pPr>
              <w:rPr>
                <w:rFonts w:ascii="Segoe UI Light" w:eastAsia="Segoe UI Light" w:hAnsi="Segoe UI Light" w:cs="Segoe UI Light"/>
                <w:sz w:val="18"/>
                <w:szCs w:val="18"/>
              </w:rPr>
            </w:pPr>
            <w:r>
              <w:rPr>
                <w:rFonts w:ascii="Segoe UI Light" w:eastAsia="Segoe UI Light" w:hAnsi="Segoe UI Light" w:cs="Segoe UI Light"/>
                <w:sz w:val="18"/>
                <w:szCs w:val="18"/>
              </w:rPr>
              <w:t>Complaint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FEE1C0A" w14:textId="40941CF4" w:rsidR="46F1191C" w:rsidRDefault="00885848" w:rsidP="46F1191C">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Exemplary</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9DD9BA7" w14:textId="2CC0C9A2" w:rsidR="46F1191C" w:rsidRDefault="00885848" w:rsidP="46F1191C">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1B3A68A" w14:textId="191A6C49" w:rsidR="46F1191C" w:rsidRDefault="000A1F3D" w:rsidP="46F1191C">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$0.083</w:t>
            </w:r>
            <w:r w:rsidR="00A76D68">
              <w:rPr>
                <w:rFonts w:ascii="Segoe UI Light" w:eastAsia="Times New Roman" w:hAnsi="Segoe UI Light" w:cs="Segoe UI Light"/>
                <w:sz w:val="18"/>
                <w:szCs w:val="18"/>
                <w:lang w:eastAsia="en-AU"/>
              </w:rPr>
              <w:t>m</w:t>
            </w:r>
          </w:p>
        </w:tc>
      </w:tr>
      <w:tr w:rsidR="002942E4" w14:paraId="50AED3E6" w14:textId="77777777" w:rsidTr="00DF0B7F">
        <w:trPr>
          <w:cantSplit/>
          <w:trHeight w:val="15"/>
        </w:trPr>
        <w:tc>
          <w:tcPr>
            <w:tcW w:w="305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7A9255C" w14:textId="4CD2DCBA" w:rsidR="002942E4" w:rsidRPr="46F1191C" w:rsidRDefault="002942E4">
            <w:pPr>
              <w:rPr>
                <w:rFonts w:ascii="Segoe UI Light" w:eastAsia="Times New Roman" w:hAnsi="Segoe UI Light" w:cs="Segoe UI Light"/>
                <w:color w:val="000000" w:themeColor="text1"/>
                <w:sz w:val="18"/>
                <w:szCs w:val="18"/>
              </w:rPr>
            </w:pPr>
            <w:r w:rsidRPr="002942E4">
              <w:rPr>
                <w:rFonts w:ascii="Segoe UI Light" w:eastAsia="Times New Roman" w:hAnsi="Segoe UI Light" w:cs="Segoe UI Light"/>
                <w:color w:val="000000" w:themeColor="text1"/>
                <w:sz w:val="18"/>
                <w:szCs w:val="18"/>
              </w:rPr>
              <w:t>Options to Provide Solar Sharer Offer</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F0AEFEC" w14:textId="6EF564FE" w:rsidR="002942E4" w:rsidRDefault="002942E4" w:rsidP="46F1191C">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1A2FEBD" w14:textId="11AAD711" w:rsidR="002942E4" w:rsidRDefault="002942E4" w:rsidP="46F1191C">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5134F81" w14:textId="2DCE9337" w:rsidR="002942E4" w:rsidRDefault="002942E4" w:rsidP="46F1191C">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0DE0692" w14:textId="4DD54062" w:rsidR="002942E4" w:rsidRDefault="002942E4" w:rsidP="46F1191C">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$1.34m</w:t>
            </w:r>
          </w:p>
        </w:tc>
      </w:tr>
      <w:tr w:rsidR="00FE10DB" w14:paraId="5596B52C" w14:textId="77777777" w:rsidTr="00DF0B7F">
        <w:trPr>
          <w:cantSplit/>
          <w:trHeight w:val="300"/>
        </w:trPr>
        <w:tc>
          <w:tcPr>
            <w:tcW w:w="305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5801B8FE" w14:textId="77777777" w:rsidR="00E12099" w:rsidRDefault="00E12099" w:rsidP="00E12099">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5522D119" w14:textId="2C65296D" w:rsidR="00E12099" w:rsidRDefault="005B683A" w:rsidP="00E12099">
            <w:pPr>
              <w:rPr>
                <w:rFonts w:ascii="Segoe UI Light" w:eastAsia="Segoe UI Light" w:hAnsi="Segoe UI Light" w:cs="Segoe UI Light"/>
                <w:sz w:val="18"/>
                <w:szCs w:val="18"/>
              </w:rPr>
            </w:pPr>
            <w:r>
              <w:rPr>
                <w:rFonts w:ascii="Segoe UI Light" w:eastAsia="Segoe UI Light" w:hAnsi="Segoe UI Light" w:cs="Segoe UI Light"/>
                <w:sz w:val="18"/>
                <w:szCs w:val="18"/>
              </w:rPr>
              <w:t>2</w:t>
            </w:r>
            <w:r w:rsidR="00E12099" w:rsidRPr="2DCD0ED0">
              <w:rPr>
                <w:rFonts w:ascii="Segoe UI Light" w:eastAsia="Segoe UI Light" w:hAnsi="Segoe UI Light" w:cs="Segoe UI Light"/>
                <w:sz w:val="18"/>
                <w:szCs w:val="18"/>
              </w:rPr>
              <w:t xml:space="preserve"> / </w:t>
            </w:r>
            <w:r>
              <w:rPr>
                <w:rFonts w:ascii="Segoe UI Light" w:eastAsia="Segoe UI Light" w:hAnsi="Segoe UI Light" w:cs="Segoe UI Light"/>
                <w:sz w:val="18"/>
                <w:szCs w:val="18"/>
              </w:rPr>
              <w:t>2</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3BC8A58" w14:textId="77777777" w:rsidR="00E12099" w:rsidRDefault="00E12099" w:rsidP="00E12099">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631418C6" w14:textId="031B03BF" w:rsidR="00E12099" w:rsidRDefault="00706BAD" w:rsidP="00E12099">
            <w:pPr>
              <w:rPr>
                <w:rFonts w:ascii="Segoe UI Light" w:eastAsia="Segoe UI Light" w:hAnsi="Segoe UI Light" w:cs="Segoe UI Light"/>
                <w:sz w:val="18"/>
                <w:szCs w:val="18"/>
              </w:rPr>
            </w:pPr>
            <w:r>
              <w:rPr>
                <w:rFonts w:ascii="Segoe UI Light" w:eastAsia="Segoe UI Light" w:hAnsi="Segoe UI Light" w:cs="Segoe UI Light"/>
                <w:sz w:val="18"/>
                <w:szCs w:val="18"/>
              </w:rPr>
              <w:t>0</w:t>
            </w:r>
            <w:r w:rsidR="00E12099" w:rsidRPr="2DCD0ED0">
              <w:rPr>
                <w:rFonts w:ascii="Segoe UI Light" w:eastAsia="Segoe UI Light" w:hAnsi="Segoe UI Light" w:cs="Segoe UI Light"/>
                <w:sz w:val="18"/>
                <w:szCs w:val="18"/>
              </w:rPr>
              <w:t xml:space="preserve"> / </w:t>
            </w:r>
            <w:r w:rsidR="005B683A">
              <w:rPr>
                <w:rFonts w:ascii="Segoe UI Light" w:eastAsia="Segoe UI Light" w:hAnsi="Segoe UI Light" w:cs="Segoe UI Light"/>
                <w:sz w:val="18"/>
                <w:szCs w:val="18"/>
              </w:rPr>
              <w:t>2</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50756B9" w14:textId="7B9F04A7" w:rsidR="00E12099" w:rsidRDefault="005D1B7F" w:rsidP="00E12099">
            <w:pPr>
              <w:rPr>
                <w:rFonts w:ascii="Segoe UI Light" w:eastAsia="Segoe UI Light" w:hAnsi="Segoe UI Light" w:cs="Segoe UI Light"/>
                <w:sz w:val="18"/>
                <w:szCs w:val="18"/>
              </w:rPr>
            </w:pPr>
            <w:r>
              <w:rPr>
                <w:rFonts w:ascii="Segoe UI Light" w:eastAsia="Times New Roman" w:hAnsi="Segoe UI Light" w:cs="Segoe UI Light"/>
                <w:sz w:val="18"/>
                <w:szCs w:val="18"/>
                <w:lang w:eastAsia="en-AU"/>
              </w:rPr>
              <w:t>$</w:t>
            </w:r>
            <w:r w:rsidR="002942E4">
              <w:rPr>
                <w:rFonts w:ascii="Segoe UI Light" w:eastAsia="Times New Roman" w:hAnsi="Segoe UI Light" w:cs="Segoe UI Light"/>
                <w:sz w:val="18"/>
                <w:szCs w:val="18"/>
                <w:lang w:eastAsia="en-AU"/>
              </w:rPr>
              <w:t>1.423</w:t>
            </w:r>
            <w:r w:rsidR="00DB5D23">
              <w:rPr>
                <w:rFonts w:ascii="Segoe UI Light" w:eastAsia="Times New Roman" w:hAnsi="Segoe UI Light" w:cs="Segoe UI Light"/>
                <w:sz w:val="18"/>
                <w:szCs w:val="18"/>
                <w:lang w:eastAsia="en-AU"/>
              </w:rPr>
              <w:t>m</w:t>
            </w:r>
          </w:p>
        </w:tc>
      </w:tr>
    </w:tbl>
    <w:p w14:paraId="4F638BCD" w14:textId="77777777" w:rsidR="00D22AFA" w:rsidRDefault="00D22AFA" w:rsidP="00D22AFA"/>
    <w:p w14:paraId="2061B83E" w14:textId="77777777" w:rsidR="00D22AFA" w:rsidRDefault="00D22AFA" w:rsidP="00D22AFA">
      <w:pPr>
        <w:pStyle w:val="Heading2"/>
        <w:rPr>
          <w:rFonts w:ascii="Times New Roman" w:eastAsia="Times New Roman" w:hAnsi="Times New Roman" w:cs="Times New Roman"/>
          <w:color w:val="192D56"/>
        </w:rPr>
      </w:pPr>
      <w:bookmarkStart w:id="8" w:name="_Toc229664793"/>
      <w:bookmarkStart w:id="9" w:name="_Toc233729007"/>
      <w:r w:rsidRPr="2EB90531">
        <w:rPr>
          <w:rFonts w:ascii="Times New Roman" w:eastAsia="Times New Roman" w:hAnsi="Times New Roman" w:cs="Times New Roman"/>
          <w:color w:val="192D56"/>
        </w:rPr>
        <w:t>Department of Education</w:t>
      </w:r>
      <w:bookmarkEnd w:id="8"/>
      <w:bookmarkEnd w:id="9"/>
    </w:p>
    <w:p w14:paraId="5FE5EF2C" w14:textId="2E7A332C" w:rsidR="00D22AFA" w:rsidRDefault="00D22AFA" w:rsidP="00D22AFA">
      <w:pPr>
        <w:pStyle w:val="Caption"/>
      </w:pPr>
      <w:r>
        <w:t xml:space="preserve">Table </w:t>
      </w:r>
      <w:r w:rsidR="00CA042B">
        <w:t>4</w:t>
      </w:r>
      <w:r w:rsidR="00617225">
        <w:t>.</w:t>
      </w:r>
      <w:r>
        <w:t xml:space="preserve"> </w:t>
      </w:r>
      <w:r w:rsidRPr="2DCD0ED0">
        <w:rPr>
          <w:rFonts w:eastAsia="Segoe UI" w:cs="Segoe UI"/>
          <w:sz w:val="21"/>
        </w:rPr>
        <w:t xml:space="preserve">Compliance summary: </w:t>
      </w:r>
      <w:r>
        <w:t xml:space="preserve"> Department of Education</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D22AFA" w14:paraId="00640205" w14:textId="77777777" w:rsidTr="374995B0">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3156439" w14:textId="77777777" w:rsidR="00D22AFA" w:rsidRPr="00DF0B7F" w:rsidRDefault="00D22AFA"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36B28E23" w14:textId="77777777" w:rsidR="00D22AFA" w:rsidRPr="00DF0B7F" w:rsidRDefault="00D22AFA"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B03ADBA" w14:textId="77777777" w:rsidR="00D22AFA" w:rsidRPr="00DF0B7F" w:rsidRDefault="00D22AFA"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572CB0AE" w14:textId="77777777" w:rsidR="00D22AFA" w:rsidRPr="00DF0B7F" w:rsidRDefault="00D22AFA"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882E3A4" w14:textId="77777777" w:rsidR="00D22AFA" w:rsidRPr="00DF0B7F" w:rsidRDefault="00D22AFA" w:rsidP="00C54281">
            <w:pPr>
              <w:jc w:val="center"/>
            </w:pPr>
            <w:r w:rsidRPr="00DF0B7F">
              <w:rPr>
                <w:rFonts w:ascii="Segoe UI" w:eastAsia="Segoe UI" w:hAnsi="Segoe UI" w:cs="Segoe UI"/>
                <w:sz w:val="18"/>
                <w:szCs w:val="18"/>
              </w:rPr>
              <w:t>Annual Regulatory Burden ($m)</w:t>
            </w:r>
          </w:p>
        </w:tc>
      </w:tr>
      <w:tr w:rsidR="00D22AFA" w14:paraId="10308E8F" w14:textId="77777777" w:rsidTr="374995B0">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7AE1B76" w14:textId="77777777" w:rsidR="00D22AFA" w:rsidRDefault="00D22AFA" w:rsidP="00A2350F">
            <w:pPr>
              <w:spacing w:after="0"/>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National Higher Education Code to Prevent and respond to Gender-based Violence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D6046B4" w14:textId="77777777" w:rsidR="00D22AFA" w:rsidRDefault="00D22AFA" w:rsidP="00A2350F">
            <w:r w:rsidRPr="2DCD0ED0">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1851827" w14:textId="77777777" w:rsidR="00D22AFA" w:rsidRDefault="00D22AFA" w:rsidP="00A2350F">
            <w:r w:rsidRPr="2DCD0ED0">
              <w:rPr>
                <w:rFonts w:ascii="Segoe UI Light" w:eastAsia="Segoe UI Light" w:hAnsi="Segoe UI Light" w:cs="Segoe UI Light"/>
                <w:sz w:val="18"/>
                <w:szCs w:val="18"/>
              </w:rPr>
              <w:t>Good Practice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9FC5503" w14:textId="77777777" w:rsidR="00D22AFA" w:rsidRDefault="00D22AFA" w:rsidP="00A2350F">
            <w:r w:rsidRPr="2DCD0ED0">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0560CA9" w14:textId="77777777" w:rsidR="00D22AFA" w:rsidRDefault="00D22AFA" w:rsidP="00A2350F">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$173.2m</w:t>
            </w:r>
          </w:p>
        </w:tc>
      </w:tr>
      <w:tr w:rsidR="00D22AFA" w14:paraId="6EFE7A12" w14:textId="77777777" w:rsidTr="374995B0">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1D9AB4A" w14:textId="77777777" w:rsidR="00D22AFA" w:rsidRPr="2DCD0ED0" w:rsidRDefault="00D22AFA" w:rsidP="00A2350F">
            <w:pPr>
              <w:spacing w:after="0"/>
              <w:rPr>
                <w:rFonts w:ascii="Segoe UI Light" w:eastAsia="Times New Roman" w:hAnsi="Segoe UI Light" w:cs="Segoe UI Light"/>
                <w:sz w:val="18"/>
                <w:szCs w:val="18"/>
                <w:lang w:eastAsia="en-AU"/>
              </w:rPr>
            </w:pPr>
            <w:r w:rsidRPr="00727ECB">
              <w:rPr>
                <w:rFonts w:ascii="Segoe UI Light" w:eastAsia="Times New Roman" w:hAnsi="Segoe UI Light" w:cs="Segoe UI Light"/>
                <w:sz w:val="18"/>
                <w:szCs w:val="18"/>
                <w:lang w:eastAsia="en-AU"/>
              </w:rPr>
              <w:t>Disability Standards for Education 2005 Amendments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68CF739" w14:textId="77777777" w:rsidR="00D22AFA" w:rsidRPr="2DCD0ED0" w:rsidRDefault="00D22AFA"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8F5082B" w14:textId="77777777" w:rsidR="00D22AFA" w:rsidRPr="2DCD0ED0" w:rsidRDefault="00D22AFA"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Impact Analysis Equivalent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B4737E2" w14:textId="77777777" w:rsidR="00D22AFA" w:rsidRPr="2DCD0ED0" w:rsidRDefault="00D22AFA"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6379FE9" w14:textId="70E26342" w:rsidR="00D22AFA" w:rsidRPr="00440352" w:rsidRDefault="005006CF" w:rsidP="00A2350F">
            <w:pPr>
              <w:rPr>
                <w:rFonts w:ascii="Segoe UI Light" w:eastAsia="Times New Roman" w:hAnsi="Segoe UI Light" w:cs="Segoe UI Light"/>
                <w:sz w:val="18"/>
                <w:szCs w:val="18"/>
                <w:highlight w:val="yellow"/>
                <w:lang w:eastAsia="en-AU"/>
              </w:rPr>
            </w:pPr>
            <w:r>
              <w:rPr>
                <w:rFonts w:ascii="Segoe UI Light" w:eastAsia="Times New Roman" w:hAnsi="Segoe UI Light" w:cs="Segoe UI Light"/>
                <w:sz w:val="18"/>
                <w:szCs w:val="18"/>
                <w:lang w:eastAsia="en-AU"/>
              </w:rPr>
              <w:t>Estimated r</w:t>
            </w:r>
            <w:r w:rsidR="00273571" w:rsidRPr="00273571">
              <w:rPr>
                <w:rFonts w:ascii="Segoe UI Light" w:eastAsia="Times New Roman" w:hAnsi="Segoe UI Light" w:cs="Segoe UI Light"/>
                <w:sz w:val="18"/>
                <w:szCs w:val="18"/>
                <w:lang w:eastAsia="en-AU"/>
              </w:rPr>
              <w:t>egulatory cost of $32.45</w:t>
            </w:r>
            <w:r w:rsidR="00BD5363">
              <w:rPr>
                <w:rFonts w:ascii="Segoe UI Light" w:eastAsia="Times New Roman" w:hAnsi="Segoe UI Light" w:cs="Segoe UI Light"/>
                <w:sz w:val="18"/>
                <w:szCs w:val="18"/>
                <w:lang w:eastAsia="en-AU"/>
              </w:rPr>
              <w:t xml:space="preserve">m </w:t>
            </w:r>
            <w:r w:rsidR="00273571" w:rsidRPr="00273571">
              <w:rPr>
                <w:rFonts w:ascii="Segoe UI Light" w:eastAsia="Times New Roman" w:hAnsi="Segoe UI Light" w:cs="Segoe UI Light"/>
                <w:sz w:val="18"/>
                <w:szCs w:val="18"/>
                <w:lang w:eastAsia="en-AU"/>
              </w:rPr>
              <w:t>in the first year only</w:t>
            </w:r>
            <w:r w:rsidR="00BD5363">
              <w:rPr>
                <w:rStyle w:val="FootnoteReference"/>
                <w:rFonts w:ascii="Segoe UI Light" w:eastAsia="Times New Roman" w:hAnsi="Segoe UI Light" w:cs="Segoe UI Light"/>
                <w:sz w:val="18"/>
                <w:szCs w:val="18"/>
                <w:lang w:eastAsia="en-AU"/>
              </w:rPr>
              <w:footnoteReference w:id="5"/>
            </w:r>
          </w:p>
        </w:tc>
      </w:tr>
      <w:tr w:rsidR="005B683A" w14:paraId="4A89E299" w14:textId="77777777" w:rsidTr="374995B0">
        <w:trPr>
          <w:cantSplit/>
          <w:trHeight w:val="510"/>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641BE50" w14:textId="16B84498" w:rsidR="005B683A" w:rsidRPr="00727ECB" w:rsidRDefault="005B683A" w:rsidP="00A2350F">
            <w:pPr>
              <w:spacing w:after="0"/>
              <w:rPr>
                <w:rFonts w:ascii="Segoe UI Light" w:eastAsia="Times New Roman" w:hAnsi="Segoe UI Light" w:cs="Segoe UI Light"/>
                <w:sz w:val="18"/>
                <w:szCs w:val="18"/>
                <w:lang w:eastAsia="en-AU"/>
              </w:rPr>
            </w:pPr>
            <w:r w:rsidRPr="005B683A">
              <w:rPr>
                <w:rFonts w:ascii="Segoe UI Light" w:eastAsia="Times New Roman" w:hAnsi="Segoe UI Light" w:cs="Segoe UI Light"/>
                <w:sz w:val="18"/>
                <w:szCs w:val="18"/>
                <w:lang w:eastAsia="en-AU"/>
              </w:rPr>
              <w:t>Early Childhood Education and Care Worker Retention Payment</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32EA588" w14:textId="037CDD49" w:rsidR="005B683A" w:rsidRDefault="005B683A"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F911B29" w14:textId="2586178B" w:rsidR="005B683A" w:rsidRDefault="005B683A"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Good Practice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CCBDC0C" w14:textId="6522CEEE" w:rsidR="005B683A" w:rsidRPr="00E747F7" w:rsidRDefault="005B683A" w:rsidP="00A2350F">
            <w:pPr>
              <w:rPr>
                <w:rFonts w:ascii="Segoe UI Light" w:eastAsia="Segoe UI Light" w:hAnsi="Segoe UI Light" w:cs="Segoe UI Light"/>
                <w:sz w:val="18"/>
                <w:szCs w:val="18"/>
              </w:rPr>
            </w:pPr>
            <w:r w:rsidRPr="00E747F7">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3C57E45" w14:textId="148E355D" w:rsidR="005B683A" w:rsidRPr="00E747F7" w:rsidRDefault="005B683A" w:rsidP="00A2350F">
            <w:pPr>
              <w:rPr>
                <w:rFonts w:ascii="Segoe UI Light" w:eastAsia="Times New Roman" w:hAnsi="Segoe UI Light" w:cs="Segoe UI Light"/>
                <w:sz w:val="18"/>
                <w:szCs w:val="18"/>
                <w:lang w:eastAsia="en-AU"/>
              </w:rPr>
            </w:pPr>
            <w:r w:rsidRPr="00E747F7">
              <w:rPr>
                <w:rFonts w:ascii="Segoe UI Light" w:eastAsia="Times New Roman" w:hAnsi="Segoe UI Light" w:cs="Segoe UI Light"/>
                <w:sz w:val="18"/>
                <w:szCs w:val="18"/>
                <w:lang w:eastAsia="en-AU"/>
              </w:rPr>
              <w:t>$46.8m</w:t>
            </w:r>
            <w:r w:rsidR="008233CC" w:rsidRPr="00E747F7">
              <w:rPr>
                <w:rFonts w:ascii="Segoe UI Light" w:eastAsia="Times New Roman" w:hAnsi="Segoe UI Light" w:cs="Segoe UI Light"/>
                <w:sz w:val="18"/>
                <w:szCs w:val="18"/>
                <w:lang w:eastAsia="en-AU"/>
              </w:rPr>
              <w:t>, over three years</w:t>
            </w:r>
          </w:p>
        </w:tc>
      </w:tr>
      <w:tr w:rsidR="007C0DCF" w14:paraId="7DEF6B40" w14:textId="77777777" w:rsidTr="374995B0">
        <w:trPr>
          <w:cantSplit/>
          <w:trHeight w:val="510"/>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A823757" w14:textId="653DAA98" w:rsidR="0082445A" w:rsidRPr="0082445A" w:rsidRDefault="00A02BA0" w:rsidP="0082445A">
            <w:pPr>
              <w:spacing w:after="0"/>
              <w:rPr>
                <w:rFonts w:ascii="Segoe UI Light" w:eastAsia="Times New Roman" w:hAnsi="Segoe UI Light" w:cs="Segoe UI Light"/>
                <w:sz w:val="18"/>
                <w:szCs w:val="18"/>
                <w:lang w:eastAsia="en-AU"/>
              </w:rPr>
            </w:pPr>
            <w:r w:rsidRPr="00A02BA0">
              <w:rPr>
                <w:rFonts w:ascii="Segoe UI Light" w:eastAsia="Times New Roman" w:hAnsi="Segoe UI Light" w:cs="Segoe UI Light"/>
                <w:sz w:val="18"/>
                <w:szCs w:val="18"/>
                <w:lang w:eastAsia="en-AU"/>
              </w:rPr>
              <w:t>Addendum</w:t>
            </w:r>
            <w:r>
              <w:rPr>
                <w:rFonts w:ascii="Segoe UI Light" w:eastAsia="Times New Roman" w:hAnsi="Segoe UI Light" w:cs="Segoe UI Light"/>
                <w:sz w:val="18"/>
                <w:szCs w:val="18"/>
                <w:lang w:eastAsia="en-AU"/>
              </w:rPr>
              <w:t xml:space="preserve"> - </w:t>
            </w:r>
            <w:r w:rsidR="0082445A" w:rsidRPr="0082445A">
              <w:rPr>
                <w:rFonts w:ascii="Segoe UI Light" w:eastAsia="Times New Roman" w:hAnsi="Segoe UI Light" w:cs="Segoe UI Light"/>
                <w:sz w:val="18"/>
                <w:szCs w:val="18"/>
                <w:lang w:eastAsia="en-AU"/>
              </w:rPr>
              <w:t>Prohibiting agent commissions for onshore transfers</w:t>
            </w:r>
            <w:r w:rsidR="0082445A" w:rsidRPr="00D2061B">
              <w:rPr>
                <w:rStyle w:val="FootnoteReference"/>
                <w:rFonts w:ascii="Segoe UI Light" w:eastAsia="Times New Roman" w:hAnsi="Segoe UI Light" w:cs="Segoe UI Light"/>
                <w:sz w:val="18"/>
                <w:szCs w:val="18"/>
                <w:lang w:eastAsia="en-AU"/>
              </w:rPr>
              <w:footnoteReference w:id="6"/>
            </w:r>
          </w:p>
          <w:p w14:paraId="4FD25F7E" w14:textId="77777777" w:rsidR="007C0DCF" w:rsidRPr="005B683A" w:rsidRDefault="007C0DCF" w:rsidP="00A2350F">
            <w:pPr>
              <w:spacing w:after="0"/>
              <w:rPr>
                <w:rFonts w:ascii="Segoe UI Light" w:eastAsia="Times New Roman" w:hAnsi="Segoe UI Light" w:cs="Segoe UI Light"/>
                <w:sz w:val="18"/>
                <w:szCs w:val="18"/>
                <w:lang w:eastAsia="en-AU"/>
              </w:rPr>
            </w:pP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4A6401C" w14:textId="14A66EBE" w:rsidR="007C0DCF" w:rsidRDefault="00ED4E9D"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8F65C20" w14:textId="66048CA0" w:rsidR="007C0DCF" w:rsidRDefault="00ED4E9D" w:rsidP="00A2350F">
            <w:pPr>
              <w:rPr>
                <w:rFonts w:ascii="Segoe UI Light" w:eastAsia="Segoe UI Light" w:hAnsi="Segoe UI Light" w:cs="Segoe UI Light"/>
                <w:sz w:val="18"/>
                <w:szCs w:val="18"/>
              </w:rPr>
            </w:pPr>
            <w:r w:rsidRPr="00496D90">
              <w:rPr>
                <w:rFonts w:ascii="Segoe UI Light" w:eastAsia="Times New Roman" w:hAnsi="Segoe UI Light" w:cs="Segoe UI Light"/>
                <w:sz w:val="18"/>
                <w:szCs w:val="18"/>
                <w:lang w:eastAsia="en-AU"/>
              </w:rPr>
              <w:t>Addendum</w:t>
            </w:r>
            <w:r w:rsidRPr="1749066B">
              <w:rPr>
                <w:rFonts w:ascii="Segoe UI Light" w:eastAsia="Segoe UI Light" w:hAnsi="Segoe UI Light" w:cs="Segoe UI Light"/>
                <w:sz w:val="18"/>
                <w:szCs w:val="18"/>
              </w:rPr>
              <w:t xml:space="preserve"> </w:t>
            </w:r>
            <w:r>
              <w:rPr>
                <w:rFonts w:ascii="Segoe UI Light" w:eastAsia="Segoe UI Light" w:hAnsi="Segoe UI Light" w:cs="Segoe UI Light"/>
                <w:sz w:val="18"/>
                <w:szCs w:val="18"/>
              </w:rPr>
              <w:t xml:space="preserve">to </w:t>
            </w:r>
            <w:r w:rsidRPr="1749066B">
              <w:rPr>
                <w:rFonts w:ascii="Segoe UI Light" w:eastAsia="Segoe UI Light" w:hAnsi="Segoe UI Light" w:cs="Segoe UI Light"/>
                <w:sz w:val="18"/>
                <w:szCs w:val="18"/>
              </w:rPr>
              <w:t xml:space="preserve">Impact Analysis </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E38E4F4" w14:textId="3C7F85AF" w:rsidR="007C0DCF" w:rsidRDefault="00ED4E9D"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7B460BA" w14:textId="189F7D59" w:rsidR="007C0DCF" w:rsidRPr="00E747F7" w:rsidRDefault="00E52B25" w:rsidP="00A2350F">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w:t>
            </w:r>
            <w:r w:rsidR="00797853">
              <w:rPr>
                <w:rFonts w:ascii="Segoe UI Light" w:eastAsia="Times New Roman" w:hAnsi="Segoe UI Light" w:cs="Segoe UI Light"/>
                <w:sz w:val="18"/>
                <w:szCs w:val="18"/>
                <w:lang w:eastAsia="en-AU"/>
              </w:rPr>
              <w:t>9.18m</w:t>
            </w:r>
          </w:p>
        </w:tc>
      </w:tr>
      <w:tr w:rsidR="00AD45B9" w14:paraId="73B68B3A" w14:textId="77777777" w:rsidTr="374995B0">
        <w:trPr>
          <w:cantSplit/>
          <w:trHeight w:val="510"/>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BADBEDA" w14:textId="1B24EF27" w:rsidR="00AD45B9" w:rsidRPr="00A02BA0" w:rsidRDefault="00462F16" w:rsidP="0082445A">
            <w:pPr>
              <w:spacing w:after="0"/>
              <w:rPr>
                <w:rFonts w:ascii="Segoe UI Light" w:eastAsia="Times New Roman" w:hAnsi="Segoe UI Light" w:cs="Segoe UI Light"/>
                <w:sz w:val="18"/>
                <w:szCs w:val="18"/>
                <w:lang w:eastAsia="en-AU"/>
              </w:rPr>
            </w:pPr>
            <w:r w:rsidRPr="374995B0">
              <w:rPr>
                <w:rFonts w:ascii="Segoe UI Light" w:eastAsia="Times New Roman" w:hAnsi="Segoe UI Light" w:cs="Segoe UI Light"/>
                <w:sz w:val="18"/>
                <w:szCs w:val="18"/>
                <w:lang w:eastAsia="en-AU"/>
              </w:rPr>
              <w:t>The New Managed Growth Funding System</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37F72E8" w14:textId="0D1DF1B0" w:rsidR="00AD45B9" w:rsidRDefault="00DA1C9C"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B681396" w14:textId="3F7B6906" w:rsidR="00AD45B9" w:rsidRPr="00496D90" w:rsidRDefault="005C06C3" w:rsidP="00A2350F">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Good Practice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2C42B26" w14:textId="78311169" w:rsidR="00AD45B9" w:rsidRDefault="00DA1C9C"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AB8197D" w14:textId="5EB92C9A" w:rsidR="00AD45B9" w:rsidRDefault="00DA1C9C" w:rsidP="00A2350F">
            <w:pPr>
              <w:rPr>
                <w:rFonts w:ascii="Segoe UI Light" w:eastAsia="Times New Roman" w:hAnsi="Segoe UI Light" w:cs="Segoe UI Light"/>
                <w:sz w:val="18"/>
                <w:szCs w:val="18"/>
                <w:lang w:eastAsia="en-AU"/>
              </w:rPr>
            </w:pPr>
            <w:r w:rsidRPr="374995B0">
              <w:rPr>
                <w:rFonts w:ascii="Segoe UI Light" w:eastAsia="Times New Roman" w:hAnsi="Segoe UI Light" w:cs="Segoe UI Light"/>
                <w:sz w:val="18"/>
                <w:szCs w:val="18"/>
                <w:lang w:eastAsia="en-AU"/>
              </w:rPr>
              <w:t>$1.8m</w:t>
            </w:r>
          </w:p>
        </w:tc>
      </w:tr>
      <w:tr w:rsidR="00D22AFA" w14:paraId="7B4D7F13" w14:textId="77777777" w:rsidTr="374995B0">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39DE8DE" w14:textId="77777777" w:rsidR="00D22AFA" w:rsidRDefault="00D22AFA" w:rsidP="00A2350F">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4BFB6EE1" w14:textId="3A2587FE" w:rsidR="00D22AFA" w:rsidRDefault="00AD45B9"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4</w:t>
            </w:r>
            <w:r w:rsidR="00D22AFA" w:rsidRPr="2DCD0ED0">
              <w:rPr>
                <w:rFonts w:ascii="Segoe UI Light" w:eastAsia="Segoe UI Light" w:hAnsi="Segoe UI Light" w:cs="Segoe UI Light"/>
                <w:sz w:val="18"/>
                <w:szCs w:val="18"/>
              </w:rPr>
              <w:t xml:space="preserve"> / </w:t>
            </w:r>
            <w:r>
              <w:rPr>
                <w:rFonts w:ascii="Segoe UI Light" w:eastAsia="Segoe UI Light" w:hAnsi="Segoe UI Light" w:cs="Segoe UI Light"/>
                <w:sz w:val="18"/>
                <w:szCs w:val="18"/>
              </w:rPr>
              <w:t>4</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7D98C9A" w14:textId="77777777" w:rsidR="00D22AFA" w:rsidRDefault="00D22AFA" w:rsidP="00A2350F">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FF3A1C6" w14:textId="4CDEF45D" w:rsidR="00D22AFA" w:rsidRDefault="00706BAD"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0</w:t>
            </w:r>
            <w:r w:rsidR="00D22AFA" w:rsidRPr="2DCD0ED0">
              <w:rPr>
                <w:rFonts w:ascii="Segoe UI Light" w:eastAsia="Segoe UI Light" w:hAnsi="Segoe UI Light" w:cs="Segoe UI Light"/>
                <w:sz w:val="18"/>
                <w:szCs w:val="18"/>
              </w:rPr>
              <w:t xml:space="preserve"> / </w:t>
            </w:r>
            <w:r w:rsidR="00AD45B9">
              <w:rPr>
                <w:rFonts w:ascii="Segoe UI Light" w:eastAsia="Segoe UI Light" w:hAnsi="Segoe UI Light" w:cs="Segoe UI Light"/>
                <w:sz w:val="18"/>
                <w:szCs w:val="18"/>
              </w:rPr>
              <w:t>4</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091FAC1" w14:textId="20516C81" w:rsidR="00D22AFA" w:rsidRPr="00E747F7" w:rsidRDefault="00D22AFA" w:rsidP="00A2350F">
            <w:pPr>
              <w:rPr>
                <w:rFonts w:ascii="Segoe UI Light" w:eastAsia="Segoe UI Light" w:hAnsi="Segoe UI Light" w:cs="Segoe UI Light"/>
                <w:sz w:val="18"/>
                <w:szCs w:val="18"/>
              </w:rPr>
            </w:pPr>
            <w:r w:rsidRPr="00E747F7">
              <w:rPr>
                <w:rFonts w:ascii="Segoe UI Light" w:eastAsia="Times New Roman" w:hAnsi="Segoe UI Light" w:cs="Segoe UI Light"/>
                <w:sz w:val="18"/>
                <w:szCs w:val="18"/>
                <w:lang w:eastAsia="en-AU"/>
              </w:rPr>
              <w:t>$</w:t>
            </w:r>
            <w:r w:rsidR="005B683A" w:rsidRPr="00E747F7">
              <w:rPr>
                <w:rFonts w:ascii="Segoe UI Light" w:eastAsia="Times New Roman" w:hAnsi="Segoe UI Light" w:cs="Segoe UI Light"/>
                <w:sz w:val="18"/>
                <w:szCs w:val="18"/>
                <w:lang w:eastAsia="en-AU"/>
              </w:rPr>
              <w:t>22</w:t>
            </w:r>
            <w:r w:rsidR="00DA1C9C">
              <w:rPr>
                <w:rFonts w:ascii="Segoe UI Light" w:eastAsia="Times New Roman" w:hAnsi="Segoe UI Light" w:cs="Segoe UI Light"/>
                <w:sz w:val="18"/>
                <w:szCs w:val="18"/>
                <w:lang w:eastAsia="en-AU"/>
              </w:rPr>
              <w:t>1.8</w:t>
            </w:r>
            <w:r w:rsidR="005B683A" w:rsidRPr="00E747F7">
              <w:rPr>
                <w:rFonts w:ascii="Segoe UI Light" w:eastAsia="Times New Roman" w:hAnsi="Segoe UI Light" w:cs="Segoe UI Light"/>
                <w:sz w:val="18"/>
                <w:szCs w:val="18"/>
                <w:lang w:eastAsia="en-AU"/>
              </w:rPr>
              <w:t>m</w:t>
            </w:r>
            <w:r w:rsidRPr="00E747F7">
              <w:rPr>
                <w:rFonts w:ascii="Segoe UI Light" w:eastAsia="Segoe UI Light" w:hAnsi="Segoe UI Light" w:cs="Segoe UI Light"/>
                <w:sz w:val="18"/>
                <w:szCs w:val="18"/>
              </w:rPr>
              <w:t xml:space="preserve"> </w:t>
            </w:r>
          </w:p>
        </w:tc>
      </w:tr>
    </w:tbl>
    <w:p w14:paraId="185AB9E9" w14:textId="04C036E7" w:rsidR="00642BA1" w:rsidRPr="00BC0FF7" w:rsidRDefault="00642BA1" w:rsidP="00BC0FF7">
      <w:pPr>
        <w:pStyle w:val="Heading2"/>
      </w:pPr>
      <w:bookmarkStart w:id="10" w:name="_Toc233729008"/>
      <w:r>
        <w:t>Department of Employment and Workplace Relations</w:t>
      </w:r>
      <w:bookmarkEnd w:id="10"/>
    </w:p>
    <w:p w14:paraId="461B3893" w14:textId="6B5C6B7A" w:rsidR="00642BA1" w:rsidRDefault="00642BA1" w:rsidP="00642BA1">
      <w:pPr>
        <w:pStyle w:val="Caption"/>
        <w:keepNext/>
      </w:pPr>
      <w:bookmarkStart w:id="11" w:name="_Toc229664794"/>
      <w:r>
        <w:t xml:space="preserve">Table 5. </w:t>
      </w:r>
      <w:r w:rsidRPr="2DCD0ED0">
        <w:rPr>
          <w:rFonts w:eastAsia="Segoe UI" w:cs="Segoe UI"/>
          <w:sz w:val="21"/>
        </w:rPr>
        <w:t xml:space="preserve">Compliance summary: </w:t>
      </w:r>
      <w:r>
        <w:t xml:space="preserve"> </w:t>
      </w:r>
      <w:r w:rsidRPr="00642BA1">
        <w:t>Department of Employment and Workplace Relations</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642BA1" w14:paraId="557700C0" w14:textId="77777777" w:rsidTr="00043333">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D564695" w14:textId="77777777" w:rsidR="00642BA1" w:rsidRPr="00DF0B7F" w:rsidRDefault="00642BA1" w:rsidP="00A13C67">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1DE7A2E" w14:textId="77777777" w:rsidR="00642BA1" w:rsidRPr="00DF0B7F" w:rsidRDefault="00642BA1" w:rsidP="00A13C67">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F01E518" w14:textId="77777777" w:rsidR="00642BA1" w:rsidRPr="00DF0B7F" w:rsidRDefault="00642BA1" w:rsidP="00A13C67">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26BE8DE8" w14:textId="77777777" w:rsidR="00642BA1" w:rsidRPr="00DF0B7F" w:rsidRDefault="00642BA1" w:rsidP="00A13C67">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756BBFE" w14:textId="77777777" w:rsidR="00642BA1" w:rsidRPr="00DF0B7F" w:rsidRDefault="00642BA1" w:rsidP="00A13C67">
            <w:pPr>
              <w:jc w:val="center"/>
            </w:pPr>
            <w:r w:rsidRPr="00DF0B7F">
              <w:rPr>
                <w:rFonts w:ascii="Segoe UI" w:eastAsia="Segoe UI" w:hAnsi="Segoe UI" w:cs="Segoe UI"/>
                <w:sz w:val="18"/>
                <w:szCs w:val="18"/>
              </w:rPr>
              <w:t>Annual Regulatory Burden ($m)</w:t>
            </w:r>
          </w:p>
        </w:tc>
      </w:tr>
      <w:tr w:rsidR="00642BA1" w14:paraId="52C7DDC9" w14:textId="77777777" w:rsidTr="00043333">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1649ACB" w14:textId="0023D010" w:rsidR="00642BA1" w:rsidRDefault="00F11053" w:rsidP="00A13C67">
            <w:pPr>
              <w:spacing w:after="0"/>
              <w:rPr>
                <w:rFonts w:ascii="Segoe UI Light" w:eastAsia="Times New Roman" w:hAnsi="Segoe UI Light" w:cs="Segoe UI Light"/>
                <w:sz w:val="18"/>
                <w:szCs w:val="18"/>
                <w:lang w:eastAsia="en-AU"/>
              </w:rPr>
            </w:pPr>
            <w:r w:rsidRPr="00F11053">
              <w:rPr>
                <w:rFonts w:ascii="Segoe UI Light" w:eastAsia="Times New Roman" w:hAnsi="Segoe UI Light" w:cs="Segoe UI Light"/>
                <w:sz w:val="18"/>
                <w:szCs w:val="18"/>
                <w:lang w:eastAsia="en-AU"/>
              </w:rPr>
              <w:t xml:space="preserve">Strategic Review of the Australian Apprenticeship Incentive System </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B933DCF" w14:textId="77777777" w:rsidR="00642BA1" w:rsidRDefault="00642BA1" w:rsidP="00A13C67">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AB6DC6D" w14:textId="27AF5F43" w:rsidR="00642BA1" w:rsidRDefault="00B21F98" w:rsidP="00A13C67">
            <w:r>
              <w:rPr>
                <w:rFonts w:ascii="Segoe UI Light" w:eastAsia="Segoe UI Light" w:hAnsi="Segoe UI Light" w:cs="Segoe UI Light"/>
                <w:sz w:val="18"/>
                <w:szCs w:val="18"/>
              </w:rPr>
              <w:t>Impact Analysis Equiva</w:t>
            </w:r>
            <w:r w:rsidR="007C125A">
              <w:rPr>
                <w:rFonts w:ascii="Segoe UI Light" w:eastAsia="Segoe UI Light" w:hAnsi="Segoe UI Light" w:cs="Segoe UI Light"/>
                <w:sz w:val="18"/>
                <w:szCs w:val="18"/>
              </w:rPr>
              <w:t>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4334492" w14:textId="77777777" w:rsidR="00642BA1" w:rsidRDefault="00642BA1" w:rsidP="00A13C67">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DDA825C" w14:textId="5D87D8E7" w:rsidR="00642BA1" w:rsidRDefault="00326714" w:rsidP="00A13C67">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No</w:t>
            </w:r>
            <w:r w:rsidRPr="00034C03">
              <w:rPr>
                <w:rFonts w:ascii="Segoe UI Light" w:eastAsia="Times New Roman" w:hAnsi="Segoe UI Light" w:cs="Segoe UI Light"/>
                <w:sz w:val="18"/>
                <w:szCs w:val="18"/>
                <w:lang w:eastAsia="en-AU"/>
              </w:rPr>
              <w:t xml:space="preserve"> change in the average regulatory costs to business, community organisations or individuals. </w:t>
            </w:r>
          </w:p>
        </w:tc>
      </w:tr>
      <w:tr w:rsidR="00642BA1" w14:paraId="5E9CF3AA" w14:textId="77777777" w:rsidTr="00043333">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B8ABB5D" w14:textId="77777777" w:rsidR="00642BA1" w:rsidRDefault="00642BA1" w:rsidP="00A13C67">
            <w:pPr>
              <w:rPr>
                <w:rFonts w:ascii="Segoe UI Light" w:eastAsia="Times New Roman" w:hAnsi="Segoe UI Light" w:cs="Segoe UI Light"/>
                <w:sz w:val="18"/>
                <w:szCs w:val="18"/>
                <w:lang w:eastAsia="en-AU"/>
              </w:rPr>
            </w:pPr>
            <w:r w:rsidRPr="1D08FC23">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5442BC25" w14:textId="3CC6B63F" w:rsidR="00642BA1" w:rsidRDefault="00642BA1" w:rsidP="00A13C67">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 xml:space="preserve">1 / </w:t>
            </w:r>
            <w:r>
              <w:rPr>
                <w:rFonts w:ascii="Segoe UI Light" w:eastAsia="Segoe UI Light" w:hAnsi="Segoe UI Light" w:cs="Segoe UI Light"/>
                <w:sz w:val="18"/>
                <w:szCs w:val="18"/>
              </w:rPr>
              <w:t>1</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F38BDB9" w14:textId="77777777" w:rsidR="00642BA1" w:rsidRDefault="00642BA1" w:rsidP="00A13C67">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5ED3135C" w14:textId="14C9F602" w:rsidR="00642BA1" w:rsidRDefault="00642BA1" w:rsidP="00A13C67">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 xml:space="preserve">1 / </w:t>
            </w:r>
            <w:r>
              <w:rPr>
                <w:rFonts w:ascii="Segoe UI Light" w:eastAsia="Segoe UI Light" w:hAnsi="Segoe UI Light" w:cs="Segoe UI Light"/>
                <w:sz w:val="18"/>
                <w:szCs w:val="18"/>
              </w:rPr>
              <w:t>1</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629A9041" w14:textId="3762DF43" w:rsidR="00642BA1" w:rsidRDefault="00326714" w:rsidP="00A13C67">
            <w:pPr>
              <w:rPr>
                <w:rFonts w:ascii="Segoe UI Light" w:eastAsia="Segoe UI Light" w:hAnsi="Segoe UI Light" w:cs="Segoe UI Light"/>
                <w:sz w:val="18"/>
                <w:szCs w:val="18"/>
              </w:rPr>
            </w:pPr>
            <w:r>
              <w:rPr>
                <w:rFonts w:ascii="Segoe UI Light" w:eastAsia="Times New Roman" w:hAnsi="Segoe UI Light" w:cs="Segoe UI Light"/>
                <w:sz w:val="18"/>
                <w:szCs w:val="18"/>
                <w:lang w:eastAsia="en-AU"/>
              </w:rPr>
              <w:t>$0m</w:t>
            </w:r>
          </w:p>
        </w:tc>
      </w:tr>
    </w:tbl>
    <w:p w14:paraId="6D5EAF70" w14:textId="4141A068" w:rsidR="4BD73FEA" w:rsidRDefault="009F4A59" w:rsidP="2EB90531">
      <w:pPr>
        <w:pStyle w:val="Heading2"/>
        <w:rPr>
          <w:rFonts w:ascii="Times New Roman" w:eastAsia="Times New Roman" w:hAnsi="Times New Roman" w:cs="Times New Roman"/>
          <w:color w:val="192D56"/>
        </w:rPr>
      </w:pPr>
      <w:bookmarkStart w:id="12" w:name="_Toc233729009"/>
      <w:r w:rsidRPr="2EB90531">
        <w:rPr>
          <w:rFonts w:ascii="Times New Roman" w:eastAsia="Times New Roman" w:hAnsi="Times New Roman" w:cs="Times New Roman"/>
          <w:color w:val="192D56"/>
        </w:rPr>
        <w:t>Department of Health</w:t>
      </w:r>
      <w:r w:rsidR="00FE6C9F" w:rsidRPr="2EB90531">
        <w:rPr>
          <w:rFonts w:ascii="Times New Roman" w:eastAsia="Times New Roman" w:hAnsi="Times New Roman" w:cs="Times New Roman"/>
          <w:color w:val="192D56"/>
        </w:rPr>
        <w:t>, Disability</w:t>
      </w:r>
      <w:r w:rsidRPr="2EB90531">
        <w:rPr>
          <w:rFonts w:ascii="Times New Roman" w:eastAsia="Times New Roman" w:hAnsi="Times New Roman" w:cs="Times New Roman"/>
          <w:color w:val="192D56"/>
        </w:rPr>
        <w:t xml:space="preserve"> and Age</w:t>
      </w:r>
      <w:r w:rsidR="00FE6C9F" w:rsidRPr="2EB90531">
        <w:rPr>
          <w:rFonts w:ascii="Times New Roman" w:eastAsia="Times New Roman" w:hAnsi="Times New Roman" w:cs="Times New Roman"/>
          <w:color w:val="192D56"/>
        </w:rPr>
        <w:t>ing</w:t>
      </w:r>
      <w:bookmarkEnd w:id="11"/>
      <w:bookmarkEnd w:id="12"/>
    </w:p>
    <w:p w14:paraId="656A0033" w14:textId="31084680" w:rsidR="2B67EB3D" w:rsidRDefault="009F4A59" w:rsidP="1749066B">
      <w:pPr>
        <w:pStyle w:val="Caption"/>
      </w:pPr>
      <w:r>
        <w:t xml:space="preserve">Table </w:t>
      </w:r>
      <w:r w:rsidR="5D3BE084">
        <w:t>6</w:t>
      </w:r>
      <w:r>
        <w:t>.</w:t>
      </w:r>
      <w:r w:rsidR="03D48FA2">
        <w:t xml:space="preserve"> </w:t>
      </w:r>
      <w:r w:rsidR="2460BE67" w:rsidRPr="2EB90531">
        <w:rPr>
          <w:rFonts w:eastAsia="Segoe UI" w:cs="Segoe UI"/>
          <w:sz w:val="21"/>
        </w:rPr>
        <w:t xml:space="preserve">Compliance summary: </w:t>
      </w:r>
      <w:r w:rsidR="2460BE67">
        <w:t xml:space="preserve"> </w:t>
      </w:r>
      <w:r w:rsidR="03D48FA2">
        <w:t>Department of Health</w:t>
      </w:r>
      <w:r w:rsidR="00FE6C9F">
        <w:t>, Disability</w:t>
      </w:r>
      <w:r w:rsidR="03D48FA2">
        <w:t xml:space="preserve"> and Age</w:t>
      </w:r>
      <w:r w:rsidR="00FE6C9F">
        <w:t>ing</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9B4166" w14:paraId="74B12B26" w14:textId="77777777" w:rsidTr="00DF0B7F">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D113A5F" w14:textId="477B8E88" w:rsidR="1749066B" w:rsidRPr="00DF0B7F" w:rsidRDefault="009F4A59"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260016C" w14:textId="5BD78AB6" w:rsidR="1749066B" w:rsidRPr="00DF0B7F" w:rsidRDefault="009F4A59"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5D6D1A58" w14:textId="23B5998D" w:rsidR="1749066B" w:rsidRPr="00DF0B7F" w:rsidRDefault="009F4A59"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05761CC" w14:textId="7B41ADAB" w:rsidR="1749066B" w:rsidRPr="00DF0B7F" w:rsidRDefault="009F4A59"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2CC6670B" w14:textId="4F5E21A1" w:rsidR="1749066B" w:rsidRPr="00DF0B7F" w:rsidRDefault="005D1B80" w:rsidP="00C54281">
            <w:pPr>
              <w:jc w:val="center"/>
            </w:pPr>
            <w:r w:rsidRPr="00DF0B7F">
              <w:rPr>
                <w:rFonts w:ascii="Segoe UI" w:eastAsia="Segoe UI" w:hAnsi="Segoe UI" w:cs="Segoe UI"/>
                <w:sz w:val="18"/>
                <w:szCs w:val="18"/>
              </w:rPr>
              <w:t xml:space="preserve">Annual </w:t>
            </w:r>
            <w:r w:rsidR="009F4A59" w:rsidRPr="00DF0B7F">
              <w:rPr>
                <w:rFonts w:ascii="Segoe UI" w:eastAsia="Segoe UI" w:hAnsi="Segoe UI" w:cs="Segoe UI"/>
                <w:sz w:val="18"/>
                <w:szCs w:val="18"/>
              </w:rPr>
              <w:t>Regulatory Burden ($m)</w:t>
            </w:r>
          </w:p>
        </w:tc>
      </w:tr>
      <w:tr w:rsidR="009B4166" w14:paraId="1DF3A593"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3CE4820" w14:textId="6B4D46ED" w:rsidR="44A81429" w:rsidRDefault="0007389B" w:rsidP="1749066B">
            <w:pPr>
              <w:spacing w:after="0"/>
              <w:rPr>
                <w:rFonts w:ascii="Segoe UI Light" w:eastAsia="Times New Roman" w:hAnsi="Segoe UI Light" w:cs="Segoe UI Light"/>
                <w:sz w:val="18"/>
                <w:szCs w:val="18"/>
                <w:lang w:eastAsia="en-AU"/>
              </w:rPr>
            </w:pPr>
            <w:r w:rsidRPr="0007389B">
              <w:rPr>
                <w:rFonts w:ascii="Segoe UI Light" w:eastAsia="Times New Roman" w:hAnsi="Segoe UI Light" w:cs="Segoe UI Light"/>
                <w:sz w:val="18"/>
                <w:szCs w:val="18"/>
                <w:lang w:eastAsia="en-AU"/>
              </w:rPr>
              <w:t>Linking Care Funding to Care Minute Delivery in Residential Aged Care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699B019" w14:textId="3E4FF9D6" w:rsidR="1E0EDF79" w:rsidRDefault="009F4A59" w:rsidP="1749066B">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4BFDFAE" w14:textId="725A6C80" w:rsidR="69EF96AE" w:rsidRDefault="009F4A59" w:rsidP="1749066B">
            <w:r w:rsidRPr="1749066B">
              <w:rPr>
                <w:rFonts w:ascii="Segoe UI Light" w:eastAsia="Segoe UI Light" w:hAnsi="Segoe UI Light" w:cs="Segoe UI Light"/>
                <w:sz w:val="18"/>
                <w:szCs w:val="18"/>
              </w:rPr>
              <w:t>Good practice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C22F66B" w14:textId="7F97515A" w:rsidR="1BA52D9E" w:rsidRDefault="009F4A59" w:rsidP="1749066B">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22CB98E" w14:textId="45E27BCD" w:rsidR="4DABB331" w:rsidRDefault="0007389B" w:rsidP="1749066B">
            <w:pPr>
              <w:rPr>
                <w:rFonts w:ascii="Segoe UI Light" w:eastAsia="Times New Roman" w:hAnsi="Segoe UI Light" w:cs="Segoe UI Light"/>
                <w:sz w:val="18"/>
                <w:szCs w:val="18"/>
                <w:lang w:eastAsia="en-AU"/>
              </w:rPr>
            </w:pPr>
            <w:r>
              <w:rPr>
                <w:rFonts w:ascii="Segoe UI Light" w:eastAsia="Segoe UI Light" w:hAnsi="Segoe UI Light" w:cs="Segoe UI Light"/>
                <w:sz w:val="18"/>
                <w:szCs w:val="18"/>
              </w:rPr>
              <w:t>$4.93</w:t>
            </w:r>
            <w:r w:rsidR="005D1B80">
              <w:rPr>
                <w:rFonts w:ascii="Segoe UI Light" w:eastAsia="Segoe UI Light" w:hAnsi="Segoe UI Light" w:cs="Segoe UI Light"/>
                <w:sz w:val="18"/>
                <w:szCs w:val="18"/>
              </w:rPr>
              <w:t>m</w:t>
            </w:r>
            <w:r w:rsidR="009F4A59" w:rsidRPr="1749066B">
              <w:rPr>
                <w:rFonts w:ascii="Segoe UI Light" w:eastAsia="Times New Roman" w:hAnsi="Segoe UI Light" w:cs="Segoe UI Light"/>
                <w:sz w:val="18"/>
                <w:szCs w:val="18"/>
                <w:lang w:eastAsia="en-AU"/>
              </w:rPr>
              <w:t xml:space="preserve"> </w:t>
            </w:r>
          </w:p>
        </w:tc>
      </w:tr>
      <w:tr w:rsidR="005401F2" w14:paraId="57469648"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2600449" w14:textId="77777777" w:rsidR="005401F2" w:rsidRDefault="005401F2" w:rsidP="00A2350F">
            <w:pPr>
              <w:spacing w:after="0"/>
              <w:rPr>
                <w:rFonts w:ascii="Segoe UI Light" w:eastAsia="Times New Roman" w:hAnsi="Segoe UI Light" w:cs="Segoe UI Light"/>
                <w:sz w:val="18"/>
                <w:szCs w:val="18"/>
                <w:lang w:eastAsia="en-AU"/>
              </w:rPr>
            </w:pPr>
            <w:r w:rsidRPr="00A15D4F">
              <w:rPr>
                <w:rFonts w:ascii="Segoe UI Light" w:eastAsia="Times New Roman" w:hAnsi="Segoe UI Light" w:cs="Segoe UI Light"/>
                <w:sz w:val="18"/>
                <w:szCs w:val="18"/>
                <w:lang w:eastAsia="en-AU"/>
              </w:rPr>
              <w:t>Healthcare Identifiers Framework Project</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89152F7" w14:textId="77777777" w:rsidR="005401F2" w:rsidRDefault="005401F2" w:rsidP="00A2350F">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A289D88" w14:textId="77777777" w:rsidR="005401F2" w:rsidRDefault="005401F2" w:rsidP="00A2350F">
            <w:r w:rsidRPr="1749066B">
              <w:rPr>
                <w:rFonts w:ascii="Segoe UI Light" w:eastAsia="Segoe UI Light" w:hAnsi="Segoe UI Light" w:cs="Segoe UI Light"/>
                <w:sz w:val="18"/>
                <w:szCs w:val="18"/>
              </w:rPr>
              <w:t>Good practice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3302F0B" w14:textId="77777777" w:rsidR="005401F2" w:rsidRDefault="005401F2" w:rsidP="00A2350F">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A897B29" w14:textId="77777777" w:rsidR="005401F2" w:rsidRDefault="005401F2" w:rsidP="00A2350F">
            <w:pPr>
              <w:rPr>
                <w:rFonts w:ascii="Segoe UI Light" w:eastAsia="Times New Roman" w:hAnsi="Segoe UI Light" w:cs="Segoe UI Light"/>
                <w:sz w:val="18"/>
                <w:szCs w:val="18"/>
                <w:lang w:eastAsia="en-AU"/>
              </w:rPr>
            </w:pPr>
            <w:r>
              <w:rPr>
                <w:rFonts w:ascii="Segoe UI Light" w:eastAsia="Segoe UI Light" w:hAnsi="Segoe UI Light" w:cs="Segoe UI Light"/>
                <w:sz w:val="18"/>
                <w:szCs w:val="18"/>
              </w:rPr>
              <w:t>$2.5m</w:t>
            </w:r>
          </w:p>
        </w:tc>
      </w:tr>
      <w:tr w:rsidR="005067A3" w14:paraId="1AF7839B" w14:textId="77777777" w:rsidTr="00A13C67">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A93E4CF" w14:textId="77777777" w:rsidR="005067A3" w:rsidRPr="00A15D4F" w:rsidRDefault="005067A3" w:rsidP="00A13C67">
            <w:pPr>
              <w:spacing w:after="0"/>
              <w:rPr>
                <w:rFonts w:ascii="Segoe UI Light" w:eastAsia="Times New Roman" w:hAnsi="Segoe UI Light" w:cs="Segoe UI Light"/>
                <w:sz w:val="18"/>
                <w:szCs w:val="18"/>
                <w:lang w:eastAsia="en-AU"/>
              </w:rPr>
            </w:pPr>
            <w:r w:rsidRPr="002942E4">
              <w:rPr>
                <w:rFonts w:ascii="Segoe UI Light" w:eastAsia="Times New Roman" w:hAnsi="Segoe UI Light" w:cs="Segoe UI Light"/>
                <w:sz w:val="18"/>
                <w:szCs w:val="18"/>
                <w:lang w:eastAsia="en-AU"/>
              </w:rPr>
              <w:t>Health Legislation Amendment (Improving Choice and Transparency for Private Health Consumers) Bill: Regulating Premiums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6BDACE4" w14:textId="77777777" w:rsidR="005067A3" w:rsidRPr="1749066B"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59EA2E8" w14:textId="77777777" w:rsidR="005067A3" w:rsidRPr="1749066B"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1DC96B2" w14:textId="77777777" w:rsidR="005067A3" w:rsidRPr="1749066B"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68DDA2B" w14:textId="77777777" w:rsidR="005067A3" w:rsidRPr="00A70F05" w:rsidRDefault="005067A3" w:rsidP="00A13C67">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$0.48m</w:t>
            </w:r>
          </w:p>
        </w:tc>
      </w:tr>
      <w:tr w:rsidR="005067A3" w14:paraId="636E8937" w14:textId="77777777" w:rsidTr="00A13C67">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4809EF0" w14:textId="77777777" w:rsidR="005067A3" w:rsidRPr="002942E4" w:rsidRDefault="005067A3" w:rsidP="00A13C67">
            <w:pPr>
              <w:spacing w:after="0"/>
              <w:rPr>
                <w:rFonts w:ascii="Segoe UI Light" w:eastAsia="Times New Roman" w:hAnsi="Segoe UI Light" w:cs="Segoe UI Light"/>
                <w:sz w:val="18"/>
                <w:szCs w:val="18"/>
                <w:lang w:eastAsia="en-AU"/>
              </w:rPr>
            </w:pPr>
            <w:r w:rsidRPr="00922502">
              <w:rPr>
                <w:rFonts w:ascii="Segoe UI Light" w:eastAsia="Times New Roman" w:hAnsi="Segoe UI Light" w:cs="Segoe UI Light"/>
                <w:sz w:val="18"/>
                <w:szCs w:val="18"/>
                <w:lang w:eastAsia="en-AU"/>
              </w:rPr>
              <w:t>Ongoing Funding for the Medicare Urgent Care Clinics Program</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55E178E"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5BA8F88"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1213271"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198F152" w14:textId="276EF550" w:rsidR="005067A3" w:rsidRDefault="005067A3" w:rsidP="00A13C67">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w:t>
            </w:r>
            <w:r w:rsidRPr="00C942E8">
              <w:rPr>
                <w:rFonts w:ascii="Segoe UI Light" w:eastAsia="Times New Roman" w:hAnsi="Segoe UI Light" w:cs="Segoe UI Light"/>
                <w:sz w:val="18"/>
                <w:szCs w:val="18"/>
                <w:lang w:eastAsia="en-AU"/>
              </w:rPr>
              <w:t>0.66</w:t>
            </w:r>
            <w:r>
              <w:rPr>
                <w:rFonts w:ascii="Segoe UI Light" w:eastAsia="Times New Roman" w:hAnsi="Segoe UI Light" w:cs="Segoe UI Light"/>
                <w:sz w:val="18"/>
                <w:szCs w:val="18"/>
                <w:lang w:eastAsia="en-AU"/>
              </w:rPr>
              <w:t>2m</w:t>
            </w:r>
          </w:p>
        </w:tc>
      </w:tr>
      <w:tr w:rsidR="005067A3" w14:paraId="608E6812" w14:textId="77777777" w:rsidTr="00A13C67">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292E630" w14:textId="77777777" w:rsidR="005067A3" w:rsidRPr="00922502" w:rsidRDefault="005067A3" w:rsidP="00A13C67">
            <w:pPr>
              <w:spacing w:after="0"/>
              <w:rPr>
                <w:rFonts w:ascii="Segoe UI Light" w:eastAsia="Times New Roman" w:hAnsi="Segoe UI Light" w:cs="Segoe UI Light"/>
                <w:sz w:val="18"/>
                <w:szCs w:val="18"/>
                <w:lang w:eastAsia="en-AU"/>
              </w:rPr>
            </w:pPr>
            <w:r w:rsidRPr="00445F92">
              <w:rPr>
                <w:rFonts w:ascii="Segoe UI Light" w:eastAsia="Times New Roman" w:hAnsi="Segoe UI Light" w:cs="Segoe UI Light"/>
                <w:sz w:val="18"/>
                <w:szCs w:val="18"/>
                <w:lang w:eastAsia="en-AU"/>
              </w:rPr>
              <w:t>Modernising the Private Health Insurance Rebate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8959142"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CF2784E"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CFE0E65"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97B0C29" w14:textId="38C6BCAE" w:rsidR="005067A3" w:rsidRDefault="005067A3" w:rsidP="00A13C67">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$0.690m</w:t>
            </w:r>
          </w:p>
        </w:tc>
      </w:tr>
      <w:tr w:rsidR="005067A3" w14:paraId="4B8C4019" w14:textId="77777777" w:rsidTr="00A13C67">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23B58F3" w14:textId="77777777" w:rsidR="005067A3" w:rsidRPr="00922502" w:rsidRDefault="005067A3" w:rsidP="00A13C67">
            <w:pPr>
              <w:spacing w:after="0"/>
              <w:rPr>
                <w:rFonts w:ascii="Segoe UI Light" w:eastAsia="Times New Roman" w:hAnsi="Segoe UI Light" w:cs="Segoe UI Light"/>
                <w:sz w:val="18"/>
                <w:szCs w:val="18"/>
                <w:lang w:eastAsia="en-AU"/>
              </w:rPr>
            </w:pPr>
            <w:r w:rsidRPr="00445F92">
              <w:rPr>
                <w:rFonts w:ascii="Segoe UI Light" w:eastAsia="Times New Roman" w:hAnsi="Segoe UI Light" w:cs="Segoe UI Light"/>
                <w:sz w:val="18"/>
                <w:szCs w:val="18"/>
                <w:lang w:eastAsia="en-AU"/>
              </w:rPr>
              <w:t>Mandatory Registration of all National Disability Insurance Scheme (NDIS) Providers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9D03705"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3DBA55D" w14:textId="77777777" w:rsidR="005067A3" w:rsidRDefault="005067A3" w:rsidP="00A13C67">
            <w:pPr>
              <w:rPr>
                <w:rFonts w:ascii="Segoe UI Light" w:eastAsia="Segoe UI Light" w:hAnsi="Segoe UI Light" w:cs="Segoe UI Light"/>
                <w:sz w:val="18"/>
                <w:szCs w:val="18"/>
              </w:rPr>
            </w:pPr>
            <w:r w:rsidRPr="1749066B">
              <w:rPr>
                <w:rFonts w:ascii="Segoe UI Light" w:eastAsia="Segoe UI Light" w:hAnsi="Segoe UI Light" w:cs="Segoe UI Light"/>
                <w:sz w:val="18"/>
                <w:szCs w:val="18"/>
              </w:rPr>
              <w:t>Impact Analysis Equivalent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C63C5DD" w14:textId="77777777" w:rsidR="005067A3" w:rsidRDefault="005067A3" w:rsidP="00A13C67">
            <w:pPr>
              <w:rPr>
                <w:rFonts w:ascii="Segoe UI Light" w:eastAsia="Segoe UI Light" w:hAnsi="Segoe UI Light" w:cs="Segoe UI Light"/>
                <w:sz w:val="18"/>
                <w:szCs w:val="18"/>
              </w:rPr>
            </w:pPr>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AAA8A67" w14:textId="77777777" w:rsidR="005067A3" w:rsidRDefault="005067A3" w:rsidP="00A13C67">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$77.4m</w:t>
            </w:r>
          </w:p>
        </w:tc>
      </w:tr>
      <w:tr w:rsidR="005067A3" w14:paraId="0648C8BA" w14:textId="77777777" w:rsidTr="00A13C67">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E83DF23" w14:textId="77777777" w:rsidR="005067A3" w:rsidRPr="00922502" w:rsidRDefault="005067A3" w:rsidP="00A13C67">
            <w:pPr>
              <w:spacing w:after="0"/>
              <w:rPr>
                <w:rFonts w:ascii="Segoe UI Light" w:eastAsia="Times New Roman" w:hAnsi="Segoe UI Light" w:cs="Segoe UI Light"/>
                <w:sz w:val="18"/>
                <w:szCs w:val="18"/>
                <w:lang w:eastAsia="en-AU"/>
              </w:rPr>
            </w:pPr>
            <w:r w:rsidRPr="00445F92">
              <w:rPr>
                <w:rFonts w:ascii="Segoe UI Light" w:eastAsia="Times New Roman" w:hAnsi="Segoe UI Light" w:cs="Segoe UI Light"/>
                <w:sz w:val="18"/>
                <w:szCs w:val="18"/>
                <w:lang w:eastAsia="en-AU"/>
              </w:rPr>
              <w:t>National Disability Insurance Scheme Reforms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4143CAD"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7686F19"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C7AD90B"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FE52EFF" w14:textId="3AF04D41" w:rsidR="005067A3" w:rsidRDefault="005067A3" w:rsidP="00A13C67">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$32.24m</w:t>
            </w:r>
          </w:p>
        </w:tc>
      </w:tr>
      <w:tr w:rsidR="009B4166" w14:paraId="5B17AE3A"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F7CC499" w14:textId="0D5E2E7E" w:rsidR="44A81429" w:rsidRDefault="00A15D4F" w:rsidP="1749066B">
            <w:pPr>
              <w:spacing w:after="0"/>
              <w:rPr>
                <w:rFonts w:ascii="Segoe UI Light" w:eastAsia="Times New Roman" w:hAnsi="Segoe UI Light" w:cs="Segoe UI Light"/>
                <w:sz w:val="18"/>
                <w:szCs w:val="18"/>
                <w:lang w:eastAsia="en-AU"/>
              </w:rPr>
            </w:pPr>
            <w:r w:rsidRPr="00A15D4F">
              <w:rPr>
                <w:rFonts w:ascii="Segoe UI Light" w:eastAsia="Times New Roman" w:hAnsi="Segoe UI Light" w:cs="Segoe UI Light"/>
                <w:sz w:val="18"/>
                <w:szCs w:val="18"/>
                <w:lang w:eastAsia="en-AU"/>
              </w:rPr>
              <w:t>Reduction of the Pharmaceutical Benefits Scheme (PBS) general patient co-payment to $25</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08ECDCA" w14:textId="77777777" w:rsidR="1E0EDF79" w:rsidRDefault="009F4A59" w:rsidP="1749066B">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1799EAA" w14:textId="77777777" w:rsidR="69EF96AE" w:rsidRDefault="009F4A59" w:rsidP="1749066B">
            <w:r w:rsidRPr="1749066B">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1C8C941" w14:textId="77777777" w:rsidR="1BA52D9E" w:rsidRDefault="009F4A59" w:rsidP="1749066B">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9BD7DDD" w14:textId="2CBF726B" w:rsidR="00A15D4F" w:rsidRDefault="005D1B80" w:rsidP="00A15D4F">
            <w:pPr>
              <w:rPr>
                <w:rFonts w:ascii="Segoe UI Light" w:hAnsi="Segoe UI Light" w:cs="Segoe UI Light"/>
                <w:sz w:val="18"/>
                <w:szCs w:val="18"/>
              </w:rPr>
            </w:pPr>
            <w:r w:rsidRPr="00A70F05">
              <w:rPr>
                <w:rFonts w:ascii="Segoe UI Light" w:eastAsia="Times New Roman" w:hAnsi="Segoe UI Light" w:cs="Segoe UI Light"/>
                <w:sz w:val="18"/>
                <w:szCs w:val="18"/>
                <w:lang w:eastAsia="en-AU"/>
              </w:rPr>
              <w:t xml:space="preserve">A Regulatory Burden Measurement Framework was not used to determine impacts. Instead, </w:t>
            </w:r>
            <w:r>
              <w:rPr>
                <w:rFonts w:ascii="Segoe UI Light" w:eastAsia="Times New Roman" w:hAnsi="Segoe UI Light" w:cs="Segoe UI Light"/>
                <w:sz w:val="18"/>
                <w:szCs w:val="18"/>
                <w:lang w:eastAsia="en-AU"/>
              </w:rPr>
              <w:t>t</w:t>
            </w:r>
            <w:r w:rsidR="00A15D4F" w:rsidRPr="00A15D4F">
              <w:rPr>
                <w:rFonts w:ascii="Segoe UI Light" w:hAnsi="Segoe UI Light" w:cs="Segoe UI Light"/>
                <w:sz w:val="18"/>
                <w:szCs w:val="18"/>
              </w:rPr>
              <w:t>he Department estimated the proposal would: </w:t>
            </w:r>
          </w:p>
          <w:p w14:paraId="73B21CF9" w14:textId="438A8C5C" w:rsidR="00A15D4F" w:rsidRPr="00D40D71" w:rsidRDefault="00A15D4F" w:rsidP="00D40D71">
            <w:pPr>
              <w:pStyle w:val="ListParagraph"/>
              <w:numPr>
                <w:ilvl w:val="0"/>
                <w:numId w:val="45"/>
              </w:numPr>
              <w:rPr>
                <w:rFonts w:ascii="Segoe UI Light" w:hAnsi="Segoe UI Light" w:cs="Segoe UI Light"/>
                <w:sz w:val="18"/>
                <w:szCs w:val="18"/>
              </w:rPr>
            </w:pPr>
            <w:r w:rsidRPr="00D40D71">
              <w:rPr>
                <w:rFonts w:ascii="Segoe UI Light" w:eastAsia="Times New Roman" w:hAnsi="Segoe UI Light" w:cs="Segoe UI Light"/>
                <w:sz w:val="18"/>
                <w:szCs w:val="18"/>
                <w:lang w:eastAsia="en-AU"/>
              </w:rPr>
              <w:t>Save patients $784.6</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over four years from 2025-26, and $236.9</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per year ongoing from 2029-30.</w:t>
            </w:r>
          </w:p>
          <w:p w14:paraId="79974202" w14:textId="18868FD5" w:rsidR="00A15D4F" w:rsidRPr="00D40D71" w:rsidRDefault="00A15D4F" w:rsidP="00D40D71">
            <w:pPr>
              <w:pStyle w:val="ListParagraph"/>
              <w:numPr>
                <w:ilvl w:val="0"/>
                <w:numId w:val="45"/>
              </w:numPr>
              <w:rPr>
                <w:rFonts w:ascii="Segoe UI Light" w:hAnsi="Segoe UI Light" w:cs="Segoe UI Light"/>
                <w:sz w:val="18"/>
                <w:szCs w:val="18"/>
              </w:rPr>
            </w:pPr>
            <w:r w:rsidRPr="00D40D71">
              <w:rPr>
                <w:rFonts w:ascii="Segoe UI Light" w:eastAsia="Times New Roman" w:hAnsi="Segoe UI Light" w:cs="Segoe UI Light"/>
                <w:sz w:val="18"/>
                <w:szCs w:val="18"/>
                <w:lang w:eastAsia="en-AU"/>
              </w:rPr>
              <w:t>Increase government expenditure by $689.1</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over four years from </w:t>
            </w:r>
            <w:r w:rsidR="00075E6C">
              <w:rPr>
                <w:rFonts w:ascii="Segoe UI Light" w:eastAsia="Times New Roman" w:hAnsi="Segoe UI Light" w:cs="Segoe UI Light"/>
                <w:sz w:val="18"/>
                <w:szCs w:val="18"/>
                <w:lang w:eastAsia="en-AU"/>
              </w:rPr>
              <w:br/>
            </w:r>
            <w:r w:rsidRPr="00D40D71">
              <w:rPr>
                <w:rFonts w:ascii="Segoe UI Light" w:eastAsia="Times New Roman" w:hAnsi="Segoe UI Light" w:cs="Segoe UI Light"/>
                <w:sz w:val="18"/>
                <w:szCs w:val="18"/>
                <w:lang w:eastAsia="en-AU"/>
              </w:rPr>
              <w:t>2025-26, and $204.8</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per year ongoing from 2029-30.</w:t>
            </w:r>
          </w:p>
          <w:p w14:paraId="3EDDB93A" w14:textId="64B7F945" w:rsidR="4DABB331" w:rsidRPr="00D40D71" w:rsidRDefault="00A15D4F" w:rsidP="00D40D71">
            <w:pPr>
              <w:pStyle w:val="ListParagraph"/>
              <w:numPr>
                <w:ilvl w:val="0"/>
                <w:numId w:val="45"/>
              </w:numPr>
              <w:rPr>
                <w:rFonts w:ascii="Segoe UI Light" w:hAnsi="Segoe UI Light" w:cs="Segoe UI Light"/>
                <w:sz w:val="18"/>
                <w:szCs w:val="18"/>
              </w:rPr>
            </w:pPr>
            <w:r w:rsidRPr="00D40D71">
              <w:rPr>
                <w:rFonts w:ascii="Segoe UI Light" w:eastAsia="Times New Roman" w:hAnsi="Segoe UI Light" w:cs="Segoe UI Light"/>
                <w:sz w:val="18"/>
                <w:szCs w:val="18"/>
                <w:lang w:eastAsia="en-AU"/>
              </w:rPr>
              <w:t>Result in a flow-on cost of $95.5</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over 4 years from 2025-26 to pharmaceutical manufacturers, and $31.6</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per year ongoing from 2029-30.</w:t>
            </w:r>
            <w:r w:rsidR="005D1B80">
              <w:rPr>
                <w:rStyle w:val="FootnoteReference"/>
                <w:rFonts w:ascii="Segoe UI Light" w:eastAsia="Times New Roman" w:hAnsi="Segoe UI Light" w:cs="Segoe UI Light"/>
                <w:sz w:val="18"/>
                <w:szCs w:val="18"/>
                <w:lang w:eastAsia="en-AU"/>
              </w:rPr>
              <w:footnoteReference w:id="7"/>
            </w:r>
          </w:p>
        </w:tc>
      </w:tr>
      <w:tr w:rsidR="005B1865" w14:paraId="393BCBB5"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C5B7BC4" w14:textId="7ACB0B7D" w:rsidR="005B1865" w:rsidRPr="00A15D4F" w:rsidRDefault="005B1865" w:rsidP="005B1865">
            <w:pPr>
              <w:spacing w:after="0"/>
              <w:rPr>
                <w:rFonts w:ascii="Segoe UI Light" w:eastAsia="Times New Roman" w:hAnsi="Segoe UI Light" w:cs="Segoe UI Light"/>
                <w:sz w:val="18"/>
                <w:szCs w:val="18"/>
                <w:lang w:eastAsia="en-AU"/>
              </w:rPr>
            </w:pPr>
            <w:r w:rsidRPr="00991525">
              <w:rPr>
                <w:rFonts w:ascii="Segoe UI Light" w:eastAsia="Times New Roman" w:hAnsi="Segoe UI Light" w:cs="Segoe UI Light"/>
                <w:sz w:val="18"/>
                <w:szCs w:val="18"/>
                <w:lang w:eastAsia="en-AU"/>
              </w:rPr>
              <w:t>NDIS Provider Registration Reforms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CA7F29C" w14:textId="5439647D" w:rsidR="005B1865" w:rsidRPr="1749066B" w:rsidRDefault="005B1865" w:rsidP="005B1865">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2130D6F" w14:textId="38D0F397" w:rsidR="005B1865" w:rsidRPr="1749066B" w:rsidRDefault="005B1865" w:rsidP="005B1865">
            <w:pPr>
              <w:rPr>
                <w:rFonts w:ascii="Segoe UI Light" w:eastAsia="Segoe UI Light" w:hAnsi="Segoe UI Light" w:cs="Segoe UI Light"/>
                <w:sz w:val="18"/>
                <w:szCs w:val="18"/>
              </w:rPr>
            </w:pPr>
            <w:r w:rsidRPr="1749066B">
              <w:rPr>
                <w:rFonts w:ascii="Segoe UI Light" w:eastAsia="Segoe UI Light" w:hAnsi="Segoe UI Light" w:cs="Segoe UI Light"/>
                <w:sz w:val="18"/>
                <w:szCs w:val="18"/>
              </w:rPr>
              <w:t>Impact Analysis Equivalent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FF72F18" w14:textId="431DBC13" w:rsidR="005B1865" w:rsidRPr="1749066B" w:rsidRDefault="005B1865" w:rsidP="005B1865">
            <w:pPr>
              <w:rPr>
                <w:rFonts w:ascii="Segoe UI Light" w:eastAsia="Segoe UI Light" w:hAnsi="Segoe UI Light" w:cs="Segoe UI Light"/>
                <w:sz w:val="18"/>
                <w:szCs w:val="18"/>
              </w:rPr>
            </w:pPr>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8D68867" w14:textId="77BAE15D" w:rsidR="005B1865" w:rsidRPr="00A70F05" w:rsidRDefault="003C5FC4" w:rsidP="005B1865">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$2.72m</w:t>
            </w:r>
          </w:p>
        </w:tc>
      </w:tr>
      <w:tr w:rsidR="009B4166" w14:paraId="60C44C47" w14:textId="77777777" w:rsidTr="00DF0B7F">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5C7B9C9" w14:textId="473E1B19" w:rsidR="5206BDA1" w:rsidRDefault="009F4A59" w:rsidP="1D08FC23">
            <w:pPr>
              <w:rPr>
                <w:rFonts w:ascii="Segoe UI Light" w:eastAsia="Times New Roman" w:hAnsi="Segoe UI Light" w:cs="Segoe UI Light"/>
                <w:sz w:val="18"/>
                <w:szCs w:val="18"/>
                <w:lang w:eastAsia="en-AU"/>
              </w:rPr>
            </w:pPr>
            <w:r w:rsidRPr="1D08FC23">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7D98201" w14:textId="47F28B24" w:rsidR="5206BDA1" w:rsidRDefault="00991525" w:rsidP="1D08FC23">
            <w:pPr>
              <w:rPr>
                <w:rFonts w:ascii="Segoe UI Light" w:eastAsia="Segoe UI Light" w:hAnsi="Segoe UI Light" w:cs="Segoe UI Light"/>
                <w:sz w:val="18"/>
                <w:szCs w:val="18"/>
              </w:rPr>
            </w:pPr>
            <w:r>
              <w:rPr>
                <w:rFonts w:ascii="Segoe UI Light" w:eastAsia="Segoe UI Light" w:hAnsi="Segoe UI Light" w:cs="Segoe UI Light"/>
                <w:sz w:val="18"/>
                <w:szCs w:val="18"/>
              </w:rPr>
              <w:t>9</w:t>
            </w:r>
            <w:r w:rsidR="009F4A59" w:rsidRPr="1D08FC23">
              <w:rPr>
                <w:rFonts w:ascii="Segoe UI Light" w:eastAsia="Segoe UI Light" w:hAnsi="Segoe UI Light" w:cs="Segoe UI Light"/>
                <w:sz w:val="18"/>
                <w:szCs w:val="18"/>
              </w:rPr>
              <w:t xml:space="preserve"> / </w:t>
            </w:r>
            <w:r>
              <w:rPr>
                <w:rFonts w:ascii="Segoe UI Light" w:eastAsia="Segoe UI Light" w:hAnsi="Segoe UI Light" w:cs="Segoe UI Light"/>
                <w:sz w:val="18"/>
                <w:szCs w:val="18"/>
              </w:rPr>
              <w:t>9</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D529036" w14:textId="53E52EE1"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2055391" w14:textId="3ED0ACD5"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 xml:space="preserve">0 / </w:t>
            </w:r>
            <w:r w:rsidR="00991525">
              <w:rPr>
                <w:rFonts w:ascii="Segoe UI Light" w:eastAsia="Segoe UI Light" w:hAnsi="Segoe UI Light" w:cs="Segoe UI Light"/>
                <w:sz w:val="18"/>
                <w:szCs w:val="18"/>
              </w:rPr>
              <w:t>9</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2851F517" w14:textId="568EDA50" w:rsidR="5206BDA1" w:rsidRDefault="005D1B80" w:rsidP="1D08FC23">
            <w:pPr>
              <w:rPr>
                <w:rFonts w:ascii="Segoe UI Light" w:eastAsia="Segoe UI Light" w:hAnsi="Segoe UI Light" w:cs="Segoe UI Light"/>
                <w:sz w:val="18"/>
                <w:szCs w:val="18"/>
              </w:rPr>
            </w:pPr>
            <w:r>
              <w:rPr>
                <w:rFonts w:ascii="Segoe UI Light" w:eastAsia="Segoe UI Light" w:hAnsi="Segoe UI Light" w:cs="Segoe UI Light"/>
                <w:sz w:val="18"/>
                <w:szCs w:val="18"/>
              </w:rPr>
              <w:t>$</w:t>
            </w:r>
            <w:r w:rsidR="00A810F6">
              <w:rPr>
                <w:rFonts w:ascii="Segoe UI Light" w:eastAsia="Segoe UI Light" w:hAnsi="Segoe UI Light" w:cs="Segoe UI Light"/>
                <w:sz w:val="18"/>
                <w:szCs w:val="18"/>
              </w:rPr>
              <w:t>1</w:t>
            </w:r>
            <w:r w:rsidR="002A3125">
              <w:rPr>
                <w:rFonts w:ascii="Segoe UI Light" w:eastAsia="Segoe UI Light" w:hAnsi="Segoe UI Light" w:cs="Segoe UI Light"/>
                <w:sz w:val="18"/>
                <w:szCs w:val="18"/>
              </w:rPr>
              <w:t>21</w:t>
            </w:r>
            <w:r w:rsidR="00A810F6">
              <w:rPr>
                <w:rFonts w:ascii="Segoe UI Light" w:eastAsia="Segoe UI Light" w:hAnsi="Segoe UI Light" w:cs="Segoe UI Light"/>
                <w:sz w:val="18"/>
                <w:szCs w:val="18"/>
              </w:rPr>
              <w:t>.</w:t>
            </w:r>
            <w:r w:rsidR="002A3125">
              <w:rPr>
                <w:rFonts w:ascii="Segoe UI Light" w:eastAsia="Segoe UI Light" w:hAnsi="Segoe UI Light" w:cs="Segoe UI Light"/>
                <w:sz w:val="18"/>
                <w:szCs w:val="18"/>
              </w:rPr>
              <w:t>62</w:t>
            </w:r>
            <w:r>
              <w:rPr>
                <w:rFonts w:ascii="Segoe UI Light" w:eastAsia="Segoe UI Light" w:hAnsi="Segoe UI Light" w:cs="Segoe UI Light"/>
                <w:sz w:val="18"/>
                <w:szCs w:val="18"/>
              </w:rPr>
              <w:t>m</w:t>
            </w:r>
          </w:p>
        </w:tc>
      </w:tr>
    </w:tbl>
    <w:p w14:paraId="333A8CF3" w14:textId="588F6906" w:rsidR="1749066B" w:rsidRDefault="1749066B"/>
    <w:p w14:paraId="7438D477" w14:textId="77777777" w:rsidR="00015CF1" w:rsidRDefault="00015CF1">
      <w:pPr>
        <w:spacing w:after="200"/>
        <w:rPr>
          <w:rFonts w:ascii="Times New Roman" w:eastAsia="Times New Roman" w:hAnsi="Times New Roman" w:cs="Times New Roman"/>
          <w:color w:val="192D56"/>
          <w:sz w:val="32"/>
          <w:szCs w:val="28"/>
        </w:rPr>
      </w:pPr>
      <w:bookmarkStart w:id="13" w:name="_Toc229664795"/>
      <w:r>
        <w:rPr>
          <w:rFonts w:ascii="Times New Roman" w:eastAsia="Times New Roman" w:hAnsi="Times New Roman" w:cs="Times New Roman"/>
          <w:color w:val="192D56"/>
        </w:rPr>
        <w:br w:type="page"/>
      </w:r>
    </w:p>
    <w:p w14:paraId="606B27FD" w14:textId="2F07B7B4" w:rsidR="00C2037D" w:rsidRDefault="00C2037D" w:rsidP="2DCD0ED0">
      <w:pPr>
        <w:pStyle w:val="Heading2"/>
        <w:rPr>
          <w:rFonts w:ascii="Times New Roman" w:eastAsia="Times New Roman" w:hAnsi="Times New Roman" w:cs="Times New Roman"/>
          <w:color w:val="192D56"/>
        </w:rPr>
      </w:pPr>
      <w:bookmarkStart w:id="14" w:name="_Toc233729010"/>
      <w:r w:rsidRPr="2EB90531">
        <w:rPr>
          <w:rFonts w:ascii="Times New Roman" w:eastAsia="Times New Roman" w:hAnsi="Times New Roman" w:cs="Times New Roman"/>
          <w:color w:val="192D56"/>
        </w:rPr>
        <w:t>Department of Infrastructure, Transport, Regional Development, Communications</w:t>
      </w:r>
      <w:r w:rsidR="00FE6C9F" w:rsidRPr="2EB90531">
        <w:rPr>
          <w:rFonts w:ascii="Times New Roman" w:eastAsia="Times New Roman" w:hAnsi="Times New Roman" w:cs="Times New Roman"/>
          <w:color w:val="192D56"/>
        </w:rPr>
        <w:t>, Sport</w:t>
      </w:r>
      <w:r w:rsidRPr="2EB90531">
        <w:rPr>
          <w:rFonts w:ascii="Times New Roman" w:eastAsia="Times New Roman" w:hAnsi="Times New Roman" w:cs="Times New Roman"/>
          <w:color w:val="192D56"/>
        </w:rPr>
        <w:t xml:space="preserve"> and the Arts</w:t>
      </w:r>
      <w:bookmarkEnd w:id="13"/>
      <w:bookmarkEnd w:id="14"/>
    </w:p>
    <w:p w14:paraId="09E9FD11" w14:textId="1A37E12C" w:rsidR="00C2037D" w:rsidRDefault="00C2037D" w:rsidP="00C2037D">
      <w:pPr>
        <w:pStyle w:val="Caption"/>
      </w:pPr>
      <w:r>
        <w:t xml:space="preserve">Table </w:t>
      </w:r>
      <w:r w:rsidR="63D34F66">
        <w:t>7</w:t>
      </w:r>
      <w:r>
        <w:t xml:space="preserve">. </w:t>
      </w:r>
      <w:r w:rsidRPr="2EB90531">
        <w:rPr>
          <w:rFonts w:eastAsia="Segoe UI" w:cs="Segoe UI"/>
          <w:sz w:val="21"/>
        </w:rPr>
        <w:t xml:space="preserve">Compliance summary: </w:t>
      </w:r>
      <w:r>
        <w:t xml:space="preserve"> Department of Infrastructure, Transport, Regional Development, Communications</w:t>
      </w:r>
      <w:r w:rsidR="00FE6C9F">
        <w:t>, Sport</w:t>
      </w:r>
      <w:r>
        <w:t xml:space="preserve"> and the Arts</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C2037D" w14:paraId="5817AD04" w14:textId="77777777" w:rsidTr="1D11E49C">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09E2BB9" w14:textId="77777777" w:rsidR="00C2037D" w:rsidRPr="00DF0B7F" w:rsidRDefault="00C2037D"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F003B09" w14:textId="77777777" w:rsidR="00C2037D" w:rsidRPr="00DF0B7F" w:rsidRDefault="00C2037D"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6E5B896" w14:textId="77777777" w:rsidR="00C2037D" w:rsidRPr="00DF0B7F" w:rsidRDefault="00C2037D"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5E7371E" w14:textId="77777777" w:rsidR="00C2037D" w:rsidRPr="00DF0B7F" w:rsidRDefault="00C2037D"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23A77EE" w14:textId="77777777" w:rsidR="00C2037D" w:rsidRPr="00DF0B7F" w:rsidRDefault="00C2037D" w:rsidP="00C54281">
            <w:pPr>
              <w:jc w:val="center"/>
            </w:pPr>
            <w:r w:rsidRPr="00DF0B7F">
              <w:rPr>
                <w:rFonts w:ascii="Segoe UI" w:eastAsia="Segoe UI" w:hAnsi="Segoe UI" w:cs="Segoe UI"/>
                <w:sz w:val="18"/>
                <w:szCs w:val="18"/>
              </w:rPr>
              <w:t>Annual Regulatory Burden ($m)</w:t>
            </w:r>
          </w:p>
        </w:tc>
      </w:tr>
      <w:tr w:rsidR="00C2037D" w14:paraId="00CD2115" w14:textId="77777777" w:rsidTr="1D11E49C">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F555E34" w14:textId="29901DB1" w:rsidR="00C2037D" w:rsidRDefault="00E57DFB">
            <w:pPr>
              <w:spacing w:after="0"/>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Australian screen content requirements for subscription video on demand services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90BAC03" w14:textId="77777777" w:rsidR="00C2037D" w:rsidRDefault="00C2037D">
            <w:r w:rsidRPr="2DCD0ED0">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FD2AEA1" w14:textId="77777777" w:rsidR="00C2037D" w:rsidRDefault="00C2037D">
            <w:r w:rsidRPr="2DCD0ED0">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0823188" w14:textId="77777777" w:rsidR="00C2037D" w:rsidRDefault="00C2037D">
            <w:r w:rsidRPr="2DCD0ED0">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DB2D61E" w14:textId="7748F026" w:rsidR="00C2037D" w:rsidRDefault="00FB6270" w:rsidP="2DCD0ED0">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U</w:t>
            </w:r>
            <w:r w:rsidRPr="2DCD0ED0">
              <w:rPr>
                <w:rFonts w:ascii="Segoe UI Light" w:eastAsia="Times New Roman" w:hAnsi="Segoe UI Light" w:cs="Segoe UI Light"/>
                <w:sz w:val="18"/>
                <w:szCs w:val="18"/>
                <w:lang w:eastAsia="en-AU"/>
              </w:rPr>
              <w:t>nder the first four years</w:t>
            </w:r>
            <w:r w:rsidR="00194F35">
              <w:rPr>
                <w:rFonts w:ascii="Segoe UI Light" w:eastAsia="Times New Roman" w:hAnsi="Segoe UI Light" w:cs="Segoe UI Light"/>
                <w:sz w:val="18"/>
                <w:szCs w:val="18"/>
                <w:lang w:eastAsia="en-AU"/>
              </w:rPr>
              <w:t xml:space="preserve"> of the </w:t>
            </w:r>
            <w:r w:rsidR="006D5114">
              <w:rPr>
                <w:rFonts w:ascii="Segoe UI Light" w:eastAsia="Times New Roman" w:hAnsi="Segoe UI Light" w:cs="Segoe UI Light"/>
                <w:sz w:val="18"/>
                <w:szCs w:val="18"/>
                <w:lang w:eastAsia="en-AU"/>
              </w:rPr>
              <w:t>regulation</w:t>
            </w:r>
            <w:r w:rsidR="007E74EF">
              <w:rPr>
                <w:rFonts w:ascii="Segoe UI Light" w:eastAsia="Times New Roman" w:hAnsi="Segoe UI Light" w:cs="Segoe UI Light"/>
                <w:sz w:val="18"/>
                <w:szCs w:val="18"/>
                <w:lang w:eastAsia="en-AU"/>
              </w:rPr>
              <w:t xml:space="preserve"> l</w:t>
            </w:r>
            <w:r w:rsidR="007E74EF" w:rsidRPr="007E74EF">
              <w:rPr>
                <w:rFonts w:ascii="Segoe UI Light" w:eastAsia="Times New Roman" w:hAnsi="Segoe UI Light" w:cs="Segoe UI Light"/>
                <w:sz w:val="18"/>
                <w:szCs w:val="18"/>
                <w:lang w:eastAsia="en-AU"/>
              </w:rPr>
              <w:t>eading up to the statutory review</w:t>
            </w:r>
            <w:r w:rsidR="000E5EDB">
              <w:rPr>
                <w:rFonts w:ascii="Segoe UI Light" w:eastAsia="Times New Roman" w:hAnsi="Segoe UI Light" w:cs="Segoe UI Light"/>
                <w:sz w:val="18"/>
                <w:szCs w:val="18"/>
                <w:lang w:eastAsia="en-AU"/>
              </w:rPr>
              <w:t xml:space="preserve">, </w:t>
            </w:r>
            <w:r w:rsidR="00616A5A">
              <w:rPr>
                <w:rFonts w:ascii="Segoe UI Light" w:eastAsia="Times New Roman" w:hAnsi="Segoe UI Light" w:cs="Segoe UI Light"/>
                <w:sz w:val="18"/>
                <w:szCs w:val="18"/>
                <w:lang w:eastAsia="en-AU"/>
              </w:rPr>
              <w:t>estimated</w:t>
            </w:r>
            <w:r w:rsidR="00C159FB">
              <w:rPr>
                <w:rFonts w:ascii="Segoe UI Light" w:eastAsia="Times New Roman" w:hAnsi="Segoe UI Light" w:cs="Segoe UI Light"/>
                <w:sz w:val="18"/>
                <w:szCs w:val="18"/>
                <w:lang w:eastAsia="en-AU"/>
              </w:rPr>
              <w:t xml:space="preserve"> </w:t>
            </w:r>
            <w:r w:rsidRPr="2DCD0ED0">
              <w:rPr>
                <w:rFonts w:ascii="Segoe UI Light" w:eastAsia="Times New Roman" w:hAnsi="Segoe UI Light" w:cs="Segoe UI Light"/>
                <w:sz w:val="18"/>
                <w:szCs w:val="18"/>
                <w:lang w:eastAsia="en-AU"/>
              </w:rPr>
              <w:t>administrative costs to the anticipated</w:t>
            </w:r>
            <w:r w:rsidRPr="00FB6270">
              <w:rPr>
                <w:rFonts w:ascii="Segoe UI Light" w:eastAsia="Times New Roman" w:hAnsi="Segoe UI Light" w:cs="Segoe UI Light"/>
                <w:sz w:val="18"/>
                <w:szCs w:val="18"/>
                <w:lang w:eastAsia="en-AU"/>
              </w:rPr>
              <w:t xml:space="preserve"> affec</w:t>
            </w:r>
            <w:r>
              <w:rPr>
                <w:rFonts w:ascii="Segoe UI Light" w:eastAsia="Times New Roman" w:hAnsi="Segoe UI Light" w:cs="Segoe UI Light"/>
                <w:sz w:val="18"/>
                <w:szCs w:val="18"/>
                <w:lang w:eastAsia="en-AU"/>
              </w:rPr>
              <w:t>ted streaming services is $1.19m</w:t>
            </w:r>
            <w:r w:rsidRPr="00FB6270">
              <w:rPr>
                <w:rFonts w:ascii="Segoe UI Light" w:eastAsia="Times New Roman" w:hAnsi="Segoe UI Light" w:cs="Segoe UI Light"/>
                <w:sz w:val="18"/>
                <w:szCs w:val="18"/>
                <w:lang w:eastAsia="en-AU"/>
              </w:rPr>
              <w:t>. Following the review, the ongoing administrative cos</w:t>
            </w:r>
            <w:r>
              <w:rPr>
                <w:rFonts w:ascii="Segoe UI Light" w:eastAsia="Times New Roman" w:hAnsi="Segoe UI Light" w:cs="Segoe UI Light"/>
                <w:sz w:val="18"/>
                <w:szCs w:val="18"/>
                <w:lang w:eastAsia="en-AU"/>
              </w:rPr>
              <w:t>t burden is calculated as $1.16m</w:t>
            </w:r>
            <w:r w:rsidRPr="00FB6270">
              <w:rPr>
                <w:rFonts w:ascii="Segoe UI Light" w:eastAsia="Times New Roman" w:hAnsi="Segoe UI Light" w:cs="Segoe UI Light"/>
                <w:sz w:val="18"/>
                <w:szCs w:val="18"/>
                <w:lang w:eastAsia="en-AU"/>
              </w:rPr>
              <w:t xml:space="preserve"> per year. The avera</w:t>
            </w:r>
            <w:r>
              <w:rPr>
                <w:rFonts w:ascii="Segoe UI Light" w:eastAsia="Times New Roman" w:hAnsi="Segoe UI Light" w:cs="Segoe UI Light"/>
                <w:sz w:val="18"/>
                <w:szCs w:val="18"/>
                <w:lang w:eastAsia="en-AU"/>
              </w:rPr>
              <w:t>ge over ten years is $1.17m</w:t>
            </w:r>
            <w:r w:rsidRPr="00FB6270">
              <w:rPr>
                <w:rFonts w:ascii="Segoe UI Light" w:eastAsia="Times New Roman" w:hAnsi="Segoe UI Light" w:cs="Segoe UI Light"/>
                <w:sz w:val="18"/>
                <w:szCs w:val="18"/>
                <w:lang w:eastAsia="en-AU"/>
              </w:rPr>
              <w:t xml:space="preserve"> per year.</w:t>
            </w:r>
            <w:r>
              <w:rPr>
                <w:rStyle w:val="FootnoteReference"/>
                <w:rFonts w:ascii="Segoe UI Light" w:eastAsia="Times New Roman" w:hAnsi="Segoe UI Light" w:cs="Segoe UI Light"/>
                <w:sz w:val="18"/>
                <w:szCs w:val="18"/>
                <w:lang w:eastAsia="en-AU"/>
              </w:rPr>
              <w:footnoteReference w:id="8"/>
            </w:r>
          </w:p>
        </w:tc>
      </w:tr>
      <w:tr w:rsidR="005B683A" w14:paraId="34411624" w14:textId="77777777" w:rsidTr="1D11E49C">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D0F449F" w14:textId="294FCBF6" w:rsidR="005B683A" w:rsidRPr="2DCD0ED0" w:rsidRDefault="005B683A">
            <w:pPr>
              <w:spacing w:after="0"/>
              <w:rPr>
                <w:rFonts w:ascii="Segoe UI Light" w:eastAsia="Times New Roman" w:hAnsi="Segoe UI Light" w:cs="Segoe UI Light"/>
                <w:sz w:val="18"/>
                <w:szCs w:val="18"/>
                <w:lang w:eastAsia="en-AU"/>
              </w:rPr>
            </w:pPr>
            <w:r w:rsidRPr="005B683A">
              <w:rPr>
                <w:rFonts w:ascii="Segoe UI Light" w:eastAsia="Times New Roman" w:hAnsi="Segoe UI Light" w:cs="Segoe UI Light"/>
                <w:sz w:val="18"/>
                <w:szCs w:val="18"/>
                <w:lang w:eastAsia="en-AU"/>
              </w:rPr>
              <w:t>Wagering Advertising Reforms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DC86682" w14:textId="4A0B7BC1" w:rsidR="005B683A" w:rsidRPr="2DCD0ED0" w:rsidRDefault="005B683A">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C116A2E" w14:textId="2E98A31E" w:rsidR="005B683A" w:rsidRPr="2DCD0ED0" w:rsidRDefault="005B683A">
            <w:pPr>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323688F" w14:textId="45D81C72" w:rsidR="005B683A" w:rsidRPr="2DCD0ED0" w:rsidRDefault="005B683A">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06F2DE9" w14:textId="5B781E54" w:rsidR="005B683A" w:rsidRDefault="005B683A" w:rsidP="2DCD0ED0">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$2.4m</w:t>
            </w:r>
          </w:p>
        </w:tc>
      </w:tr>
      <w:tr w:rsidR="00C2037D" w14:paraId="4D64FD2A" w14:textId="77777777" w:rsidTr="1D11E49C">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FF00CE9" w14:textId="77777777" w:rsidR="00C2037D" w:rsidRDefault="00C2037D">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772C12FE" w14:textId="4091374F" w:rsidR="00C2037D" w:rsidRDefault="005B683A">
            <w:pPr>
              <w:rPr>
                <w:rFonts w:ascii="Segoe UI Light" w:eastAsia="Segoe UI Light" w:hAnsi="Segoe UI Light" w:cs="Segoe UI Light"/>
                <w:sz w:val="18"/>
                <w:szCs w:val="18"/>
              </w:rPr>
            </w:pPr>
            <w:r w:rsidRPr="1D11E49C">
              <w:rPr>
                <w:rFonts w:ascii="Segoe UI Light" w:eastAsia="Segoe UI Light" w:hAnsi="Segoe UI Light" w:cs="Segoe UI Light"/>
                <w:sz w:val="18"/>
                <w:szCs w:val="18"/>
              </w:rPr>
              <w:t>2</w:t>
            </w:r>
            <w:r w:rsidR="009513CF">
              <w:rPr>
                <w:rFonts w:ascii="Segoe UI Light" w:eastAsia="Segoe UI Light" w:hAnsi="Segoe UI Light" w:cs="Segoe UI Light"/>
                <w:sz w:val="18"/>
                <w:szCs w:val="18"/>
              </w:rPr>
              <w:t xml:space="preserve"> </w:t>
            </w:r>
            <w:r w:rsidR="00C2037D" w:rsidRPr="1D11E49C">
              <w:rPr>
                <w:rFonts w:ascii="Segoe UI Light" w:eastAsia="Segoe UI Light" w:hAnsi="Segoe UI Light" w:cs="Segoe UI Light"/>
                <w:sz w:val="18"/>
                <w:szCs w:val="18"/>
              </w:rPr>
              <w:t xml:space="preserve">/ </w:t>
            </w:r>
            <w:r w:rsidRPr="1D11E49C">
              <w:rPr>
                <w:rFonts w:ascii="Segoe UI Light" w:eastAsia="Segoe UI Light" w:hAnsi="Segoe UI Light" w:cs="Segoe UI Light"/>
                <w:sz w:val="18"/>
                <w:szCs w:val="18"/>
              </w:rPr>
              <w:t>2</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70E19DFF" w14:textId="77777777" w:rsidR="00C2037D" w:rsidRDefault="00C2037D">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A772611" w14:textId="4FB22FFE" w:rsidR="00C2037D" w:rsidRDefault="00706BAD">
            <w:pPr>
              <w:rPr>
                <w:rFonts w:ascii="Segoe UI Light" w:eastAsia="Segoe UI Light" w:hAnsi="Segoe UI Light" w:cs="Segoe UI Light"/>
                <w:sz w:val="18"/>
                <w:szCs w:val="18"/>
              </w:rPr>
            </w:pPr>
            <w:r>
              <w:rPr>
                <w:rFonts w:ascii="Segoe UI Light" w:eastAsia="Segoe UI Light" w:hAnsi="Segoe UI Light" w:cs="Segoe UI Light"/>
                <w:sz w:val="18"/>
                <w:szCs w:val="18"/>
              </w:rPr>
              <w:t>0</w:t>
            </w:r>
            <w:r w:rsidR="00C2037D" w:rsidRPr="2DCD0ED0">
              <w:rPr>
                <w:rFonts w:ascii="Segoe UI Light" w:eastAsia="Segoe UI Light" w:hAnsi="Segoe UI Light" w:cs="Segoe UI Light"/>
                <w:sz w:val="18"/>
                <w:szCs w:val="18"/>
              </w:rPr>
              <w:t xml:space="preserve"> / </w:t>
            </w:r>
            <w:r w:rsidR="005B683A">
              <w:rPr>
                <w:rFonts w:ascii="Segoe UI Light" w:eastAsia="Segoe UI Light" w:hAnsi="Segoe UI Light" w:cs="Segoe UI Light"/>
                <w:sz w:val="18"/>
                <w:szCs w:val="18"/>
              </w:rPr>
              <w:t>2</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67FC1957" w14:textId="5F91E393" w:rsidR="00C2037D" w:rsidRDefault="005B683A" w:rsidP="2DCD0ED0">
            <w:pPr>
              <w:rPr>
                <w:rFonts w:ascii="Segoe UI Light" w:eastAsia="Segoe UI Light" w:hAnsi="Segoe UI Light" w:cs="Segoe UI Light"/>
                <w:sz w:val="18"/>
                <w:szCs w:val="18"/>
              </w:rPr>
            </w:pPr>
            <w:r>
              <w:rPr>
                <w:rFonts w:ascii="Segoe UI Light" w:eastAsia="Times New Roman" w:hAnsi="Segoe UI Light" w:cs="Segoe UI Light"/>
                <w:sz w:val="18"/>
                <w:szCs w:val="18"/>
                <w:lang w:eastAsia="en-AU"/>
              </w:rPr>
              <w:t>$2.4m</w:t>
            </w:r>
          </w:p>
        </w:tc>
      </w:tr>
    </w:tbl>
    <w:p w14:paraId="70168CB3" w14:textId="77777777" w:rsidR="00C2037D" w:rsidRDefault="00C2037D" w:rsidP="2DCD0ED0"/>
    <w:p w14:paraId="3A2868BE" w14:textId="77777777" w:rsidR="4BD73FEA" w:rsidRDefault="009F4A59" w:rsidP="2EB90531">
      <w:pPr>
        <w:pStyle w:val="Heading2"/>
        <w:rPr>
          <w:rFonts w:ascii="Times New Roman" w:eastAsia="Times New Roman" w:hAnsi="Times New Roman" w:cs="Times New Roman"/>
          <w:color w:val="192D56"/>
        </w:rPr>
      </w:pPr>
      <w:bookmarkStart w:id="15" w:name="_Toc229664796"/>
      <w:bookmarkStart w:id="16" w:name="_Toc233729011"/>
      <w:r w:rsidRPr="2EB90531">
        <w:rPr>
          <w:rFonts w:ascii="Times New Roman" w:eastAsia="Times New Roman" w:hAnsi="Times New Roman" w:cs="Times New Roman"/>
          <w:color w:val="192D56"/>
        </w:rPr>
        <w:t>Department of Social Services</w:t>
      </w:r>
      <w:bookmarkEnd w:id="15"/>
      <w:bookmarkEnd w:id="16"/>
    </w:p>
    <w:p w14:paraId="3B47158B" w14:textId="54B41EB9" w:rsidR="2B67EB3D" w:rsidRDefault="009F4A59" w:rsidP="00C159FB">
      <w:pPr>
        <w:pStyle w:val="Caption"/>
        <w:keepNext/>
      </w:pPr>
      <w:r>
        <w:t xml:space="preserve">Table </w:t>
      </w:r>
      <w:r w:rsidR="71C8FB37">
        <w:t>8</w:t>
      </w:r>
      <w:r>
        <w:t>.</w:t>
      </w:r>
      <w:r w:rsidR="03D48FA2">
        <w:t xml:space="preserve"> </w:t>
      </w:r>
      <w:r w:rsidR="2460BE67" w:rsidRPr="2EB90531">
        <w:rPr>
          <w:rFonts w:eastAsia="Segoe UI" w:cs="Segoe UI"/>
          <w:sz w:val="21"/>
        </w:rPr>
        <w:t xml:space="preserve">Compliance summary: </w:t>
      </w:r>
      <w:r w:rsidR="2460BE67">
        <w:t xml:space="preserve"> </w:t>
      </w:r>
      <w:r w:rsidR="03D48FA2">
        <w:t>Department of Social Services</w:t>
      </w:r>
    </w:p>
    <w:tbl>
      <w:tblPr>
        <w:tblStyle w:val="ListTable4-Accent1"/>
        <w:tblW w:w="0" w:type="auto"/>
        <w:tblLayout w:type="fixed"/>
        <w:tblLook w:val="0620" w:firstRow="1" w:lastRow="0" w:firstColumn="0" w:lastColumn="0" w:noHBand="1" w:noVBand="1"/>
      </w:tblPr>
      <w:tblGrid>
        <w:gridCol w:w="3043"/>
        <w:gridCol w:w="1366"/>
        <w:gridCol w:w="1695"/>
        <w:gridCol w:w="1936"/>
        <w:gridCol w:w="1934"/>
      </w:tblGrid>
      <w:tr w:rsidR="009B4166" w14:paraId="29A7ECDD" w14:textId="77777777" w:rsidTr="00DF0B7F">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31124B24" w14:textId="77777777" w:rsidR="1749066B" w:rsidRPr="00DF0B7F" w:rsidRDefault="009F4A59"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25D96F28" w14:textId="77777777" w:rsidR="1749066B" w:rsidRPr="00DF0B7F" w:rsidRDefault="009F4A59"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218A2B86" w14:textId="77777777" w:rsidR="1749066B" w:rsidRPr="00DF0B7F" w:rsidRDefault="009F4A59"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CB46CED" w14:textId="77777777" w:rsidR="1749066B" w:rsidRPr="00DF0B7F" w:rsidRDefault="009F4A59"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0C3913F" w14:textId="66746845" w:rsidR="1749066B" w:rsidRPr="00DF0B7F" w:rsidRDefault="005D1B80" w:rsidP="00C54281">
            <w:pPr>
              <w:jc w:val="center"/>
            </w:pPr>
            <w:r w:rsidRPr="00DF0B7F">
              <w:rPr>
                <w:rFonts w:ascii="Segoe UI" w:eastAsia="Segoe UI" w:hAnsi="Segoe UI" w:cs="Segoe UI"/>
                <w:sz w:val="18"/>
                <w:szCs w:val="18"/>
              </w:rPr>
              <w:t>Annual</w:t>
            </w:r>
            <w:r w:rsidR="009F4A59" w:rsidRPr="00DF0B7F">
              <w:rPr>
                <w:rFonts w:ascii="Segoe UI" w:eastAsia="Segoe UI" w:hAnsi="Segoe UI" w:cs="Segoe UI"/>
                <w:sz w:val="18"/>
                <w:szCs w:val="18"/>
              </w:rPr>
              <w:t xml:space="preserve"> Regulatory Burden ($m)</w:t>
            </w:r>
          </w:p>
        </w:tc>
      </w:tr>
      <w:tr w:rsidR="009B4166" w14:paraId="6B628303"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A369EFF" w14:textId="77777777" w:rsidR="44A81429" w:rsidRDefault="009F4A59" w:rsidP="1749066B">
            <w:pPr>
              <w:spacing w:after="0"/>
              <w:rPr>
                <w:rFonts w:ascii="Segoe UI Light" w:eastAsia="Times New Roman" w:hAnsi="Segoe UI Light" w:cs="Segoe UI Light"/>
                <w:sz w:val="18"/>
                <w:szCs w:val="18"/>
                <w:lang w:eastAsia="en-AU"/>
              </w:rPr>
            </w:pPr>
            <w:r w:rsidRPr="1749066B">
              <w:rPr>
                <w:rFonts w:ascii="Segoe UI Light" w:eastAsia="Times New Roman" w:hAnsi="Segoe UI Light" w:cs="Segoe UI Light"/>
                <w:sz w:val="18"/>
                <w:szCs w:val="18"/>
                <w:lang w:eastAsia="en-AU"/>
              </w:rPr>
              <w:t>Resolution Approach to Income Apportionment</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C7E65C5" w14:textId="77777777" w:rsidR="1E0EDF79" w:rsidRDefault="009F4A59" w:rsidP="1749066B">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812F4D4" w14:textId="77777777" w:rsidR="69EF96AE" w:rsidRDefault="009F4A59" w:rsidP="1749066B">
            <w:r w:rsidRPr="1749066B">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A47670C" w14:textId="77777777" w:rsidR="1BA52D9E" w:rsidRDefault="009F4A59" w:rsidP="1749066B">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048FEC4" w14:textId="41DB40DF" w:rsidR="4DABB331" w:rsidRDefault="00BA36A3" w:rsidP="1749066B">
            <w:pPr>
              <w:rPr>
                <w:rFonts w:ascii="Segoe UI Light" w:eastAsia="Times New Roman" w:hAnsi="Segoe UI Light" w:cs="Segoe UI Light"/>
                <w:sz w:val="18"/>
                <w:szCs w:val="18"/>
                <w:lang w:eastAsia="en-AU"/>
              </w:rPr>
            </w:pPr>
            <w:r w:rsidRPr="00BA36A3">
              <w:rPr>
                <w:rFonts w:ascii="Segoe UI Light" w:eastAsia="Times New Roman" w:hAnsi="Segoe UI Light" w:cs="Segoe UI Light"/>
                <w:sz w:val="18"/>
                <w:szCs w:val="18"/>
                <w:lang w:eastAsia="en-AU"/>
              </w:rPr>
              <w:t>$5.87</w:t>
            </w:r>
            <w:r w:rsidR="005D1B80">
              <w:rPr>
                <w:rFonts w:ascii="Segoe UI Light" w:eastAsia="Times New Roman" w:hAnsi="Segoe UI Light" w:cs="Segoe UI Light"/>
                <w:sz w:val="18"/>
                <w:szCs w:val="18"/>
                <w:lang w:eastAsia="en-AU"/>
              </w:rPr>
              <w:t>m</w:t>
            </w:r>
          </w:p>
        </w:tc>
      </w:tr>
      <w:tr w:rsidR="009B4166" w14:paraId="764DFFDF"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D48F3D0" w14:textId="77777777" w:rsidR="44A81429" w:rsidRDefault="009F4A59" w:rsidP="1749066B">
            <w:pPr>
              <w:spacing w:after="0"/>
              <w:rPr>
                <w:rFonts w:ascii="Segoe UI Light" w:eastAsia="Times New Roman" w:hAnsi="Segoe UI Light" w:cs="Segoe UI Light"/>
                <w:sz w:val="18"/>
                <w:szCs w:val="18"/>
                <w:lang w:eastAsia="en-AU"/>
              </w:rPr>
            </w:pPr>
            <w:r w:rsidRPr="1749066B">
              <w:rPr>
                <w:rFonts w:ascii="Segoe UI Light" w:eastAsia="Times New Roman" w:hAnsi="Segoe UI Light" w:cs="Segoe UI Light"/>
                <w:sz w:val="18"/>
                <w:szCs w:val="18"/>
                <w:lang w:eastAsia="en-AU"/>
              </w:rPr>
              <w:t>Resetting the Social Security Deeming Rate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2BE57CB" w14:textId="77777777" w:rsidR="1E0EDF79" w:rsidRDefault="009F4A59" w:rsidP="1749066B">
            <w:r w:rsidRPr="1749066B">
              <w:rPr>
                <w:rFonts w:ascii="Segoe UI Light" w:eastAsia="Segoe UI Light" w:hAnsi="Segoe UI Light" w:cs="Segoe UI Light"/>
                <w:sz w:val="18"/>
                <w:szCs w:val="18"/>
              </w:rPr>
              <w:t>Not 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B3AC96F" w14:textId="77777777" w:rsidR="69EF96AE" w:rsidRDefault="009F4A59" w:rsidP="1749066B">
            <w:r w:rsidRPr="1749066B">
              <w:rPr>
                <w:rFonts w:ascii="Segoe UI Light" w:eastAsia="Segoe UI Light" w:hAnsi="Segoe UI Light" w:cs="Segoe UI Light"/>
                <w:sz w:val="18"/>
                <w:szCs w:val="18"/>
              </w:rPr>
              <w:t>Insufficient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94E7421" w14:textId="77777777" w:rsidR="1BA52D9E" w:rsidRDefault="009F4A59" w:rsidP="1749066B">
            <w:r w:rsidRPr="1749066B">
              <w:rPr>
                <w:rFonts w:ascii="Segoe UI Light" w:eastAsia="Segoe UI Light" w:hAnsi="Segoe UI Light" w:cs="Segoe UI Light"/>
                <w:sz w:val="18"/>
                <w:szCs w:val="18"/>
              </w:rPr>
              <w:t>Yes</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1C9D06F" w14:textId="3856945E" w:rsidR="4DABB331" w:rsidRDefault="00BA36A3" w:rsidP="1749066B">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N/A</w:t>
            </w:r>
            <w:r w:rsidR="005D1B80">
              <w:rPr>
                <w:rStyle w:val="FootnoteReference"/>
                <w:rFonts w:ascii="Segoe UI Light" w:eastAsia="Times New Roman" w:hAnsi="Segoe UI Light" w:cs="Segoe UI Light"/>
                <w:sz w:val="18"/>
                <w:szCs w:val="18"/>
                <w:lang w:eastAsia="en-AU"/>
              </w:rPr>
              <w:footnoteReference w:id="9"/>
            </w:r>
          </w:p>
        </w:tc>
      </w:tr>
      <w:tr w:rsidR="009B4166" w14:paraId="211CF938" w14:textId="77777777" w:rsidTr="00DF0B7F">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295E0E24" w14:textId="77777777" w:rsidR="5206BDA1" w:rsidRDefault="009F4A59" w:rsidP="1D08FC23">
            <w:pPr>
              <w:rPr>
                <w:rFonts w:ascii="Segoe UI Light" w:eastAsia="Times New Roman" w:hAnsi="Segoe UI Light" w:cs="Segoe UI Light"/>
                <w:sz w:val="18"/>
                <w:szCs w:val="18"/>
                <w:lang w:eastAsia="en-AU"/>
              </w:rPr>
            </w:pPr>
            <w:r w:rsidRPr="1D08FC23">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85145EF"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1 / 2</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0F4A6EA"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44B3FE41"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1 / 2</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482DD3A3" w14:textId="17394AF3" w:rsidR="5206BDA1" w:rsidRDefault="005D1B80" w:rsidP="1D08FC23">
            <w:pPr>
              <w:rPr>
                <w:rFonts w:ascii="Segoe UI Light" w:eastAsia="Segoe UI Light" w:hAnsi="Segoe UI Light" w:cs="Segoe UI Light"/>
                <w:sz w:val="18"/>
                <w:szCs w:val="18"/>
              </w:rPr>
            </w:pPr>
            <w:r w:rsidRPr="00BA36A3">
              <w:rPr>
                <w:rFonts w:ascii="Segoe UI Light" w:eastAsia="Times New Roman" w:hAnsi="Segoe UI Light" w:cs="Segoe UI Light"/>
                <w:sz w:val="18"/>
                <w:szCs w:val="18"/>
                <w:lang w:eastAsia="en-AU"/>
              </w:rPr>
              <w:t>$5.87</w:t>
            </w:r>
            <w:r>
              <w:rPr>
                <w:rFonts w:ascii="Segoe UI Light" w:eastAsia="Times New Roman" w:hAnsi="Segoe UI Light" w:cs="Segoe UI Light"/>
                <w:sz w:val="18"/>
                <w:szCs w:val="18"/>
                <w:lang w:eastAsia="en-AU"/>
              </w:rPr>
              <w:t>m</w:t>
            </w:r>
            <w:r w:rsidRPr="1D08FC23" w:rsidDel="005D1B80">
              <w:rPr>
                <w:rFonts w:ascii="Segoe UI Light" w:eastAsia="Segoe UI Light" w:hAnsi="Segoe UI Light" w:cs="Segoe UI Light"/>
                <w:sz w:val="18"/>
                <w:szCs w:val="18"/>
              </w:rPr>
              <w:t xml:space="preserve"> </w:t>
            </w:r>
          </w:p>
        </w:tc>
      </w:tr>
    </w:tbl>
    <w:p w14:paraId="6F91AD7C" w14:textId="77777777" w:rsidR="1749066B" w:rsidRDefault="1749066B"/>
    <w:p w14:paraId="42B96D93" w14:textId="77777777" w:rsidR="4BD73FEA" w:rsidRDefault="009F4A59" w:rsidP="2EB90531">
      <w:pPr>
        <w:pStyle w:val="Heading2"/>
        <w:rPr>
          <w:rFonts w:ascii="Times New Roman" w:eastAsia="Times New Roman" w:hAnsi="Times New Roman" w:cs="Times New Roman"/>
          <w:color w:val="192D56"/>
        </w:rPr>
      </w:pPr>
      <w:bookmarkStart w:id="17" w:name="_Toc229664797"/>
      <w:bookmarkStart w:id="18" w:name="_Toc233729012"/>
      <w:r w:rsidRPr="2EB90531">
        <w:rPr>
          <w:rFonts w:ascii="Times New Roman" w:eastAsia="Times New Roman" w:hAnsi="Times New Roman" w:cs="Times New Roman"/>
          <w:color w:val="192D56"/>
        </w:rPr>
        <w:t>Department of the Treasury</w:t>
      </w:r>
      <w:bookmarkEnd w:id="17"/>
      <w:bookmarkEnd w:id="18"/>
    </w:p>
    <w:p w14:paraId="5EAD803C" w14:textId="29BB8115" w:rsidR="2B67EB3D" w:rsidRDefault="009F4A59" w:rsidP="00C159FB">
      <w:pPr>
        <w:pStyle w:val="Caption"/>
        <w:keepNext/>
      </w:pPr>
      <w:r>
        <w:t xml:space="preserve">Table </w:t>
      </w:r>
      <w:r w:rsidR="32390CBA">
        <w:t>9</w:t>
      </w:r>
      <w:r>
        <w:t>.</w:t>
      </w:r>
      <w:r w:rsidR="03D48FA2">
        <w:t xml:space="preserve"> </w:t>
      </w:r>
      <w:r w:rsidR="2460BE67" w:rsidRPr="40D300C3">
        <w:rPr>
          <w:rFonts w:eastAsia="Segoe UI" w:cs="Segoe UI"/>
          <w:sz w:val="21"/>
        </w:rPr>
        <w:t xml:space="preserve">Compliance summary: </w:t>
      </w:r>
      <w:r w:rsidR="2460BE67">
        <w:t xml:space="preserve"> </w:t>
      </w:r>
      <w:r w:rsidR="03D48FA2">
        <w:t>Department of the Treasury</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273571" w14:paraId="3EC864A9" w14:textId="77777777" w:rsidTr="00133318">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11D63D9" w14:textId="77777777" w:rsidR="1749066B" w:rsidRPr="00DF0B7F" w:rsidRDefault="009F4A59" w:rsidP="00C54281">
            <w:pPr>
              <w:keepNext/>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F8C64CF" w14:textId="77777777" w:rsidR="1749066B" w:rsidRPr="00DF0B7F" w:rsidRDefault="009F4A59" w:rsidP="00C54281">
            <w:pPr>
              <w:keepNext/>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8041F08" w14:textId="77777777" w:rsidR="1749066B" w:rsidRPr="00DF0B7F" w:rsidRDefault="009F4A59" w:rsidP="00C54281">
            <w:pPr>
              <w:keepNext/>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01275AD7" w14:textId="77777777" w:rsidR="1749066B" w:rsidRPr="00DF0B7F" w:rsidRDefault="009F4A59" w:rsidP="00C54281">
            <w:pPr>
              <w:keepNext/>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5DD490EB" w14:textId="3F984364" w:rsidR="1749066B" w:rsidRPr="00DF0B7F" w:rsidRDefault="005D1B80" w:rsidP="00C54281">
            <w:pPr>
              <w:keepNext/>
              <w:jc w:val="center"/>
            </w:pPr>
            <w:r w:rsidRPr="00DF0B7F">
              <w:rPr>
                <w:rFonts w:ascii="Segoe UI" w:eastAsia="Segoe UI" w:hAnsi="Segoe UI" w:cs="Segoe UI"/>
                <w:sz w:val="18"/>
                <w:szCs w:val="18"/>
              </w:rPr>
              <w:t xml:space="preserve">Annual </w:t>
            </w:r>
            <w:r w:rsidR="009F4A59" w:rsidRPr="00DF0B7F">
              <w:rPr>
                <w:rFonts w:ascii="Segoe UI" w:eastAsia="Segoe UI" w:hAnsi="Segoe UI" w:cs="Segoe UI"/>
                <w:sz w:val="18"/>
                <w:szCs w:val="18"/>
              </w:rPr>
              <w:t>Regulatory Burden ($m)</w:t>
            </w:r>
          </w:p>
        </w:tc>
      </w:tr>
      <w:tr w:rsidR="009B4166" w14:paraId="768D5459" w14:textId="77777777" w:rsidTr="00133318">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8CA6BCE" w14:textId="77777777" w:rsidR="44A81429" w:rsidRDefault="009F4A59" w:rsidP="00BC6B00">
            <w:pPr>
              <w:keepNext/>
              <w:spacing w:after="0"/>
              <w:rPr>
                <w:rFonts w:ascii="Segoe UI Light" w:eastAsia="Times New Roman" w:hAnsi="Segoe UI Light" w:cs="Segoe UI Light"/>
                <w:sz w:val="18"/>
                <w:szCs w:val="18"/>
                <w:lang w:eastAsia="en-AU"/>
              </w:rPr>
            </w:pPr>
            <w:r w:rsidRPr="1749066B">
              <w:rPr>
                <w:rFonts w:ascii="Segoe UI Light" w:eastAsia="Times New Roman" w:hAnsi="Segoe UI Light" w:cs="Segoe UI Light"/>
                <w:sz w:val="18"/>
                <w:szCs w:val="18"/>
                <w:lang w:eastAsia="en-AU"/>
              </w:rPr>
              <w:t>Home Guarantee Scheme Expansion</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8969174" w14:textId="77777777" w:rsidR="1E0EDF79" w:rsidRDefault="009F4A59" w:rsidP="00BC6B00">
            <w:pPr>
              <w:keepNext/>
            </w:pPr>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3570441" w14:textId="77777777" w:rsidR="69EF96AE" w:rsidRDefault="009F4A59" w:rsidP="00BC6B00">
            <w:pPr>
              <w:keepNext/>
            </w:pPr>
            <w:r w:rsidRPr="1749066B">
              <w:rPr>
                <w:rFonts w:ascii="Segoe UI Light" w:eastAsia="Segoe UI Light" w:hAnsi="Segoe UI Light" w:cs="Segoe UI Light"/>
                <w:sz w:val="18"/>
                <w:szCs w:val="18"/>
              </w:rPr>
              <w:t>Impact Analysis Equivalent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C4B07DA" w14:textId="77777777" w:rsidR="1BA52D9E" w:rsidRDefault="009F4A59" w:rsidP="00BC6B00">
            <w:pPr>
              <w:keepNext/>
            </w:pPr>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5793905" w14:textId="3C863738" w:rsidR="4DABB331" w:rsidRDefault="001068F8" w:rsidP="00BC6B00">
            <w:pPr>
              <w:keepNext/>
              <w:rPr>
                <w:rFonts w:ascii="Segoe UI Light" w:eastAsia="Times New Roman" w:hAnsi="Segoe UI Light" w:cs="Segoe UI Light"/>
                <w:sz w:val="18"/>
                <w:szCs w:val="18"/>
                <w:lang w:eastAsia="en-AU"/>
              </w:rPr>
            </w:pPr>
            <w:r>
              <w:rPr>
                <w:rFonts w:ascii="Segoe UI Light" w:eastAsia="Segoe UI Light" w:hAnsi="Segoe UI Light" w:cs="Segoe UI Light"/>
                <w:sz w:val="18"/>
                <w:szCs w:val="18"/>
              </w:rPr>
              <w:t>$5.38</w:t>
            </w:r>
            <w:r w:rsidR="00DB121D">
              <w:rPr>
                <w:rFonts w:ascii="Segoe UI Light" w:eastAsia="Segoe UI Light" w:hAnsi="Segoe UI Light" w:cs="Segoe UI Light"/>
                <w:sz w:val="18"/>
                <w:szCs w:val="18"/>
              </w:rPr>
              <w:t>m</w:t>
            </w:r>
            <w:r w:rsidR="009F4A59" w:rsidRPr="1749066B">
              <w:rPr>
                <w:rFonts w:ascii="Segoe UI Light" w:eastAsia="Times New Roman" w:hAnsi="Segoe UI Light" w:cs="Segoe UI Light"/>
                <w:sz w:val="18"/>
                <w:szCs w:val="18"/>
                <w:lang w:eastAsia="en-AU"/>
              </w:rPr>
              <w:t xml:space="preserve"> </w:t>
            </w:r>
          </w:p>
        </w:tc>
      </w:tr>
      <w:tr w:rsidR="009653C2" w14:paraId="7AF88279" w14:textId="77777777" w:rsidTr="00133318">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F015AA4" w14:textId="2AD0AAC6" w:rsidR="009653C2" w:rsidRPr="1749066B" w:rsidRDefault="00E863C0" w:rsidP="00BC6B00">
            <w:pPr>
              <w:keepNext/>
              <w:spacing w:after="0"/>
              <w:rPr>
                <w:rFonts w:ascii="Segoe UI Light" w:eastAsia="Times New Roman" w:hAnsi="Segoe UI Light" w:cs="Segoe UI Light"/>
                <w:sz w:val="18"/>
                <w:szCs w:val="18"/>
                <w:lang w:eastAsia="en-AU"/>
              </w:rPr>
            </w:pPr>
            <w:r w:rsidRPr="00E863C0">
              <w:rPr>
                <w:rFonts w:ascii="Segoe UI Light" w:eastAsia="Times New Roman" w:hAnsi="Segoe UI Light" w:cs="Segoe UI Light"/>
                <w:sz w:val="18"/>
                <w:szCs w:val="18"/>
                <w:lang w:eastAsia="en-AU"/>
              </w:rPr>
              <w:t>Regulating Digital Asset Platforms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1FEF95B" w14:textId="0A3D5014"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DB0DF3D" w14:textId="51D4088C"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571166F" w14:textId="1DE82A54"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E7649C2" w14:textId="66F6EC7D" w:rsidR="009653C2" w:rsidRDefault="00E863C0"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w:t>
            </w:r>
            <w:r w:rsidR="006F7F40">
              <w:rPr>
                <w:rFonts w:ascii="Segoe UI Light" w:eastAsia="Segoe UI Light" w:hAnsi="Segoe UI Light" w:cs="Segoe UI Light"/>
                <w:sz w:val="18"/>
                <w:szCs w:val="18"/>
              </w:rPr>
              <w:t>28.4m</w:t>
            </w:r>
          </w:p>
        </w:tc>
      </w:tr>
      <w:tr w:rsidR="009653C2" w14:paraId="244CC84E"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BFACC9B" w14:textId="59200922" w:rsidR="009653C2" w:rsidRPr="1749066B" w:rsidRDefault="00E863C0" w:rsidP="00E863C0">
            <w:pPr>
              <w:keepNext/>
              <w:spacing w:after="0"/>
              <w:rPr>
                <w:rFonts w:ascii="Segoe UI Light" w:eastAsia="Times New Roman" w:hAnsi="Segoe UI Light" w:cs="Segoe UI Light"/>
                <w:sz w:val="18"/>
                <w:szCs w:val="18"/>
                <w:lang w:eastAsia="en-AU"/>
              </w:rPr>
            </w:pPr>
            <w:r w:rsidRPr="00E863C0">
              <w:rPr>
                <w:rFonts w:ascii="Segoe UI Light" w:eastAsia="Times New Roman" w:hAnsi="Segoe UI Light" w:cs="Segoe UI Light"/>
                <w:sz w:val="18"/>
                <w:szCs w:val="18"/>
                <w:lang w:eastAsia="en-AU"/>
              </w:rPr>
              <w:t>Excessive Pricing Prohibition for Supermarkets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F8844FA" w14:textId="54980526"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9CB0F86" w14:textId="36559D28"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E1F6651" w14:textId="7DF32988"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5A4F4B7" w14:textId="52A91E33" w:rsidR="009653C2" w:rsidRPr="00D000CA" w:rsidRDefault="00CA042B" w:rsidP="009E2361">
            <w:pPr>
              <w:keepNext/>
              <w:rPr>
                <w:rFonts w:ascii="Segoe UI Light" w:eastAsia="Segoe UI Light" w:hAnsi="Segoe UI Light" w:cs="Segoe UI Light"/>
                <w:sz w:val="18"/>
                <w:szCs w:val="18"/>
                <w:highlight w:val="yellow"/>
              </w:rPr>
            </w:pPr>
            <w:r w:rsidRPr="00C3512F">
              <w:rPr>
                <w:rFonts w:ascii="Segoe UI Light" w:eastAsia="Segoe UI Light" w:hAnsi="Segoe UI Light" w:cs="Segoe UI Light"/>
                <w:sz w:val="18"/>
                <w:szCs w:val="18"/>
              </w:rPr>
              <w:t xml:space="preserve">The Treasury estimates the </w:t>
            </w:r>
            <w:r w:rsidR="00905D08" w:rsidRPr="00E863C0">
              <w:rPr>
                <w:rFonts w:ascii="Segoe UI Light" w:eastAsia="Times New Roman" w:hAnsi="Segoe UI Light" w:cs="Segoe UI Light"/>
                <w:sz w:val="18"/>
                <w:szCs w:val="18"/>
                <w:lang w:eastAsia="en-AU"/>
              </w:rPr>
              <w:t>Excessive Pricing Prohibition</w:t>
            </w:r>
            <w:r w:rsidRPr="00C3512F">
              <w:rPr>
                <w:rFonts w:ascii="Segoe UI Light" w:eastAsia="Segoe UI Light" w:hAnsi="Segoe UI Light" w:cs="Segoe UI Light"/>
                <w:sz w:val="18"/>
                <w:szCs w:val="18"/>
              </w:rPr>
              <w:t xml:space="preserve"> will increase regulatory costs by $7.2 million (present value), over ten years</w:t>
            </w:r>
            <w:r w:rsidR="00FC6626">
              <w:rPr>
                <w:rFonts w:ascii="Segoe UI Light" w:eastAsia="Segoe UI Light" w:hAnsi="Segoe UI Light" w:cs="Segoe UI Light"/>
                <w:sz w:val="18"/>
                <w:szCs w:val="18"/>
              </w:rPr>
              <w:t>.</w:t>
            </w:r>
            <w:r w:rsidR="008A1061">
              <w:rPr>
                <w:rStyle w:val="FootnoteReference"/>
                <w:rFonts w:ascii="Segoe UI Light" w:eastAsia="Segoe UI Light" w:hAnsi="Segoe UI Light" w:cs="Segoe UI Light"/>
                <w:sz w:val="18"/>
                <w:szCs w:val="18"/>
              </w:rPr>
              <w:footnoteReference w:id="10"/>
            </w:r>
            <w:r w:rsidR="009E2361" w:rsidRPr="009E2361">
              <w:rPr>
                <w:rFonts w:ascii="Segoe UI Light" w:eastAsia="Segoe UI Light" w:hAnsi="Segoe UI Light" w:cs="Segoe UI Light"/>
                <w:sz w:val="18"/>
                <w:szCs w:val="18"/>
              </w:rPr>
              <w:t xml:space="preserve"> </w:t>
            </w:r>
          </w:p>
        </w:tc>
      </w:tr>
      <w:tr w:rsidR="009653C2" w:rsidRPr="00FB082D" w14:paraId="19934FEF"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B40E45A" w14:textId="60EEB2EC" w:rsidR="009653C2" w:rsidRPr="1749066B" w:rsidRDefault="00E863C0" w:rsidP="00BC6B00">
            <w:pPr>
              <w:keepNext/>
              <w:spacing w:after="0"/>
              <w:rPr>
                <w:rFonts w:ascii="Segoe UI Light" w:eastAsia="Times New Roman" w:hAnsi="Segoe UI Light" w:cs="Segoe UI Light"/>
                <w:sz w:val="18"/>
                <w:szCs w:val="18"/>
                <w:lang w:eastAsia="en-AU"/>
              </w:rPr>
            </w:pPr>
            <w:r w:rsidRPr="00E863C0">
              <w:rPr>
                <w:rFonts w:ascii="Segoe UI Light" w:eastAsia="Times New Roman" w:hAnsi="Segoe UI Light" w:cs="Segoe UI Light"/>
                <w:sz w:val="18"/>
                <w:szCs w:val="18"/>
                <w:lang w:eastAsia="en-AU"/>
              </w:rPr>
              <w:t>Cash Acceptance Mandate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38525BD" w14:textId="459D5928"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605A3B7" w14:textId="5EE36264"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1669E71" w14:textId="4553B72A"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92A6AD4" w14:textId="0F4BF51E" w:rsidR="00214983" w:rsidRDefault="00FF3FE5" w:rsidP="00BC6B00">
            <w:pPr>
              <w:keepNext/>
              <w:rPr>
                <w:rFonts w:ascii="Segoe UI Light" w:eastAsia="Segoe UI Light" w:hAnsi="Segoe UI Light" w:cs="Segoe UI Light"/>
                <w:sz w:val="18"/>
                <w:szCs w:val="18"/>
              </w:rPr>
            </w:pPr>
            <w:r w:rsidRPr="00D000CA">
              <w:rPr>
                <w:rFonts w:ascii="Segoe UI Light" w:eastAsia="Segoe UI Light" w:hAnsi="Segoe UI Light" w:cs="Segoe UI Light"/>
                <w:sz w:val="18"/>
                <w:szCs w:val="18"/>
              </w:rPr>
              <w:t xml:space="preserve">Fuel retailing businesses which do not currently accept cash </w:t>
            </w:r>
            <w:r w:rsidR="00823F51" w:rsidRPr="00D000CA">
              <w:rPr>
                <w:rFonts w:ascii="Segoe UI Light" w:eastAsia="Segoe UI Light" w:hAnsi="Segoe UI Light" w:cs="Segoe UI Light"/>
                <w:sz w:val="18"/>
                <w:szCs w:val="18"/>
              </w:rPr>
              <w:t>will incur additional one-off costs of</w:t>
            </w:r>
            <w:r w:rsidR="00214983">
              <w:rPr>
                <w:rFonts w:ascii="Segoe UI Light" w:eastAsia="Segoe UI Light" w:hAnsi="Segoe UI Light" w:cs="Segoe UI Light"/>
                <w:sz w:val="18"/>
                <w:szCs w:val="18"/>
              </w:rPr>
              <w:t xml:space="preserve"> an estimated</w:t>
            </w:r>
            <w:r w:rsidR="00823F51" w:rsidRPr="00D000CA">
              <w:rPr>
                <w:rFonts w:ascii="Segoe UI Light" w:eastAsia="Segoe UI Light" w:hAnsi="Segoe UI Light" w:cs="Segoe UI Light"/>
                <w:sz w:val="18"/>
                <w:szCs w:val="18"/>
              </w:rPr>
              <w:t xml:space="preserve"> $5.</w:t>
            </w:r>
            <w:r w:rsidRPr="00D000CA">
              <w:rPr>
                <w:rFonts w:ascii="Segoe UI Light" w:eastAsia="Segoe UI Light" w:hAnsi="Segoe UI Light" w:cs="Segoe UI Light"/>
                <w:sz w:val="18"/>
                <w:szCs w:val="18"/>
              </w:rPr>
              <w:t>8m</w:t>
            </w:r>
            <w:r w:rsidR="00823F51" w:rsidRPr="00D000CA">
              <w:rPr>
                <w:rFonts w:ascii="Segoe UI Light" w:eastAsia="Segoe UI Light" w:hAnsi="Segoe UI Light" w:cs="Segoe UI Light"/>
                <w:sz w:val="18"/>
                <w:szCs w:val="18"/>
              </w:rPr>
              <w:t xml:space="preserve"> for the installation of cash accepting terminals and ongoing cash handling costs. </w:t>
            </w:r>
          </w:p>
          <w:p w14:paraId="58D90B4C" w14:textId="17AFEB63" w:rsidR="009653C2" w:rsidRPr="00FB082D" w:rsidRDefault="00823F51" w:rsidP="00BC6B00">
            <w:pPr>
              <w:keepNext/>
              <w:rPr>
                <w:rFonts w:ascii="Segoe UI Light" w:eastAsia="Segoe UI Light" w:hAnsi="Segoe UI Light" w:cs="Segoe UI Light"/>
                <w:sz w:val="18"/>
                <w:szCs w:val="18"/>
              </w:rPr>
            </w:pPr>
            <w:r w:rsidRPr="00D000CA">
              <w:rPr>
                <w:rFonts w:ascii="Segoe UI Light" w:eastAsia="Segoe UI Light" w:hAnsi="Segoe UI Light" w:cs="Segoe UI Light"/>
                <w:sz w:val="18"/>
                <w:szCs w:val="18"/>
              </w:rPr>
              <w:t>For all in-scope businesses, the additional average annual ongoing cash handling costs are estimated to range from $14.2</w:t>
            </w:r>
            <w:r w:rsidR="00FF3FE5" w:rsidRPr="00D000CA">
              <w:rPr>
                <w:rFonts w:ascii="Segoe UI Light" w:eastAsia="Segoe UI Light" w:hAnsi="Segoe UI Light" w:cs="Segoe UI Light"/>
                <w:sz w:val="18"/>
                <w:szCs w:val="18"/>
              </w:rPr>
              <w:t>m</w:t>
            </w:r>
            <w:r w:rsidR="00FC6626">
              <w:rPr>
                <w:rFonts w:ascii="Segoe UI Light" w:eastAsia="Segoe UI Light" w:hAnsi="Segoe UI Light" w:cs="Segoe UI Light"/>
                <w:sz w:val="18"/>
                <w:szCs w:val="18"/>
              </w:rPr>
              <w:t xml:space="preserve"> to </w:t>
            </w:r>
            <w:r w:rsidRPr="00D000CA">
              <w:rPr>
                <w:rFonts w:ascii="Segoe UI Light" w:eastAsia="Segoe UI Light" w:hAnsi="Segoe UI Light" w:cs="Segoe UI Light"/>
                <w:sz w:val="18"/>
                <w:szCs w:val="18"/>
              </w:rPr>
              <w:t>$28.4</w:t>
            </w:r>
            <w:r w:rsidR="00FF3FE5" w:rsidRPr="00D000CA">
              <w:rPr>
                <w:rFonts w:ascii="Segoe UI Light" w:eastAsia="Segoe UI Light" w:hAnsi="Segoe UI Light" w:cs="Segoe UI Light"/>
                <w:sz w:val="18"/>
                <w:szCs w:val="18"/>
              </w:rPr>
              <w:t>m</w:t>
            </w:r>
            <w:r w:rsidR="00FC6626">
              <w:rPr>
                <w:rFonts w:ascii="Segoe UI Light" w:eastAsia="Segoe UI Light" w:hAnsi="Segoe UI Light" w:cs="Segoe UI Light"/>
                <w:sz w:val="18"/>
                <w:szCs w:val="18"/>
              </w:rPr>
              <w:t>.</w:t>
            </w:r>
            <w:r w:rsidR="00FF3FE5" w:rsidRPr="00FC6626">
              <w:rPr>
                <w:rStyle w:val="FootnoteReference"/>
                <w:rFonts w:ascii="Segoe UI Light" w:eastAsia="Segoe UI Light" w:hAnsi="Segoe UI Light" w:cs="Segoe UI Light"/>
                <w:sz w:val="18"/>
                <w:szCs w:val="18"/>
              </w:rPr>
              <w:footnoteReference w:id="11"/>
            </w:r>
            <w:r w:rsidRPr="00FC6626">
              <w:rPr>
                <w:rFonts w:ascii="Segoe UI Light" w:eastAsia="Segoe UI Light" w:hAnsi="Segoe UI Light" w:cs="Segoe UI Light"/>
                <w:sz w:val="18"/>
                <w:szCs w:val="18"/>
              </w:rPr>
              <w:t> </w:t>
            </w:r>
          </w:p>
        </w:tc>
      </w:tr>
      <w:tr w:rsidR="00F11053" w:rsidRPr="00FB082D" w14:paraId="662D3EC2"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A0CA88D" w14:textId="4721696E" w:rsidR="00F11053" w:rsidRPr="00E863C0" w:rsidRDefault="00C1555E" w:rsidP="00BC6B00">
            <w:pPr>
              <w:keepNext/>
              <w:spacing w:after="0"/>
              <w:rPr>
                <w:rFonts w:ascii="Segoe UI Light" w:eastAsia="Times New Roman" w:hAnsi="Segoe UI Light" w:cs="Segoe UI Light"/>
                <w:sz w:val="18"/>
                <w:szCs w:val="18"/>
                <w:lang w:eastAsia="en-AU"/>
              </w:rPr>
            </w:pPr>
            <w:r w:rsidRPr="00C1555E">
              <w:rPr>
                <w:rFonts w:ascii="Segoe UI Light" w:eastAsia="Times New Roman" w:hAnsi="Segoe UI Light" w:cs="Segoe UI Light"/>
                <w:sz w:val="18"/>
                <w:szCs w:val="18"/>
                <w:lang w:eastAsia="en-AU"/>
              </w:rPr>
              <w:t>Capital Gains Tax and Negative Gearing</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2AB030F" w14:textId="5299FEE6" w:rsidR="00F11053" w:rsidRDefault="00F11053"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5A14E7C" w14:textId="4A4CDBFA" w:rsidR="00F11053" w:rsidRDefault="00F11053"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Impact Analysis Equivalent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84CC470" w14:textId="45F3EF69" w:rsidR="00F11053" w:rsidRDefault="00F11053"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418CAEA" w14:textId="37515F52" w:rsidR="00F11053" w:rsidRPr="00D000CA" w:rsidRDefault="00F1320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$88.4m</w:t>
            </w:r>
          </w:p>
        </w:tc>
      </w:tr>
      <w:tr w:rsidR="00273571" w:rsidRPr="00FB082D" w14:paraId="40C7C4E9" w14:textId="77777777" w:rsidTr="005156A0">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26E9CAE0" w14:textId="77777777" w:rsidR="5206BDA1" w:rsidRDefault="009F4A59" w:rsidP="1D08FC23">
            <w:pPr>
              <w:rPr>
                <w:rFonts w:ascii="Segoe UI Light" w:eastAsia="Times New Roman" w:hAnsi="Segoe UI Light" w:cs="Segoe UI Light"/>
                <w:sz w:val="18"/>
                <w:szCs w:val="18"/>
                <w:lang w:eastAsia="en-AU"/>
              </w:rPr>
            </w:pPr>
            <w:r w:rsidRPr="1D08FC23">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7218C69E" w14:textId="2FFF7058" w:rsidR="5206BDA1" w:rsidRDefault="00F13201" w:rsidP="1D08FC23">
            <w:pPr>
              <w:rPr>
                <w:rFonts w:ascii="Segoe UI Light" w:eastAsia="Segoe UI Light" w:hAnsi="Segoe UI Light" w:cs="Segoe UI Light"/>
                <w:sz w:val="18"/>
                <w:szCs w:val="18"/>
              </w:rPr>
            </w:pPr>
            <w:r>
              <w:rPr>
                <w:rFonts w:ascii="Segoe UI Light" w:eastAsia="Segoe UI Light" w:hAnsi="Segoe UI Light" w:cs="Segoe UI Light"/>
                <w:sz w:val="18"/>
                <w:szCs w:val="18"/>
              </w:rPr>
              <w:t>5</w:t>
            </w:r>
            <w:r w:rsidR="009F4A59" w:rsidRPr="1D08FC23">
              <w:rPr>
                <w:rFonts w:ascii="Segoe UI Light" w:eastAsia="Segoe UI Light" w:hAnsi="Segoe UI Light" w:cs="Segoe UI Light"/>
                <w:sz w:val="18"/>
                <w:szCs w:val="18"/>
              </w:rPr>
              <w:t xml:space="preserve"> / </w:t>
            </w:r>
            <w:r>
              <w:rPr>
                <w:rFonts w:ascii="Segoe UI Light" w:eastAsia="Segoe UI Light" w:hAnsi="Segoe UI Light" w:cs="Segoe UI Light"/>
                <w:sz w:val="18"/>
                <w:szCs w:val="18"/>
              </w:rPr>
              <w:t>5</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B889409"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1A3E1D5" w14:textId="44F0590E"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 xml:space="preserve">0 / </w:t>
            </w:r>
            <w:r w:rsidR="00F13201">
              <w:rPr>
                <w:rFonts w:ascii="Segoe UI Light" w:eastAsia="Segoe UI Light" w:hAnsi="Segoe UI Light" w:cs="Segoe UI Light"/>
                <w:sz w:val="18"/>
                <w:szCs w:val="18"/>
              </w:rPr>
              <w:t>5</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71B6393" w14:textId="21A32F54" w:rsidR="5206BDA1" w:rsidRPr="00FB082D" w:rsidRDefault="005D1B80" w:rsidP="1D08FC23">
            <w:pPr>
              <w:rPr>
                <w:rFonts w:ascii="Segoe UI Light" w:eastAsia="Segoe UI Light" w:hAnsi="Segoe UI Light" w:cs="Segoe UI Light"/>
                <w:sz w:val="18"/>
                <w:szCs w:val="18"/>
              </w:rPr>
            </w:pPr>
            <w:r w:rsidRPr="00FB082D">
              <w:rPr>
                <w:rFonts w:ascii="Segoe UI Light" w:eastAsia="Segoe UI Light" w:hAnsi="Segoe UI Light" w:cs="Segoe UI Light"/>
                <w:sz w:val="18"/>
                <w:szCs w:val="18"/>
              </w:rPr>
              <w:t>$</w:t>
            </w:r>
            <w:r w:rsidR="00F13201">
              <w:rPr>
                <w:rFonts w:ascii="Segoe UI Light" w:eastAsia="Segoe UI Light" w:hAnsi="Segoe UI Light" w:cs="Segoe UI Light"/>
                <w:sz w:val="18"/>
                <w:szCs w:val="18"/>
              </w:rPr>
              <w:t>122</w:t>
            </w:r>
            <w:r w:rsidRPr="00FB082D">
              <w:rPr>
                <w:rFonts w:ascii="Segoe UI Light" w:eastAsia="Segoe UI Light" w:hAnsi="Segoe UI Light" w:cs="Segoe UI Light"/>
                <w:sz w:val="18"/>
                <w:szCs w:val="18"/>
              </w:rPr>
              <w:t>.</w:t>
            </w:r>
            <w:r w:rsidR="00F13201">
              <w:rPr>
                <w:rFonts w:ascii="Segoe UI Light" w:eastAsia="Segoe UI Light" w:hAnsi="Segoe UI Light" w:cs="Segoe UI Light"/>
                <w:sz w:val="18"/>
                <w:szCs w:val="18"/>
              </w:rPr>
              <w:t>18</w:t>
            </w:r>
            <w:r w:rsidR="00DB121D" w:rsidRPr="00FB082D">
              <w:rPr>
                <w:rFonts w:ascii="Segoe UI Light" w:eastAsia="Segoe UI Light" w:hAnsi="Segoe UI Light" w:cs="Segoe UI Light"/>
                <w:sz w:val="18"/>
                <w:szCs w:val="18"/>
              </w:rPr>
              <w:t>m</w:t>
            </w:r>
            <w:r w:rsidRPr="00FB082D">
              <w:rPr>
                <w:rFonts w:ascii="Segoe UI Light" w:eastAsia="Times New Roman" w:hAnsi="Segoe UI Light" w:cs="Segoe UI Light"/>
                <w:sz w:val="18"/>
                <w:szCs w:val="18"/>
                <w:lang w:eastAsia="en-AU"/>
              </w:rPr>
              <w:t xml:space="preserve"> </w:t>
            </w:r>
          </w:p>
        </w:tc>
      </w:tr>
    </w:tbl>
    <w:p w14:paraId="4ADA0110" w14:textId="77777777" w:rsidR="1749066B" w:rsidRDefault="1749066B"/>
    <w:p w14:paraId="70C6DDBC" w14:textId="77777777" w:rsidR="00E32381" w:rsidRDefault="00E32381">
      <w:pPr>
        <w:spacing w:after="200"/>
        <w:rPr>
          <w:rFonts w:ascii="Times New Roman" w:eastAsia="Times New Roman" w:hAnsi="Times New Roman" w:cs="Times New Roman"/>
          <w:color w:val="192D56"/>
          <w:sz w:val="32"/>
          <w:szCs w:val="28"/>
        </w:rPr>
      </w:pPr>
      <w:r>
        <w:rPr>
          <w:rFonts w:ascii="Times New Roman" w:eastAsia="Times New Roman" w:hAnsi="Times New Roman" w:cs="Times New Roman"/>
          <w:color w:val="192D56"/>
        </w:rPr>
        <w:br w:type="page"/>
      </w:r>
    </w:p>
    <w:p w14:paraId="6BB2ED8A" w14:textId="76C4A3A5" w:rsidR="00E32381" w:rsidRDefault="00E32381" w:rsidP="00691488">
      <w:pPr>
        <w:pStyle w:val="Heading1"/>
        <w:rPr>
          <w:rFonts w:ascii="Times New Roman" w:eastAsia="Times New Roman" w:hAnsi="Times New Roman" w:cs="Times New Roman"/>
          <w:color w:val="192D56"/>
        </w:rPr>
      </w:pPr>
      <w:bookmarkStart w:id="19" w:name="_Toc233729013"/>
      <w:r>
        <w:rPr>
          <w:rFonts w:ascii="Times New Roman" w:eastAsia="Times New Roman" w:hAnsi="Times New Roman" w:cs="Times New Roman"/>
          <w:color w:val="192D56"/>
        </w:rPr>
        <w:t>Prime Minister’s Exemptions</w:t>
      </w:r>
      <w:bookmarkEnd w:id="19"/>
    </w:p>
    <w:p w14:paraId="4A4FC743" w14:textId="77777777" w:rsidR="00E32381" w:rsidRPr="00B6110B" w:rsidRDefault="00E32381" w:rsidP="00E32381">
      <w:pPr>
        <w:pStyle w:val="Caption"/>
      </w:pPr>
      <w:r>
        <w:t xml:space="preserve">Table </w:t>
      </w:r>
      <w:r>
        <w:fldChar w:fldCharType="begin"/>
      </w:r>
      <w:r>
        <w:instrText>SEQ Figure \* ARABIC</w:instrText>
      </w:r>
      <w:r>
        <w:fldChar w:fldCharType="separate"/>
      </w:r>
      <w:r>
        <w:rPr>
          <w:noProof/>
        </w:rPr>
        <w:t>1</w:t>
      </w:r>
      <w:r>
        <w:fldChar w:fldCharType="end"/>
      </w:r>
      <w:r>
        <w:t>. Compliance Summary: Prime Minister’s Exemptions</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E32381" w14:paraId="7391C5B5" w14:textId="77777777" w:rsidTr="00A13C67">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19C2031" w14:textId="77777777" w:rsidR="00E32381" w:rsidRPr="00DF0B7F" w:rsidRDefault="00E32381" w:rsidP="00A13C67">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0D8BE340" w14:textId="77777777" w:rsidR="00E32381" w:rsidRPr="00DF0B7F" w:rsidRDefault="00E32381" w:rsidP="00A13C67">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A99D402" w14:textId="77777777" w:rsidR="00E32381" w:rsidRPr="00DF0B7F" w:rsidRDefault="00E32381" w:rsidP="00A13C67">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0A672EB1" w14:textId="77777777" w:rsidR="00E32381" w:rsidRPr="00DF0B7F" w:rsidRDefault="00E32381" w:rsidP="00A13C67">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3376E73C" w14:textId="77777777" w:rsidR="00E32381" w:rsidRPr="00DF0B7F" w:rsidRDefault="00E32381" w:rsidP="00A13C67">
            <w:pPr>
              <w:jc w:val="center"/>
            </w:pPr>
            <w:r w:rsidRPr="00DF0B7F">
              <w:rPr>
                <w:rFonts w:ascii="Segoe UI" w:eastAsia="Segoe UI" w:hAnsi="Segoe UI" w:cs="Segoe UI"/>
                <w:sz w:val="18"/>
                <w:szCs w:val="18"/>
              </w:rPr>
              <w:t>Annual Regulatory Burden ($m)</w:t>
            </w:r>
          </w:p>
        </w:tc>
      </w:tr>
      <w:tr w:rsidR="00E32381" w14:paraId="0A5E6689" w14:textId="77777777" w:rsidTr="00A13C67">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A5A9396" w14:textId="77777777" w:rsidR="00E32381" w:rsidRPr="00B6110B" w:rsidRDefault="00E32381" w:rsidP="00A13C67">
            <w:pPr>
              <w:spacing w:after="0"/>
              <w:rPr>
                <w:rFonts w:ascii="Segoe UI Light" w:eastAsia="Times New Roman" w:hAnsi="Segoe UI Light" w:cs="Segoe UI Light"/>
                <w:b/>
                <w:sz w:val="18"/>
                <w:szCs w:val="18"/>
                <w:lang w:eastAsia="en-AU"/>
              </w:rPr>
            </w:pPr>
            <w:r w:rsidRPr="00B6110B">
              <w:rPr>
                <w:rFonts w:ascii="Segoe UI Light" w:eastAsia="Times New Roman" w:hAnsi="Segoe UI Light" w:cs="Segoe UI Light"/>
                <w:b/>
                <w:sz w:val="18"/>
                <w:szCs w:val="18"/>
                <w:lang w:eastAsia="en-AU"/>
              </w:rPr>
              <w:t>Department of Foreign Affairs and Trade</w:t>
            </w:r>
          </w:p>
          <w:p w14:paraId="3FDCAB72" w14:textId="77777777" w:rsidR="00E32381" w:rsidRDefault="00E32381" w:rsidP="00A13C67">
            <w:pPr>
              <w:spacing w:after="0"/>
              <w:rPr>
                <w:rFonts w:ascii="Segoe UI Light" w:eastAsia="Times New Roman" w:hAnsi="Segoe UI Light" w:cs="Segoe UI Light"/>
                <w:sz w:val="18"/>
                <w:szCs w:val="18"/>
                <w:lang w:eastAsia="en-AU"/>
              </w:rPr>
            </w:pPr>
            <w:r w:rsidRPr="00B6110B">
              <w:rPr>
                <w:rFonts w:ascii="Segoe UI Light" w:eastAsia="Times New Roman" w:hAnsi="Segoe UI Light" w:cs="Segoe UI Light"/>
                <w:bCs/>
                <w:sz w:val="18"/>
                <w:szCs w:val="18"/>
                <w:lang w:eastAsia="en-AU"/>
              </w:rPr>
              <w:t>Export Finance and Insurance Corporation Amendment (Strategic Reserve) Act 2026</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FAA18F9" w14:textId="77777777" w:rsidR="00E32381" w:rsidRDefault="00E32381" w:rsidP="00A13C67">
            <w:r w:rsidRPr="2DCD0ED0">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B8CB2CC" w14:textId="77777777" w:rsidR="00E32381" w:rsidRDefault="00E32381" w:rsidP="00A13C67">
            <w:r>
              <w:rPr>
                <w:rFonts w:ascii="Segoe UI Light" w:eastAsia="Segoe UI Light" w:hAnsi="Segoe UI Light" w:cs="Segoe UI Light"/>
                <w:sz w:val="18"/>
                <w:szCs w:val="18"/>
              </w:rPr>
              <w:t>N/A</w:t>
            </w:r>
            <w:r>
              <w:t xml:space="preserve"> </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FB3E146" w14:textId="77777777" w:rsidR="00E32381" w:rsidRDefault="00E32381" w:rsidP="00A13C67">
            <w:r>
              <w:rPr>
                <w:rFonts w:ascii="Segoe UI Light" w:eastAsia="Segoe UI Light" w:hAnsi="Segoe UI Light" w:cs="Segoe UI Light"/>
                <w:sz w:val="18"/>
                <w:szCs w:val="18"/>
              </w:rPr>
              <w:t>Yes</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2D617DE" w14:textId="77777777" w:rsidR="00E32381" w:rsidRDefault="00E32381" w:rsidP="00A13C67">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N/A</w:t>
            </w:r>
          </w:p>
        </w:tc>
      </w:tr>
      <w:tr w:rsidR="00E32381" w14:paraId="08318E61" w14:textId="77777777" w:rsidTr="00A13C67">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629042CD" w14:textId="77777777" w:rsidR="00E32381" w:rsidRDefault="00E32381" w:rsidP="00A13C67">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535F92AE" w14:textId="77777777" w:rsidR="00E32381" w:rsidRDefault="00E32381" w:rsidP="00A13C67">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1 / 1</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48AFFBF" w14:textId="77777777" w:rsidR="00E32381" w:rsidRDefault="00E32381" w:rsidP="00A13C67">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381F065" w14:textId="77777777" w:rsidR="00E32381" w:rsidRDefault="00E32381"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 xml:space="preserve">1 </w:t>
            </w:r>
            <w:r w:rsidRPr="2DCD0ED0">
              <w:rPr>
                <w:rFonts w:ascii="Segoe UI Light" w:eastAsia="Segoe UI Light" w:hAnsi="Segoe UI Light" w:cs="Segoe UI Light"/>
                <w:sz w:val="18"/>
                <w:szCs w:val="18"/>
              </w:rPr>
              <w:t>/ 1</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AF01A66" w14:textId="77777777" w:rsidR="00E32381" w:rsidRDefault="00E32381" w:rsidP="00A13C67">
            <w:pPr>
              <w:rPr>
                <w:rFonts w:ascii="Segoe UI Light" w:eastAsia="Segoe UI Light" w:hAnsi="Segoe UI Light" w:cs="Segoe UI Light"/>
                <w:sz w:val="18"/>
                <w:szCs w:val="18"/>
              </w:rPr>
            </w:pPr>
            <w:r>
              <w:rPr>
                <w:rFonts w:ascii="Segoe UI Light" w:eastAsia="Times New Roman" w:hAnsi="Segoe UI Light" w:cs="Segoe UI Light"/>
                <w:sz w:val="18"/>
                <w:szCs w:val="18"/>
                <w:lang w:eastAsia="en-AU"/>
              </w:rPr>
              <w:t>-</w:t>
            </w:r>
            <w:r w:rsidRPr="2DCD0ED0">
              <w:rPr>
                <w:rFonts w:ascii="Segoe UI Light" w:eastAsia="Segoe UI Light" w:hAnsi="Segoe UI Light" w:cs="Segoe UI Light"/>
                <w:sz w:val="18"/>
                <w:szCs w:val="18"/>
              </w:rPr>
              <w:t xml:space="preserve"> </w:t>
            </w:r>
          </w:p>
        </w:tc>
      </w:tr>
    </w:tbl>
    <w:p w14:paraId="2BA93132" w14:textId="23B32386" w:rsidR="22B3018A" w:rsidRDefault="009F4A59">
      <w:r>
        <w:br w:type="page"/>
      </w:r>
    </w:p>
    <w:p w14:paraId="15401C01" w14:textId="68B726DF" w:rsidR="2EF7A30C" w:rsidRDefault="009F4A59" w:rsidP="1B5F02C2">
      <w:pPr>
        <w:pStyle w:val="Heading1"/>
        <w:rPr>
          <w:highlight w:val="yellow"/>
        </w:rPr>
      </w:pPr>
      <w:bookmarkStart w:id="20" w:name="_Toc229664798"/>
      <w:bookmarkStart w:id="21" w:name="_Toc233729014"/>
      <w:r>
        <w:t xml:space="preserve">Appendix A: </w:t>
      </w:r>
      <w:r w:rsidR="5CF0F894">
        <w:t>IA</w:t>
      </w:r>
      <w:r>
        <w:t>s used for consultation,</w:t>
      </w:r>
      <w:r w:rsidR="3DDF96F5">
        <w:t xml:space="preserve"> </w:t>
      </w:r>
      <w:r w:rsidR="7D6D5EDC">
        <w:t>2025-26</w:t>
      </w:r>
      <w:bookmarkEnd w:id="20"/>
      <w:bookmarkEnd w:id="21"/>
    </w:p>
    <w:p w14:paraId="49AEA413" w14:textId="20FFA27A" w:rsidR="42BE1330" w:rsidRDefault="009F4A59" w:rsidP="1D08FC23">
      <w:pPr>
        <w:shd w:val="clear" w:color="auto" w:fill="FFFFFF" w:themeFill="background1"/>
        <w:spacing w:before="220" w:after="220"/>
        <w:rPr>
          <w:rFonts w:ascii="Segoe UI Light" w:eastAsia="Segoe UI Light" w:hAnsi="Segoe UI Light" w:cs="Segoe UI Light"/>
          <w:color w:val="000000" w:themeColor="text1"/>
          <w:szCs w:val="22"/>
        </w:rPr>
      </w:pPr>
      <w:r w:rsidRPr="71E2E32C">
        <w:rPr>
          <w:rFonts w:ascii="Segoe UI Light" w:eastAsia="Segoe UI Light" w:hAnsi="Segoe UI Light" w:cs="Segoe UI Light"/>
          <w:color w:val="000000" w:themeColor="text1"/>
          <w:szCs w:val="22"/>
        </w:rPr>
        <w:t>The IAs</w:t>
      </w:r>
      <w:r w:rsidRPr="71E2E32C">
        <w:rPr>
          <w:rFonts w:ascii="Segoe UI Light" w:eastAsia="Segoe UI Light" w:hAnsi="Segoe UI Light" w:cs="Segoe UI Light"/>
          <w:color w:val="6FC040"/>
          <w:szCs w:val="22"/>
        </w:rPr>
        <w:t xml:space="preserve"> </w:t>
      </w:r>
      <w:r w:rsidRPr="71E2E32C">
        <w:rPr>
          <w:rFonts w:ascii="Segoe UI Light" w:eastAsia="Segoe UI Light" w:hAnsi="Segoe UI Light" w:cs="Segoe UI Light"/>
          <w:color w:val="000000" w:themeColor="text1"/>
          <w:szCs w:val="22"/>
        </w:rPr>
        <w:t>below have been certified by the authoring agencies, subject to an early assessment by the OIA and published for consultation during the current financial year.</w:t>
      </w:r>
    </w:p>
    <w:p w14:paraId="21F3D289" w14:textId="75D30817" w:rsidR="7DFD55B2" w:rsidRDefault="00F90635">
      <w:r>
        <w:t>N/A</w:t>
      </w:r>
    </w:p>
    <w:sectPr w:rsidR="7DFD55B2" w:rsidSect="00F70524">
      <w:headerReference w:type="default" r:id="rId13"/>
      <w:footerReference w:type="default" r:id="rId14"/>
      <w:headerReference w:type="first" r:id="rId15"/>
      <w:footerReference w:type="first" r:id="rId16"/>
      <w:pgSz w:w="11906" w:h="16838"/>
      <w:pgMar w:top="1701" w:right="964" w:bottom="1701" w:left="964" w:header="99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44824" w14:textId="77777777" w:rsidR="00AB6BF9" w:rsidRDefault="00AB6BF9">
      <w:pPr>
        <w:spacing w:after="0" w:line="240" w:lineRule="auto"/>
      </w:pPr>
      <w:r>
        <w:separator/>
      </w:r>
    </w:p>
  </w:endnote>
  <w:endnote w:type="continuationSeparator" w:id="0">
    <w:p w14:paraId="2F180DBC" w14:textId="77777777" w:rsidR="00AB6BF9" w:rsidRDefault="00AB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E678" w14:textId="77777777" w:rsidR="00EC344D" w:rsidRPr="00285CAF" w:rsidRDefault="00EC344D" w:rsidP="00D10635">
    <w:pPr>
      <w:jc w:val="center"/>
    </w:pPr>
  </w:p>
  <w:p w14:paraId="434C7CF9" w14:textId="0D653384" w:rsidR="00EC344D" w:rsidRPr="008046D4" w:rsidRDefault="22B3018A" w:rsidP="7DFD55B2">
    <w:pPr>
      <w:pStyle w:val="Header"/>
    </w:pPr>
    <w:r w:rsidRPr="22B3018A">
      <w:rPr>
        <w:color w:val="7F7F7F" w:themeColor="text1" w:themeTint="80"/>
        <w:sz w:val="18"/>
        <w:szCs w:val="18"/>
      </w:rPr>
      <w:t xml:space="preserve">PM&amp;C | OIA | </w:t>
    </w:r>
    <w:r w:rsidRPr="22B3018A">
      <w:rPr>
        <w:rFonts w:ascii="Segoe UI Light" w:eastAsia="Segoe UI Light" w:hAnsi="Segoe UI Light" w:cs="Segoe UI Light"/>
        <w:color w:val="7F7F7F" w:themeColor="text1" w:themeTint="80"/>
        <w:sz w:val="18"/>
        <w:szCs w:val="18"/>
      </w:rPr>
      <w:t>Australian Government Impact Analysis Status</w:t>
    </w:r>
    <w:r w:rsidRPr="22B3018A">
      <w:rPr>
        <w:color w:val="7F7F7F" w:themeColor="text1" w:themeTint="80"/>
        <w:sz w:val="18"/>
        <w:szCs w:val="18"/>
      </w:rPr>
      <w:t xml:space="preserve">, 2025-26 </w:t>
    </w:r>
    <w:r w:rsidR="009F4A59">
      <w:tab/>
    </w:r>
    <w:r w:rsidR="009F4A59" w:rsidRPr="22B3018A">
      <w:rPr>
        <w:noProof/>
      </w:rPr>
      <w:fldChar w:fldCharType="begin"/>
    </w:r>
    <w:r w:rsidR="009F4A59">
      <w:instrText>PAGE</w:instrText>
    </w:r>
    <w:r w:rsidR="009F4A59" w:rsidRPr="22B3018A">
      <w:fldChar w:fldCharType="separate"/>
    </w:r>
    <w:r w:rsidR="00FB6270">
      <w:rPr>
        <w:noProof/>
      </w:rPr>
      <w:t>3</w:t>
    </w:r>
    <w:r w:rsidR="009F4A59" w:rsidRPr="22B3018A">
      <w:rPr>
        <w:noProof/>
      </w:rPr>
      <w:fldChar w:fldCharType="end"/>
    </w:r>
  </w:p>
  <w:p w14:paraId="65943CB1" w14:textId="2E551986" w:rsidR="00EC344D" w:rsidRPr="008046D4" w:rsidRDefault="009F4A59" w:rsidP="7DFD55B2">
    <w:pPr>
      <w:pStyle w:val="Header"/>
      <w:rPr>
        <w:rFonts w:ascii="Segoe UI" w:hAnsi="Segoe UI" w:cs="Segoe UI"/>
        <w:noProof/>
        <w:color w:val="7F7F7F" w:themeColor="text1" w:themeTint="80"/>
        <w:sz w:val="18"/>
        <w:szCs w:val="18"/>
      </w:rPr>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009B4166" w14:paraId="2052A528" w14:textId="77777777" w:rsidTr="00FA1865">
      <w:trPr>
        <w:trHeight w:val="300"/>
      </w:trPr>
      <w:tc>
        <w:tcPr>
          <w:tcW w:w="3325" w:type="dxa"/>
        </w:tcPr>
        <w:p w14:paraId="4C273B04" w14:textId="33BF81C0" w:rsidR="7F5444F9" w:rsidRDefault="7F5444F9" w:rsidP="00FA1865">
          <w:pPr>
            <w:pStyle w:val="Header"/>
            <w:ind w:left="-115"/>
          </w:pPr>
        </w:p>
      </w:tc>
      <w:tc>
        <w:tcPr>
          <w:tcW w:w="3325" w:type="dxa"/>
        </w:tcPr>
        <w:p w14:paraId="003C2F0F" w14:textId="580098D9" w:rsidR="7F5444F9" w:rsidRDefault="7F5444F9" w:rsidP="00FA1865">
          <w:pPr>
            <w:pStyle w:val="Header"/>
            <w:jc w:val="center"/>
          </w:pPr>
        </w:p>
      </w:tc>
      <w:tc>
        <w:tcPr>
          <w:tcW w:w="3325" w:type="dxa"/>
        </w:tcPr>
        <w:p w14:paraId="226FEAE6" w14:textId="542E4BFE" w:rsidR="7F5444F9" w:rsidRDefault="7F5444F9" w:rsidP="00FA1865">
          <w:pPr>
            <w:pStyle w:val="Header"/>
            <w:ind w:right="-115"/>
            <w:jc w:val="right"/>
          </w:pPr>
        </w:p>
      </w:tc>
    </w:tr>
  </w:tbl>
  <w:p w14:paraId="2773D425" w14:textId="5796EB24" w:rsidR="7F5444F9" w:rsidRDefault="7F5444F9" w:rsidP="00FA1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374A" w14:textId="77777777" w:rsidR="00AB6BF9" w:rsidRDefault="00AB6BF9">
      <w:pPr>
        <w:spacing w:after="0" w:line="240" w:lineRule="auto"/>
      </w:pPr>
      <w:r>
        <w:separator/>
      </w:r>
    </w:p>
  </w:footnote>
  <w:footnote w:type="continuationSeparator" w:id="0">
    <w:p w14:paraId="71BD1585" w14:textId="77777777" w:rsidR="00AB6BF9" w:rsidRDefault="00AB6BF9">
      <w:pPr>
        <w:spacing w:after="0" w:line="240" w:lineRule="auto"/>
      </w:pPr>
      <w:r>
        <w:continuationSeparator/>
      </w:r>
    </w:p>
  </w:footnote>
  <w:footnote w:id="1">
    <w:p w14:paraId="438F535C" w14:textId="5661B930" w:rsidR="005D1B80" w:rsidRDefault="005D1B80">
      <w:pPr>
        <w:pStyle w:val="FootnoteText"/>
      </w:pPr>
      <w:r>
        <w:rPr>
          <w:rStyle w:val="FootnoteReference"/>
        </w:rPr>
        <w:footnoteRef/>
      </w:r>
      <w:r>
        <w:t xml:space="preserve"> </w:t>
      </w:r>
      <w:r w:rsidRPr="005D1B80">
        <w:t>Impact Analysis Equivalents are included in overall compliance.</w:t>
      </w:r>
      <w:r w:rsidR="006F2317">
        <w:t xml:space="preserve"> The </w:t>
      </w:r>
      <w:r w:rsidR="006F2317" w:rsidRPr="003234E7">
        <w:t xml:space="preserve">Addendum </w:t>
      </w:r>
      <w:r w:rsidR="00F3117E">
        <w:t xml:space="preserve">to </w:t>
      </w:r>
      <w:r w:rsidR="003234E7" w:rsidRPr="003234E7">
        <w:t xml:space="preserve">the </w:t>
      </w:r>
      <w:r w:rsidR="0091168D">
        <w:t>‘</w:t>
      </w:r>
      <w:r w:rsidR="003234E7" w:rsidRPr="00617225">
        <w:rPr>
          <w:i/>
          <w:iCs/>
        </w:rPr>
        <w:t>Certification of Final Report of the EPBC Act Review</w:t>
      </w:r>
      <w:r w:rsidR="0091168D">
        <w:rPr>
          <w:i/>
          <w:iCs/>
        </w:rPr>
        <w:t>’</w:t>
      </w:r>
      <w:r w:rsidR="003234E7" w:rsidRPr="00617225">
        <w:rPr>
          <w:i/>
          <w:iCs/>
        </w:rPr>
        <w:t xml:space="preserve"> </w:t>
      </w:r>
      <w:r w:rsidR="00E26D9A">
        <w:t xml:space="preserve">and </w:t>
      </w:r>
      <w:r w:rsidR="00E26D9A">
        <w:rPr>
          <w:i/>
          <w:iCs/>
        </w:rPr>
        <w:t>‘</w:t>
      </w:r>
      <w:r w:rsidR="00E26D9A" w:rsidRPr="00E26D9A">
        <w:rPr>
          <w:i/>
          <w:iCs/>
        </w:rPr>
        <w:t>Improving Integrity in the International Education Sector</w:t>
      </w:r>
      <w:r w:rsidR="00E26D9A">
        <w:rPr>
          <w:i/>
          <w:iCs/>
        </w:rPr>
        <w:t>’</w:t>
      </w:r>
      <w:r w:rsidR="003234E7" w:rsidRPr="00617225">
        <w:rPr>
          <w:i/>
          <w:iCs/>
        </w:rPr>
        <w:t xml:space="preserve"> </w:t>
      </w:r>
      <w:r w:rsidR="00E26D9A">
        <w:t>are</w:t>
      </w:r>
      <w:r w:rsidR="006F2317" w:rsidRPr="003234E7">
        <w:t xml:space="preserve"> not included </w:t>
      </w:r>
      <w:r w:rsidR="003234E7" w:rsidRPr="005D1B80">
        <w:t>in overall compliance</w:t>
      </w:r>
      <w:r w:rsidR="00F3117E">
        <w:t xml:space="preserve"> total</w:t>
      </w:r>
      <w:r w:rsidR="003234E7">
        <w:t xml:space="preserve"> as this is</w:t>
      </w:r>
      <w:r w:rsidR="00F3117E">
        <w:t xml:space="preserve"> an update to an earlier </w:t>
      </w:r>
      <w:r w:rsidR="00F3117E" w:rsidRPr="003234E7">
        <w:t xml:space="preserve">Impact Analysis </w:t>
      </w:r>
      <w:r w:rsidR="00344540">
        <w:t>process</w:t>
      </w:r>
      <w:r w:rsidR="00F3117E">
        <w:t xml:space="preserve">. </w:t>
      </w:r>
    </w:p>
  </w:footnote>
  <w:footnote w:id="2">
    <w:p w14:paraId="5A046C62" w14:textId="725BE77B" w:rsidR="005D1B80" w:rsidRDefault="005D1B80">
      <w:pPr>
        <w:pStyle w:val="FootnoteText"/>
      </w:pPr>
      <w:r>
        <w:rPr>
          <w:rStyle w:val="FootnoteReference"/>
        </w:rPr>
        <w:footnoteRef/>
      </w:r>
      <w:r>
        <w:t xml:space="preserve"> </w:t>
      </w:r>
      <w:r w:rsidRPr="005D1B80">
        <w:t>Exceptional circumstances refer to truly urgent and unforeseen circumstances under which the completion of an IA would delay essential delivery of policy.</w:t>
      </w:r>
    </w:p>
  </w:footnote>
  <w:footnote w:id="3">
    <w:p w14:paraId="51464D8E" w14:textId="3CF85EAC" w:rsidR="005D1B80" w:rsidRPr="00D40D71" w:rsidRDefault="005D1B80">
      <w:pPr>
        <w:pStyle w:val="FootnoteText"/>
        <w:rPr>
          <w:i/>
          <w:iCs/>
        </w:rPr>
      </w:pPr>
      <w:r>
        <w:rPr>
          <w:rStyle w:val="FootnoteReference"/>
        </w:rPr>
        <w:footnoteRef/>
      </w:r>
      <w:r>
        <w:t xml:space="preserve"> </w:t>
      </w:r>
      <w:r w:rsidRPr="00D40D71">
        <w:rPr>
          <w:iCs/>
        </w:rPr>
        <w:t>Positive number represents an increase in regulatory burden. Regulatory burden in IAs are estimated using the</w:t>
      </w:r>
      <w:r w:rsidR="00DB121D">
        <w:rPr>
          <w:iCs/>
        </w:rPr>
        <w:t xml:space="preserve"> </w:t>
      </w:r>
      <w:r w:rsidRPr="00D40D71">
        <w:rPr>
          <w:iCs/>
        </w:rPr>
        <w:t>Commonwealth Regulatory Burden Measurement framework</w:t>
      </w:r>
      <w:r w:rsidR="00DB121D">
        <w:rPr>
          <w:iCs/>
        </w:rPr>
        <w:t xml:space="preserve"> </w:t>
      </w:r>
      <w:r w:rsidRPr="00D40D71">
        <w:rPr>
          <w:iCs/>
        </w:rPr>
        <w:t>and are assumed to be spread over 10 years. The estimate is based on IAs published at the final decision point. The total estimated annual impact may differ</w:t>
      </w:r>
      <w:r w:rsidR="00DB121D">
        <w:rPr>
          <w:iCs/>
        </w:rPr>
        <w:t xml:space="preserve"> </w:t>
      </w:r>
      <w:r w:rsidRPr="00D40D71">
        <w:rPr>
          <w:iCs/>
        </w:rPr>
        <w:t xml:space="preserve">from the other figures in this document due to rounding. </w:t>
      </w:r>
      <w:r w:rsidR="00617225" w:rsidRPr="00617225">
        <w:rPr>
          <w:iCs/>
        </w:rPr>
        <w:t>Regulatory burden estimates presented as a range or a net present value are not included in the total estimated annual impact on Regulatory Burden</w:t>
      </w:r>
    </w:p>
  </w:footnote>
  <w:footnote w:id="4">
    <w:p w14:paraId="08AD5FF0" w14:textId="6D8C2BCC" w:rsidR="0039495A" w:rsidRDefault="0039495A" w:rsidP="0039495A">
      <w:pPr>
        <w:pStyle w:val="FootnoteText"/>
      </w:pPr>
      <w:r>
        <w:rPr>
          <w:rStyle w:val="FootnoteReference"/>
        </w:rPr>
        <w:footnoteRef/>
      </w:r>
      <w:r>
        <w:t xml:space="preserve"> This </w:t>
      </w:r>
      <w:r w:rsidRPr="003234E7">
        <w:t xml:space="preserve">Addendum is not included </w:t>
      </w:r>
      <w:r w:rsidRPr="005D1B80">
        <w:t>in overall compliance</w:t>
      </w:r>
      <w:r>
        <w:t xml:space="preserve"> total as this is an update to an earlier </w:t>
      </w:r>
      <w:r w:rsidRPr="003234E7">
        <w:t>Impact Analysis Equivalent</w:t>
      </w:r>
      <w:r>
        <w:t xml:space="preserve">. </w:t>
      </w:r>
      <w:r w:rsidRPr="005D1B80">
        <w:t xml:space="preserve">Regulatory burden from this </w:t>
      </w:r>
      <w:r w:rsidR="00F9741B">
        <w:t>a</w:t>
      </w:r>
      <w:r w:rsidR="00F9741B" w:rsidRPr="003234E7">
        <w:t>ddendum</w:t>
      </w:r>
      <w:r w:rsidRPr="005D1B80">
        <w:t xml:space="preserve"> is not included in the ‘Estimated annual impact on Regulatory Burden’ in Figure</w:t>
      </w:r>
      <w:r>
        <w:t> </w:t>
      </w:r>
      <w:r w:rsidRPr="005D1B80">
        <w:t>1 or in the ‘Total proposals’ regulatory burden for this figure.</w:t>
      </w:r>
    </w:p>
  </w:footnote>
  <w:footnote w:id="5">
    <w:p w14:paraId="227E175F" w14:textId="427860FE" w:rsidR="00BD5363" w:rsidRDefault="00BD5363">
      <w:pPr>
        <w:pStyle w:val="FootnoteText"/>
      </w:pPr>
      <w:r>
        <w:rPr>
          <w:rStyle w:val="FootnoteReference"/>
        </w:rPr>
        <w:footnoteRef/>
      </w:r>
      <w:r>
        <w:t xml:space="preserve"> </w:t>
      </w:r>
      <w:r w:rsidRPr="005D1B80">
        <w:t>Regulatory burden from this proposal is not included in the ‘Estimated annual impact on Regulatory Burden’ in Figure</w:t>
      </w:r>
      <w:r>
        <w:t> </w:t>
      </w:r>
      <w:r w:rsidRPr="005D1B80">
        <w:t>1 or in the ‘Total proposals’ regulatory burden for this figure.</w:t>
      </w:r>
    </w:p>
  </w:footnote>
  <w:footnote w:id="6">
    <w:p w14:paraId="03A3C683" w14:textId="55A592BA" w:rsidR="0082445A" w:rsidRDefault="0082445A" w:rsidP="0082445A">
      <w:pPr>
        <w:pStyle w:val="FootnoteText"/>
      </w:pPr>
      <w:r>
        <w:rPr>
          <w:rStyle w:val="FootnoteReference"/>
        </w:rPr>
        <w:footnoteRef/>
      </w:r>
      <w:r>
        <w:t xml:space="preserve"> This </w:t>
      </w:r>
      <w:r w:rsidRPr="003234E7">
        <w:t xml:space="preserve">Addendum is not included </w:t>
      </w:r>
      <w:r w:rsidRPr="005D1B80">
        <w:t>in overall compliance</w:t>
      </w:r>
      <w:r>
        <w:t xml:space="preserve"> total as this is an update to an earlier </w:t>
      </w:r>
      <w:r w:rsidRPr="003234E7">
        <w:t>Impact Analysis</w:t>
      </w:r>
      <w:r>
        <w:t xml:space="preserve">. </w:t>
      </w:r>
      <w:r w:rsidRPr="005D1B80">
        <w:t xml:space="preserve">Regulatory burden from this </w:t>
      </w:r>
      <w:r w:rsidR="0043526A">
        <w:t>a</w:t>
      </w:r>
      <w:r w:rsidR="0043526A" w:rsidRPr="003234E7">
        <w:t>ddendum</w:t>
      </w:r>
      <w:r w:rsidRPr="005D1B80">
        <w:t xml:space="preserve"> is not included in the ‘Estimated annual impact on Regulatory Burden’ in Figure</w:t>
      </w:r>
      <w:r>
        <w:t> </w:t>
      </w:r>
      <w:r w:rsidRPr="005D1B80">
        <w:t>1 or in the ‘Total proposals’ regulatory burden for this figure.</w:t>
      </w:r>
    </w:p>
  </w:footnote>
  <w:footnote w:id="7">
    <w:p w14:paraId="5FF1029B" w14:textId="2EA234FD" w:rsidR="005D1B80" w:rsidRDefault="005D1B80">
      <w:pPr>
        <w:pStyle w:val="FootnoteText"/>
      </w:pPr>
      <w:r>
        <w:rPr>
          <w:rStyle w:val="FootnoteReference"/>
        </w:rPr>
        <w:footnoteRef/>
      </w:r>
      <w:r>
        <w:t xml:space="preserve"> </w:t>
      </w:r>
      <w:r w:rsidRPr="005D1B80">
        <w:t>Regulatory burden from this proposal is not included in the ‘Estimated annual impact on Regulatory Burden’ in Figure</w:t>
      </w:r>
      <w:r w:rsidR="00B36B3B">
        <w:t> </w:t>
      </w:r>
      <w:r w:rsidRPr="005D1B80">
        <w:t>1 or in the ‘Total proposals’ regulatory burden for this figure.</w:t>
      </w:r>
    </w:p>
  </w:footnote>
  <w:footnote w:id="8">
    <w:p w14:paraId="711DCF25" w14:textId="215A02F7" w:rsidR="00FB6270" w:rsidRDefault="00FB6270" w:rsidP="00FB6270">
      <w:pPr>
        <w:pStyle w:val="FootnoteText"/>
      </w:pPr>
      <w:r>
        <w:rPr>
          <w:rStyle w:val="FootnoteReference"/>
        </w:rPr>
        <w:footnoteRef/>
      </w:r>
      <w:r w:rsidR="2DCD0ED0">
        <w:t xml:space="preserve"> </w:t>
      </w:r>
      <w:r w:rsidR="2DCD0ED0" w:rsidRPr="005D1B80">
        <w:t>Regulatory burden from this proposal is not included in the ‘Estimated annual impact on Regulatory Burden’ in Figure</w:t>
      </w:r>
      <w:r w:rsidR="00944A0C">
        <w:t> </w:t>
      </w:r>
      <w:r w:rsidR="2DCD0ED0" w:rsidRPr="005D1B80">
        <w:t>1 or in the ‘Total proposals’ regulatory burden for this figure.</w:t>
      </w:r>
    </w:p>
  </w:footnote>
  <w:footnote w:id="9">
    <w:p w14:paraId="6C86BC01" w14:textId="42F9B9F8" w:rsidR="005D1B80" w:rsidRDefault="005D1B80">
      <w:pPr>
        <w:pStyle w:val="FootnoteText"/>
      </w:pPr>
      <w:r>
        <w:rPr>
          <w:rStyle w:val="FootnoteReference"/>
        </w:rPr>
        <w:footnoteRef/>
      </w:r>
      <w:r>
        <w:t xml:space="preserve"> </w:t>
      </w:r>
      <w:r w:rsidRPr="00D40D71">
        <w:rPr>
          <w:iCs/>
        </w:rPr>
        <w:t>Regulatory burden from this proposal is not included in the ‘Estimated annual impact on Regulatory Burden’ in Figure</w:t>
      </w:r>
      <w:r w:rsidR="00985BBE">
        <w:rPr>
          <w:iCs/>
        </w:rPr>
        <w:t> </w:t>
      </w:r>
      <w:r w:rsidRPr="00D40D71">
        <w:rPr>
          <w:iCs/>
        </w:rPr>
        <w:t>1 or in the ‘Total proposals’ regulatory burden for this figure.</w:t>
      </w:r>
    </w:p>
  </w:footnote>
  <w:footnote w:id="10">
    <w:p w14:paraId="034CF6C4" w14:textId="325BDADC" w:rsidR="008A1061" w:rsidRDefault="008A1061">
      <w:pPr>
        <w:pStyle w:val="FootnoteText"/>
      </w:pPr>
      <w:r>
        <w:rPr>
          <w:rStyle w:val="FootnoteReference"/>
        </w:rPr>
        <w:footnoteRef/>
      </w:r>
      <w:r>
        <w:t xml:space="preserve"> </w:t>
      </w:r>
      <w:r w:rsidRPr="008A1061">
        <w:t>Regulatory burden from this proposal is not included in the ‘Estimated annual impact on Regulatory Burden’ in Figure</w:t>
      </w:r>
      <w:r w:rsidR="008A650F">
        <w:t> </w:t>
      </w:r>
      <w:r w:rsidRPr="008A1061">
        <w:t>1 or in the ‘Total proposals’ regulatory burden for this figure.</w:t>
      </w:r>
    </w:p>
  </w:footnote>
  <w:footnote w:id="11">
    <w:p w14:paraId="5BD0AD82" w14:textId="1C7E3014" w:rsidR="00FF3FE5" w:rsidRDefault="00FF3FE5">
      <w:pPr>
        <w:pStyle w:val="FootnoteText"/>
      </w:pPr>
      <w:r>
        <w:rPr>
          <w:rStyle w:val="FootnoteReference"/>
        </w:rPr>
        <w:footnoteRef/>
      </w:r>
      <w:r>
        <w:t xml:space="preserve"> </w:t>
      </w:r>
      <w:r w:rsidRPr="00D40D71">
        <w:rPr>
          <w:iCs/>
        </w:rPr>
        <w:t>Regulatory burden from this proposal is not included in the ‘Estimated annual impact on Regulatory Burden’ in Figure</w:t>
      </w:r>
      <w:r>
        <w:rPr>
          <w:iCs/>
        </w:rPr>
        <w:t> </w:t>
      </w:r>
      <w:r w:rsidRPr="00D40D71">
        <w:rPr>
          <w:iCs/>
        </w:rPr>
        <w:t>1 or in the ‘Total proposals’ regulatory burden for this figure.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6FA7" w14:textId="495C0C2E" w:rsidR="00EC344D" w:rsidRPr="00D10635" w:rsidRDefault="009F4A59" w:rsidP="00D10635">
    <w:pPr>
      <w:jc w:val="center"/>
    </w:pPr>
    <w:r>
      <w:rPr>
        <w:noProof/>
        <w:lang w:eastAsia="en-AU"/>
      </w:rPr>
      <mc:AlternateContent>
        <mc:Choice Requires="wps">
          <w:drawing>
            <wp:anchor distT="0" distB="0" distL="114300" distR="114300" simplePos="0" relativeHeight="251658241" behindDoc="1" locked="0" layoutInCell="1" allowOverlap="1" wp14:anchorId="7ED0CB52" wp14:editId="07777777">
              <wp:simplePos x="0" y="0"/>
              <wp:positionH relativeFrom="column">
                <wp:posOffset>6334941</wp:posOffset>
              </wp:positionH>
              <wp:positionV relativeFrom="page">
                <wp:posOffset>691515</wp:posOffset>
              </wp:positionV>
              <wp:extent cx="60840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76F9AF55">
            <v:line id="Straight Connector 4" style="position:absolute;z-index:-25165823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spid="_x0000_s1026" strokecolor="black [3200]" strokeweight=".5pt" from="498.8pt,54.45pt" to="546.7pt,54.45pt" w14:anchorId="3407C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z/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">
              <v:stroke joinstyle="miter"/>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B88E" w14:textId="4814E2AE" w:rsidR="00EC344D" w:rsidRDefault="009F4A59" w:rsidP="00F70524">
    <w:pPr>
      <w:pStyle w:val="Header"/>
    </w:pPr>
    <w:r>
      <w:rPr>
        <w:noProof/>
        <w:lang w:eastAsia="en-AU"/>
      </w:rPr>
      <w:drawing>
        <wp:anchor distT="0" distB="0" distL="114300" distR="114300" simplePos="0" relativeHeight="251658243" behindDoc="0" locked="0" layoutInCell="1" allowOverlap="1" wp14:anchorId="579B05D2" wp14:editId="07777777">
          <wp:simplePos x="0" y="0"/>
          <wp:positionH relativeFrom="column">
            <wp:posOffset>3764626</wp:posOffset>
          </wp:positionH>
          <wp:positionV relativeFrom="paragraph">
            <wp:posOffset>-613868</wp:posOffset>
          </wp:positionV>
          <wp:extent cx="1102995" cy="885190"/>
          <wp:effectExtent l="0" t="0" r="1905" b="0"/>
          <wp:wrapSquare wrapText="bothSides"/>
          <wp:docPr id="3" name="Picture 3" descr="The Office of Impac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A-LOGO-CMYK-BOTTOM.png"/>
                  <pic:cNvPicPr/>
                </pic:nvPicPr>
                <pic:blipFill>
                  <a:blip r:embed="rId1">
                    <a:extLst>
                      <a:ext uri="{28A0092B-C50C-407E-A947-70E740481C1C}">
                        <a14:useLocalDpi xmlns:a14="http://schemas.microsoft.com/office/drawing/2010/main" val="0"/>
                      </a:ext>
                    </a:extLst>
                  </a:blip>
                  <a:stretch>
                    <a:fillRect/>
                  </a:stretch>
                </pic:blipFill>
                <pic:spPr>
                  <a:xfrm>
                    <a:off x="0" y="0"/>
                    <a:ext cx="1102995" cy="88519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2" behindDoc="0" locked="0" layoutInCell="1" allowOverlap="1" wp14:anchorId="6CB00189" wp14:editId="07777777">
          <wp:simplePos x="0" y="0"/>
          <wp:positionH relativeFrom="column">
            <wp:posOffset>-480350</wp:posOffset>
          </wp:positionH>
          <wp:positionV relativeFrom="paragraph">
            <wp:posOffset>-469185</wp:posOffset>
          </wp:positionV>
          <wp:extent cx="3239168" cy="907993"/>
          <wp:effectExtent l="0" t="0" r="0" b="6985"/>
          <wp:wrapSquare wrapText="bothSides"/>
          <wp:docPr id="5" name="Picture 5" descr="Australian Government Department of the Prime Minister and Cabei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C logo.jpg"/>
                  <pic:cNvPicPr/>
                </pic:nvPicPr>
                <pic:blipFill>
                  <a:blip r:embed="rId2">
                    <a:extLst>
                      <a:ext uri="{28A0092B-C50C-407E-A947-70E740481C1C}">
                        <a14:useLocalDpi xmlns:a14="http://schemas.microsoft.com/office/drawing/2010/main" val="0"/>
                      </a:ext>
                    </a:extLst>
                  </a:blip>
                  <a:stretch>
                    <a:fillRect/>
                  </a:stretch>
                </pic:blipFill>
                <pic:spPr>
                  <a:xfrm>
                    <a:off x="0" y="0"/>
                    <a:ext cx="3239168" cy="907993"/>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1" locked="0" layoutInCell="1" allowOverlap="1" wp14:anchorId="0496D35C" wp14:editId="07777777">
              <wp:simplePos x="0" y="0"/>
              <wp:positionH relativeFrom="column">
                <wp:posOffset>6220460</wp:posOffset>
              </wp:positionH>
              <wp:positionV relativeFrom="page">
                <wp:posOffset>691515</wp:posOffset>
              </wp:positionV>
              <wp:extent cx="6096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6E9BE72">
            <v:line id="Straight Connector 108" style="position:absolute;z-index:-251658240;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26C68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">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8E5"/>
    <w:multiLevelType w:val="hybridMultilevel"/>
    <w:tmpl w:val="5CB04DAC"/>
    <w:lvl w:ilvl="0" w:tplc="B886986C">
      <w:start w:val="1"/>
      <w:numFmt w:val="bullet"/>
      <w:lvlText w:val=""/>
      <w:lvlJc w:val="left"/>
      <w:pPr>
        <w:ind w:left="720" w:hanging="360"/>
      </w:pPr>
      <w:rPr>
        <w:rFonts w:ascii="Symbol" w:hAnsi="Symbol" w:hint="default"/>
      </w:rPr>
    </w:lvl>
    <w:lvl w:ilvl="1" w:tplc="0CD825A6" w:tentative="1">
      <w:start w:val="1"/>
      <w:numFmt w:val="bullet"/>
      <w:lvlText w:val="o"/>
      <w:lvlJc w:val="left"/>
      <w:pPr>
        <w:ind w:left="1440" w:hanging="360"/>
      </w:pPr>
      <w:rPr>
        <w:rFonts w:ascii="Courier New" w:hAnsi="Courier New" w:cs="Courier New" w:hint="default"/>
      </w:rPr>
    </w:lvl>
    <w:lvl w:ilvl="2" w:tplc="D700DA0A" w:tentative="1">
      <w:start w:val="1"/>
      <w:numFmt w:val="bullet"/>
      <w:lvlText w:val=""/>
      <w:lvlJc w:val="left"/>
      <w:pPr>
        <w:ind w:left="2160" w:hanging="360"/>
      </w:pPr>
      <w:rPr>
        <w:rFonts w:ascii="Wingdings" w:hAnsi="Wingdings" w:hint="default"/>
      </w:rPr>
    </w:lvl>
    <w:lvl w:ilvl="3" w:tplc="61DEF0E6" w:tentative="1">
      <w:start w:val="1"/>
      <w:numFmt w:val="bullet"/>
      <w:lvlText w:val=""/>
      <w:lvlJc w:val="left"/>
      <w:pPr>
        <w:ind w:left="2880" w:hanging="360"/>
      </w:pPr>
      <w:rPr>
        <w:rFonts w:ascii="Symbol" w:hAnsi="Symbol" w:hint="default"/>
      </w:rPr>
    </w:lvl>
    <w:lvl w:ilvl="4" w:tplc="6B041088" w:tentative="1">
      <w:start w:val="1"/>
      <w:numFmt w:val="bullet"/>
      <w:lvlText w:val="o"/>
      <w:lvlJc w:val="left"/>
      <w:pPr>
        <w:ind w:left="3600" w:hanging="360"/>
      </w:pPr>
      <w:rPr>
        <w:rFonts w:ascii="Courier New" w:hAnsi="Courier New" w:cs="Courier New" w:hint="default"/>
      </w:rPr>
    </w:lvl>
    <w:lvl w:ilvl="5" w:tplc="844854C8" w:tentative="1">
      <w:start w:val="1"/>
      <w:numFmt w:val="bullet"/>
      <w:lvlText w:val=""/>
      <w:lvlJc w:val="left"/>
      <w:pPr>
        <w:ind w:left="4320" w:hanging="360"/>
      </w:pPr>
      <w:rPr>
        <w:rFonts w:ascii="Wingdings" w:hAnsi="Wingdings" w:hint="default"/>
      </w:rPr>
    </w:lvl>
    <w:lvl w:ilvl="6" w:tplc="10CA77A0" w:tentative="1">
      <w:start w:val="1"/>
      <w:numFmt w:val="bullet"/>
      <w:lvlText w:val=""/>
      <w:lvlJc w:val="left"/>
      <w:pPr>
        <w:ind w:left="5040" w:hanging="360"/>
      </w:pPr>
      <w:rPr>
        <w:rFonts w:ascii="Symbol" w:hAnsi="Symbol" w:hint="default"/>
      </w:rPr>
    </w:lvl>
    <w:lvl w:ilvl="7" w:tplc="B16E7E68" w:tentative="1">
      <w:start w:val="1"/>
      <w:numFmt w:val="bullet"/>
      <w:lvlText w:val="o"/>
      <w:lvlJc w:val="left"/>
      <w:pPr>
        <w:ind w:left="5760" w:hanging="360"/>
      </w:pPr>
      <w:rPr>
        <w:rFonts w:ascii="Courier New" w:hAnsi="Courier New" w:cs="Courier New" w:hint="default"/>
      </w:rPr>
    </w:lvl>
    <w:lvl w:ilvl="8" w:tplc="E4AC3288" w:tentative="1">
      <w:start w:val="1"/>
      <w:numFmt w:val="bullet"/>
      <w:lvlText w:val=""/>
      <w:lvlJc w:val="left"/>
      <w:pPr>
        <w:ind w:left="6480" w:hanging="360"/>
      </w:pPr>
      <w:rPr>
        <w:rFonts w:ascii="Wingdings" w:hAnsi="Wingdings" w:hint="default"/>
      </w:rPr>
    </w:lvl>
  </w:abstractNum>
  <w:abstractNum w:abstractNumId="1" w15:restartNumberingAfterBreak="0">
    <w:nsid w:val="056A72B2"/>
    <w:multiLevelType w:val="hybridMultilevel"/>
    <w:tmpl w:val="701A3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6E5E65"/>
    <w:multiLevelType w:val="multilevel"/>
    <w:tmpl w:val="04B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811CC"/>
    <w:multiLevelType w:val="hybridMultilevel"/>
    <w:tmpl w:val="E034CC74"/>
    <w:lvl w:ilvl="0" w:tplc="B35093DA">
      <w:start w:val="1"/>
      <w:numFmt w:val="bullet"/>
      <w:lvlText w:val=""/>
      <w:lvlJc w:val="left"/>
      <w:pPr>
        <w:ind w:left="720" w:hanging="360"/>
      </w:pPr>
      <w:rPr>
        <w:rFonts w:ascii="Symbol" w:hAnsi="Symbol" w:hint="default"/>
      </w:rPr>
    </w:lvl>
    <w:lvl w:ilvl="1" w:tplc="A47EE474" w:tentative="1">
      <w:start w:val="1"/>
      <w:numFmt w:val="bullet"/>
      <w:lvlText w:val="o"/>
      <w:lvlJc w:val="left"/>
      <w:pPr>
        <w:ind w:left="1440" w:hanging="360"/>
      </w:pPr>
      <w:rPr>
        <w:rFonts w:ascii="Courier New" w:hAnsi="Courier New" w:cs="Courier New" w:hint="default"/>
      </w:rPr>
    </w:lvl>
    <w:lvl w:ilvl="2" w:tplc="E876A2C0" w:tentative="1">
      <w:start w:val="1"/>
      <w:numFmt w:val="bullet"/>
      <w:lvlText w:val=""/>
      <w:lvlJc w:val="left"/>
      <w:pPr>
        <w:ind w:left="2160" w:hanging="360"/>
      </w:pPr>
      <w:rPr>
        <w:rFonts w:ascii="Wingdings" w:hAnsi="Wingdings" w:hint="default"/>
      </w:rPr>
    </w:lvl>
    <w:lvl w:ilvl="3" w:tplc="2D28B758" w:tentative="1">
      <w:start w:val="1"/>
      <w:numFmt w:val="bullet"/>
      <w:lvlText w:val=""/>
      <w:lvlJc w:val="left"/>
      <w:pPr>
        <w:ind w:left="2880" w:hanging="360"/>
      </w:pPr>
      <w:rPr>
        <w:rFonts w:ascii="Symbol" w:hAnsi="Symbol" w:hint="default"/>
      </w:rPr>
    </w:lvl>
    <w:lvl w:ilvl="4" w:tplc="3B5A5132" w:tentative="1">
      <w:start w:val="1"/>
      <w:numFmt w:val="bullet"/>
      <w:lvlText w:val="o"/>
      <w:lvlJc w:val="left"/>
      <w:pPr>
        <w:ind w:left="3600" w:hanging="360"/>
      </w:pPr>
      <w:rPr>
        <w:rFonts w:ascii="Courier New" w:hAnsi="Courier New" w:cs="Courier New" w:hint="default"/>
      </w:rPr>
    </w:lvl>
    <w:lvl w:ilvl="5" w:tplc="7CEA9170" w:tentative="1">
      <w:start w:val="1"/>
      <w:numFmt w:val="bullet"/>
      <w:lvlText w:val=""/>
      <w:lvlJc w:val="left"/>
      <w:pPr>
        <w:ind w:left="4320" w:hanging="360"/>
      </w:pPr>
      <w:rPr>
        <w:rFonts w:ascii="Wingdings" w:hAnsi="Wingdings" w:hint="default"/>
      </w:rPr>
    </w:lvl>
    <w:lvl w:ilvl="6" w:tplc="2370E068" w:tentative="1">
      <w:start w:val="1"/>
      <w:numFmt w:val="bullet"/>
      <w:lvlText w:val=""/>
      <w:lvlJc w:val="left"/>
      <w:pPr>
        <w:ind w:left="5040" w:hanging="360"/>
      </w:pPr>
      <w:rPr>
        <w:rFonts w:ascii="Symbol" w:hAnsi="Symbol" w:hint="default"/>
      </w:rPr>
    </w:lvl>
    <w:lvl w:ilvl="7" w:tplc="B4E0A658" w:tentative="1">
      <w:start w:val="1"/>
      <w:numFmt w:val="bullet"/>
      <w:lvlText w:val="o"/>
      <w:lvlJc w:val="left"/>
      <w:pPr>
        <w:ind w:left="5760" w:hanging="360"/>
      </w:pPr>
      <w:rPr>
        <w:rFonts w:ascii="Courier New" w:hAnsi="Courier New" w:cs="Courier New" w:hint="default"/>
      </w:rPr>
    </w:lvl>
    <w:lvl w:ilvl="8" w:tplc="026C28B0" w:tentative="1">
      <w:start w:val="1"/>
      <w:numFmt w:val="bullet"/>
      <w:lvlText w:val=""/>
      <w:lvlJc w:val="left"/>
      <w:pPr>
        <w:ind w:left="6480" w:hanging="360"/>
      </w:pPr>
      <w:rPr>
        <w:rFonts w:ascii="Wingdings" w:hAnsi="Wingdings" w:hint="default"/>
      </w:rPr>
    </w:lvl>
  </w:abstractNum>
  <w:abstractNum w:abstractNumId="4" w15:restartNumberingAfterBreak="0">
    <w:nsid w:val="0AB75033"/>
    <w:multiLevelType w:val="hybridMultilevel"/>
    <w:tmpl w:val="51ACA69A"/>
    <w:lvl w:ilvl="0" w:tplc="87147866">
      <w:start w:val="1"/>
      <w:numFmt w:val="bullet"/>
      <w:pStyle w:val="TBLBulletedList"/>
      <w:lvlText w:val=""/>
      <w:lvlJc w:val="left"/>
      <w:pPr>
        <w:ind w:left="720" w:hanging="360"/>
      </w:pPr>
      <w:rPr>
        <w:rFonts w:ascii="Symbol" w:hAnsi="Symbol" w:hint="default"/>
      </w:rPr>
    </w:lvl>
    <w:lvl w:ilvl="1" w:tplc="60BEBE9C" w:tentative="1">
      <w:start w:val="1"/>
      <w:numFmt w:val="bullet"/>
      <w:lvlText w:val="o"/>
      <w:lvlJc w:val="left"/>
      <w:pPr>
        <w:ind w:left="1440" w:hanging="360"/>
      </w:pPr>
      <w:rPr>
        <w:rFonts w:ascii="Courier New" w:hAnsi="Courier New" w:cs="Courier New" w:hint="default"/>
      </w:rPr>
    </w:lvl>
    <w:lvl w:ilvl="2" w:tplc="115C5DAA" w:tentative="1">
      <w:start w:val="1"/>
      <w:numFmt w:val="bullet"/>
      <w:lvlText w:val=""/>
      <w:lvlJc w:val="left"/>
      <w:pPr>
        <w:ind w:left="2160" w:hanging="360"/>
      </w:pPr>
      <w:rPr>
        <w:rFonts w:ascii="Wingdings" w:hAnsi="Wingdings" w:hint="default"/>
      </w:rPr>
    </w:lvl>
    <w:lvl w:ilvl="3" w:tplc="E0BE968E" w:tentative="1">
      <w:start w:val="1"/>
      <w:numFmt w:val="bullet"/>
      <w:lvlText w:val=""/>
      <w:lvlJc w:val="left"/>
      <w:pPr>
        <w:ind w:left="2880" w:hanging="360"/>
      </w:pPr>
      <w:rPr>
        <w:rFonts w:ascii="Symbol" w:hAnsi="Symbol" w:hint="default"/>
      </w:rPr>
    </w:lvl>
    <w:lvl w:ilvl="4" w:tplc="2C22A240" w:tentative="1">
      <w:start w:val="1"/>
      <w:numFmt w:val="bullet"/>
      <w:lvlText w:val="o"/>
      <w:lvlJc w:val="left"/>
      <w:pPr>
        <w:ind w:left="3600" w:hanging="360"/>
      </w:pPr>
      <w:rPr>
        <w:rFonts w:ascii="Courier New" w:hAnsi="Courier New" w:cs="Courier New" w:hint="default"/>
      </w:rPr>
    </w:lvl>
    <w:lvl w:ilvl="5" w:tplc="F35C9682" w:tentative="1">
      <w:start w:val="1"/>
      <w:numFmt w:val="bullet"/>
      <w:lvlText w:val=""/>
      <w:lvlJc w:val="left"/>
      <w:pPr>
        <w:ind w:left="4320" w:hanging="360"/>
      </w:pPr>
      <w:rPr>
        <w:rFonts w:ascii="Wingdings" w:hAnsi="Wingdings" w:hint="default"/>
      </w:rPr>
    </w:lvl>
    <w:lvl w:ilvl="6" w:tplc="5DC0E7AE" w:tentative="1">
      <w:start w:val="1"/>
      <w:numFmt w:val="bullet"/>
      <w:lvlText w:val=""/>
      <w:lvlJc w:val="left"/>
      <w:pPr>
        <w:ind w:left="5040" w:hanging="360"/>
      </w:pPr>
      <w:rPr>
        <w:rFonts w:ascii="Symbol" w:hAnsi="Symbol" w:hint="default"/>
      </w:rPr>
    </w:lvl>
    <w:lvl w:ilvl="7" w:tplc="A4B647A0" w:tentative="1">
      <w:start w:val="1"/>
      <w:numFmt w:val="bullet"/>
      <w:lvlText w:val="o"/>
      <w:lvlJc w:val="left"/>
      <w:pPr>
        <w:ind w:left="5760" w:hanging="360"/>
      </w:pPr>
      <w:rPr>
        <w:rFonts w:ascii="Courier New" w:hAnsi="Courier New" w:cs="Courier New" w:hint="default"/>
      </w:rPr>
    </w:lvl>
    <w:lvl w:ilvl="8" w:tplc="32A075AC" w:tentative="1">
      <w:start w:val="1"/>
      <w:numFmt w:val="bullet"/>
      <w:lvlText w:val=""/>
      <w:lvlJc w:val="left"/>
      <w:pPr>
        <w:ind w:left="6480" w:hanging="360"/>
      </w:pPr>
      <w:rPr>
        <w:rFonts w:ascii="Wingdings" w:hAnsi="Wingdings" w:hint="default"/>
      </w:rPr>
    </w:lvl>
  </w:abstractNum>
  <w:abstractNum w:abstractNumId="5" w15:restartNumberingAfterBreak="0">
    <w:nsid w:val="0B014CCD"/>
    <w:multiLevelType w:val="hybridMultilevel"/>
    <w:tmpl w:val="72DE1CAA"/>
    <w:lvl w:ilvl="0" w:tplc="401CED3A">
      <w:start w:val="1"/>
      <w:numFmt w:val="bullet"/>
      <w:pStyle w:val="BOXBulletedList"/>
      <w:lvlText w:val=""/>
      <w:lvlJc w:val="left"/>
      <w:pPr>
        <w:ind w:left="284" w:hanging="284"/>
      </w:pPr>
      <w:rPr>
        <w:rFonts w:ascii="Symbol" w:hAnsi="Symbol" w:hint="default"/>
      </w:rPr>
    </w:lvl>
    <w:lvl w:ilvl="1" w:tplc="7B5C1E4C">
      <w:start w:val="1"/>
      <w:numFmt w:val="bullet"/>
      <w:lvlText w:val="o"/>
      <w:lvlJc w:val="left"/>
      <w:pPr>
        <w:ind w:left="1440" w:hanging="360"/>
      </w:pPr>
      <w:rPr>
        <w:rFonts w:ascii="Courier New" w:hAnsi="Courier New" w:cs="Courier New" w:hint="default"/>
      </w:rPr>
    </w:lvl>
    <w:lvl w:ilvl="2" w:tplc="A47A5CE4" w:tentative="1">
      <w:start w:val="1"/>
      <w:numFmt w:val="bullet"/>
      <w:lvlText w:val=""/>
      <w:lvlJc w:val="left"/>
      <w:pPr>
        <w:ind w:left="2160" w:hanging="360"/>
      </w:pPr>
      <w:rPr>
        <w:rFonts w:ascii="Wingdings" w:hAnsi="Wingdings" w:hint="default"/>
      </w:rPr>
    </w:lvl>
    <w:lvl w:ilvl="3" w:tplc="1BD88246" w:tentative="1">
      <w:start w:val="1"/>
      <w:numFmt w:val="bullet"/>
      <w:lvlText w:val=""/>
      <w:lvlJc w:val="left"/>
      <w:pPr>
        <w:ind w:left="2880" w:hanging="360"/>
      </w:pPr>
      <w:rPr>
        <w:rFonts w:ascii="Symbol" w:hAnsi="Symbol" w:hint="default"/>
      </w:rPr>
    </w:lvl>
    <w:lvl w:ilvl="4" w:tplc="3BA82DB6" w:tentative="1">
      <w:start w:val="1"/>
      <w:numFmt w:val="bullet"/>
      <w:lvlText w:val="o"/>
      <w:lvlJc w:val="left"/>
      <w:pPr>
        <w:ind w:left="3600" w:hanging="360"/>
      </w:pPr>
      <w:rPr>
        <w:rFonts w:ascii="Courier New" w:hAnsi="Courier New" w:cs="Courier New" w:hint="default"/>
      </w:rPr>
    </w:lvl>
    <w:lvl w:ilvl="5" w:tplc="0CCE96EE" w:tentative="1">
      <w:start w:val="1"/>
      <w:numFmt w:val="bullet"/>
      <w:lvlText w:val=""/>
      <w:lvlJc w:val="left"/>
      <w:pPr>
        <w:ind w:left="4320" w:hanging="360"/>
      </w:pPr>
      <w:rPr>
        <w:rFonts w:ascii="Wingdings" w:hAnsi="Wingdings" w:hint="default"/>
      </w:rPr>
    </w:lvl>
    <w:lvl w:ilvl="6" w:tplc="B8D08B8C" w:tentative="1">
      <w:start w:val="1"/>
      <w:numFmt w:val="bullet"/>
      <w:lvlText w:val=""/>
      <w:lvlJc w:val="left"/>
      <w:pPr>
        <w:ind w:left="5040" w:hanging="360"/>
      </w:pPr>
      <w:rPr>
        <w:rFonts w:ascii="Symbol" w:hAnsi="Symbol" w:hint="default"/>
      </w:rPr>
    </w:lvl>
    <w:lvl w:ilvl="7" w:tplc="E580E26E" w:tentative="1">
      <w:start w:val="1"/>
      <w:numFmt w:val="bullet"/>
      <w:lvlText w:val="o"/>
      <w:lvlJc w:val="left"/>
      <w:pPr>
        <w:ind w:left="5760" w:hanging="360"/>
      </w:pPr>
      <w:rPr>
        <w:rFonts w:ascii="Courier New" w:hAnsi="Courier New" w:cs="Courier New" w:hint="default"/>
      </w:rPr>
    </w:lvl>
    <w:lvl w:ilvl="8" w:tplc="19D20A6E" w:tentative="1">
      <w:start w:val="1"/>
      <w:numFmt w:val="bullet"/>
      <w:lvlText w:val=""/>
      <w:lvlJc w:val="left"/>
      <w:pPr>
        <w:ind w:left="6480" w:hanging="360"/>
      </w:pPr>
      <w:rPr>
        <w:rFonts w:ascii="Wingdings" w:hAnsi="Wingdings" w:hint="default"/>
      </w:rPr>
    </w:lvl>
  </w:abstractNum>
  <w:abstractNum w:abstractNumId="6" w15:restartNumberingAfterBreak="0">
    <w:nsid w:val="0BEC7D34"/>
    <w:multiLevelType w:val="multilevel"/>
    <w:tmpl w:val="FA20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F6F03"/>
    <w:multiLevelType w:val="hybridMultilevel"/>
    <w:tmpl w:val="F542A2B0"/>
    <w:lvl w:ilvl="0" w:tplc="D2F6D650">
      <w:start w:val="1"/>
      <w:numFmt w:val="bullet"/>
      <w:pStyle w:val="BulletedList-Level3"/>
      <w:lvlText w:val="o"/>
      <w:lvlJc w:val="left"/>
      <w:pPr>
        <w:ind w:left="1134" w:hanging="283"/>
      </w:pPr>
      <w:rPr>
        <w:rFonts w:ascii="Courier New" w:hAnsi="Courier New" w:hint="default"/>
      </w:rPr>
    </w:lvl>
    <w:lvl w:ilvl="1" w:tplc="3C6695F0" w:tentative="1">
      <w:start w:val="1"/>
      <w:numFmt w:val="bullet"/>
      <w:lvlText w:val="o"/>
      <w:lvlJc w:val="left"/>
      <w:pPr>
        <w:ind w:left="2291" w:hanging="360"/>
      </w:pPr>
      <w:rPr>
        <w:rFonts w:ascii="Courier New" w:hAnsi="Courier New" w:cs="Courier New" w:hint="default"/>
      </w:rPr>
    </w:lvl>
    <w:lvl w:ilvl="2" w:tplc="98C090B8" w:tentative="1">
      <w:start w:val="1"/>
      <w:numFmt w:val="bullet"/>
      <w:lvlText w:val=""/>
      <w:lvlJc w:val="left"/>
      <w:pPr>
        <w:ind w:left="3011" w:hanging="360"/>
      </w:pPr>
      <w:rPr>
        <w:rFonts w:ascii="Wingdings" w:hAnsi="Wingdings" w:hint="default"/>
      </w:rPr>
    </w:lvl>
    <w:lvl w:ilvl="3" w:tplc="7408D29E" w:tentative="1">
      <w:start w:val="1"/>
      <w:numFmt w:val="bullet"/>
      <w:lvlText w:val=""/>
      <w:lvlJc w:val="left"/>
      <w:pPr>
        <w:ind w:left="3731" w:hanging="360"/>
      </w:pPr>
      <w:rPr>
        <w:rFonts w:ascii="Symbol" w:hAnsi="Symbol" w:hint="default"/>
      </w:rPr>
    </w:lvl>
    <w:lvl w:ilvl="4" w:tplc="A3D4985A" w:tentative="1">
      <w:start w:val="1"/>
      <w:numFmt w:val="bullet"/>
      <w:lvlText w:val="o"/>
      <w:lvlJc w:val="left"/>
      <w:pPr>
        <w:ind w:left="4451" w:hanging="360"/>
      </w:pPr>
      <w:rPr>
        <w:rFonts w:ascii="Courier New" w:hAnsi="Courier New" w:cs="Courier New" w:hint="default"/>
      </w:rPr>
    </w:lvl>
    <w:lvl w:ilvl="5" w:tplc="38821BBC" w:tentative="1">
      <w:start w:val="1"/>
      <w:numFmt w:val="bullet"/>
      <w:lvlText w:val=""/>
      <w:lvlJc w:val="left"/>
      <w:pPr>
        <w:ind w:left="5171" w:hanging="360"/>
      </w:pPr>
      <w:rPr>
        <w:rFonts w:ascii="Wingdings" w:hAnsi="Wingdings" w:hint="default"/>
      </w:rPr>
    </w:lvl>
    <w:lvl w:ilvl="6" w:tplc="85A8EF62" w:tentative="1">
      <w:start w:val="1"/>
      <w:numFmt w:val="bullet"/>
      <w:lvlText w:val=""/>
      <w:lvlJc w:val="left"/>
      <w:pPr>
        <w:ind w:left="5891" w:hanging="360"/>
      </w:pPr>
      <w:rPr>
        <w:rFonts w:ascii="Symbol" w:hAnsi="Symbol" w:hint="default"/>
      </w:rPr>
    </w:lvl>
    <w:lvl w:ilvl="7" w:tplc="2F448CC4" w:tentative="1">
      <w:start w:val="1"/>
      <w:numFmt w:val="bullet"/>
      <w:lvlText w:val="o"/>
      <w:lvlJc w:val="left"/>
      <w:pPr>
        <w:ind w:left="6611" w:hanging="360"/>
      </w:pPr>
      <w:rPr>
        <w:rFonts w:ascii="Courier New" w:hAnsi="Courier New" w:cs="Courier New" w:hint="default"/>
      </w:rPr>
    </w:lvl>
    <w:lvl w:ilvl="8" w:tplc="D95AEA1C" w:tentative="1">
      <w:start w:val="1"/>
      <w:numFmt w:val="bullet"/>
      <w:lvlText w:val=""/>
      <w:lvlJc w:val="left"/>
      <w:pPr>
        <w:ind w:left="7331" w:hanging="360"/>
      </w:pPr>
      <w:rPr>
        <w:rFonts w:ascii="Wingdings" w:hAnsi="Wingdings" w:hint="default"/>
      </w:rPr>
    </w:lvl>
  </w:abstractNum>
  <w:abstractNum w:abstractNumId="8" w15:restartNumberingAfterBreak="0">
    <w:nsid w:val="108B514B"/>
    <w:multiLevelType w:val="multilevel"/>
    <w:tmpl w:val="E76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3105B"/>
    <w:multiLevelType w:val="hybridMultilevel"/>
    <w:tmpl w:val="2F88CC68"/>
    <w:lvl w:ilvl="0" w:tplc="8B06EC88">
      <w:start w:val="1"/>
      <w:numFmt w:val="decimal"/>
      <w:pStyle w:val="BoxDark-NumberedList"/>
      <w:lvlText w:val="%1."/>
      <w:lvlJc w:val="left"/>
      <w:pPr>
        <w:ind w:left="947" w:hanging="360"/>
      </w:pPr>
    </w:lvl>
    <w:lvl w:ilvl="1" w:tplc="A538F8A2" w:tentative="1">
      <w:start w:val="1"/>
      <w:numFmt w:val="lowerLetter"/>
      <w:lvlText w:val="%2."/>
      <w:lvlJc w:val="left"/>
      <w:pPr>
        <w:ind w:left="1667" w:hanging="360"/>
      </w:pPr>
    </w:lvl>
    <w:lvl w:ilvl="2" w:tplc="0F7A3254" w:tentative="1">
      <w:start w:val="1"/>
      <w:numFmt w:val="lowerRoman"/>
      <w:lvlText w:val="%3."/>
      <w:lvlJc w:val="right"/>
      <w:pPr>
        <w:ind w:left="2387" w:hanging="180"/>
      </w:pPr>
    </w:lvl>
    <w:lvl w:ilvl="3" w:tplc="1C809F4A" w:tentative="1">
      <w:start w:val="1"/>
      <w:numFmt w:val="decimal"/>
      <w:lvlText w:val="%4."/>
      <w:lvlJc w:val="left"/>
      <w:pPr>
        <w:ind w:left="3107" w:hanging="360"/>
      </w:pPr>
    </w:lvl>
    <w:lvl w:ilvl="4" w:tplc="875C4860" w:tentative="1">
      <w:start w:val="1"/>
      <w:numFmt w:val="lowerLetter"/>
      <w:lvlText w:val="%5."/>
      <w:lvlJc w:val="left"/>
      <w:pPr>
        <w:ind w:left="3827" w:hanging="360"/>
      </w:pPr>
    </w:lvl>
    <w:lvl w:ilvl="5" w:tplc="DEBC8DC2" w:tentative="1">
      <w:start w:val="1"/>
      <w:numFmt w:val="lowerRoman"/>
      <w:lvlText w:val="%6."/>
      <w:lvlJc w:val="right"/>
      <w:pPr>
        <w:ind w:left="4547" w:hanging="180"/>
      </w:pPr>
    </w:lvl>
    <w:lvl w:ilvl="6" w:tplc="EEA2730C" w:tentative="1">
      <w:start w:val="1"/>
      <w:numFmt w:val="decimal"/>
      <w:lvlText w:val="%7."/>
      <w:lvlJc w:val="left"/>
      <w:pPr>
        <w:ind w:left="5267" w:hanging="360"/>
      </w:pPr>
    </w:lvl>
    <w:lvl w:ilvl="7" w:tplc="2E2A4EA0" w:tentative="1">
      <w:start w:val="1"/>
      <w:numFmt w:val="lowerLetter"/>
      <w:lvlText w:val="%8."/>
      <w:lvlJc w:val="left"/>
      <w:pPr>
        <w:ind w:left="5987" w:hanging="360"/>
      </w:pPr>
    </w:lvl>
    <w:lvl w:ilvl="8" w:tplc="AD563316" w:tentative="1">
      <w:start w:val="1"/>
      <w:numFmt w:val="lowerRoman"/>
      <w:lvlText w:val="%9."/>
      <w:lvlJc w:val="right"/>
      <w:pPr>
        <w:ind w:left="6707" w:hanging="180"/>
      </w:pPr>
    </w:lvl>
  </w:abstractNum>
  <w:abstractNum w:abstractNumId="10" w15:restartNumberingAfterBreak="0">
    <w:nsid w:val="14484BBD"/>
    <w:multiLevelType w:val="hybridMultilevel"/>
    <w:tmpl w:val="B41634B4"/>
    <w:lvl w:ilvl="0" w:tplc="470E35C0">
      <w:start w:val="1"/>
      <w:numFmt w:val="bullet"/>
      <w:lvlText w:val=""/>
      <w:lvlJc w:val="left"/>
      <w:pPr>
        <w:ind w:left="720" w:hanging="360"/>
      </w:pPr>
      <w:rPr>
        <w:rFonts w:ascii="Symbol" w:hAnsi="Symbol" w:hint="default"/>
      </w:rPr>
    </w:lvl>
    <w:lvl w:ilvl="1" w:tplc="5F327C98" w:tentative="1">
      <w:start w:val="1"/>
      <w:numFmt w:val="bullet"/>
      <w:lvlText w:val="o"/>
      <w:lvlJc w:val="left"/>
      <w:pPr>
        <w:ind w:left="1440" w:hanging="360"/>
      </w:pPr>
      <w:rPr>
        <w:rFonts w:ascii="Courier New" w:hAnsi="Courier New" w:cs="Courier New" w:hint="default"/>
      </w:rPr>
    </w:lvl>
    <w:lvl w:ilvl="2" w:tplc="5C020D28" w:tentative="1">
      <w:start w:val="1"/>
      <w:numFmt w:val="bullet"/>
      <w:lvlText w:val=""/>
      <w:lvlJc w:val="left"/>
      <w:pPr>
        <w:ind w:left="2160" w:hanging="360"/>
      </w:pPr>
      <w:rPr>
        <w:rFonts w:ascii="Wingdings" w:hAnsi="Wingdings" w:hint="default"/>
      </w:rPr>
    </w:lvl>
    <w:lvl w:ilvl="3" w:tplc="00843788" w:tentative="1">
      <w:start w:val="1"/>
      <w:numFmt w:val="bullet"/>
      <w:lvlText w:val=""/>
      <w:lvlJc w:val="left"/>
      <w:pPr>
        <w:ind w:left="2880" w:hanging="360"/>
      </w:pPr>
      <w:rPr>
        <w:rFonts w:ascii="Symbol" w:hAnsi="Symbol" w:hint="default"/>
      </w:rPr>
    </w:lvl>
    <w:lvl w:ilvl="4" w:tplc="BFB4E4D8" w:tentative="1">
      <w:start w:val="1"/>
      <w:numFmt w:val="bullet"/>
      <w:lvlText w:val="o"/>
      <w:lvlJc w:val="left"/>
      <w:pPr>
        <w:ind w:left="3600" w:hanging="360"/>
      </w:pPr>
      <w:rPr>
        <w:rFonts w:ascii="Courier New" w:hAnsi="Courier New" w:cs="Courier New" w:hint="default"/>
      </w:rPr>
    </w:lvl>
    <w:lvl w:ilvl="5" w:tplc="E9B8D6BA" w:tentative="1">
      <w:start w:val="1"/>
      <w:numFmt w:val="bullet"/>
      <w:lvlText w:val=""/>
      <w:lvlJc w:val="left"/>
      <w:pPr>
        <w:ind w:left="4320" w:hanging="360"/>
      </w:pPr>
      <w:rPr>
        <w:rFonts w:ascii="Wingdings" w:hAnsi="Wingdings" w:hint="default"/>
      </w:rPr>
    </w:lvl>
    <w:lvl w:ilvl="6" w:tplc="39827B46" w:tentative="1">
      <w:start w:val="1"/>
      <w:numFmt w:val="bullet"/>
      <w:lvlText w:val=""/>
      <w:lvlJc w:val="left"/>
      <w:pPr>
        <w:ind w:left="5040" w:hanging="360"/>
      </w:pPr>
      <w:rPr>
        <w:rFonts w:ascii="Symbol" w:hAnsi="Symbol" w:hint="default"/>
      </w:rPr>
    </w:lvl>
    <w:lvl w:ilvl="7" w:tplc="C5B8A5BE" w:tentative="1">
      <w:start w:val="1"/>
      <w:numFmt w:val="bullet"/>
      <w:lvlText w:val="o"/>
      <w:lvlJc w:val="left"/>
      <w:pPr>
        <w:ind w:left="5760" w:hanging="360"/>
      </w:pPr>
      <w:rPr>
        <w:rFonts w:ascii="Courier New" w:hAnsi="Courier New" w:cs="Courier New" w:hint="default"/>
      </w:rPr>
    </w:lvl>
    <w:lvl w:ilvl="8" w:tplc="03900942" w:tentative="1">
      <w:start w:val="1"/>
      <w:numFmt w:val="bullet"/>
      <w:lvlText w:val=""/>
      <w:lvlJc w:val="left"/>
      <w:pPr>
        <w:ind w:left="6480" w:hanging="360"/>
      </w:pPr>
      <w:rPr>
        <w:rFonts w:ascii="Wingdings" w:hAnsi="Wingdings" w:hint="default"/>
      </w:rPr>
    </w:lvl>
  </w:abstractNum>
  <w:abstractNum w:abstractNumId="11" w15:restartNumberingAfterBreak="0">
    <w:nsid w:val="14E3711D"/>
    <w:multiLevelType w:val="multilevel"/>
    <w:tmpl w:val="48F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F33BBA"/>
    <w:multiLevelType w:val="hybridMultilevel"/>
    <w:tmpl w:val="CD002DC0"/>
    <w:lvl w:ilvl="0" w:tplc="206E92D8">
      <w:start w:val="1"/>
      <w:numFmt w:val="decimal"/>
      <w:pStyle w:val="Figure"/>
      <w:suff w:val="space"/>
      <w:lvlText w:val="Figure %1."/>
      <w:lvlJc w:val="left"/>
      <w:pPr>
        <w:ind w:left="5235"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0284EAC" w:tentative="1">
      <w:start w:val="1"/>
      <w:numFmt w:val="lowerLetter"/>
      <w:lvlText w:val="%2."/>
      <w:lvlJc w:val="left"/>
      <w:pPr>
        <w:ind w:left="1147" w:hanging="360"/>
      </w:pPr>
    </w:lvl>
    <w:lvl w:ilvl="2" w:tplc="821C0FB2" w:tentative="1">
      <w:start w:val="1"/>
      <w:numFmt w:val="lowerRoman"/>
      <w:lvlText w:val="%3."/>
      <w:lvlJc w:val="right"/>
      <w:pPr>
        <w:ind w:left="1867" w:hanging="180"/>
      </w:pPr>
    </w:lvl>
    <w:lvl w:ilvl="3" w:tplc="8D64A0D4" w:tentative="1">
      <w:start w:val="1"/>
      <w:numFmt w:val="decimal"/>
      <w:lvlText w:val="%4."/>
      <w:lvlJc w:val="left"/>
      <w:pPr>
        <w:ind w:left="2587" w:hanging="360"/>
      </w:pPr>
    </w:lvl>
    <w:lvl w:ilvl="4" w:tplc="6D94461E" w:tentative="1">
      <w:start w:val="1"/>
      <w:numFmt w:val="lowerLetter"/>
      <w:lvlText w:val="%5."/>
      <w:lvlJc w:val="left"/>
      <w:pPr>
        <w:ind w:left="3307" w:hanging="360"/>
      </w:pPr>
    </w:lvl>
    <w:lvl w:ilvl="5" w:tplc="4FD637FE" w:tentative="1">
      <w:start w:val="1"/>
      <w:numFmt w:val="lowerRoman"/>
      <w:lvlText w:val="%6."/>
      <w:lvlJc w:val="right"/>
      <w:pPr>
        <w:ind w:left="4027" w:hanging="180"/>
      </w:pPr>
    </w:lvl>
    <w:lvl w:ilvl="6" w:tplc="8E18CFF6" w:tentative="1">
      <w:start w:val="1"/>
      <w:numFmt w:val="decimal"/>
      <w:lvlText w:val="%7."/>
      <w:lvlJc w:val="left"/>
      <w:pPr>
        <w:ind w:left="4747" w:hanging="360"/>
      </w:pPr>
    </w:lvl>
    <w:lvl w:ilvl="7" w:tplc="8DB4CEF2" w:tentative="1">
      <w:start w:val="1"/>
      <w:numFmt w:val="lowerLetter"/>
      <w:lvlText w:val="%8."/>
      <w:lvlJc w:val="left"/>
      <w:pPr>
        <w:ind w:left="5467" w:hanging="360"/>
      </w:pPr>
    </w:lvl>
    <w:lvl w:ilvl="8" w:tplc="BDEEC7E6" w:tentative="1">
      <w:start w:val="1"/>
      <w:numFmt w:val="lowerRoman"/>
      <w:lvlText w:val="%9."/>
      <w:lvlJc w:val="right"/>
      <w:pPr>
        <w:ind w:left="6187" w:hanging="180"/>
      </w:pPr>
    </w:lvl>
  </w:abstractNum>
  <w:abstractNum w:abstractNumId="13" w15:restartNumberingAfterBreak="0">
    <w:nsid w:val="1F507AC4"/>
    <w:multiLevelType w:val="hybridMultilevel"/>
    <w:tmpl w:val="864231E2"/>
    <w:lvl w:ilvl="0" w:tplc="3C2A6B42">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1" w:tplc="546E7356" w:tentative="1">
      <w:start w:val="1"/>
      <w:numFmt w:val="bullet"/>
      <w:lvlText w:val="o"/>
      <w:lvlJc w:val="left"/>
      <w:pPr>
        <w:ind w:left="2007" w:hanging="360"/>
      </w:pPr>
      <w:rPr>
        <w:rFonts w:ascii="Courier New" w:hAnsi="Courier New" w:cs="Courier New" w:hint="default"/>
      </w:rPr>
    </w:lvl>
    <w:lvl w:ilvl="2" w:tplc="27041A86" w:tentative="1">
      <w:start w:val="1"/>
      <w:numFmt w:val="bullet"/>
      <w:lvlText w:val=""/>
      <w:lvlJc w:val="left"/>
      <w:pPr>
        <w:ind w:left="2727" w:hanging="360"/>
      </w:pPr>
      <w:rPr>
        <w:rFonts w:ascii="Wingdings" w:hAnsi="Wingdings" w:hint="default"/>
      </w:rPr>
    </w:lvl>
    <w:lvl w:ilvl="3" w:tplc="0C928030" w:tentative="1">
      <w:start w:val="1"/>
      <w:numFmt w:val="bullet"/>
      <w:lvlText w:val=""/>
      <w:lvlJc w:val="left"/>
      <w:pPr>
        <w:ind w:left="3447" w:hanging="360"/>
      </w:pPr>
      <w:rPr>
        <w:rFonts w:ascii="Symbol" w:hAnsi="Symbol" w:hint="default"/>
      </w:rPr>
    </w:lvl>
    <w:lvl w:ilvl="4" w:tplc="32A8AABA" w:tentative="1">
      <w:start w:val="1"/>
      <w:numFmt w:val="bullet"/>
      <w:lvlText w:val="o"/>
      <w:lvlJc w:val="left"/>
      <w:pPr>
        <w:ind w:left="4167" w:hanging="360"/>
      </w:pPr>
      <w:rPr>
        <w:rFonts w:ascii="Courier New" w:hAnsi="Courier New" w:cs="Courier New" w:hint="default"/>
      </w:rPr>
    </w:lvl>
    <w:lvl w:ilvl="5" w:tplc="4AE80884" w:tentative="1">
      <w:start w:val="1"/>
      <w:numFmt w:val="bullet"/>
      <w:lvlText w:val=""/>
      <w:lvlJc w:val="left"/>
      <w:pPr>
        <w:ind w:left="4887" w:hanging="360"/>
      </w:pPr>
      <w:rPr>
        <w:rFonts w:ascii="Wingdings" w:hAnsi="Wingdings" w:hint="default"/>
      </w:rPr>
    </w:lvl>
    <w:lvl w:ilvl="6" w:tplc="2E1AE262" w:tentative="1">
      <w:start w:val="1"/>
      <w:numFmt w:val="bullet"/>
      <w:lvlText w:val=""/>
      <w:lvlJc w:val="left"/>
      <w:pPr>
        <w:ind w:left="5607" w:hanging="360"/>
      </w:pPr>
      <w:rPr>
        <w:rFonts w:ascii="Symbol" w:hAnsi="Symbol" w:hint="default"/>
      </w:rPr>
    </w:lvl>
    <w:lvl w:ilvl="7" w:tplc="7AD855A2" w:tentative="1">
      <w:start w:val="1"/>
      <w:numFmt w:val="bullet"/>
      <w:lvlText w:val="o"/>
      <w:lvlJc w:val="left"/>
      <w:pPr>
        <w:ind w:left="6327" w:hanging="360"/>
      </w:pPr>
      <w:rPr>
        <w:rFonts w:ascii="Courier New" w:hAnsi="Courier New" w:cs="Courier New" w:hint="default"/>
      </w:rPr>
    </w:lvl>
    <w:lvl w:ilvl="8" w:tplc="BC0A7490" w:tentative="1">
      <w:start w:val="1"/>
      <w:numFmt w:val="bullet"/>
      <w:lvlText w:val=""/>
      <w:lvlJc w:val="left"/>
      <w:pPr>
        <w:ind w:left="7047" w:hanging="360"/>
      </w:pPr>
      <w:rPr>
        <w:rFonts w:ascii="Wingdings" w:hAnsi="Wingdings" w:hint="default"/>
      </w:rPr>
    </w:lvl>
  </w:abstractNum>
  <w:abstractNum w:abstractNumId="14" w15:restartNumberingAfterBreak="0">
    <w:nsid w:val="27854A54"/>
    <w:multiLevelType w:val="hybridMultilevel"/>
    <w:tmpl w:val="94DC3E6A"/>
    <w:lvl w:ilvl="0" w:tplc="3E605DB4">
      <w:start w:val="1"/>
      <w:numFmt w:val="bullet"/>
      <w:pStyle w:val="BulletedList-Level1"/>
      <w:lvlText w:val=""/>
      <w:lvlJc w:val="left"/>
      <w:pPr>
        <w:ind w:left="425" w:hanging="283"/>
      </w:pPr>
      <w:rPr>
        <w:rFonts w:ascii="Symbol" w:hAnsi="Symbol" w:hint="default"/>
      </w:rPr>
    </w:lvl>
    <w:lvl w:ilvl="1" w:tplc="52D2A3B0">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tplc="313AE57E">
      <w:start w:val="1"/>
      <w:numFmt w:val="bullet"/>
      <w:lvlText w:val=""/>
      <w:lvlJc w:val="left"/>
      <w:pPr>
        <w:ind w:left="992" w:hanging="283"/>
      </w:pPr>
      <w:rPr>
        <w:rFonts w:ascii="Wingdings" w:hAnsi="Wingdings" w:hint="default"/>
      </w:rPr>
    </w:lvl>
    <w:lvl w:ilvl="3" w:tplc="CC6496FE" w:tentative="1">
      <w:start w:val="1"/>
      <w:numFmt w:val="bullet"/>
      <w:lvlText w:val=""/>
      <w:lvlJc w:val="left"/>
      <w:pPr>
        <w:ind w:left="2738" w:hanging="360"/>
      </w:pPr>
      <w:rPr>
        <w:rFonts w:ascii="Symbol" w:hAnsi="Symbol" w:hint="default"/>
      </w:rPr>
    </w:lvl>
    <w:lvl w:ilvl="4" w:tplc="FA24D56A" w:tentative="1">
      <w:start w:val="1"/>
      <w:numFmt w:val="bullet"/>
      <w:lvlText w:val="o"/>
      <w:lvlJc w:val="left"/>
      <w:pPr>
        <w:ind w:left="3458" w:hanging="360"/>
      </w:pPr>
      <w:rPr>
        <w:rFonts w:ascii="Courier New" w:hAnsi="Courier New" w:cs="Courier New" w:hint="default"/>
      </w:rPr>
    </w:lvl>
    <w:lvl w:ilvl="5" w:tplc="F3D4AC4E" w:tentative="1">
      <w:start w:val="1"/>
      <w:numFmt w:val="bullet"/>
      <w:lvlText w:val=""/>
      <w:lvlJc w:val="left"/>
      <w:pPr>
        <w:ind w:left="4178" w:hanging="360"/>
      </w:pPr>
      <w:rPr>
        <w:rFonts w:ascii="Wingdings" w:hAnsi="Wingdings" w:hint="default"/>
      </w:rPr>
    </w:lvl>
    <w:lvl w:ilvl="6" w:tplc="AF68ADBE" w:tentative="1">
      <w:start w:val="1"/>
      <w:numFmt w:val="bullet"/>
      <w:lvlText w:val=""/>
      <w:lvlJc w:val="left"/>
      <w:pPr>
        <w:ind w:left="4898" w:hanging="360"/>
      </w:pPr>
      <w:rPr>
        <w:rFonts w:ascii="Symbol" w:hAnsi="Symbol" w:hint="default"/>
      </w:rPr>
    </w:lvl>
    <w:lvl w:ilvl="7" w:tplc="EE609486" w:tentative="1">
      <w:start w:val="1"/>
      <w:numFmt w:val="bullet"/>
      <w:lvlText w:val="o"/>
      <w:lvlJc w:val="left"/>
      <w:pPr>
        <w:ind w:left="5618" w:hanging="360"/>
      </w:pPr>
      <w:rPr>
        <w:rFonts w:ascii="Courier New" w:hAnsi="Courier New" w:cs="Courier New" w:hint="default"/>
      </w:rPr>
    </w:lvl>
    <w:lvl w:ilvl="8" w:tplc="844CE840" w:tentative="1">
      <w:start w:val="1"/>
      <w:numFmt w:val="bullet"/>
      <w:lvlText w:val=""/>
      <w:lvlJc w:val="left"/>
      <w:pPr>
        <w:ind w:left="6338" w:hanging="360"/>
      </w:pPr>
      <w:rPr>
        <w:rFonts w:ascii="Wingdings" w:hAnsi="Wingdings" w:hint="default"/>
      </w:rPr>
    </w:lvl>
  </w:abstractNum>
  <w:abstractNum w:abstractNumId="15" w15:restartNumberingAfterBreak="0">
    <w:nsid w:val="2A7B6DC7"/>
    <w:multiLevelType w:val="multilevel"/>
    <w:tmpl w:val="7B2E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45335"/>
    <w:multiLevelType w:val="hybridMultilevel"/>
    <w:tmpl w:val="E10648CA"/>
    <w:lvl w:ilvl="0" w:tplc="A412F83C">
      <w:start w:val="1"/>
      <w:numFmt w:val="bullet"/>
      <w:lvlText w:val=""/>
      <w:lvlJc w:val="left"/>
      <w:pPr>
        <w:ind w:left="720" w:hanging="360"/>
      </w:pPr>
      <w:rPr>
        <w:rFonts w:ascii="Symbol" w:hAnsi="Symbol" w:hint="default"/>
      </w:rPr>
    </w:lvl>
    <w:lvl w:ilvl="1" w:tplc="B3E4C9EE" w:tentative="1">
      <w:start w:val="1"/>
      <w:numFmt w:val="bullet"/>
      <w:lvlText w:val="o"/>
      <w:lvlJc w:val="left"/>
      <w:pPr>
        <w:ind w:left="1440" w:hanging="360"/>
      </w:pPr>
      <w:rPr>
        <w:rFonts w:ascii="Courier New" w:hAnsi="Courier New" w:cs="Courier New" w:hint="default"/>
      </w:rPr>
    </w:lvl>
    <w:lvl w:ilvl="2" w:tplc="5D34197C" w:tentative="1">
      <w:start w:val="1"/>
      <w:numFmt w:val="bullet"/>
      <w:lvlText w:val=""/>
      <w:lvlJc w:val="left"/>
      <w:pPr>
        <w:ind w:left="2160" w:hanging="360"/>
      </w:pPr>
      <w:rPr>
        <w:rFonts w:ascii="Wingdings" w:hAnsi="Wingdings" w:hint="default"/>
      </w:rPr>
    </w:lvl>
    <w:lvl w:ilvl="3" w:tplc="0AE8BAF6" w:tentative="1">
      <w:start w:val="1"/>
      <w:numFmt w:val="bullet"/>
      <w:lvlText w:val=""/>
      <w:lvlJc w:val="left"/>
      <w:pPr>
        <w:ind w:left="2880" w:hanging="360"/>
      </w:pPr>
      <w:rPr>
        <w:rFonts w:ascii="Symbol" w:hAnsi="Symbol" w:hint="default"/>
      </w:rPr>
    </w:lvl>
    <w:lvl w:ilvl="4" w:tplc="ECA0365E" w:tentative="1">
      <w:start w:val="1"/>
      <w:numFmt w:val="bullet"/>
      <w:lvlText w:val="o"/>
      <w:lvlJc w:val="left"/>
      <w:pPr>
        <w:ind w:left="3600" w:hanging="360"/>
      </w:pPr>
      <w:rPr>
        <w:rFonts w:ascii="Courier New" w:hAnsi="Courier New" w:cs="Courier New" w:hint="default"/>
      </w:rPr>
    </w:lvl>
    <w:lvl w:ilvl="5" w:tplc="204ECF6E" w:tentative="1">
      <w:start w:val="1"/>
      <w:numFmt w:val="bullet"/>
      <w:lvlText w:val=""/>
      <w:lvlJc w:val="left"/>
      <w:pPr>
        <w:ind w:left="4320" w:hanging="360"/>
      </w:pPr>
      <w:rPr>
        <w:rFonts w:ascii="Wingdings" w:hAnsi="Wingdings" w:hint="default"/>
      </w:rPr>
    </w:lvl>
    <w:lvl w:ilvl="6" w:tplc="5CACCE12" w:tentative="1">
      <w:start w:val="1"/>
      <w:numFmt w:val="bullet"/>
      <w:lvlText w:val=""/>
      <w:lvlJc w:val="left"/>
      <w:pPr>
        <w:ind w:left="5040" w:hanging="360"/>
      </w:pPr>
      <w:rPr>
        <w:rFonts w:ascii="Symbol" w:hAnsi="Symbol" w:hint="default"/>
      </w:rPr>
    </w:lvl>
    <w:lvl w:ilvl="7" w:tplc="FF32D280" w:tentative="1">
      <w:start w:val="1"/>
      <w:numFmt w:val="bullet"/>
      <w:lvlText w:val="o"/>
      <w:lvlJc w:val="left"/>
      <w:pPr>
        <w:ind w:left="5760" w:hanging="360"/>
      </w:pPr>
      <w:rPr>
        <w:rFonts w:ascii="Courier New" w:hAnsi="Courier New" w:cs="Courier New" w:hint="default"/>
      </w:rPr>
    </w:lvl>
    <w:lvl w:ilvl="8" w:tplc="09FEB802" w:tentative="1">
      <w:start w:val="1"/>
      <w:numFmt w:val="bullet"/>
      <w:lvlText w:val=""/>
      <w:lvlJc w:val="left"/>
      <w:pPr>
        <w:ind w:left="6480" w:hanging="360"/>
      </w:pPr>
      <w:rPr>
        <w:rFonts w:ascii="Wingdings" w:hAnsi="Wingdings" w:hint="default"/>
      </w:rPr>
    </w:lvl>
  </w:abstractNum>
  <w:abstractNum w:abstractNumId="17" w15:restartNumberingAfterBreak="0">
    <w:nsid w:val="311C36D2"/>
    <w:multiLevelType w:val="multilevel"/>
    <w:tmpl w:val="9702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E02A1E"/>
    <w:multiLevelType w:val="multilevel"/>
    <w:tmpl w:val="F858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C0A7F"/>
    <w:multiLevelType w:val="multilevel"/>
    <w:tmpl w:val="C83AE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775978"/>
    <w:multiLevelType w:val="multilevel"/>
    <w:tmpl w:val="2E70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8301C7"/>
    <w:multiLevelType w:val="hybridMultilevel"/>
    <w:tmpl w:val="B6E4E5A0"/>
    <w:lvl w:ilvl="0" w:tplc="A3B600C2">
      <w:start w:val="1"/>
      <w:numFmt w:val="bullet"/>
      <w:lvlText w:val=""/>
      <w:lvlJc w:val="left"/>
      <w:pPr>
        <w:ind w:left="720" w:hanging="360"/>
      </w:pPr>
      <w:rPr>
        <w:rFonts w:ascii="Symbol" w:hAnsi="Symbol" w:hint="default"/>
      </w:rPr>
    </w:lvl>
    <w:lvl w:ilvl="1" w:tplc="8758B028" w:tentative="1">
      <w:start w:val="1"/>
      <w:numFmt w:val="bullet"/>
      <w:lvlText w:val="o"/>
      <w:lvlJc w:val="left"/>
      <w:pPr>
        <w:ind w:left="1440" w:hanging="360"/>
      </w:pPr>
      <w:rPr>
        <w:rFonts w:ascii="Courier New" w:hAnsi="Courier New" w:cs="Courier New" w:hint="default"/>
      </w:rPr>
    </w:lvl>
    <w:lvl w:ilvl="2" w:tplc="61CC3F34" w:tentative="1">
      <w:start w:val="1"/>
      <w:numFmt w:val="bullet"/>
      <w:lvlText w:val=""/>
      <w:lvlJc w:val="left"/>
      <w:pPr>
        <w:ind w:left="2160" w:hanging="360"/>
      </w:pPr>
      <w:rPr>
        <w:rFonts w:ascii="Wingdings" w:hAnsi="Wingdings" w:hint="default"/>
      </w:rPr>
    </w:lvl>
    <w:lvl w:ilvl="3" w:tplc="09A8C13E" w:tentative="1">
      <w:start w:val="1"/>
      <w:numFmt w:val="bullet"/>
      <w:lvlText w:val=""/>
      <w:lvlJc w:val="left"/>
      <w:pPr>
        <w:ind w:left="2880" w:hanging="360"/>
      </w:pPr>
      <w:rPr>
        <w:rFonts w:ascii="Symbol" w:hAnsi="Symbol" w:hint="default"/>
      </w:rPr>
    </w:lvl>
    <w:lvl w:ilvl="4" w:tplc="D90AEEA2" w:tentative="1">
      <w:start w:val="1"/>
      <w:numFmt w:val="bullet"/>
      <w:lvlText w:val="o"/>
      <w:lvlJc w:val="left"/>
      <w:pPr>
        <w:ind w:left="3600" w:hanging="360"/>
      </w:pPr>
      <w:rPr>
        <w:rFonts w:ascii="Courier New" w:hAnsi="Courier New" w:cs="Courier New" w:hint="default"/>
      </w:rPr>
    </w:lvl>
    <w:lvl w:ilvl="5" w:tplc="73282600" w:tentative="1">
      <w:start w:val="1"/>
      <w:numFmt w:val="bullet"/>
      <w:lvlText w:val=""/>
      <w:lvlJc w:val="left"/>
      <w:pPr>
        <w:ind w:left="4320" w:hanging="360"/>
      </w:pPr>
      <w:rPr>
        <w:rFonts w:ascii="Wingdings" w:hAnsi="Wingdings" w:hint="default"/>
      </w:rPr>
    </w:lvl>
    <w:lvl w:ilvl="6" w:tplc="56B614E2" w:tentative="1">
      <w:start w:val="1"/>
      <w:numFmt w:val="bullet"/>
      <w:lvlText w:val=""/>
      <w:lvlJc w:val="left"/>
      <w:pPr>
        <w:ind w:left="5040" w:hanging="360"/>
      </w:pPr>
      <w:rPr>
        <w:rFonts w:ascii="Symbol" w:hAnsi="Symbol" w:hint="default"/>
      </w:rPr>
    </w:lvl>
    <w:lvl w:ilvl="7" w:tplc="A6BE43BC" w:tentative="1">
      <w:start w:val="1"/>
      <w:numFmt w:val="bullet"/>
      <w:lvlText w:val="o"/>
      <w:lvlJc w:val="left"/>
      <w:pPr>
        <w:ind w:left="5760" w:hanging="360"/>
      </w:pPr>
      <w:rPr>
        <w:rFonts w:ascii="Courier New" w:hAnsi="Courier New" w:cs="Courier New" w:hint="default"/>
      </w:rPr>
    </w:lvl>
    <w:lvl w:ilvl="8" w:tplc="DD56C2E6" w:tentative="1">
      <w:start w:val="1"/>
      <w:numFmt w:val="bullet"/>
      <w:lvlText w:val=""/>
      <w:lvlJc w:val="left"/>
      <w:pPr>
        <w:ind w:left="6480" w:hanging="360"/>
      </w:pPr>
      <w:rPr>
        <w:rFonts w:ascii="Wingdings" w:hAnsi="Wingdings" w:hint="default"/>
      </w:rPr>
    </w:lvl>
  </w:abstractNum>
  <w:abstractNum w:abstractNumId="22" w15:restartNumberingAfterBreak="0">
    <w:nsid w:val="3C40185A"/>
    <w:multiLevelType w:val="multilevel"/>
    <w:tmpl w:val="DF5E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7650F"/>
    <w:multiLevelType w:val="multilevel"/>
    <w:tmpl w:val="648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8D3083"/>
    <w:multiLevelType w:val="multilevel"/>
    <w:tmpl w:val="8B38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D36C0B"/>
    <w:multiLevelType w:val="hybridMultilevel"/>
    <w:tmpl w:val="76C867E2"/>
    <w:lvl w:ilvl="0" w:tplc="991A1C18">
      <w:start w:val="1"/>
      <w:numFmt w:val="bullet"/>
      <w:lvlText w:val=""/>
      <w:lvlJc w:val="left"/>
      <w:pPr>
        <w:ind w:left="720" w:hanging="360"/>
      </w:pPr>
      <w:rPr>
        <w:rFonts w:ascii="Symbol" w:hAnsi="Symbol" w:hint="default"/>
      </w:rPr>
    </w:lvl>
    <w:lvl w:ilvl="1" w:tplc="29167BD8" w:tentative="1">
      <w:start w:val="1"/>
      <w:numFmt w:val="bullet"/>
      <w:lvlText w:val="o"/>
      <w:lvlJc w:val="left"/>
      <w:pPr>
        <w:ind w:left="1440" w:hanging="360"/>
      </w:pPr>
      <w:rPr>
        <w:rFonts w:ascii="Courier New" w:hAnsi="Courier New" w:cs="Courier New" w:hint="default"/>
      </w:rPr>
    </w:lvl>
    <w:lvl w:ilvl="2" w:tplc="9DD8DDE4" w:tentative="1">
      <w:start w:val="1"/>
      <w:numFmt w:val="bullet"/>
      <w:lvlText w:val=""/>
      <w:lvlJc w:val="left"/>
      <w:pPr>
        <w:ind w:left="2160" w:hanging="360"/>
      </w:pPr>
      <w:rPr>
        <w:rFonts w:ascii="Wingdings" w:hAnsi="Wingdings" w:hint="default"/>
      </w:rPr>
    </w:lvl>
    <w:lvl w:ilvl="3" w:tplc="167CE044" w:tentative="1">
      <w:start w:val="1"/>
      <w:numFmt w:val="bullet"/>
      <w:lvlText w:val=""/>
      <w:lvlJc w:val="left"/>
      <w:pPr>
        <w:ind w:left="2880" w:hanging="360"/>
      </w:pPr>
      <w:rPr>
        <w:rFonts w:ascii="Symbol" w:hAnsi="Symbol" w:hint="default"/>
      </w:rPr>
    </w:lvl>
    <w:lvl w:ilvl="4" w:tplc="27B0D164" w:tentative="1">
      <w:start w:val="1"/>
      <w:numFmt w:val="bullet"/>
      <w:lvlText w:val="o"/>
      <w:lvlJc w:val="left"/>
      <w:pPr>
        <w:ind w:left="3600" w:hanging="360"/>
      </w:pPr>
      <w:rPr>
        <w:rFonts w:ascii="Courier New" w:hAnsi="Courier New" w:cs="Courier New" w:hint="default"/>
      </w:rPr>
    </w:lvl>
    <w:lvl w:ilvl="5" w:tplc="A9B653D2" w:tentative="1">
      <w:start w:val="1"/>
      <w:numFmt w:val="bullet"/>
      <w:lvlText w:val=""/>
      <w:lvlJc w:val="left"/>
      <w:pPr>
        <w:ind w:left="4320" w:hanging="360"/>
      </w:pPr>
      <w:rPr>
        <w:rFonts w:ascii="Wingdings" w:hAnsi="Wingdings" w:hint="default"/>
      </w:rPr>
    </w:lvl>
    <w:lvl w:ilvl="6" w:tplc="2562784E" w:tentative="1">
      <w:start w:val="1"/>
      <w:numFmt w:val="bullet"/>
      <w:lvlText w:val=""/>
      <w:lvlJc w:val="left"/>
      <w:pPr>
        <w:ind w:left="5040" w:hanging="360"/>
      </w:pPr>
      <w:rPr>
        <w:rFonts w:ascii="Symbol" w:hAnsi="Symbol" w:hint="default"/>
      </w:rPr>
    </w:lvl>
    <w:lvl w:ilvl="7" w:tplc="DF8C7ABA" w:tentative="1">
      <w:start w:val="1"/>
      <w:numFmt w:val="bullet"/>
      <w:lvlText w:val="o"/>
      <w:lvlJc w:val="left"/>
      <w:pPr>
        <w:ind w:left="5760" w:hanging="360"/>
      </w:pPr>
      <w:rPr>
        <w:rFonts w:ascii="Courier New" w:hAnsi="Courier New" w:cs="Courier New" w:hint="default"/>
      </w:rPr>
    </w:lvl>
    <w:lvl w:ilvl="8" w:tplc="8FE0255A" w:tentative="1">
      <w:start w:val="1"/>
      <w:numFmt w:val="bullet"/>
      <w:lvlText w:val=""/>
      <w:lvlJc w:val="left"/>
      <w:pPr>
        <w:ind w:left="6480" w:hanging="360"/>
      </w:pPr>
      <w:rPr>
        <w:rFonts w:ascii="Wingdings" w:hAnsi="Wingdings" w:hint="default"/>
      </w:rPr>
    </w:lvl>
  </w:abstractNum>
  <w:abstractNum w:abstractNumId="26" w15:restartNumberingAfterBreak="0">
    <w:nsid w:val="4624164E"/>
    <w:multiLevelType w:val="hybridMultilevel"/>
    <w:tmpl w:val="B6F2E980"/>
    <w:lvl w:ilvl="0" w:tplc="A140BC24">
      <w:start w:val="1"/>
      <w:numFmt w:val="bullet"/>
      <w:lvlText w:val=""/>
      <w:lvlJc w:val="left"/>
      <w:pPr>
        <w:ind w:left="720" w:hanging="360"/>
      </w:pPr>
      <w:rPr>
        <w:rFonts w:ascii="Symbol" w:hAnsi="Symbol" w:hint="default"/>
      </w:rPr>
    </w:lvl>
    <w:lvl w:ilvl="1" w:tplc="4A84107E" w:tentative="1">
      <w:start w:val="1"/>
      <w:numFmt w:val="bullet"/>
      <w:lvlText w:val="o"/>
      <w:lvlJc w:val="left"/>
      <w:pPr>
        <w:ind w:left="1440" w:hanging="360"/>
      </w:pPr>
      <w:rPr>
        <w:rFonts w:ascii="Courier New" w:hAnsi="Courier New" w:cs="Courier New" w:hint="default"/>
      </w:rPr>
    </w:lvl>
    <w:lvl w:ilvl="2" w:tplc="34088E7E" w:tentative="1">
      <w:start w:val="1"/>
      <w:numFmt w:val="bullet"/>
      <w:lvlText w:val=""/>
      <w:lvlJc w:val="left"/>
      <w:pPr>
        <w:ind w:left="2160" w:hanging="360"/>
      </w:pPr>
      <w:rPr>
        <w:rFonts w:ascii="Wingdings" w:hAnsi="Wingdings" w:hint="default"/>
      </w:rPr>
    </w:lvl>
    <w:lvl w:ilvl="3" w:tplc="184EDBE0" w:tentative="1">
      <w:start w:val="1"/>
      <w:numFmt w:val="bullet"/>
      <w:lvlText w:val=""/>
      <w:lvlJc w:val="left"/>
      <w:pPr>
        <w:ind w:left="2880" w:hanging="360"/>
      </w:pPr>
      <w:rPr>
        <w:rFonts w:ascii="Symbol" w:hAnsi="Symbol" w:hint="default"/>
      </w:rPr>
    </w:lvl>
    <w:lvl w:ilvl="4" w:tplc="A2ECD0DE" w:tentative="1">
      <w:start w:val="1"/>
      <w:numFmt w:val="bullet"/>
      <w:lvlText w:val="o"/>
      <w:lvlJc w:val="left"/>
      <w:pPr>
        <w:ind w:left="3600" w:hanging="360"/>
      </w:pPr>
      <w:rPr>
        <w:rFonts w:ascii="Courier New" w:hAnsi="Courier New" w:cs="Courier New" w:hint="default"/>
      </w:rPr>
    </w:lvl>
    <w:lvl w:ilvl="5" w:tplc="6C44EBE0" w:tentative="1">
      <w:start w:val="1"/>
      <w:numFmt w:val="bullet"/>
      <w:lvlText w:val=""/>
      <w:lvlJc w:val="left"/>
      <w:pPr>
        <w:ind w:left="4320" w:hanging="360"/>
      </w:pPr>
      <w:rPr>
        <w:rFonts w:ascii="Wingdings" w:hAnsi="Wingdings" w:hint="default"/>
      </w:rPr>
    </w:lvl>
    <w:lvl w:ilvl="6" w:tplc="70EEC68C" w:tentative="1">
      <w:start w:val="1"/>
      <w:numFmt w:val="bullet"/>
      <w:lvlText w:val=""/>
      <w:lvlJc w:val="left"/>
      <w:pPr>
        <w:ind w:left="5040" w:hanging="360"/>
      </w:pPr>
      <w:rPr>
        <w:rFonts w:ascii="Symbol" w:hAnsi="Symbol" w:hint="default"/>
      </w:rPr>
    </w:lvl>
    <w:lvl w:ilvl="7" w:tplc="81D09F6E" w:tentative="1">
      <w:start w:val="1"/>
      <w:numFmt w:val="bullet"/>
      <w:lvlText w:val="o"/>
      <w:lvlJc w:val="left"/>
      <w:pPr>
        <w:ind w:left="5760" w:hanging="360"/>
      </w:pPr>
      <w:rPr>
        <w:rFonts w:ascii="Courier New" w:hAnsi="Courier New" w:cs="Courier New" w:hint="default"/>
      </w:rPr>
    </w:lvl>
    <w:lvl w:ilvl="8" w:tplc="EB60467A" w:tentative="1">
      <w:start w:val="1"/>
      <w:numFmt w:val="bullet"/>
      <w:lvlText w:val=""/>
      <w:lvlJc w:val="left"/>
      <w:pPr>
        <w:ind w:left="6480" w:hanging="360"/>
      </w:pPr>
      <w:rPr>
        <w:rFonts w:ascii="Wingdings" w:hAnsi="Wingdings" w:hint="default"/>
      </w:rPr>
    </w:lvl>
  </w:abstractNum>
  <w:abstractNum w:abstractNumId="27" w15:restartNumberingAfterBreak="0">
    <w:nsid w:val="46CF3FAB"/>
    <w:multiLevelType w:val="multilevel"/>
    <w:tmpl w:val="7D0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7E5E32"/>
    <w:multiLevelType w:val="hybridMultilevel"/>
    <w:tmpl w:val="CE2C241C"/>
    <w:lvl w:ilvl="0" w:tplc="6E809A22">
      <w:start w:val="1"/>
      <w:numFmt w:val="bullet"/>
      <w:lvlText w:val=""/>
      <w:lvlJc w:val="left"/>
      <w:pPr>
        <w:ind w:left="720" w:hanging="360"/>
      </w:pPr>
      <w:rPr>
        <w:rFonts w:ascii="Symbol" w:hAnsi="Symbol" w:hint="default"/>
      </w:rPr>
    </w:lvl>
    <w:lvl w:ilvl="1" w:tplc="92D09904">
      <w:start w:val="1"/>
      <w:numFmt w:val="bullet"/>
      <w:lvlText w:val="o"/>
      <w:lvlJc w:val="left"/>
      <w:pPr>
        <w:ind w:left="1440" w:hanging="360"/>
      </w:pPr>
      <w:rPr>
        <w:rFonts w:ascii="Courier New" w:hAnsi="Courier New" w:cs="Courier New" w:hint="default"/>
      </w:rPr>
    </w:lvl>
    <w:lvl w:ilvl="2" w:tplc="A998B17C" w:tentative="1">
      <w:start w:val="1"/>
      <w:numFmt w:val="bullet"/>
      <w:lvlText w:val=""/>
      <w:lvlJc w:val="left"/>
      <w:pPr>
        <w:ind w:left="2160" w:hanging="360"/>
      </w:pPr>
      <w:rPr>
        <w:rFonts w:ascii="Wingdings" w:hAnsi="Wingdings" w:hint="default"/>
      </w:rPr>
    </w:lvl>
    <w:lvl w:ilvl="3" w:tplc="4EB86BA2" w:tentative="1">
      <w:start w:val="1"/>
      <w:numFmt w:val="bullet"/>
      <w:lvlText w:val=""/>
      <w:lvlJc w:val="left"/>
      <w:pPr>
        <w:ind w:left="2880" w:hanging="360"/>
      </w:pPr>
      <w:rPr>
        <w:rFonts w:ascii="Symbol" w:hAnsi="Symbol" w:hint="default"/>
      </w:rPr>
    </w:lvl>
    <w:lvl w:ilvl="4" w:tplc="AD4CD582" w:tentative="1">
      <w:start w:val="1"/>
      <w:numFmt w:val="bullet"/>
      <w:lvlText w:val="o"/>
      <w:lvlJc w:val="left"/>
      <w:pPr>
        <w:ind w:left="3600" w:hanging="360"/>
      </w:pPr>
      <w:rPr>
        <w:rFonts w:ascii="Courier New" w:hAnsi="Courier New" w:cs="Courier New" w:hint="default"/>
      </w:rPr>
    </w:lvl>
    <w:lvl w:ilvl="5" w:tplc="78223400" w:tentative="1">
      <w:start w:val="1"/>
      <w:numFmt w:val="bullet"/>
      <w:lvlText w:val=""/>
      <w:lvlJc w:val="left"/>
      <w:pPr>
        <w:ind w:left="4320" w:hanging="360"/>
      </w:pPr>
      <w:rPr>
        <w:rFonts w:ascii="Wingdings" w:hAnsi="Wingdings" w:hint="default"/>
      </w:rPr>
    </w:lvl>
    <w:lvl w:ilvl="6" w:tplc="741E1142" w:tentative="1">
      <w:start w:val="1"/>
      <w:numFmt w:val="bullet"/>
      <w:lvlText w:val=""/>
      <w:lvlJc w:val="left"/>
      <w:pPr>
        <w:ind w:left="5040" w:hanging="360"/>
      </w:pPr>
      <w:rPr>
        <w:rFonts w:ascii="Symbol" w:hAnsi="Symbol" w:hint="default"/>
      </w:rPr>
    </w:lvl>
    <w:lvl w:ilvl="7" w:tplc="8E5CF4CC" w:tentative="1">
      <w:start w:val="1"/>
      <w:numFmt w:val="bullet"/>
      <w:lvlText w:val="o"/>
      <w:lvlJc w:val="left"/>
      <w:pPr>
        <w:ind w:left="5760" w:hanging="360"/>
      </w:pPr>
      <w:rPr>
        <w:rFonts w:ascii="Courier New" w:hAnsi="Courier New" w:cs="Courier New" w:hint="default"/>
      </w:rPr>
    </w:lvl>
    <w:lvl w:ilvl="8" w:tplc="F190A238" w:tentative="1">
      <w:start w:val="1"/>
      <w:numFmt w:val="bullet"/>
      <w:lvlText w:val=""/>
      <w:lvlJc w:val="left"/>
      <w:pPr>
        <w:ind w:left="6480" w:hanging="360"/>
      </w:pPr>
      <w:rPr>
        <w:rFonts w:ascii="Wingdings" w:hAnsi="Wingdings" w:hint="default"/>
      </w:rPr>
    </w:lvl>
  </w:abstractNum>
  <w:abstractNum w:abstractNumId="29" w15:restartNumberingAfterBreak="0">
    <w:nsid w:val="496C7FF6"/>
    <w:multiLevelType w:val="hybridMultilevel"/>
    <w:tmpl w:val="2DC077C0"/>
    <w:lvl w:ilvl="0" w:tplc="6E008F3E">
      <w:start w:val="1"/>
      <w:numFmt w:val="decimal"/>
      <w:pStyle w:val="BOXNumberedList"/>
      <w:lvlText w:val="%1."/>
      <w:lvlJc w:val="left"/>
      <w:pPr>
        <w:ind w:left="840" w:hanging="360"/>
      </w:pPr>
    </w:lvl>
    <w:lvl w:ilvl="1" w:tplc="EA7C3B1E" w:tentative="1">
      <w:start w:val="1"/>
      <w:numFmt w:val="lowerLetter"/>
      <w:lvlText w:val="%2."/>
      <w:lvlJc w:val="left"/>
      <w:pPr>
        <w:ind w:left="1560" w:hanging="360"/>
      </w:pPr>
    </w:lvl>
    <w:lvl w:ilvl="2" w:tplc="3E909F7C" w:tentative="1">
      <w:start w:val="1"/>
      <w:numFmt w:val="lowerRoman"/>
      <w:lvlText w:val="%3."/>
      <w:lvlJc w:val="right"/>
      <w:pPr>
        <w:ind w:left="2280" w:hanging="180"/>
      </w:pPr>
    </w:lvl>
    <w:lvl w:ilvl="3" w:tplc="FD601694" w:tentative="1">
      <w:start w:val="1"/>
      <w:numFmt w:val="decimal"/>
      <w:lvlText w:val="%4."/>
      <w:lvlJc w:val="left"/>
      <w:pPr>
        <w:ind w:left="3000" w:hanging="360"/>
      </w:pPr>
    </w:lvl>
    <w:lvl w:ilvl="4" w:tplc="B0787338" w:tentative="1">
      <w:start w:val="1"/>
      <w:numFmt w:val="lowerLetter"/>
      <w:lvlText w:val="%5."/>
      <w:lvlJc w:val="left"/>
      <w:pPr>
        <w:ind w:left="3720" w:hanging="360"/>
      </w:pPr>
    </w:lvl>
    <w:lvl w:ilvl="5" w:tplc="B13A8ED8" w:tentative="1">
      <w:start w:val="1"/>
      <w:numFmt w:val="lowerRoman"/>
      <w:lvlText w:val="%6."/>
      <w:lvlJc w:val="right"/>
      <w:pPr>
        <w:ind w:left="4440" w:hanging="180"/>
      </w:pPr>
    </w:lvl>
    <w:lvl w:ilvl="6" w:tplc="7422B9E6" w:tentative="1">
      <w:start w:val="1"/>
      <w:numFmt w:val="decimal"/>
      <w:lvlText w:val="%7."/>
      <w:lvlJc w:val="left"/>
      <w:pPr>
        <w:ind w:left="5160" w:hanging="360"/>
      </w:pPr>
    </w:lvl>
    <w:lvl w:ilvl="7" w:tplc="31F6F1DA" w:tentative="1">
      <w:start w:val="1"/>
      <w:numFmt w:val="lowerLetter"/>
      <w:lvlText w:val="%8."/>
      <w:lvlJc w:val="left"/>
      <w:pPr>
        <w:ind w:left="5880" w:hanging="360"/>
      </w:pPr>
    </w:lvl>
    <w:lvl w:ilvl="8" w:tplc="D92E4F3C" w:tentative="1">
      <w:start w:val="1"/>
      <w:numFmt w:val="lowerRoman"/>
      <w:lvlText w:val="%9."/>
      <w:lvlJc w:val="right"/>
      <w:pPr>
        <w:ind w:left="6600" w:hanging="180"/>
      </w:pPr>
    </w:lvl>
  </w:abstractNum>
  <w:abstractNum w:abstractNumId="30" w15:restartNumberingAfterBreak="0">
    <w:nsid w:val="4B5F429E"/>
    <w:multiLevelType w:val="hybridMultilevel"/>
    <w:tmpl w:val="F4B21C2E"/>
    <w:lvl w:ilvl="0" w:tplc="C6F07BAE">
      <w:start w:val="1"/>
      <w:numFmt w:val="bullet"/>
      <w:lvlText w:val=""/>
      <w:lvlJc w:val="left"/>
      <w:pPr>
        <w:ind w:left="720" w:hanging="360"/>
      </w:pPr>
      <w:rPr>
        <w:rFonts w:ascii="Symbol" w:hAnsi="Symbol" w:hint="default"/>
      </w:rPr>
    </w:lvl>
    <w:lvl w:ilvl="1" w:tplc="2D3A8A60" w:tentative="1">
      <w:start w:val="1"/>
      <w:numFmt w:val="lowerLetter"/>
      <w:lvlText w:val="%2."/>
      <w:lvlJc w:val="left"/>
      <w:pPr>
        <w:ind w:left="1440" w:hanging="360"/>
      </w:pPr>
    </w:lvl>
    <w:lvl w:ilvl="2" w:tplc="F69A12EA" w:tentative="1">
      <w:start w:val="1"/>
      <w:numFmt w:val="lowerRoman"/>
      <w:lvlText w:val="%3."/>
      <w:lvlJc w:val="right"/>
      <w:pPr>
        <w:ind w:left="2160" w:hanging="180"/>
      </w:pPr>
    </w:lvl>
    <w:lvl w:ilvl="3" w:tplc="DD92EB92" w:tentative="1">
      <w:start w:val="1"/>
      <w:numFmt w:val="decimal"/>
      <w:lvlText w:val="%4."/>
      <w:lvlJc w:val="left"/>
      <w:pPr>
        <w:ind w:left="2880" w:hanging="360"/>
      </w:pPr>
    </w:lvl>
    <w:lvl w:ilvl="4" w:tplc="C3E829A6" w:tentative="1">
      <w:start w:val="1"/>
      <w:numFmt w:val="lowerLetter"/>
      <w:lvlText w:val="%5."/>
      <w:lvlJc w:val="left"/>
      <w:pPr>
        <w:ind w:left="3600" w:hanging="360"/>
      </w:pPr>
    </w:lvl>
    <w:lvl w:ilvl="5" w:tplc="4D80A816" w:tentative="1">
      <w:start w:val="1"/>
      <w:numFmt w:val="lowerRoman"/>
      <w:lvlText w:val="%6."/>
      <w:lvlJc w:val="right"/>
      <w:pPr>
        <w:ind w:left="4320" w:hanging="180"/>
      </w:pPr>
    </w:lvl>
    <w:lvl w:ilvl="6" w:tplc="EE1642D2" w:tentative="1">
      <w:start w:val="1"/>
      <w:numFmt w:val="decimal"/>
      <w:lvlText w:val="%7."/>
      <w:lvlJc w:val="left"/>
      <w:pPr>
        <w:ind w:left="5040" w:hanging="360"/>
      </w:pPr>
    </w:lvl>
    <w:lvl w:ilvl="7" w:tplc="E534865E" w:tentative="1">
      <w:start w:val="1"/>
      <w:numFmt w:val="lowerLetter"/>
      <w:lvlText w:val="%8."/>
      <w:lvlJc w:val="left"/>
      <w:pPr>
        <w:ind w:left="5760" w:hanging="360"/>
      </w:pPr>
    </w:lvl>
    <w:lvl w:ilvl="8" w:tplc="4C1EA904" w:tentative="1">
      <w:start w:val="1"/>
      <w:numFmt w:val="lowerRoman"/>
      <w:lvlText w:val="%9."/>
      <w:lvlJc w:val="right"/>
      <w:pPr>
        <w:ind w:left="6480" w:hanging="180"/>
      </w:pPr>
    </w:lvl>
  </w:abstractNum>
  <w:abstractNum w:abstractNumId="31" w15:restartNumberingAfterBreak="0">
    <w:nsid w:val="4C9A01A8"/>
    <w:multiLevelType w:val="multilevel"/>
    <w:tmpl w:val="88D6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3C5E86"/>
    <w:multiLevelType w:val="multilevel"/>
    <w:tmpl w:val="1B66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436A45"/>
    <w:multiLevelType w:val="multilevel"/>
    <w:tmpl w:val="454E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05B297"/>
    <w:multiLevelType w:val="hybridMultilevel"/>
    <w:tmpl w:val="00000000"/>
    <w:lvl w:ilvl="0" w:tplc="203E4A68">
      <w:start w:val="1"/>
      <w:numFmt w:val="lowerRoman"/>
      <w:lvlText w:val="%1."/>
      <w:lvlJc w:val="right"/>
      <w:pPr>
        <w:ind w:left="720" w:hanging="360"/>
      </w:pPr>
    </w:lvl>
    <w:lvl w:ilvl="1" w:tplc="FBC68CBE">
      <w:start w:val="1"/>
      <w:numFmt w:val="lowerLetter"/>
      <w:lvlText w:val="%2."/>
      <w:lvlJc w:val="left"/>
      <w:pPr>
        <w:ind w:left="1440" w:hanging="360"/>
      </w:pPr>
    </w:lvl>
    <w:lvl w:ilvl="2" w:tplc="E3D886D4">
      <w:start w:val="1"/>
      <w:numFmt w:val="lowerRoman"/>
      <w:lvlText w:val="%3."/>
      <w:lvlJc w:val="right"/>
      <w:pPr>
        <w:ind w:left="2160" w:hanging="180"/>
      </w:pPr>
    </w:lvl>
    <w:lvl w:ilvl="3" w:tplc="17602BFA">
      <w:start w:val="1"/>
      <w:numFmt w:val="decimal"/>
      <w:lvlText w:val="%4."/>
      <w:lvlJc w:val="left"/>
      <w:pPr>
        <w:ind w:left="2880" w:hanging="360"/>
      </w:pPr>
    </w:lvl>
    <w:lvl w:ilvl="4" w:tplc="8F845378">
      <w:start w:val="1"/>
      <w:numFmt w:val="lowerLetter"/>
      <w:lvlText w:val="%5."/>
      <w:lvlJc w:val="left"/>
      <w:pPr>
        <w:ind w:left="3600" w:hanging="360"/>
      </w:pPr>
    </w:lvl>
    <w:lvl w:ilvl="5" w:tplc="72964434">
      <w:start w:val="1"/>
      <w:numFmt w:val="lowerRoman"/>
      <w:lvlText w:val="%6."/>
      <w:lvlJc w:val="right"/>
      <w:pPr>
        <w:ind w:left="4320" w:hanging="180"/>
      </w:pPr>
    </w:lvl>
    <w:lvl w:ilvl="6" w:tplc="ECDC500E">
      <w:start w:val="1"/>
      <w:numFmt w:val="decimal"/>
      <w:lvlText w:val="%7."/>
      <w:lvlJc w:val="left"/>
      <w:pPr>
        <w:ind w:left="5040" w:hanging="360"/>
      </w:pPr>
    </w:lvl>
    <w:lvl w:ilvl="7" w:tplc="83A24748">
      <w:start w:val="1"/>
      <w:numFmt w:val="lowerLetter"/>
      <w:lvlText w:val="%8."/>
      <w:lvlJc w:val="left"/>
      <w:pPr>
        <w:ind w:left="5760" w:hanging="360"/>
      </w:pPr>
    </w:lvl>
    <w:lvl w:ilvl="8" w:tplc="268C439E">
      <w:start w:val="1"/>
      <w:numFmt w:val="lowerRoman"/>
      <w:lvlText w:val="%9."/>
      <w:lvlJc w:val="right"/>
      <w:pPr>
        <w:ind w:left="6480" w:hanging="180"/>
      </w:pPr>
    </w:lvl>
  </w:abstractNum>
  <w:abstractNum w:abstractNumId="35" w15:restartNumberingAfterBreak="0">
    <w:nsid w:val="64E2057F"/>
    <w:multiLevelType w:val="multilevel"/>
    <w:tmpl w:val="37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7B47ED"/>
    <w:multiLevelType w:val="hybridMultilevel"/>
    <w:tmpl w:val="13E46082"/>
    <w:lvl w:ilvl="0" w:tplc="D76A8778">
      <w:start w:val="1"/>
      <w:numFmt w:val="bullet"/>
      <w:lvlText w:val=""/>
      <w:lvlJc w:val="left"/>
      <w:pPr>
        <w:ind w:left="720" w:hanging="360"/>
      </w:pPr>
      <w:rPr>
        <w:rFonts w:ascii="Symbol" w:hAnsi="Symbol" w:hint="default"/>
      </w:rPr>
    </w:lvl>
    <w:lvl w:ilvl="1" w:tplc="7B5ACAE2" w:tentative="1">
      <w:start w:val="1"/>
      <w:numFmt w:val="bullet"/>
      <w:lvlText w:val="o"/>
      <w:lvlJc w:val="left"/>
      <w:pPr>
        <w:ind w:left="1440" w:hanging="360"/>
      </w:pPr>
      <w:rPr>
        <w:rFonts w:ascii="Courier New" w:hAnsi="Courier New" w:cs="Courier New" w:hint="default"/>
      </w:rPr>
    </w:lvl>
    <w:lvl w:ilvl="2" w:tplc="D75A290A" w:tentative="1">
      <w:start w:val="1"/>
      <w:numFmt w:val="bullet"/>
      <w:lvlText w:val=""/>
      <w:lvlJc w:val="left"/>
      <w:pPr>
        <w:ind w:left="2160" w:hanging="360"/>
      </w:pPr>
      <w:rPr>
        <w:rFonts w:ascii="Wingdings" w:hAnsi="Wingdings" w:hint="default"/>
      </w:rPr>
    </w:lvl>
    <w:lvl w:ilvl="3" w:tplc="EBEEC6BA" w:tentative="1">
      <w:start w:val="1"/>
      <w:numFmt w:val="bullet"/>
      <w:lvlText w:val=""/>
      <w:lvlJc w:val="left"/>
      <w:pPr>
        <w:ind w:left="2880" w:hanging="360"/>
      </w:pPr>
      <w:rPr>
        <w:rFonts w:ascii="Symbol" w:hAnsi="Symbol" w:hint="default"/>
      </w:rPr>
    </w:lvl>
    <w:lvl w:ilvl="4" w:tplc="67A0C508" w:tentative="1">
      <w:start w:val="1"/>
      <w:numFmt w:val="bullet"/>
      <w:lvlText w:val="o"/>
      <w:lvlJc w:val="left"/>
      <w:pPr>
        <w:ind w:left="3600" w:hanging="360"/>
      </w:pPr>
      <w:rPr>
        <w:rFonts w:ascii="Courier New" w:hAnsi="Courier New" w:cs="Courier New" w:hint="default"/>
      </w:rPr>
    </w:lvl>
    <w:lvl w:ilvl="5" w:tplc="367C955E" w:tentative="1">
      <w:start w:val="1"/>
      <w:numFmt w:val="bullet"/>
      <w:lvlText w:val=""/>
      <w:lvlJc w:val="left"/>
      <w:pPr>
        <w:ind w:left="4320" w:hanging="360"/>
      </w:pPr>
      <w:rPr>
        <w:rFonts w:ascii="Wingdings" w:hAnsi="Wingdings" w:hint="default"/>
      </w:rPr>
    </w:lvl>
    <w:lvl w:ilvl="6" w:tplc="B53C2D48" w:tentative="1">
      <w:start w:val="1"/>
      <w:numFmt w:val="bullet"/>
      <w:lvlText w:val=""/>
      <w:lvlJc w:val="left"/>
      <w:pPr>
        <w:ind w:left="5040" w:hanging="360"/>
      </w:pPr>
      <w:rPr>
        <w:rFonts w:ascii="Symbol" w:hAnsi="Symbol" w:hint="default"/>
      </w:rPr>
    </w:lvl>
    <w:lvl w:ilvl="7" w:tplc="A7C823A6" w:tentative="1">
      <w:start w:val="1"/>
      <w:numFmt w:val="bullet"/>
      <w:lvlText w:val="o"/>
      <w:lvlJc w:val="left"/>
      <w:pPr>
        <w:ind w:left="5760" w:hanging="360"/>
      </w:pPr>
      <w:rPr>
        <w:rFonts w:ascii="Courier New" w:hAnsi="Courier New" w:cs="Courier New" w:hint="default"/>
      </w:rPr>
    </w:lvl>
    <w:lvl w:ilvl="8" w:tplc="04C66B68" w:tentative="1">
      <w:start w:val="1"/>
      <w:numFmt w:val="bullet"/>
      <w:lvlText w:val=""/>
      <w:lvlJc w:val="left"/>
      <w:pPr>
        <w:ind w:left="6480" w:hanging="360"/>
      </w:pPr>
      <w:rPr>
        <w:rFonts w:ascii="Wingdings" w:hAnsi="Wingdings" w:hint="default"/>
      </w:rPr>
    </w:lvl>
  </w:abstractNum>
  <w:abstractNum w:abstractNumId="37" w15:restartNumberingAfterBreak="0">
    <w:nsid w:val="6DCBF692"/>
    <w:multiLevelType w:val="hybridMultilevel"/>
    <w:tmpl w:val="00000000"/>
    <w:lvl w:ilvl="0" w:tplc="ABB4B82C">
      <w:start w:val="1"/>
      <w:numFmt w:val="decimal"/>
      <w:lvlText w:val="%1."/>
      <w:lvlJc w:val="left"/>
      <w:pPr>
        <w:ind w:left="720" w:hanging="360"/>
      </w:pPr>
    </w:lvl>
    <w:lvl w:ilvl="1" w:tplc="04FA6900">
      <w:start w:val="1"/>
      <w:numFmt w:val="lowerLetter"/>
      <w:lvlText w:val="%2."/>
      <w:lvlJc w:val="left"/>
      <w:pPr>
        <w:ind w:left="1440" w:hanging="360"/>
      </w:pPr>
    </w:lvl>
    <w:lvl w:ilvl="2" w:tplc="8F0E9B46">
      <w:start w:val="1"/>
      <w:numFmt w:val="lowerRoman"/>
      <w:lvlText w:val="%3."/>
      <w:lvlJc w:val="right"/>
      <w:pPr>
        <w:ind w:left="2160" w:hanging="180"/>
      </w:pPr>
    </w:lvl>
    <w:lvl w:ilvl="3" w:tplc="5EF443C0">
      <w:start w:val="1"/>
      <w:numFmt w:val="decimal"/>
      <w:lvlText w:val="%4."/>
      <w:lvlJc w:val="left"/>
      <w:pPr>
        <w:ind w:left="2880" w:hanging="360"/>
      </w:pPr>
    </w:lvl>
    <w:lvl w:ilvl="4" w:tplc="701205A0">
      <w:start w:val="1"/>
      <w:numFmt w:val="lowerLetter"/>
      <w:lvlText w:val="%5."/>
      <w:lvlJc w:val="left"/>
      <w:pPr>
        <w:ind w:left="3600" w:hanging="360"/>
      </w:pPr>
    </w:lvl>
    <w:lvl w:ilvl="5" w:tplc="493C0456">
      <w:start w:val="1"/>
      <w:numFmt w:val="lowerRoman"/>
      <w:lvlText w:val="%6."/>
      <w:lvlJc w:val="right"/>
      <w:pPr>
        <w:ind w:left="4320" w:hanging="180"/>
      </w:pPr>
    </w:lvl>
    <w:lvl w:ilvl="6" w:tplc="9A265306">
      <w:start w:val="1"/>
      <w:numFmt w:val="decimal"/>
      <w:lvlText w:val="%7."/>
      <w:lvlJc w:val="left"/>
      <w:pPr>
        <w:ind w:left="5040" w:hanging="360"/>
      </w:pPr>
    </w:lvl>
    <w:lvl w:ilvl="7" w:tplc="98323428">
      <w:start w:val="1"/>
      <w:numFmt w:val="lowerLetter"/>
      <w:lvlText w:val="%8."/>
      <w:lvlJc w:val="left"/>
      <w:pPr>
        <w:ind w:left="5760" w:hanging="360"/>
      </w:pPr>
    </w:lvl>
    <w:lvl w:ilvl="8" w:tplc="4AB0C4F8">
      <w:start w:val="1"/>
      <w:numFmt w:val="lowerRoman"/>
      <w:lvlText w:val="%9."/>
      <w:lvlJc w:val="right"/>
      <w:pPr>
        <w:ind w:left="6480" w:hanging="180"/>
      </w:pPr>
    </w:lvl>
  </w:abstractNum>
  <w:abstractNum w:abstractNumId="38" w15:restartNumberingAfterBreak="0">
    <w:nsid w:val="6EE51B32"/>
    <w:multiLevelType w:val="hybridMultilevel"/>
    <w:tmpl w:val="915C1D12"/>
    <w:lvl w:ilvl="0" w:tplc="8E06DEA4">
      <w:start w:val="1"/>
      <w:numFmt w:val="decimal"/>
      <w:pStyle w:val="TBLNumberedList"/>
      <w:lvlText w:val="%1."/>
      <w:lvlJc w:val="left"/>
      <w:pPr>
        <w:ind w:left="720" w:hanging="360"/>
      </w:pPr>
    </w:lvl>
    <w:lvl w:ilvl="1" w:tplc="B3EAAE1C" w:tentative="1">
      <w:start w:val="1"/>
      <w:numFmt w:val="lowerLetter"/>
      <w:lvlText w:val="%2."/>
      <w:lvlJc w:val="left"/>
      <w:pPr>
        <w:ind w:left="1440" w:hanging="360"/>
      </w:pPr>
    </w:lvl>
    <w:lvl w:ilvl="2" w:tplc="F3745F10" w:tentative="1">
      <w:start w:val="1"/>
      <w:numFmt w:val="lowerRoman"/>
      <w:lvlText w:val="%3."/>
      <w:lvlJc w:val="right"/>
      <w:pPr>
        <w:ind w:left="2160" w:hanging="180"/>
      </w:pPr>
    </w:lvl>
    <w:lvl w:ilvl="3" w:tplc="5F024BC8" w:tentative="1">
      <w:start w:val="1"/>
      <w:numFmt w:val="decimal"/>
      <w:lvlText w:val="%4."/>
      <w:lvlJc w:val="left"/>
      <w:pPr>
        <w:ind w:left="2880" w:hanging="360"/>
      </w:pPr>
    </w:lvl>
    <w:lvl w:ilvl="4" w:tplc="CBA02DB0" w:tentative="1">
      <w:start w:val="1"/>
      <w:numFmt w:val="lowerLetter"/>
      <w:lvlText w:val="%5."/>
      <w:lvlJc w:val="left"/>
      <w:pPr>
        <w:ind w:left="3600" w:hanging="360"/>
      </w:pPr>
    </w:lvl>
    <w:lvl w:ilvl="5" w:tplc="0BBC7552" w:tentative="1">
      <w:start w:val="1"/>
      <w:numFmt w:val="lowerRoman"/>
      <w:lvlText w:val="%6."/>
      <w:lvlJc w:val="right"/>
      <w:pPr>
        <w:ind w:left="4320" w:hanging="180"/>
      </w:pPr>
    </w:lvl>
    <w:lvl w:ilvl="6" w:tplc="673623F8" w:tentative="1">
      <w:start w:val="1"/>
      <w:numFmt w:val="decimal"/>
      <w:lvlText w:val="%7."/>
      <w:lvlJc w:val="left"/>
      <w:pPr>
        <w:ind w:left="5040" w:hanging="360"/>
      </w:pPr>
    </w:lvl>
    <w:lvl w:ilvl="7" w:tplc="313E826A" w:tentative="1">
      <w:start w:val="1"/>
      <w:numFmt w:val="lowerLetter"/>
      <w:lvlText w:val="%8."/>
      <w:lvlJc w:val="left"/>
      <w:pPr>
        <w:ind w:left="5760" w:hanging="360"/>
      </w:pPr>
    </w:lvl>
    <w:lvl w:ilvl="8" w:tplc="AF3288D4" w:tentative="1">
      <w:start w:val="1"/>
      <w:numFmt w:val="lowerRoman"/>
      <w:lvlText w:val="%9."/>
      <w:lvlJc w:val="right"/>
      <w:pPr>
        <w:ind w:left="6480" w:hanging="180"/>
      </w:pPr>
    </w:lvl>
  </w:abstractNum>
  <w:abstractNum w:abstractNumId="39" w15:restartNumberingAfterBreak="0">
    <w:nsid w:val="6FC77EDC"/>
    <w:multiLevelType w:val="multilevel"/>
    <w:tmpl w:val="30B4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455F4B"/>
    <w:multiLevelType w:val="hybridMultilevel"/>
    <w:tmpl w:val="A172419C"/>
    <w:lvl w:ilvl="0" w:tplc="1CD0C388">
      <w:start w:val="1"/>
      <w:numFmt w:val="bullet"/>
      <w:lvlText w:val=""/>
      <w:lvlJc w:val="left"/>
      <w:pPr>
        <w:ind w:left="720" w:hanging="360"/>
      </w:pPr>
      <w:rPr>
        <w:rFonts w:ascii="Symbol" w:hAnsi="Symbol" w:hint="default"/>
      </w:rPr>
    </w:lvl>
    <w:lvl w:ilvl="1" w:tplc="EB8CD7DC" w:tentative="1">
      <w:start w:val="1"/>
      <w:numFmt w:val="bullet"/>
      <w:lvlText w:val="o"/>
      <w:lvlJc w:val="left"/>
      <w:pPr>
        <w:ind w:left="1440" w:hanging="360"/>
      </w:pPr>
      <w:rPr>
        <w:rFonts w:ascii="Courier New" w:hAnsi="Courier New" w:cs="Courier New" w:hint="default"/>
      </w:rPr>
    </w:lvl>
    <w:lvl w:ilvl="2" w:tplc="B784E5D4" w:tentative="1">
      <w:start w:val="1"/>
      <w:numFmt w:val="bullet"/>
      <w:lvlText w:val=""/>
      <w:lvlJc w:val="left"/>
      <w:pPr>
        <w:ind w:left="2160" w:hanging="360"/>
      </w:pPr>
      <w:rPr>
        <w:rFonts w:ascii="Wingdings" w:hAnsi="Wingdings" w:hint="default"/>
      </w:rPr>
    </w:lvl>
    <w:lvl w:ilvl="3" w:tplc="72441DAC" w:tentative="1">
      <w:start w:val="1"/>
      <w:numFmt w:val="bullet"/>
      <w:lvlText w:val=""/>
      <w:lvlJc w:val="left"/>
      <w:pPr>
        <w:ind w:left="2880" w:hanging="360"/>
      </w:pPr>
      <w:rPr>
        <w:rFonts w:ascii="Symbol" w:hAnsi="Symbol" w:hint="default"/>
      </w:rPr>
    </w:lvl>
    <w:lvl w:ilvl="4" w:tplc="C2BEA92C" w:tentative="1">
      <w:start w:val="1"/>
      <w:numFmt w:val="bullet"/>
      <w:lvlText w:val="o"/>
      <w:lvlJc w:val="left"/>
      <w:pPr>
        <w:ind w:left="3600" w:hanging="360"/>
      </w:pPr>
      <w:rPr>
        <w:rFonts w:ascii="Courier New" w:hAnsi="Courier New" w:cs="Courier New" w:hint="default"/>
      </w:rPr>
    </w:lvl>
    <w:lvl w:ilvl="5" w:tplc="6DDA9EF0" w:tentative="1">
      <w:start w:val="1"/>
      <w:numFmt w:val="bullet"/>
      <w:lvlText w:val=""/>
      <w:lvlJc w:val="left"/>
      <w:pPr>
        <w:ind w:left="4320" w:hanging="360"/>
      </w:pPr>
      <w:rPr>
        <w:rFonts w:ascii="Wingdings" w:hAnsi="Wingdings" w:hint="default"/>
      </w:rPr>
    </w:lvl>
    <w:lvl w:ilvl="6" w:tplc="CB0AE340" w:tentative="1">
      <w:start w:val="1"/>
      <w:numFmt w:val="bullet"/>
      <w:lvlText w:val=""/>
      <w:lvlJc w:val="left"/>
      <w:pPr>
        <w:ind w:left="5040" w:hanging="360"/>
      </w:pPr>
      <w:rPr>
        <w:rFonts w:ascii="Symbol" w:hAnsi="Symbol" w:hint="default"/>
      </w:rPr>
    </w:lvl>
    <w:lvl w:ilvl="7" w:tplc="94D63B9A" w:tentative="1">
      <w:start w:val="1"/>
      <w:numFmt w:val="bullet"/>
      <w:lvlText w:val="o"/>
      <w:lvlJc w:val="left"/>
      <w:pPr>
        <w:ind w:left="5760" w:hanging="360"/>
      </w:pPr>
      <w:rPr>
        <w:rFonts w:ascii="Courier New" w:hAnsi="Courier New" w:cs="Courier New" w:hint="default"/>
      </w:rPr>
    </w:lvl>
    <w:lvl w:ilvl="8" w:tplc="EF7C2E48" w:tentative="1">
      <w:start w:val="1"/>
      <w:numFmt w:val="bullet"/>
      <w:lvlText w:val=""/>
      <w:lvlJc w:val="left"/>
      <w:pPr>
        <w:ind w:left="6480" w:hanging="360"/>
      </w:pPr>
      <w:rPr>
        <w:rFonts w:ascii="Wingdings" w:hAnsi="Wingdings" w:hint="default"/>
      </w:rPr>
    </w:lvl>
  </w:abstractNum>
  <w:abstractNum w:abstractNumId="41" w15:restartNumberingAfterBreak="0">
    <w:nsid w:val="74CC0C86"/>
    <w:multiLevelType w:val="multilevel"/>
    <w:tmpl w:val="2D60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E71C8F"/>
    <w:multiLevelType w:val="multilevel"/>
    <w:tmpl w:val="8D54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1170D5"/>
    <w:multiLevelType w:val="hybridMultilevel"/>
    <w:tmpl w:val="3622095C"/>
    <w:lvl w:ilvl="0" w:tplc="4EE28CCE">
      <w:start w:val="1"/>
      <w:numFmt w:val="decimal"/>
      <w:pStyle w:val="NumberedList-Level1"/>
      <w:lvlText w:val="%1."/>
      <w:lvlJc w:val="left"/>
      <w:pPr>
        <w:ind w:left="567" w:hanging="283"/>
      </w:pPr>
      <w:rPr>
        <w:rFonts w:hint="default"/>
      </w:rPr>
    </w:lvl>
    <w:lvl w:ilvl="1" w:tplc="417A6794">
      <w:start w:val="1"/>
      <w:numFmt w:val="lowerLetter"/>
      <w:pStyle w:val="NumberedList-level2"/>
      <w:lvlText w:val="%2."/>
      <w:lvlJc w:val="left"/>
      <w:pPr>
        <w:ind w:left="851" w:hanging="284"/>
      </w:pPr>
      <w:rPr>
        <w:rFonts w:hint="default"/>
      </w:rPr>
    </w:lvl>
    <w:lvl w:ilvl="2" w:tplc="37809010">
      <w:start w:val="1"/>
      <w:numFmt w:val="lowerRoman"/>
      <w:pStyle w:val="NumberedList-Level3"/>
      <w:lvlText w:val="%3."/>
      <w:lvlJc w:val="right"/>
      <w:pPr>
        <w:ind w:left="1134" w:hanging="170"/>
      </w:pPr>
      <w:rPr>
        <w:rFonts w:hint="default"/>
      </w:rPr>
    </w:lvl>
    <w:lvl w:ilvl="3" w:tplc="26C84E6E">
      <w:start w:val="1"/>
      <w:numFmt w:val="decimal"/>
      <w:lvlText w:val="%4."/>
      <w:lvlJc w:val="left"/>
      <w:pPr>
        <w:ind w:left="2880" w:hanging="360"/>
      </w:pPr>
    </w:lvl>
    <w:lvl w:ilvl="4" w:tplc="39FE397C" w:tentative="1">
      <w:start w:val="1"/>
      <w:numFmt w:val="lowerLetter"/>
      <w:lvlText w:val="%5."/>
      <w:lvlJc w:val="left"/>
      <w:pPr>
        <w:ind w:left="3600" w:hanging="360"/>
      </w:pPr>
    </w:lvl>
    <w:lvl w:ilvl="5" w:tplc="9D44B662" w:tentative="1">
      <w:start w:val="1"/>
      <w:numFmt w:val="lowerRoman"/>
      <w:lvlText w:val="%6."/>
      <w:lvlJc w:val="right"/>
      <w:pPr>
        <w:ind w:left="4320" w:hanging="180"/>
      </w:pPr>
    </w:lvl>
    <w:lvl w:ilvl="6" w:tplc="4FB2C69A" w:tentative="1">
      <w:start w:val="1"/>
      <w:numFmt w:val="decimal"/>
      <w:lvlText w:val="%7."/>
      <w:lvlJc w:val="left"/>
      <w:pPr>
        <w:ind w:left="5040" w:hanging="360"/>
      </w:pPr>
    </w:lvl>
    <w:lvl w:ilvl="7" w:tplc="988838A8" w:tentative="1">
      <w:start w:val="1"/>
      <w:numFmt w:val="lowerLetter"/>
      <w:lvlText w:val="%8."/>
      <w:lvlJc w:val="left"/>
      <w:pPr>
        <w:ind w:left="5760" w:hanging="360"/>
      </w:pPr>
    </w:lvl>
    <w:lvl w:ilvl="8" w:tplc="DE0E6AA8" w:tentative="1">
      <w:start w:val="1"/>
      <w:numFmt w:val="lowerRoman"/>
      <w:lvlText w:val="%9."/>
      <w:lvlJc w:val="right"/>
      <w:pPr>
        <w:ind w:left="6480" w:hanging="180"/>
      </w:pPr>
    </w:lvl>
  </w:abstractNum>
  <w:abstractNum w:abstractNumId="44" w15:restartNumberingAfterBreak="0">
    <w:nsid w:val="7D1C6A21"/>
    <w:multiLevelType w:val="multilevel"/>
    <w:tmpl w:val="A938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1475329">
    <w:abstractNumId w:val="37"/>
  </w:num>
  <w:num w:numId="2" w16cid:durableId="1098908393">
    <w:abstractNumId w:val="34"/>
  </w:num>
  <w:num w:numId="3" w16cid:durableId="722406088">
    <w:abstractNumId w:val="5"/>
  </w:num>
  <w:num w:numId="4" w16cid:durableId="1267346563">
    <w:abstractNumId w:val="4"/>
  </w:num>
  <w:num w:numId="5" w16cid:durableId="1240747452">
    <w:abstractNumId w:val="38"/>
  </w:num>
  <w:num w:numId="6" w16cid:durableId="1832326857">
    <w:abstractNumId w:val="14"/>
  </w:num>
  <w:num w:numId="7" w16cid:durableId="585923480">
    <w:abstractNumId w:val="43"/>
  </w:num>
  <w:num w:numId="8" w16cid:durableId="545527849">
    <w:abstractNumId w:val="12"/>
  </w:num>
  <w:num w:numId="9" w16cid:durableId="109203803">
    <w:abstractNumId w:val="29"/>
  </w:num>
  <w:num w:numId="10" w16cid:durableId="394281639">
    <w:abstractNumId w:val="9"/>
  </w:num>
  <w:num w:numId="11" w16cid:durableId="1374841095">
    <w:abstractNumId w:val="13"/>
  </w:num>
  <w:num w:numId="12" w16cid:durableId="1358584263">
    <w:abstractNumId w:val="7"/>
  </w:num>
  <w:num w:numId="13" w16cid:durableId="821001949">
    <w:abstractNumId w:val="26"/>
  </w:num>
  <w:num w:numId="14" w16cid:durableId="38627653">
    <w:abstractNumId w:val="16"/>
  </w:num>
  <w:num w:numId="15" w16cid:durableId="739790605">
    <w:abstractNumId w:val="30"/>
  </w:num>
  <w:num w:numId="16" w16cid:durableId="835002808">
    <w:abstractNumId w:val="8"/>
  </w:num>
  <w:num w:numId="17" w16cid:durableId="948777404">
    <w:abstractNumId w:val="18"/>
  </w:num>
  <w:num w:numId="18" w16cid:durableId="1045908278">
    <w:abstractNumId w:val="11"/>
  </w:num>
  <w:num w:numId="19" w16cid:durableId="1082526413">
    <w:abstractNumId w:val="15"/>
  </w:num>
  <w:num w:numId="20" w16cid:durableId="797262734">
    <w:abstractNumId w:val="6"/>
  </w:num>
  <w:num w:numId="21" w16cid:durableId="702831421">
    <w:abstractNumId w:val="19"/>
  </w:num>
  <w:num w:numId="22" w16cid:durableId="883978967">
    <w:abstractNumId w:val="23"/>
  </w:num>
  <w:num w:numId="23" w16cid:durableId="466163935">
    <w:abstractNumId w:val="28"/>
  </w:num>
  <w:num w:numId="24" w16cid:durableId="1324510494">
    <w:abstractNumId w:val="22"/>
  </w:num>
  <w:num w:numId="25" w16cid:durableId="106509138">
    <w:abstractNumId w:val="3"/>
  </w:num>
  <w:num w:numId="26" w16cid:durableId="1944532761">
    <w:abstractNumId w:val="25"/>
  </w:num>
  <w:num w:numId="27" w16cid:durableId="716466349">
    <w:abstractNumId w:val="21"/>
  </w:num>
  <w:num w:numId="28" w16cid:durableId="1332637860">
    <w:abstractNumId w:val="36"/>
  </w:num>
  <w:num w:numId="29" w16cid:durableId="901479314">
    <w:abstractNumId w:val="10"/>
  </w:num>
  <w:num w:numId="30" w16cid:durableId="201479119">
    <w:abstractNumId w:val="40"/>
  </w:num>
  <w:num w:numId="31" w16cid:durableId="2118745091">
    <w:abstractNumId w:val="27"/>
  </w:num>
  <w:num w:numId="32" w16cid:durableId="1202787306">
    <w:abstractNumId w:val="2"/>
  </w:num>
  <w:num w:numId="33" w16cid:durableId="336543328">
    <w:abstractNumId w:val="24"/>
  </w:num>
  <w:num w:numId="34" w16cid:durableId="875237441">
    <w:abstractNumId w:val="33"/>
  </w:num>
  <w:num w:numId="35" w16cid:durableId="1202939442">
    <w:abstractNumId w:val="31"/>
  </w:num>
  <w:num w:numId="36" w16cid:durableId="726536297">
    <w:abstractNumId w:val="39"/>
  </w:num>
  <w:num w:numId="37" w16cid:durableId="1527015378">
    <w:abstractNumId w:val="44"/>
  </w:num>
  <w:num w:numId="38" w16cid:durableId="685642072">
    <w:abstractNumId w:val="17"/>
  </w:num>
  <w:num w:numId="39" w16cid:durableId="954598877">
    <w:abstractNumId w:val="32"/>
  </w:num>
  <w:num w:numId="40" w16cid:durableId="1613316658">
    <w:abstractNumId w:val="42"/>
  </w:num>
  <w:num w:numId="41" w16cid:durableId="1203202487">
    <w:abstractNumId w:val="35"/>
  </w:num>
  <w:num w:numId="42" w16cid:durableId="774205122">
    <w:abstractNumId w:val="41"/>
  </w:num>
  <w:num w:numId="43" w16cid:durableId="2104690825">
    <w:abstractNumId w:val="0"/>
  </w:num>
  <w:num w:numId="44" w16cid:durableId="38867166">
    <w:abstractNumId w:val="20"/>
  </w:num>
  <w:num w:numId="45" w16cid:durableId="79980693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4C7"/>
    <w:rsid w:val="0000008B"/>
    <w:rsid w:val="000043D6"/>
    <w:rsid w:val="00005119"/>
    <w:rsid w:val="00006592"/>
    <w:rsid w:val="00007209"/>
    <w:rsid w:val="00011532"/>
    <w:rsid w:val="00013135"/>
    <w:rsid w:val="000131B9"/>
    <w:rsid w:val="00015CF1"/>
    <w:rsid w:val="00020EDF"/>
    <w:rsid w:val="000220EA"/>
    <w:rsid w:val="00022A62"/>
    <w:rsid w:val="00023F20"/>
    <w:rsid w:val="0002498D"/>
    <w:rsid w:val="00025AEC"/>
    <w:rsid w:val="00026CB5"/>
    <w:rsid w:val="00026DC9"/>
    <w:rsid w:val="00027038"/>
    <w:rsid w:val="00030D02"/>
    <w:rsid w:val="0003154E"/>
    <w:rsid w:val="0003201F"/>
    <w:rsid w:val="00032A31"/>
    <w:rsid w:val="00033CCB"/>
    <w:rsid w:val="000344E4"/>
    <w:rsid w:val="000346A7"/>
    <w:rsid w:val="00034C03"/>
    <w:rsid w:val="000365C4"/>
    <w:rsid w:val="00037513"/>
    <w:rsid w:val="000415A2"/>
    <w:rsid w:val="00042D03"/>
    <w:rsid w:val="00042FE4"/>
    <w:rsid w:val="00043333"/>
    <w:rsid w:val="00044A2F"/>
    <w:rsid w:val="00044BAF"/>
    <w:rsid w:val="00050C05"/>
    <w:rsid w:val="000515DF"/>
    <w:rsid w:val="00052CFC"/>
    <w:rsid w:val="00053ACB"/>
    <w:rsid w:val="000560F5"/>
    <w:rsid w:val="00056CD0"/>
    <w:rsid w:val="0006428E"/>
    <w:rsid w:val="00064F31"/>
    <w:rsid w:val="00066040"/>
    <w:rsid w:val="0006627F"/>
    <w:rsid w:val="00066AD4"/>
    <w:rsid w:val="000679E8"/>
    <w:rsid w:val="0007389B"/>
    <w:rsid w:val="000743FF"/>
    <w:rsid w:val="00074A94"/>
    <w:rsid w:val="0007501A"/>
    <w:rsid w:val="00075257"/>
    <w:rsid w:val="000755B7"/>
    <w:rsid w:val="00075E6C"/>
    <w:rsid w:val="00076819"/>
    <w:rsid w:val="0008090E"/>
    <w:rsid w:val="00081051"/>
    <w:rsid w:val="00081968"/>
    <w:rsid w:val="00082AA7"/>
    <w:rsid w:val="00083D73"/>
    <w:rsid w:val="00083F3B"/>
    <w:rsid w:val="0008435A"/>
    <w:rsid w:val="00085ACB"/>
    <w:rsid w:val="00085D7C"/>
    <w:rsid w:val="000863EB"/>
    <w:rsid w:val="000872C2"/>
    <w:rsid w:val="00090D1A"/>
    <w:rsid w:val="00091009"/>
    <w:rsid w:val="00092F54"/>
    <w:rsid w:val="00092FAF"/>
    <w:rsid w:val="0009335F"/>
    <w:rsid w:val="00093FAB"/>
    <w:rsid w:val="00094092"/>
    <w:rsid w:val="00094816"/>
    <w:rsid w:val="00097683"/>
    <w:rsid w:val="00097C99"/>
    <w:rsid w:val="000A1A6B"/>
    <w:rsid w:val="000A1F3D"/>
    <w:rsid w:val="000A4249"/>
    <w:rsid w:val="000A5347"/>
    <w:rsid w:val="000B03B3"/>
    <w:rsid w:val="000B0F43"/>
    <w:rsid w:val="000B0FD3"/>
    <w:rsid w:val="000B146C"/>
    <w:rsid w:val="000B1AB4"/>
    <w:rsid w:val="000B2032"/>
    <w:rsid w:val="000B3417"/>
    <w:rsid w:val="000B3BD8"/>
    <w:rsid w:val="000B6E1D"/>
    <w:rsid w:val="000C03C8"/>
    <w:rsid w:val="000C052A"/>
    <w:rsid w:val="000C0961"/>
    <w:rsid w:val="000C10AB"/>
    <w:rsid w:val="000C17D6"/>
    <w:rsid w:val="000C19FA"/>
    <w:rsid w:val="000C2867"/>
    <w:rsid w:val="000C34E6"/>
    <w:rsid w:val="000C4D3C"/>
    <w:rsid w:val="000C6311"/>
    <w:rsid w:val="000C6DEA"/>
    <w:rsid w:val="000C741C"/>
    <w:rsid w:val="000D159E"/>
    <w:rsid w:val="000D17D5"/>
    <w:rsid w:val="000D38CD"/>
    <w:rsid w:val="000D3E4A"/>
    <w:rsid w:val="000D4750"/>
    <w:rsid w:val="000D6194"/>
    <w:rsid w:val="000D6C36"/>
    <w:rsid w:val="000D724C"/>
    <w:rsid w:val="000D749D"/>
    <w:rsid w:val="000E1C70"/>
    <w:rsid w:val="000E5EDB"/>
    <w:rsid w:val="000E6BD7"/>
    <w:rsid w:val="000F08D0"/>
    <w:rsid w:val="000F1CAB"/>
    <w:rsid w:val="000F1E59"/>
    <w:rsid w:val="000F3253"/>
    <w:rsid w:val="000F401D"/>
    <w:rsid w:val="000F5766"/>
    <w:rsid w:val="00101262"/>
    <w:rsid w:val="00102061"/>
    <w:rsid w:val="00102E5F"/>
    <w:rsid w:val="001051FD"/>
    <w:rsid w:val="001068F8"/>
    <w:rsid w:val="00111060"/>
    <w:rsid w:val="00111ADF"/>
    <w:rsid w:val="00112088"/>
    <w:rsid w:val="0011375F"/>
    <w:rsid w:val="00115685"/>
    <w:rsid w:val="00115D1D"/>
    <w:rsid w:val="0011773A"/>
    <w:rsid w:val="00117A77"/>
    <w:rsid w:val="00117D1D"/>
    <w:rsid w:val="001201BA"/>
    <w:rsid w:val="00120A7B"/>
    <w:rsid w:val="001224D2"/>
    <w:rsid w:val="00122FD2"/>
    <w:rsid w:val="00124A23"/>
    <w:rsid w:val="0012540F"/>
    <w:rsid w:val="001301B7"/>
    <w:rsid w:val="0013046C"/>
    <w:rsid w:val="001309FC"/>
    <w:rsid w:val="00133318"/>
    <w:rsid w:val="00135EA2"/>
    <w:rsid w:val="00136D8E"/>
    <w:rsid w:val="001379DC"/>
    <w:rsid w:val="0014284F"/>
    <w:rsid w:val="00142AAE"/>
    <w:rsid w:val="0014328F"/>
    <w:rsid w:val="0014343C"/>
    <w:rsid w:val="0014349E"/>
    <w:rsid w:val="001435E4"/>
    <w:rsid w:val="00144301"/>
    <w:rsid w:val="0014489D"/>
    <w:rsid w:val="0014602E"/>
    <w:rsid w:val="00146694"/>
    <w:rsid w:val="00150AB7"/>
    <w:rsid w:val="00150CC9"/>
    <w:rsid w:val="00151ED2"/>
    <w:rsid w:val="00153784"/>
    <w:rsid w:val="00156796"/>
    <w:rsid w:val="00156E46"/>
    <w:rsid w:val="00157D87"/>
    <w:rsid w:val="00157FC1"/>
    <w:rsid w:val="00160869"/>
    <w:rsid w:val="001626DA"/>
    <w:rsid w:val="001628CA"/>
    <w:rsid w:val="00163719"/>
    <w:rsid w:val="00164392"/>
    <w:rsid w:val="0016441C"/>
    <w:rsid w:val="00164420"/>
    <w:rsid w:val="0017036B"/>
    <w:rsid w:val="001720F0"/>
    <w:rsid w:val="00172812"/>
    <w:rsid w:val="001745D1"/>
    <w:rsid w:val="001746CA"/>
    <w:rsid w:val="001748D6"/>
    <w:rsid w:val="00175CAD"/>
    <w:rsid w:val="001829A5"/>
    <w:rsid w:val="001844C9"/>
    <w:rsid w:val="00184B7F"/>
    <w:rsid w:val="00187292"/>
    <w:rsid w:val="00187650"/>
    <w:rsid w:val="00187984"/>
    <w:rsid w:val="00187AB6"/>
    <w:rsid w:val="001946FC"/>
    <w:rsid w:val="00194F35"/>
    <w:rsid w:val="001953B3"/>
    <w:rsid w:val="001962ED"/>
    <w:rsid w:val="0019720F"/>
    <w:rsid w:val="001A2F2C"/>
    <w:rsid w:val="001A510B"/>
    <w:rsid w:val="001A711C"/>
    <w:rsid w:val="001B072E"/>
    <w:rsid w:val="001B0985"/>
    <w:rsid w:val="001B1A5C"/>
    <w:rsid w:val="001B1E35"/>
    <w:rsid w:val="001B48D8"/>
    <w:rsid w:val="001B4918"/>
    <w:rsid w:val="001B5722"/>
    <w:rsid w:val="001B7925"/>
    <w:rsid w:val="001C0765"/>
    <w:rsid w:val="001C2166"/>
    <w:rsid w:val="001C2688"/>
    <w:rsid w:val="001C31F8"/>
    <w:rsid w:val="001C5D73"/>
    <w:rsid w:val="001C61D1"/>
    <w:rsid w:val="001C62C7"/>
    <w:rsid w:val="001C6CA0"/>
    <w:rsid w:val="001D1310"/>
    <w:rsid w:val="001D17EF"/>
    <w:rsid w:val="001D29A2"/>
    <w:rsid w:val="001D41D2"/>
    <w:rsid w:val="001D4CEC"/>
    <w:rsid w:val="001D4D54"/>
    <w:rsid w:val="001D57CD"/>
    <w:rsid w:val="001D5E94"/>
    <w:rsid w:val="001D6A36"/>
    <w:rsid w:val="001E0A99"/>
    <w:rsid w:val="001E1F9C"/>
    <w:rsid w:val="001E417F"/>
    <w:rsid w:val="001E4574"/>
    <w:rsid w:val="001F0CF0"/>
    <w:rsid w:val="001F1563"/>
    <w:rsid w:val="001F3C16"/>
    <w:rsid w:val="001F4163"/>
    <w:rsid w:val="001F4299"/>
    <w:rsid w:val="001F4EB8"/>
    <w:rsid w:val="001F6A09"/>
    <w:rsid w:val="001F70D3"/>
    <w:rsid w:val="002010AE"/>
    <w:rsid w:val="00201EF5"/>
    <w:rsid w:val="0020221A"/>
    <w:rsid w:val="002028BD"/>
    <w:rsid w:val="00202BBB"/>
    <w:rsid w:val="00203D92"/>
    <w:rsid w:val="00206632"/>
    <w:rsid w:val="00210F3D"/>
    <w:rsid w:val="002118E2"/>
    <w:rsid w:val="00211C69"/>
    <w:rsid w:val="00214983"/>
    <w:rsid w:val="00214C5B"/>
    <w:rsid w:val="00216F53"/>
    <w:rsid w:val="00220DDA"/>
    <w:rsid w:val="00221638"/>
    <w:rsid w:val="00222ABD"/>
    <w:rsid w:val="002248A8"/>
    <w:rsid w:val="00224A95"/>
    <w:rsid w:val="00226A20"/>
    <w:rsid w:val="00227232"/>
    <w:rsid w:val="00227324"/>
    <w:rsid w:val="00227A72"/>
    <w:rsid w:val="00227DB5"/>
    <w:rsid w:val="002300D4"/>
    <w:rsid w:val="00231577"/>
    <w:rsid w:val="0023233A"/>
    <w:rsid w:val="00232DEA"/>
    <w:rsid w:val="00233B83"/>
    <w:rsid w:val="00234885"/>
    <w:rsid w:val="00240B62"/>
    <w:rsid w:val="00240E95"/>
    <w:rsid w:val="00241897"/>
    <w:rsid w:val="00242884"/>
    <w:rsid w:val="002446BD"/>
    <w:rsid w:val="00245E1C"/>
    <w:rsid w:val="00246C68"/>
    <w:rsid w:val="002543A4"/>
    <w:rsid w:val="00255E1B"/>
    <w:rsid w:val="00260701"/>
    <w:rsid w:val="0026345C"/>
    <w:rsid w:val="00266CCC"/>
    <w:rsid w:val="002671F7"/>
    <w:rsid w:val="0026738F"/>
    <w:rsid w:val="002678EE"/>
    <w:rsid w:val="00271FB4"/>
    <w:rsid w:val="0027229E"/>
    <w:rsid w:val="00273571"/>
    <w:rsid w:val="0027389F"/>
    <w:rsid w:val="00273B9F"/>
    <w:rsid w:val="00274D42"/>
    <w:rsid w:val="00277C8B"/>
    <w:rsid w:val="00280458"/>
    <w:rsid w:val="0028067E"/>
    <w:rsid w:val="00280B26"/>
    <w:rsid w:val="002825A4"/>
    <w:rsid w:val="002825A9"/>
    <w:rsid w:val="00282D4B"/>
    <w:rsid w:val="00285CAF"/>
    <w:rsid w:val="00286436"/>
    <w:rsid w:val="00292B90"/>
    <w:rsid w:val="002942E4"/>
    <w:rsid w:val="00294C19"/>
    <w:rsid w:val="00294F07"/>
    <w:rsid w:val="00295353"/>
    <w:rsid w:val="0029619E"/>
    <w:rsid w:val="00296A3E"/>
    <w:rsid w:val="002A3125"/>
    <w:rsid w:val="002A3781"/>
    <w:rsid w:val="002A39CC"/>
    <w:rsid w:val="002A4003"/>
    <w:rsid w:val="002A6343"/>
    <w:rsid w:val="002A64B3"/>
    <w:rsid w:val="002B1D31"/>
    <w:rsid w:val="002B32A2"/>
    <w:rsid w:val="002B3D2F"/>
    <w:rsid w:val="002B43B7"/>
    <w:rsid w:val="002B51A5"/>
    <w:rsid w:val="002B63C1"/>
    <w:rsid w:val="002B661A"/>
    <w:rsid w:val="002B7935"/>
    <w:rsid w:val="002B7F05"/>
    <w:rsid w:val="002C0F40"/>
    <w:rsid w:val="002C1077"/>
    <w:rsid w:val="002C38D8"/>
    <w:rsid w:val="002C40F9"/>
    <w:rsid w:val="002C459F"/>
    <w:rsid w:val="002C4A30"/>
    <w:rsid w:val="002C4F34"/>
    <w:rsid w:val="002C50D7"/>
    <w:rsid w:val="002C5FA4"/>
    <w:rsid w:val="002C7A05"/>
    <w:rsid w:val="002C7DE9"/>
    <w:rsid w:val="002D03E8"/>
    <w:rsid w:val="002D1D15"/>
    <w:rsid w:val="002D1E81"/>
    <w:rsid w:val="002D2921"/>
    <w:rsid w:val="002D298A"/>
    <w:rsid w:val="002D397E"/>
    <w:rsid w:val="002D4495"/>
    <w:rsid w:val="002D487F"/>
    <w:rsid w:val="002D574B"/>
    <w:rsid w:val="002D6B3D"/>
    <w:rsid w:val="002E1446"/>
    <w:rsid w:val="002E2404"/>
    <w:rsid w:val="002E57EF"/>
    <w:rsid w:val="002E62A6"/>
    <w:rsid w:val="002E658A"/>
    <w:rsid w:val="002E6FBD"/>
    <w:rsid w:val="002E7407"/>
    <w:rsid w:val="002F4637"/>
    <w:rsid w:val="002F61C8"/>
    <w:rsid w:val="002F697A"/>
    <w:rsid w:val="002F7390"/>
    <w:rsid w:val="0030000A"/>
    <w:rsid w:val="00302482"/>
    <w:rsid w:val="00303C55"/>
    <w:rsid w:val="00304457"/>
    <w:rsid w:val="00304C70"/>
    <w:rsid w:val="00305D2B"/>
    <w:rsid w:val="003072BC"/>
    <w:rsid w:val="00311C2D"/>
    <w:rsid w:val="00320587"/>
    <w:rsid w:val="00322644"/>
    <w:rsid w:val="003234E7"/>
    <w:rsid w:val="003248F9"/>
    <w:rsid w:val="00324DA2"/>
    <w:rsid w:val="00325C02"/>
    <w:rsid w:val="00326714"/>
    <w:rsid w:val="003313E8"/>
    <w:rsid w:val="003320FF"/>
    <w:rsid w:val="00332539"/>
    <w:rsid w:val="00333A55"/>
    <w:rsid w:val="00336BBB"/>
    <w:rsid w:val="00337774"/>
    <w:rsid w:val="00337E17"/>
    <w:rsid w:val="00340732"/>
    <w:rsid w:val="00342833"/>
    <w:rsid w:val="00342926"/>
    <w:rsid w:val="003431EE"/>
    <w:rsid w:val="00343494"/>
    <w:rsid w:val="003441D4"/>
    <w:rsid w:val="00344540"/>
    <w:rsid w:val="00344F5E"/>
    <w:rsid w:val="00344FC1"/>
    <w:rsid w:val="003458D4"/>
    <w:rsid w:val="0034704F"/>
    <w:rsid w:val="003475AE"/>
    <w:rsid w:val="00353A47"/>
    <w:rsid w:val="00353E5E"/>
    <w:rsid w:val="00356F57"/>
    <w:rsid w:val="00360074"/>
    <w:rsid w:val="003608EB"/>
    <w:rsid w:val="00360D79"/>
    <w:rsid w:val="00361585"/>
    <w:rsid w:val="00361B7C"/>
    <w:rsid w:val="003651EE"/>
    <w:rsid w:val="00366047"/>
    <w:rsid w:val="00367B3F"/>
    <w:rsid w:val="00367F70"/>
    <w:rsid w:val="003701EA"/>
    <w:rsid w:val="003705F6"/>
    <w:rsid w:val="00372498"/>
    <w:rsid w:val="00374D2A"/>
    <w:rsid w:val="00376FE6"/>
    <w:rsid w:val="003804DC"/>
    <w:rsid w:val="003805C5"/>
    <w:rsid w:val="00380659"/>
    <w:rsid w:val="0038301E"/>
    <w:rsid w:val="0038488F"/>
    <w:rsid w:val="003852F1"/>
    <w:rsid w:val="00385BD5"/>
    <w:rsid w:val="00387079"/>
    <w:rsid w:val="003877AF"/>
    <w:rsid w:val="00390814"/>
    <w:rsid w:val="00394812"/>
    <w:rsid w:val="0039495A"/>
    <w:rsid w:val="00394BE0"/>
    <w:rsid w:val="00396886"/>
    <w:rsid w:val="003A10A9"/>
    <w:rsid w:val="003A2690"/>
    <w:rsid w:val="003A2BDD"/>
    <w:rsid w:val="003A3333"/>
    <w:rsid w:val="003A60ED"/>
    <w:rsid w:val="003B047C"/>
    <w:rsid w:val="003B0BCF"/>
    <w:rsid w:val="003B0C7E"/>
    <w:rsid w:val="003B3EE8"/>
    <w:rsid w:val="003B43DF"/>
    <w:rsid w:val="003B7846"/>
    <w:rsid w:val="003C0808"/>
    <w:rsid w:val="003C4589"/>
    <w:rsid w:val="003C5F05"/>
    <w:rsid w:val="003C5FC4"/>
    <w:rsid w:val="003C6800"/>
    <w:rsid w:val="003D1021"/>
    <w:rsid w:val="003D10C8"/>
    <w:rsid w:val="003D1C9B"/>
    <w:rsid w:val="003D1E3D"/>
    <w:rsid w:val="003D1F04"/>
    <w:rsid w:val="003D3208"/>
    <w:rsid w:val="003D444A"/>
    <w:rsid w:val="003D4B0F"/>
    <w:rsid w:val="003D5078"/>
    <w:rsid w:val="003D584F"/>
    <w:rsid w:val="003D5FF3"/>
    <w:rsid w:val="003D641A"/>
    <w:rsid w:val="003D676D"/>
    <w:rsid w:val="003D72EC"/>
    <w:rsid w:val="003D78F9"/>
    <w:rsid w:val="003E0637"/>
    <w:rsid w:val="003E07FD"/>
    <w:rsid w:val="003E0D52"/>
    <w:rsid w:val="003E1234"/>
    <w:rsid w:val="003E1C46"/>
    <w:rsid w:val="003E3DA8"/>
    <w:rsid w:val="003F0B36"/>
    <w:rsid w:val="003F0EF8"/>
    <w:rsid w:val="003F1807"/>
    <w:rsid w:val="003F23E9"/>
    <w:rsid w:val="003F520D"/>
    <w:rsid w:val="003F58B7"/>
    <w:rsid w:val="00401134"/>
    <w:rsid w:val="00403270"/>
    <w:rsid w:val="00406A08"/>
    <w:rsid w:val="00407566"/>
    <w:rsid w:val="004101F5"/>
    <w:rsid w:val="004109BB"/>
    <w:rsid w:val="0041124A"/>
    <w:rsid w:val="004117CC"/>
    <w:rsid w:val="00411B6F"/>
    <w:rsid w:val="004124A1"/>
    <w:rsid w:val="00412D8F"/>
    <w:rsid w:val="004153DE"/>
    <w:rsid w:val="00417F84"/>
    <w:rsid w:val="0042044D"/>
    <w:rsid w:val="004220CF"/>
    <w:rsid w:val="00425741"/>
    <w:rsid w:val="00430DCC"/>
    <w:rsid w:val="0043385A"/>
    <w:rsid w:val="004339D9"/>
    <w:rsid w:val="0043526A"/>
    <w:rsid w:val="00435523"/>
    <w:rsid w:val="00436056"/>
    <w:rsid w:val="004423C6"/>
    <w:rsid w:val="004454A9"/>
    <w:rsid w:val="00445562"/>
    <w:rsid w:val="00445F92"/>
    <w:rsid w:val="004464E1"/>
    <w:rsid w:val="00446B79"/>
    <w:rsid w:val="00446BC5"/>
    <w:rsid w:val="004471DB"/>
    <w:rsid w:val="00447700"/>
    <w:rsid w:val="004504A1"/>
    <w:rsid w:val="00451707"/>
    <w:rsid w:val="00452908"/>
    <w:rsid w:val="00453008"/>
    <w:rsid w:val="00460B04"/>
    <w:rsid w:val="00462F16"/>
    <w:rsid w:val="00462F17"/>
    <w:rsid w:val="00463241"/>
    <w:rsid w:val="0046540D"/>
    <w:rsid w:val="00465EA6"/>
    <w:rsid w:val="00466CCE"/>
    <w:rsid w:val="00470A9E"/>
    <w:rsid w:val="00471120"/>
    <w:rsid w:val="00471A1A"/>
    <w:rsid w:val="004724AE"/>
    <w:rsid w:val="00472F86"/>
    <w:rsid w:val="00474198"/>
    <w:rsid w:val="00475CFE"/>
    <w:rsid w:val="00477C27"/>
    <w:rsid w:val="0048291D"/>
    <w:rsid w:val="00483B5B"/>
    <w:rsid w:val="0048433B"/>
    <w:rsid w:val="004857AE"/>
    <w:rsid w:val="0048643C"/>
    <w:rsid w:val="00486BE7"/>
    <w:rsid w:val="0048732D"/>
    <w:rsid w:val="0049043B"/>
    <w:rsid w:val="0049107F"/>
    <w:rsid w:val="00492879"/>
    <w:rsid w:val="004947E4"/>
    <w:rsid w:val="0049567A"/>
    <w:rsid w:val="00496936"/>
    <w:rsid w:val="00496D90"/>
    <w:rsid w:val="00497157"/>
    <w:rsid w:val="004A107D"/>
    <w:rsid w:val="004A1570"/>
    <w:rsid w:val="004A3021"/>
    <w:rsid w:val="004A50DD"/>
    <w:rsid w:val="004A54ED"/>
    <w:rsid w:val="004A7CD8"/>
    <w:rsid w:val="004B13A9"/>
    <w:rsid w:val="004B2A18"/>
    <w:rsid w:val="004B2C90"/>
    <w:rsid w:val="004B3DB4"/>
    <w:rsid w:val="004B3E70"/>
    <w:rsid w:val="004B4136"/>
    <w:rsid w:val="004B46FC"/>
    <w:rsid w:val="004B4AF9"/>
    <w:rsid w:val="004B5714"/>
    <w:rsid w:val="004C166B"/>
    <w:rsid w:val="004C17DE"/>
    <w:rsid w:val="004C27A0"/>
    <w:rsid w:val="004C2C10"/>
    <w:rsid w:val="004C36C1"/>
    <w:rsid w:val="004C5D63"/>
    <w:rsid w:val="004C64EB"/>
    <w:rsid w:val="004C7435"/>
    <w:rsid w:val="004D2711"/>
    <w:rsid w:val="004D2A73"/>
    <w:rsid w:val="004D2F45"/>
    <w:rsid w:val="004D35D7"/>
    <w:rsid w:val="004D368F"/>
    <w:rsid w:val="004E318A"/>
    <w:rsid w:val="004E36C6"/>
    <w:rsid w:val="004E4892"/>
    <w:rsid w:val="004E663F"/>
    <w:rsid w:val="004E67D0"/>
    <w:rsid w:val="004F0BF3"/>
    <w:rsid w:val="004F10E0"/>
    <w:rsid w:val="004F1350"/>
    <w:rsid w:val="004F14CC"/>
    <w:rsid w:val="004F1907"/>
    <w:rsid w:val="004F1982"/>
    <w:rsid w:val="004F1FA1"/>
    <w:rsid w:val="004F252B"/>
    <w:rsid w:val="004F29A7"/>
    <w:rsid w:val="004F4667"/>
    <w:rsid w:val="004F482C"/>
    <w:rsid w:val="004F4C4F"/>
    <w:rsid w:val="004F52B9"/>
    <w:rsid w:val="004F52F9"/>
    <w:rsid w:val="004F5FAC"/>
    <w:rsid w:val="004F74B0"/>
    <w:rsid w:val="005006CF"/>
    <w:rsid w:val="005020C7"/>
    <w:rsid w:val="0050309D"/>
    <w:rsid w:val="00504665"/>
    <w:rsid w:val="00504EEA"/>
    <w:rsid w:val="005067A3"/>
    <w:rsid w:val="00506955"/>
    <w:rsid w:val="0050760E"/>
    <w:rsid w:val="0051121D"/>
    <w:rsid w:val="005125E4"/>
    <w:rsid w:val="00514C74"/>
    <w:rsid w:val="005156A0"/>
    <w:rsid w:val="00515740"/>
    <w:rsid w:val="00515A96"/>
    <w:rsid w:val="005207CB"/>
    <w:rsid w:val="005226B9"/>
    <w:rsid w:val="00522AAF"/>
    <w:rsid w:val="00523751"/>
    <w:rsid w:val="005237AE"/>
    <w:rsid w:val="00523AE1"/>
    <w:rsid w:val="00525459"/>
    <w:rsid w:val="00525D71"/>
    <w:rsid w:val="005270D6"/>
    <w:rsid w:val="005278B0"/>
    <w:rsid w:val="00530A9C"/>
    <w:rsid w:val="0053290B"/>
    <w:rsid w:val="00532AC7"/>
    <w:rsid w:val="00534E9C"/>
    <w:rsid w:val="0053736F"/>
    <w:rsid w:val="005401F2"/>
    <w:rsid w:val="00540ECC"/>
    <w:rsid w:val="00540F51"/>
    <w:rsid w:val="00541F8A"/>
    <w:rsid w:val="00544798"/>
    <w:rsid w:val="00545719"/>
    <w:rsid w:val="0054DB11"/>
    <w:rsid w:val="005509AE"/>
    <w:rsid w:val="005538E5"/>
    <w:rsid w:val="005556F4"/>
    <w:rsid w:val="005561D9"/>
    <w:rsid w:val="0055729D"/>
    <w:rsid w:val="00557B06"/>
    <w:rsid w:val="005613DE"/>
    <w:rsid w:val="005614DB"/>
    <w:rsid w:val="005628B5"/>
    <w:rsid w:val="005633EC"/>
    <w:rsid w:val="00563490"/>
    <w:rsid w:val="00563878"/>
    <w:rsid w:val="00563C8D"/>
    <w:rsid w:val="0056492E"/>
    <w:rsid w:val="00564BA8"/>
    <w:rsid w:val="00567D84"/>
    <w:rsid w:val="00570741"/>
    <w:rsid w:val="0057280B"/>
    <w:rsid w:val="005732A5"/>
    <w:rsid w:val="0057358B"/>
    <w:rsid w:val="0057571A"/>
    <w:rsid w:val="005811E2"/>
    <w:rsid w:val="00583B48"/>
    <w:rsid w:val="00583E4D"/>
    <w:rsid w:val="0058590C"/>
    <w:rsid w:val="0058600C"/>
    <w:rsid w:val="00586562"/>
    <w:rsid w:val="005911BA"/>
    <w:rsid w:val="00591288"/>
    <w:rsid w:val="005917FD"/>
    <w:rsid w:val="0059611D"/>
    <w:rsid w:val="005A131F"/>
    <w:rsid w:val="005A3A97"/>
    <w:rsid w:val="005A4AA1"/>
    <w:rsid w:val="005A6507"/>
    <w:rsid w:val="005A75D9"/>
    <w:rsid w:val="005B1865"/>
    <w:rsid w:val="005B1B2C"/>
    <w:rsid w:val="005B30A9"/>
    <w:rsid w:val="005B32BE"/>
    <w:rsid w:val="005B5649"/>
    <w:rsid w:val="005B5CEE"/>
    <w:rsid w:val="005B683A"/>
    <w:rsid w:val="005B7A02"/>
    <w:rsid w:val="005C06C3"/>
    <w:rsid w:val="005C0F15"/>
    <w:rsid w:val="005C15C2"/>
    <w:rsid w:val="005C1FEA"/>
    <w:rsid w:val="005C2424"/>
    <w:rsid w:val="005C30BD"/>
    <w:rsid w:val="005C32B9"/>
    <w:rsid w:val="005C46AE"/>
    <w:rsid w:val="005C4982"/>
    <w:rsid w:val="005C6259"/>
    <w:rsid w:val="005C6AF2"/>
    <w:rsid w:val="005C71C4"/>
    <w:rsid w:val="005C7BF6"/>
    <w:rsid w:val="005D0C72"/>
    <w:rsid w:val="005D1B7F"/>
    <w:rsid w:val="005D1B80"/>
    <w:rsid w:val="005D30D5"/>
    <w:rsid w:val="005D4124"/>
    <w:rsid w:val="005D4706"/>
    <w:rsid w:val="005D48B6"/>
    <w:rsid w:val="005D4C7F"/>
    <w:rsid w:val="005D6472"/>
    <w:rsid w:val="005D7C21"/>
    <w:rsid w:val="005E454F"/>
    <w:rsid w:val="005E4A30"/>
    <w:rsid w:val="005E71DB"/>
    <w:rsid w:val="005E7B21"/>
    <w:rsid w:val="005F0C3C"/>
    <w:rsid w:val="005F4B91"/>
    <w:rsid w:val="005F5801"/>
    <w:rsid w:val="005F7772"/>
    <w:rsid w:val="005F779D"/>
    <w:rsid w:val="006013CA"/>
    <w:rsid w:val="0060282F"/>
    <w:rsid w:val="006045D6"/>
    <w:rsid w:val="00604867"/>
    <w:rsid w:val="00605B9A"/>
    <w:rsid w:val="00612A80"/>
    <w:rsid w:val="00612CE7"/>
    <w:rsid w:val="00613A47"/>
    <w:rsid w:val="0061448F"/>
    <w:rsid w:val="00616A5A"/>
    <w:rsid w:val="00616EEE"/>
    <w:rsid w:val="00617225"/>
    <w:rsid w:val="006200EB"/>
    <w:rsid w:val="00621EA3"/>
    <w:rsid w:val="00621FE9"/>
    <w:rsid w:val="006224BD"/>
    <w:rsid w:val="006232C0"/>
    <w:rsid w:val="006249D7"/>
    <w:rsid w:val="006338BB"/>
    <w:rsid w:val="00633B4F"/>
    <w:rsid w:val="00634341"/>
    <w:rsid w:val="0063453C"/>
    <w:rsid w:val="00635560"/>
    <w:rsid w:val="006370C2"/>
    <w:rsid w:val="00637101"/>
    <w:rsid w:val="006378C2"/>
    <w:rsid w:val="00640234"/>
    <w:rsid w:val="006412DF"/>
    <w:rsid w:val="006413AC"/>
    <w:rsid w:val="00642BA1"/>
    <w:rsid w:val="00642E39"/>
    <w:rsid w:val="0064343A"/>
    <w:rsid w:val="006451A1"/>
    <w:rsid w:val="00650518"/>
    <w:rsid w:val="006514B4"/>
    <w:rsid w:val="006516FE"/>
    <w:rsid w:val="00652048"/>
    <w:rsid w:val="00652F2B"/>
    <w:rsid w:val="0065512E"/>
    <w:rsid w:val="00655BBC"/>
    <w:rsid w:val="00655EEF"/>
    <w:rsid w:val="00657DB3"/>
    <w:rsid w:val="006603D2"/>
    <w:rsid w:val="006620B1"/>
    <w:rsid w:val="006623DD"/>
    <w:rsid w:val="00663B5A"/>
    <w:rsid w:val="00664058"/>
    <w:rsid w:val="00667FD6"/>
    <w:rsid w:val="006701F9"/>
    <w:rsid w:val="00674A65"/>
    <w:rsid w:val="00674F73"/>
    <w:rsid w:val="006750C6"/>
    <w:rsid w:val="00675884"/>
    <w:rsid w:val="00681CB5"/>
    <w:rsid w:val="00681D22"/>
    <w:rsid w:val="006821D5"/>
    <w:rsid w:val="006823A0"/>
    <w:rsid w:val="00683391"/>
    <w:rsid w:val="00686E04"/>
    <w:rsid w:val="006906B8"/>
    <w:rsid w:val="0069100C"/>
    <w:rsid w:val="00691488"/>
    <w:rsid w:val="006931BD"/>
    <w:rsid w:val="00694F8B"/>
    <w:rsid w:val="00696CFA"/>
    <w:rsid w:val="006A008F"/>
    <w:rsid w:val="006A44DA"/>
    <w:rsid w:val="006A4C12"/>
    <w:rsid w:val="006A4D29"/>
    <w:rsid w:val="006A5AA6"/>
    <w:rsid w:val="006B0552"/>
    <w:rsid w:val="006B147C"/>
    <w:rsid w:val="006B2022"/>
    <w:rsid w:val="006B2E6C"/>
    <w:rsid w:val="006B3D88"/>
    <w:rsid w:val="006B5169"/>
    <w:rsid w:val="006B5DB1"/>
    <w:rsid w:val="006B7294"/>
    <w:rsid w:val="006B7E05"/>
    <w:rsid w:val="006C2523"/>
    <w:rsid w:val="006C2B06"/>
    <w:rsid w:val="006C2E5A"/>
    <w:rsid w:val="006C3E64"/>
    <w:rsid w:val="006C40E6"/>
    <w:rsid w:val="006C4C51"/>
    <w:rsid w:val="006C56E7"/>
    <w:rsid w:val="006C760B"/>
    <w:rsid w:val="006C7EEB"/>
    <w:rsid w:val="006D0A55"/>
    <w:rsid w:val="006D5114"/>
    <w:rsid w:val="006D5AF5"/>
    <w:rsid w:val="006D6D87"/>
    <w:rsid w:val="006D70A1"/>
    <w:rsid w:val="006E0053"/>
    <w:rsid w:val="006E170D"/>
    <w:rsid w:val="006E3D9D"/>
    <w:rsid w:val="006E4966"/>
    <w:rsid w:val="006E54E1"/>
    <w:rsid w:val="006E5664"/>
    <w:rsid w:val="006E66E1"/>
    <w:rsid w:val="006E68C2"/>
    <w:rsid w:val="006E6B3F"/>
    <w:rsid w:val="006E6C73"/>
    <w:rsid w:val="006E6E3D"/>
    <w:rsid w:val="006E7694"/>
    <w:rsid w:val="006F0FA8"/>
    <w:rsid w:val="006F1E37"/>
    <w:rsid w:val="006F2317"/>
    <w:rsid w:val="006F3BE4"/>
    <w:rsid w:val="006F4478"/>
    <w:rsid w:val="006F598B"/>
    <w:rsid w:val="006F7F40"/>
    <w:rsid w:val="00701BA1"/>
    <w:rsid w:val="007051E8"/>
    <w:rsid w:val="00705B03"/>
    <w:rsid w:val="00705CB7"/>
    <w:rsid w:val="00706BAD"/>
    <w:rsid w:val="00710AE3"/>
    <w:rsid w:val="00712FE2"/>
    <w:rsid w:val="00714151"/>
    <w:rsid w:val="007146E4"/>
    <w:rsid w:val="0071548B"/>
    <w:rsid w:val="00715BD1"/>
    <w:rsid w:val="00716410"/>
    <w:rsid w:val="00717743"/>
    <w:rsid w:val="007204A9"/>
    <w:rsid w:val="00720813"/>
    <w:rsid w:val="00722D94"/>
    <w:rsid w:val="0072310C"/>
    <w:rsid w:val="00723BDF"/>
    <w:rsid w:val="00724657"/>
    <w:rsid w:val="00724A98"/>
    <w:rsid w:val="00727ECB"/>
    <w:rsid w:val="00730112"/>
    <w:rsid w:val="00730887"/>
    <w:rsid w:val="00731174"/>
    <w:rsid w:val="00732BBD"/>
    <w:rsid w:val="00733564"/>
    <w:rsid w:val="00735952"/>
    <w:rsid w:val="007365AB"/>
    <w:rsid w:val="00736B50"/>
    <w:rsid w:val="00737282"/>
    <w:rsid w:val="007406C0"/>
    <w:rsid w:val="00740DE8"/>
    <w:rsid w:val="007410F0"/>
    <w:rsid w:val="007421B1"/>
    <w:rsid w:val="0074298C"/>
    <w:rsid w:val="00743EE5"/>
    <w:rsid w:val="007450D5"/>
    <w:rsid w:val="007459E5"/>
    <w:rsid w:val="00745BE9"/>
    <w:rsid w:val="00746BD9"/>
    <w:rsid w:val="00750063"/>
    <w:rsid w:val="0075215A"/>
    <w:rsid w:val="00755827"/>
    <w:rsid w:val="00756929"/>
    <w:rsid w:val="007579C8"/>
    <w:rsid w:val="007609B2"/>
    <w:rsid w:val="007614CC"/>
    <w:rsid w:val="00761EE2"/>
    <w:rsid w:val="00762E91"/>
    <w:rsid w:val="0076317B"/>
    <w:rsid w:val="00763402"/>
    <w:rsid w:val="00763D64"/>
    <w:rsid w:val="0076518B"/>
    <w:rsid w:val="00767C44"/>
    <w:rsid w:val="00767DBB"/>
    <w:rsid w:val="00770E21"/>
    <w:rsid w:val="00774646"/>
    <w:rsid w:val="00774694"/>
    <w:rsid w:val="00774B05"/>
    <w:rsid w:val="00776598"/>
    <w:rsid w:val="00780BFA"/>
    <w:rsid w:val="00781695"/>
    <w:rsid w:val="00782B97"/>
    <w:rsid w:val="00784D67"/>
    <w:rsid w:val="007866BC"/>
    <w:rsid w:val="00786927"/>
    <w:rsid w:val="0078731D"/>
    <w:rsid w:val="00791FA1"/>
    <w:rsid w:val="0079263E"/>
    <w:rsid w:val="00794127"/>
    <w:rsid w:val="0079466E"/>
    <w:rsid w:val="00797853"/>
    <w:rsid w:val="007A02A7"/>
    <w:rsid w:val="007A0CD1"/>
    <w:rsid w:val="007A2D4F"/>
    <w:rsid w:val="007A3B2D"/>
    <w:rsid w:val="007B5828"/>
    <w:rsid w:val="007B5859"/>
    <w:rsid w:val="007C0935"/>
    <w:rsid w:val="007C0DCF"/>
    <w:rsid w:val="007C125A"/>
    <w:rsid w:val="007C14FA"/>
    <w:rsid w:val="007C4399"/>
    <w:rsid w:val="007C4E9C"/>
    <w:rsid w:val="007C75E7"/>
    <w:rsid w:val="007D1E90"/>
    <w:rsid w:val="007D4271"/>
    <w:rsid w:val="007D50EC"/>
    <w:rsid w:val="007D6746"/>
    <w:rsid w:val="007D7A80"/>
    <w:rsid w:val="007E395D"/>
    <w:rsid w:val="007E52CA"/>
    <w:rsid w:val="007E635D"/>
    <w:rsid w:val="007E63D7"/>
    <w:rsid w:val="007E74EF"/>
    <w:rsid w:val="007F206E"/>
    <w:rsid w:val="007F31B2"/>
    <w:rsid w:val="007F3CA8"/>
    <w:rsid w:val="007F4F89"/>
    <w:rsid w:val="007F6D79"/>
    <w:rsid w:val="00800D94"/>
    <w:rsid w:val="00801B45"/>
    <w:rsid w:val="008032D3"/>
    <w:rsid w:val="008037BC"/>
    <w:rsid w:val="00804475"/>
    <w:rsid w:val="008046D4"/>
    <w:rsid w:val="00806818"/>
    <w:rsid w:val="0080687F"/>
    <w:rsid w:val="00806C61"/>
    <w:rsid w:val="00810550"/>
    <w:rsid w:val="00811004"/>
    <w:rsid w:val="00811A2F"/>
    <w:rsid w:val="008145A2"/>
    <w:rsid w:val="0081466C"/>
    <w:rsid w:val="00820BD5"/>
    <w:rsid w:val="00820E55"/>
    <w:rsid w:val="00820FC5"/>
    <w:rsid w:val="008220D0"/>
    <w:rsid w:val="008233CC"/>
    <w:rsid w:val="00823F51"/>
    <w:rsid w:val="0082445A"/>
    <w:rsid w:val="00825A3D"/>
    <w:rsid w:val="00826AF8"/>
    <w:rsid w:val="00827821"/>
    <w:rsid w:val="0082797C"/>
    <w:rsid w:val="00827D26"/>
    <w:rsid w:val="00830792"/>
    <w:rsid w:val="00833537"/>
    <w:rsid w:val="00833792"/>
    <w:rsid w:val="00834AF9"/>
    <w:rsid w:val="00836678"/>
    <w:rsid w:val="008444B3"/>
    <w:rsid w:val="008445CC"/>
    <w:rsid w:val="00850D09"/>
    <w:rsid w:val="0085120B"/>
    <w:rsid w:val="008517C7"/>
    <w:rsid w:val="00854BF2"/>
    <w:rsid w:val="00854D92"/>
    <w:rsid w:val="008557F5"/>
    <w:rsid w:val="00856056"/>
    <w:rsid w:val="00857BE8"/>
    <w:rsid w:val="00857E25"/>
    <w:rsid w:val="008617DF"/>
    <w:rsid w:val="00863E2E"/>
    <w:rsid w:val="0086424A"/>
    <w:rsid w:val="00864F41"/>
    <w:rsid w:val="00864FFB"/>
    <w:rsid w:val="00865ACA"/>
    <w:rsid w:val="00870AA8"/>
    <w:rsid w:val="00870D4B"/>
    <w:rsid w:val="00871890"/>
    <w:rsid w:val="00873FF4"/>
    <w:rsid w:val="0087561A"/>
    <w:rsid w:val="008756C9"/>
    <w:rsid w:val="0087576F"/>
    <w:rsid w:val="00875FC6"/>
    <w:rsid w:val="0088138B"/>
    <w:rsid w:val="008841C2"/>
    <w:rsid w:val="00885848"/>
    <w:rsid w:val="0089203F"/>
    <w:rsid w:val="008923BE"/>
    <w:rsid w:val="00892EF8"/>
    <w:rsid w:val="00893F79"/>
    <w:rsid w:val="00894EBA"/>
    <w:rsid w:val="008951CB"/>
    <w:rsid w:val="0089617B"/>
    <w:rsid w:val="008976E4"/>
    <w:rsid w:val="008A0614"/>
    <w:rsid w:val="008A1061"/>
    <w:rsid w:val="008A1FA1"/>
    <w:rsid w:val="008A2087"/>
    <w:rsid w:val="008A2144"/>
    <w:rsid w:val="008A2637"/>
    <w:rsid w:val="008A441E"/>
    <w:rsid w:val="008A565A"/>
    <w:rsid w:val="008A650F"/>
    <w:rsid w:val="008B04C5"/>
    <w:rsid w:val="008B0E97"/>
    <w:rsid w:val="008B2FA9"/>
    <w:rsid w:val="008B350A"/>
    <w:rsid w:val="008B43DD"/>
    <w:rsid w:val="008B4479"/>
    <w:rsid w:val="008B456A"/>
    <w:rsid w:val="008B51D3"/>
    <w:rsid w:val="008B6342"/>
    <w:rsid w:val="008B6456"/>
    <w:rsid w:val="008B6C66"/>
    <w:rsid w:val="008B77F8"/>
    <w:rsid w:val="008C0D2D"/>
    <w:rsid w:val="008C0F10"/>
    <w:rsid w:val="008C2253"/>
    <w:rsid w:val="008C47A1"/>
    <w:rsid w:val="008C5C8B"/>
    <w:rsid w:val="008C6541"/>
    <w:rsid w:val="008C656B"/>
    <w:rsid w:val="008C738F"/>
    <w:rsid w:val="008D0128"/>
    <w:rsid w:val="008D08D5"/>
    <w:rsid w:val="008D16B8"/>
    <w:rsid w:val="008D39CE"/>
    <w:rsid w:val="008D3A12"/>
    <w:rsid w:val="008D3FA5"/>
    <w:rsid w:val="008D4C3B"/>
    <w:rsid w:val="008D564A"/>
    <w:rsid w:val="008D5EF2"/>
    <w:rsid w:val="008D6B9E"/>
    <w:rsid w:val="008D704F"/>
    <w:rsid w:val="008D7C34"/>
    <w:rsid w:val="008E00F0"/>
    <w:rsid w:val="008E0ED7"/>
    <w:rsid w:val="008E1024"/>
    <w:rsid w:val="008E1679"/>
    <w:rsid w:val="008E1766"/>
    <w:rsid w:val="008E1FE9"/>
    <w:rsid w:val="008E5270"/>
    <w:rsid w:val="008E58D6"/>
    <w:rsid w:val="008E7961"/>
    <w:rsid w:val="008E7995"/>
    <w:rsid w:val="008F07CD"/>
    <w:rsid w:val="008F5F51"/>
    <w:rsid w:val="008F76A8"/>
    <w:rsid w:val="00900E08"/>
    <w:rsid w:val="00901426"/>
    <w:rsid w:val="00901B8C"/>
    <w:rsid w:val="00902519"/>
    <w:rsid w:val="00904DFE"/>
    <w:rsid w:val="00905D08"/>
    <w:rsid w:val="00906051"/>
    <w:rsid w:val="0090677F"/>
    <w:rsid w:val="00906B36"/>
    <w:rsid w:val="0091168D"/>
    <w:rsid w:val="00911B4B"/>
    <w:rsid w:val="00913ED0"/>
    <w:rsid w:val="0091458C"/>
    <w:rsid w:val="00914BFF"/>
    <w:rsid w:val="0092030C"/>
    <w:rsid w:val="009207BC"/>
    <w:rsid w:val="009212F4"/>
    <w:rsid w:val="00922502"/>
    <w:rsid w:val="00922AB4"/>
    <w:rsid w:val="00922F4C"/>
    <w:rsid w:val="009240A7"/>
    <w:rsid w:val="0092485F"/>
    <w:rsid w:val="0092555A"/>
    <w:rsid w:val="009270DA"/>
    <w:rsid w:val="0092714D"/>
    <w:rsid w:val="00927650"/>
    <w:rsid w:val="00931033"/>
    <w:rsid w:val="0093386C"/>
    <w:rsid w:val="00934166"/>
    <w:rsid w:val="009365A3"/>
    <w:rsid w:val="00940AC4"/>
    <w:rsid w:val="00942CB6"/>
    <w:rsid w:val="00942CE9"/>
    <w:rsid w:val="0094419E"/>
    <w:rsid w:val="00944A0C"/>
    <w:rsid w:val="00946622"/>
    <w:rsid w:val="00950776"/>
    <w:rsid w:val="00950908"/>
    <w:rsid w:val="00950DBC"/>
    <w:rsid w:val="0095120E"/>
    <w:rsid w:val="009513CF"/>
    <w:rsid w:val="00953DA4"/>
    <w:rsid w:val="009549B4"/>
    <w:rsid w:val="00954C63"/>
    <w:rsid w:val="00954FF2"/>
    <w:rsid w:val="00957275"/>
    <w:rsid w:val="00957D51"/>
    <w:rsid w:val="00961E6D"/>
    <w:rsid w:val="00962EE8"/>
    <w:rsid w:val="00965393"/>
    <w:rsid w:val="009653C2"/>
    <w:rsid w:val="00967D4D"/>
    <w:rsid w:val="00971846"/>
    <w:rsid w:val="00973C98"/>
    <w:rsid w:val="0097517C"/>
    <w:rsid w:val="009753CC"/>
    <w:rsid w:val="0097624A"/>
    <w:rsid w:val="00976EE9"/>
    <w:rsid w:val="009810FA"/>
    <w:rsid w:val="00981623"/>
    <w:rsid w:val="009829D9"/>
    <w:rsid w:val="00983E65"/>
    <w:rsid w:val="00985BBE"/>
    <w:rsid w:val="00986AA5"/>
    <w:rsid w:val="009873E5"/>
    <w:rsid w:val="00987E48"/>
    <w:rsid w:val="009906A3"/>
    <w:rsid w:val="00990A99"/>
    <w:rsid w:val="00991525"/>
    <w:rsid w:val="00992B5D"/>
    <w:rsid w:val="00992E6A"/>
    <w:rsid w:val="00994F11"/>
    <w:rsid w:val="00995F70"/>
    <w:rsid w:val="009963A7"/>
    <w:rsid w:val="0099645B"/>
    <w:rsid w:val="00997E86"/>
    <w:rsid w:val="009A01C9"/>
    <w:rsid w:val="009A105B"/>
    <w:rsid w:val="009A124A"/>
    <w:rsid w:val="009A6D9C"/>
    <w:rsid w:val="009A6EA3"/>
    <w:rsid w:val="009B0695"/>
    <w:rsid w:val="009B1AFA"/>
    <w:rsid w:val="009B1C3B"/>
    <w:rsid w:val="009B3FDC"/>
    <w:rsid w:val="009B4166"/>
    <w:rsid w:val="009B4BDC"/>
    <w:rsid w:val="009B5943"/>
    <w:rsid w:val="009B6078"/>
    <w:rsid w:val="009C06A0"/>
    <w:rsid w:val="009C1CC5"/>
    <w:rsid w:val="009C238B"/>
    <w:rsid w:val="009C2A40"/>
    <w:rsid w:val="009C3FFF"/>
    <w:rsid w:val="009C4D60"/>
    <w:rsid w:val="009C60F6"/>
    <w:rsid w:val="009C6AD4"/>
    <w:rsid w:val="009C6D9A"/>
    <w:rsid w:val="009C7730"/>
    <w:rsid w:val="009D0E73"/>
    <w:rsid w:val="009D1C67"/>
    <w:rsid w:val="009D4B46"/>
    <w:rsid w:val="009D5291"/>
    <w:rsid w:val="009D5989"/>
    <w:rsid w:val="009D6195"/>
    <w:rsid w:val="009E1E80"/>
    <w:rsid w:val="009E2261"/>
    <w:rsid w:val="009E2262"/>
    <w:rsid w:val="009E2361"/>
    <w:rsid w:val="009E3ECA"/>
    <w:rsid w:val="009E4720"/>
    <w:rsid w:val="009E6D89"/>
    <w:rsid w:val="009E7490"/>
    <w:rsid w:val="009F0889"/>
    <w:rsid w:val="009F0ADD"/>
    <w:rsid w:val="009F0E12"/>
    <w:rsid w:val="009F11F4"/>
    <w:rsid w:val="009F1FA7"/>
    <w:rsid w:val="009F305C"/>
    <w:rsid w:val="009F3584"/>
    <w:rsid w:val="009F36E5"/>
    <w:rsid w:val="009F4446"/>
    <w:rsid w:val="009F4604"/>
    <w:rsid w:val="009F4A59"/>
    <w:rsid w:val="009F5B3A"/>
    <w:rsid w:val="009F7C8C"/>
    <w:rsid w:val="00A008E6"/>
    <w:rsid w:val="00A0099D"/>
    <w:rsid w:val="00A029BD"/>
    <w:rsid w:val="00A02BA0"/>
    <w:rsid w:val="00A032C3"/>
    <w:rsid w:val="00A03622"/>
    <w:rsid w:val="00A04894"/>
    <w:rsid w:val="00A05565"/>
    <w:rsid w:val="00A062E4"/>
    <w:rsid w:val="00A0679F"/>
    <w:rsid w:val="00A069C1"/>
    <w:rsid w:val="00A06FB9"/>
    <w:rsid w:val="00A11F02"/>
    <w:rsid w:val="00A12C83"/>
    <w:rsid w:val="00A13C67"/>
    <w:rsid w:val="00A13F2B"/>
    <w:rsid w:val="00A15D4F"/>
    <w:rsid w:val="00A17A7B"/>
    <w:rsid w:val="00A22B98"/>
    <w:rsid w:val="00A22C85"/>
    <w:rsid w:val="00A22E23"/>
    <w:rsid w:val="00A2350F"/>
    <w:rsid w:val="00A239D5"/>
    <w:rsid w:val="00A23EEC"/>
    <w:rsid w:val="00A24335"/>
    <w:rsid w:val="00A2530F"/>
    <w:rsid w:val="00A25E9D"/>
    <w:rsid w:val="00A27A4F"/>
    <w:rsid w:val="00A27ADE"/>
    <w:rsid w:val="00A27CA3"/>
    <w:rsid w:val="00A3095B"/>
    <w:rsid w:val="00A310A0"/>
    <w:rsid w:val="00A313DF"/>
    <w:rsid w:val="00A32DDC"/>
    <w:rsid w:val="00A33F15"/>
    <w:rsid w:val="00A34BEA"/>
    <w:rsid w:val="00A43192"/>
    <w:rsid w:val="00A52809"/>
    <w:rsid w:val="00A52E08"/>
    <w:rsid w:val="00A5446B"/>
    <w:rsid w:val="00A54748"/>
    <w:rsid w:val="00A54E9D"/>
    <w:rsid w:val="00A60BC0"/>
    <w:rsid w:val="00A60E39"/>
    <w:rsid w:val="00A611B4"/>
    <w:rsid w:val="00A64E53"/>
    <w:rsid w:val="00A64F23"/>
    <w:rsid w:val="00A6609E"/>
    <w:rsid w:val="00A67C7E"/>
    <w:rsid w:val="00A701C2"/>
    <w:rsid w:val="00A7099B"/>
    <w:rsid w:val="00A7346F"/>
    <w:rsid w:val="00A738B8"/>
    <w:rsid w:val="00A74503"/>
    <w:rsid w:val="00A748F5"/>
    <w:rsid w:val="00A7575F"/>
    <w:rsid w:val="00A76D68"/>
    <w:rsid w:val="00A7708E"/>
    <w:rsid w:val="00A77B92"/>
    <w:rsid w:val="00A77CD7"/>
    <w:rsid w:val="00A805CE"/>
    <w:rsid w:val="00A810F6"/>
    <w:rsid w:val="00A83CD0"/>
    <w:rsid w:val="00A84568"/>
    <w:rsid w:val="00A862D7"/>
    <w:rsid w:val="00A867FF"/>
    <w:rsid w:val="00A875AB"/>
    <w:rsid w:val="00A87A20"/>
    <w:rsid w:val="00A90AD2"/>
    <w:rsid w:val="00A91881"/>
    <w:rsid w:val="00A94949"/>
    <w:rsid w:val="00A94AAB"/>
    <w:rsid w:val="00A94E61"/>
    <w:rsid w:val="00A95115"/>
    <w:rsid w:val="00A96867"/>
    <w:rsid w:val="00A97A1E"/>
    <w:rsid w:val="00AA01A6"/>
    <w:rsid w:val="00AA065B"/>
    <w:rsid w:val="00AA09A8"/>
    <w:rsid w:val="00AA34EB"/>
    <w:rsid w:val="00AA54B1"/>
    <w:rsid w:val="00AA6094"/>
    <w:rsid w:val="00AA705F"/>
    <w:rsid w:val="00AB0FAB"/>
    <w:rsid w:val="00AB1B28"/>
    <w:rsid w:val="00AB2886"/>
    <w:rsid w:val="00AB3275"/>
    <w:rsid w:val="00AB4685"/>
    <w:rsid w:val="00AB4B1A"/>
    <w:rsid w:val="00AB6BF9"/>
    <w:rsid w:val="00AB7AEB"/>
    <w:rsid w:val="00AC1932"/>
    <w:rsid w:val="00AC2493"/>
    <w:rsid w:val="00AC3306"/>
    <w:rsid w:val="00AC36DD"/>
    <w:rsid w:val="00AC37B1"/>
    <w:rsid w:val="00AC4357"/>
    <w:rsid w:val="00AC78FB"/>
    <w:rsid w:val="00AD0F36"/>
    <w:rsid w:val="00AD3DEE"/>
    <w:rsid w:val="00AD438D"/>
    <w:rsid w:val="00AD45B9"/>
    <w:rsid w:val="00AD53E9"/>
    <w:rsid w:val="00AD5D77"/>
    <w:rsid w:val="00AD634B"/>
    <w:rsid w:val="00AD7805"/>
    <w:rsid w:val="00AE02E4"/>
    <w:rsid w:val="00AE12AF"/>
    <w:rsid w:val="00AE2435"/>
    <w:rsid w:val="00AE4D42"/>
    <w:rsid w:val="00AE69AF"/>
    <w:rsid w:val="00AE7D62"/>
    <w:rsid w:val="00AF03F2"/>
    <w:rsid w:val="00AF0A5C"/>
    <w:rsid w:val="00AF0CD9"/>
    <w:rsid w:val="00AF2351"/>
    <w:rsid w:val="00AF2D06"/>
    <w:rsid w:val="00B02489"/>
    <w:rsid w:val="00B05528"/>
    <w:rsid w:val="00B05DC9"/>
    <w:rsid w:val="00B10400"/>
    <w:rsid w:val="00B11452"/>
    <w:rsid w:val="00B14A9E"/>
    <w:rsid w:val="00B15442"/>
    <w:rsid w:val="00B16AF9"/>
    <w:rsid w:val="00B21F98"/>
    <w:rsid w:val="00B22ED7"/>
    <w:rsid w:val="00B24746"/>
    <w:rsid w:val="00B2533B"/>
    <w:rsid w:val="00B25BEB"/>
    <w:rsid w:val="00B30E0D"/>
    <w:rsid w:val="00B317EC"/>
    <w:rsid w:val="00B32138"/>
    <w:rsid w:val="00B32284"/>
    <w:rsid w:val="00B34F7A"/>
    <w:rsid w:val="00B36B3B"/>
    <w:rsid w:val="00B37261"/>
    <w:rsid w:val="00B40070"/>
    <w:rsid w:val="00B40517"/>
    <w:rsid w:val="00B44BB9"/>
    <w:rsid w:val="00B4717B"/>
    <w:rsid w:val="00B47B46"/>
    <w:rsid w:val="00B500A7"/>
    <w:rsid w:val="00B5094C"/>
    <w:rsid w:val="00B50A27"/>
    <w:rsid w:val="00B50F38"/>
    <w:rsid w:val="00B517D7"/>
    <w:rsid w:val="00B51EE2"/>
    <w:rsid w:val="00B522F5"/>
    <w:rsid w:val="00B54B68"/>
    <w:rsid w:val="00B54F91"/>
    <w:rsid w:val="00B5620D"/>
    <w:rsid w:val="00B5686D"/>
    <w:rsid w:val="00B5694D"/>
    <w:rsid w:val="00B57753"/>
    <w:rsid w:val="00B60743"/>
    <w:rsid w:val="00B6110B"/>
    <w:rsid w:val="00B61CC9"/>
    <w:rsid w:val="00B61F54"/>
    <w:rsid w:val="00B62173"/>
    <w:rsid w:val="00B62E0D"/>
    <w:rsid w:val="00B6596F"/>
    <w:rsid w:val="00B66CC3"/>
    <w:rsid w:val="00B67809"/>
    <w:rsid w:val="00B71CE8"/>
    <w:rsid w:val="00B72489"/>
    <w:rsid w:val="00B73295"/>
    <w:rsid w:val="00B73BF8"/>
    <w:rsid w:val="00B74622"/>
    <w:rsid w:val="00B770A9"/>
    <w:rsid w:val="00B774C3"/>
    <w:rsid w:val="00B81632"/>
    <w:rsid w:val="00B8214B"/>
    <w:rsid w:val="00B84E33"/>
    <w:rsid w:val="00B866D2"/>
    <w:rsid w:val="00B86852"/>
    <w:rsid w:val="00B87A41"/>
    <w:rsid w:val="00B90E1C"/>
    <w:rsid w:val="00B91847"/>
    <w:rsid w:val="00B93C58"/>
    <w:rsid w:val="00B94294"/>
    <w:rsid w:val="00B94BCF"/>
    <w:rsid w:val="00B95763"/>
    <w:rsid w:val="00B95C1F"/>
    <w:rsid w:val="00B96B23"/>
    <w:rsid w:val="00B97C4D"/>
    <w:rsid w:val="00BA26B7"/>
    <w:rsid w:val="00BA36A3"/>
    <w:rsid w:val="00BA41CA"/>
    <w:rsid w:val="00BA6239"/>
    <w:rsid w:val="00BA7C28"/>
    <w:rsid w:val="00BB1841"/>
    <w:rsid w:val="00BB2183"/>
    <w:rsid w:val="00BB2C4C"/>
    <w:rsid w:val="00BB2F06"/>
    <w:rsid w:val="00BB36B0"/>
    <w:rsid w:val="00BB42E6"/>
    <w:rsid w:val="00BB5CDA"/>
    <w:rsid w:val="00BB673C"/>
    <w:rsid w:val="00BB6A96"/>
    <w:rsid w:val="00BB7469"/>
    <w:rsid w:val="00BC062E"/>
    <w:rsid w:val="00BC0FF7"/>
    <w:rsid w:val="00BC4A8D"/>
    <w:rsid w:val="00BC4BE8"/>
    <w:rsid w:val="00BC6B00"/>
    <w:rsid w:val="00BC6CFF"/>
    <w:rsid w:val="00BC7C9A"/>
    <w:rsid w:val="00BD0592"/>
    <w:rsid w:val="00BD5363"/>
    <w:rsid w:val="00BD57F5"/>
    <w:rsid w:val="00BD6FC4"/>
    <w:rsid w:val="00BE01FD"/>
    <w:rsid w:val="00BE12FB"/>
    <w:rsid w:val="00BE2A68"/>
    <w:rsid w:val="00BE3975"/>
    <w:rsid w:val="00BE48A4"/>
    <w:rsid w:val="00BE4947"/>
    <w:rsid w:val="00BE56F0"/>
    <w:rsid w:val="00BE5C4C"/>
    <w:rsid w:val="00BE7F7D"/>
    <w:rsid w:val="00BF0EF0"/>
    <w:rsid w:val="00BF329F"/>
    <w:rsid w:val="00BF4326"/>
    <w:rsid w:val="00BF4EAC"/>
    <w:rsid w:val="00C014C1"/>
    <w:rsid w:val="00C01BDB"/>
    <w:rsid w:val="00C01D6F"/>
    <w:rsid w:val="00C04947"/>
    <w:rsid w:val="00C05CA2"/>
    <w:rsid w:val="00C10136"/>
    <w:rsid w:val="00C12006"/>
    <w:rsid w:val="00C12284"/>
    <w:rsid w:val="00C138E3"/>
    <w:rsid w:val="00C13AE2"/>
    <w:rsid w:val="00C13F31"/>
    <w:rsid w:val="00C1555E"/>
    <w:rsid w:val="00C1577C"/>
    <w:rsid w:val="00C159FB"/>
    <w:rsid w:val="00C2037D"/>
    <w:rsid w:val="00C21A43"/>
    <w:rsid w:val="00C226F2"/>
    <w:rsid w:val="00C23296"/>
    <w:rsid w:val="00C24097"/>
    <w:rsid w:val="00C243C4"/>
    <w:rsid w:val="00C24CAE"/>
    <w:rsid w:val="00C250C6"/>
    <w:rsid w:val="00C25D8D"/>
    <w:rsid w:val="00C304E1"/>
    <w:rsid w:val="00C323B8"/>
    <w:rsid w:val="00C3512F"/>
    <w:rsid w:val="00C35E4B"/>
    <w:rsid w:val="00C364C7"/>
    <w:rsid w:val="00C36627"/>
    <w:rsid w:val="00C37227"/>
    <w:rsid w:val="00C372E4"/>
    <w:rsid w:val="00C37E82"/>
    <w:rsid w:val="00C37F58"/>
    <w:rsid w:val="00C41FA6"/>
    <w:rsid w:val="00C42069"/>
    <w:rsid w:val="00C43A41"/>
    <w:rsid w:val="00C4428C"/>
    <w:rsid w:val="00C447CC"/>
    <w:rsid w:val="00C4647C"/>
    <w:rsid w:val="00C46B30"/>
    <w:rsid w:val="00C46D2D"/>
    <w:rsid w:val="00C47620"/>
    <w:rsid w:val="00C501F9"/>
    <w:rsid w:val="00C5357D"/>
    <w:rsid w:val="00C53754"/>
    <w:rsid w:val="00C53875"/>
    <w:rsid w:val="00C54281"/>
    <w:rsid w:val="00C543E1"/>
    <w:rsid w:val="00C54AE9"/>
    <w:rsid w:val="00C54D1F"/>
    <w:rsid w:val="00C55F6E"/>
    <w:rsid w:val="00C56D7F"/>
    <w:rsid w:val="00C578D2"/>
    <w:rsid w:val="00C5E47F"/>
    <w:rsid w:val="00C610F5"/>
    <w:rsid w:val="00C622F1"/>
    <w:rsid w:val="00C62B2D"/>
    <w:rsid w:val="00C6382D"/>
    <w:rsid w:val="00C63BA4"/>
    <w:rsid w:val="00C65B0A"/>
    <w:rsid w:val="00C67637"/>
    <w:rsid w:val="00C67D18"/>
    <w:rsid w:val="00C703FC"/>
    <w:rsid w:val="00C73BB7"/>
    <w:rsid w:val="00C75F2D"/>
    <w:rsid w:val="00C76399"/>
    <w:rsid w:val="00C76D6E"/>
    <w:rsid w:val="00C77CD1"/>
    <w:rsid w:val="00C801D4"/>
    <w:rsid w:val="00C80414"/>
    <w:rsid w:val="00C82010"/>
    <w:rsid w:val="00C82F1F"/>
    <w:rsid w:val="00C8497A"/>
    <w:rsid w:val="00C920EC"/>
    <w:rsid w:val="00C93608"/>
    <w:rsid w:val="00C942E8"/>
    <w:rsid w:val="00C95573"/>
    <w:rsid w:val="00C96407"/>
    <w:rsid w:val="00C966E4"/>
    <w:rsid w:val="00C96BDA"/>
    <w:rsid w:val="00CA042B"/>
    <w:rsid w:val="00CA214D"/>
    <w:rsid w:val="00CA2709"/>
    <w:rsid w:val="00CA4904"/>
    <w:rsid w:val="00CA4B93"/>
    <w:rsid w:val="00CA4F1B"/>
    <w:rsid w:val="00CA5C04"/>
    <w:rsid w:val="00CA620F"/>
    <w:rsid w:val="00CA6D14"/>
    <w:rsid w:val="00CA71E5"/>
    <w:rsid w:val="00CA7B79"/>
    <w:rsid w:val="00CB10FD"/>
    <w:rsid w:val="00CB281D"/>
    <w:rsid w:val="00CB50DA"/>
    <w:rsid w:val="00CB790F"/>
    <w:rsid w:val="00CC2282"/>
    <w:rsid w:val="00CC38F3"/>
    <w:rsid w:val="00CC4662"/>
    <w:rsid w:val="00CC6110"/>
    <w:rsid w:val="00CC6E52"/>
    <w:rsid w:val="00CC7246"/>
    <w:rsid w:val="00CC7603"/>
    <w:rsid w:val="00CD08F5"/>
    <w:rsid w:val="00CD1104"/>
    <w:rsid w:val="00CD154F"/>
    <w:rsid w:val="00CD1F02"/>
    <w:rsid w:val="00CD1F9B"/>
    <w:rsid w:val="00CD31BE"/>
    <w:rsid w:val="00CD32D9"/>
    <w:rsid w:val="00CD5A6D"/>
    <w:rsid w:val="00CD5A98"/>
    <w:rsid w:val="00CD6005"/>
    <w:rsid w:val="00CD6B65"/>
    <w:rsid w:val="00CE2BA7"/>
    <w:rsid w:val="00CE3A4F"/>
    <w:rsid w:val="00CE543B"/>
    <w:rsid w:val="00CE563E"/>
    <w:rsid w:val="00CF057D"/>
    <w:rsid w:val="00CF1C4B"/>
    <w:rsid w:val="00CF3120"/>
    <w:rsid w:val="00CF3ABA"/>
    <w:rsid w:val="00CF3D90"/>
    <w:rsid w:val="00CF472E"/>
    <w:rsid w:val="00D000CA"/>
    <w:rsid w:val="00D02BF2"/>
    <w:rsid w:val="00D02C9C"/>
    <w:rsid w:val="00D03322"/>
    <w:rsid w:val="00D03799"/>
    <w:rsid w:val="00D040B3"/>
    <w:rsid w:val="00D04605"/>
    <w:rsid w:val="00D04E61"/>
    <w:rsid w:val="00D06A40"/>
    <w:rsid w:val="00D06BC0"/>
    <w:rsid w:val="00D06FC5"/>
    <w:rsid w:val="00D1040A"/>
    <w:rsid w:val="00D10635"/>
    <w:rsid w:val="00D142C0"/>
    <w:rsid w:val="00D14EA8"/>
    <w:rsid w:val="00D17BCB"/>
    <w:rsid w:val="00D20440"/>
    <w:rsid w:val="00D2055A"/>
    <w:rsid w:val="00D2061B"/>
    <w:rsid w:val="00D20DC9"/>
    <w:rsid w:val="00D21D80"/>
    <w:rsid w:val="00D22AFA"/>
    <w:rsid w:val="00D235CC"/>
    <w:rsid w:val="00D23AD9"/>
    <w:rsid w:val="00D23D5E"/>
    <w:rsid w:val="00D24AAB"/>
    <w:rsid w:val="00D24F63"/>
    <w:rsid w:val="00D3178B"/>
    <w:rsid w:val="00D33703"/>
    <w:rsid w:val="00D37AE8"/>
    <w:rsid w:val="00D40D71"/>
    <w:rsid w:val="00D40F8D"/>
    <w:rsid w:val="00D412DA"/>
    <w:rsid w:val="00D4245A"/>
    <w:rsid w:val="00D43599"/>
    <w:rsid w:val="00D43CB9"/>
    <w:rsid w:val="00D43D1F"/>
    <w:rsid w:val="00D4F884"/>
    <w:rsid w:val="00D521C7"/>
    <w:rsid w:val="00D525B8"/>
    <w:rsid w:val="00D531E4"/>
    <w:rsid w:val="00D56F89"/>
    <w:rsid w:val="00D6034E"/>
    <w:rsid w:val="00D61B09"/>
    <w:rsid w:val="00D62B1D"/>
    <w:rsid w:val="00D6379E"/>
    <w:rsid w:val="00D65DE6"/>
    <w:rsid w:val="00D661B6"/>
    <w:rsid w:val="00D66633"/>
    <w:rsid w:val="00D671BF"/>
    <w:rsid w:val="00D70AD8"/>
    <w:rsid w:val="00D70B96"/>
    <w:rsid w:val="00D71BE3"/>
    <w:rsid w:val="00D71D52"/>
    <w:rsid w:val="00D72637"/>
    <w:rsid w:val="00D73A88"/>
    <w:rsid w:val="00D765F4"/>
    <w:rsid w:val="00D76962"/>
    <w:rsid w:val="00D76E43"/>
    <w:rsid w:val="00D817F2"/>
    <w:rsid w:val="00D868FD"/>
    <w:rsid w:val="00D87B9D"/>
    <w:rsid w:val="00D9666D"/>
    <w:rsid w:val="00D966FE"/>
    <w:rsid w:val="00D97A4A"/>
    <w:rsid w:val="00DA18A2"/>
    <w:rsid w:val="00DA1C72"/>
    <w:rsid w:val="00DA1C9C"/>
    <w:rsid w:val="00DA215B"/>
    <w:rsid w:val="00DA2BB0"/>
    <w:rsid w:val="00DA3031"/>
    <w:rsid w:val="00DA4227"/>
    <w:rsid w:val="00DA468A"/>
    <w:rsid w:val="00DA4841"/>
    <w:rsid w:val="00DA66CC"/>
    <w:rsid w:val="00DA7EE2"/>
    <w:rsid w:val="00DB0378"/>
    <w:rsid w:val="00DB0ADE"/>
    <w:rsid w:val="00DB121D"/>
    <w:rsid w:val="00DB2D94"/>
    <w:rsid w:val="00DB3A88"/>
    <w:rsid w:val="00DB44DC"/>
    <w:rsid w:val="00DB50A4"/>
    <w:rsid w:val="00DB5D23"/>
    <w:rsid w:val="00DB647D"/>
    <w:rsid w:val="00DB7717"/>
    <w:rsid w:val="00DB7BAB"/>
    <w:rsid w:val="00DC000A"/>
    <w:rsid w:val="00DC0C9E"/>
    <w:rsid w:val="00DC1C0E"/>
    <w:rsid w:val="00DC33DF"/>
    <w:rsid w:val="00DC36B1"/>
    <w:rsid w:val="00DD01AA"/>
    <w:rsid w:val="00DD0E26"/>
    <w:rsid w:val="00DD24E0"/>
    <w:rsid w:val="00DD2888"/>
    <w:rsid w:val="00DD3C01"/>
    <w:rsid w:val="00DD3DB3"/>
    <w:rsid w:val="00DD4CCF"/>
    <w:rsid w:val="00DD4D4B"/>
    <w:rsid w:val="00DD7EFE"/>
    <w:rsid w:val="00DE31FE"/>
    <w:rsid w:val="00DE58B2"/>
    <w:rsid w:val="00DF0B7F"/>
    <w:rsid w:val="00DF0F5F"/>
    <w:rsid w:val="00DF1320"/>
    <w:rsid w:val="00DF1908"/>
    <w:rsid w:val="00DF2F8D"/>
    <w:rsid w:val="00DF4B26"/>
    <w:rsid w:val="00DF7C43"/>
    <w:rsid w:val="00E024B4"/>
    <w:rsid w:val="00E05D0E"/>
    <w:rsid w:val="00E06BF4"/>
    <w:rsid w:val="00E06CB6"/>
    <w:rsid w:val="00E07B08"/>
    <w:rsid w:val="00E11745"/>
    <w:rsid w:val="00E12099"/>
    <w:rsid w:val="00E15648"/>
    <w:rsid w:val="00E15B53"/>
    <w:rsid w:val="00E16B30"/>
    <w:rsid w:val="00E20383"/>
    <w:rsid w:val="00E224F4"/>
    <w:rsid w:val="00E22614"/>
    <w:rsid w:val="00E228DA"/>
    <w:rsid w:val="00E234C7"/>
    <w:rsid w:val="00E26D9A"/>
    <w:rsid w:val="00E2753F"/>
    <w:rsid w:val="00E322C2"/>
    <w:rsid w:val="00E32381"/>
    <w:rsid w:val="00E344B0"/>
    <w:rsid w:val="00E347D4"/>
    <w:rsid w:val="00E36ABE"/>
    <w:rsid w:val="00E418C8"/>
    <w:rsid w:val="00E41905"/>
    <w:rsid w:val="00E4486C"/>
    <w:rsid w:val="00E44B6C"/>
    <w:rsid w:val="00E501A1"/>
    <w:rsid w:val="00E501C4"/>
    <w:rsid w:val="00E50766"/>
    <w:rsid w:val="00E5089B"/>
    <w:rsid w:val="00E517EB"/>
    <w:rsid w:val="00E51FA5"/>
    <w:rsid w:val="00E52B25"/>
    <w:rsid w:val="00E531EB"/>
    <w:rsid w:val="00E53EFB"/>
    <w:rsid w:val="00E5417E"/>
    <w:rsid w:val="00E54794"/>
    <w:rsid w:val="00E57DFB"/>
    <w:rsid w:val="00E60EF7"/>
    <w:rsid w:val="00E6524D"/>
    <w:rsid w:val="00E671BD"/>
    <w:rsid w:val="00E67617"/>
    <w:rsid w:val="00E700DD"/>
    <w:rsid w:val="00E704A8"/>
    <w:rsid w:val="00E70E41"/>
    <w:rsid w:val="00E727F2"/>
    <w:rsid w:val="00E73E81"/>
    <w:rsid w:val="00E747F7"/>
    <w:rsid w:val="00E74FE4"/>
    <w:rsid w:val="00E75915"/>
    <w:rsid w:val="00E767F0"/>
    <w:rsid w:val="00E76B3E"/>
    <w:rsid w:val="00E779D1"/>
    <w:rsid w:val="00E81AD5"/>
    <w:rsid w:val="00E82997"/>
    <w:rsid w:val="00E83C02"/>
    <w:rsid w:val="00E83E08"/>
    <w:rsid w:val="00E840CA"/>
    <w:rsid w:val="00E84F06"/>
    <w:rsid w:val="00E851E7"/>
    <w:rsid w:val="00E85E29"/>
    <w:rsid w:val="00E863C0"/>
    <w:rsid w:val="00E86E61"/>
    <w:rsid w:val="00E87C06"/>
    <w:rsid w:val="00E90BFC"/>
    <w:rsid w:val="00E92551"/>
    <w:rsid w:val="00E933F8"/>
    <w:rsid w:val="00E947C7"/>
    <w:rsid w:val="00E94984"/>
    <w:rsid w:val="00E94C4C"/>
    <w:rsid w:val="00EA083E"/>
    <w:rsid w:val="00EA0B42"/>
    <w:rsid w:val="00EA1101"/>
    <w:rsid w:val="00EA1573"/>
    <w:rsid w:val="00EA5684"/>
    <w:rsid w:val="00EA7A67"/>
    <w:rsid w:val="00EA7B0B"/>
    <w:rsid w:val="00EB21C3"/>
    <w:rsid w:val="00EB2762"/>
    <w:rsid w:val="00EB2E6F"/>
    <w:rsid w:val="00EB31C1"/>
    <w:rsid w:val="00EB4283"/>
    <w:rsid w:val="00EB51BB"/>
    <w:rsid w:val="00EB59F5"/>
    <w:rsid w:val="00EB7F9A"/>
    <w:rsid w:val="00EC0E7A"/>
    <w:rsid w:val="00EC1281"/>
    <w:rsid w:val="00EC344D"/>
    <w:rsid w:val="00EC5495"/>
    <w:rsid w:val="00EC59A3"/>
    <w:rsid w:val="00EC7F44"/>
    <w:rsid w:val="00ED0697"/>
    <w:rsid w:val="00ED21A7"/>
    <w:rsid w:val="00ED2579"/>
    <w:rsid w:val="00ED3CDC"/>
    <w:rsid w:val="00ED47E2"/>
    <w:rsid w:val="00ED4E9D"/>
    <w:rsid w:val="00ED7455"/>
    <w:rsid w:val="00EE0B9C"/>
    <w:rsid w:val="00EE124A"/>
    <w:rsid w:val="00EE1D4D"/>
    <w:rsid w:val="00EE3A17"/>
    <w:rsid w:val="00EE4426"/>
    <w:rsid w:val="00EE726C"/>
    <w:rsid w:val="00EF118A"/>
    <w:rsid w:val="00EF11D2"/>
    <w:rsid w:val="00EF1DF0"/>
    <w:rsid w:val="00EF549B"/>
    <w:rsid w:val="00EF5660"/>
    <w:rsid w:val="00EF6B41"/>
    <w:rsid w:val="00EF6E14"/>
    <w:rsid w:val="00EF7B64"/>
    <w:rsid w:val="00EF7D45"/>
    <w:rsid w:val="00F02A10"/>
    <w:rsid w:val="00F03073"/>
    <w:rsid w:val="00F032F1"/>
    <w:rsid w:val="00F03918"/>
    <w:rsid w:val="00F054A6"/>
    <w:rsid w:val="00F05952"/>
    <w:rsid w:val="00F06A34"/>
    <w:rsid w:val="00F102A0"/>
    <w:rsid w:val="00F11053"/>
    <w:rsid w:val="00F11631"/>
    <w:rsid w:val="00F11952"/>
    <w:rsid w:val="00F11A10"/>
    <w:rsid w:val="00F11F64"/>
    <w:rsid w:val="00F13201"/>
    <w:rsid w:val="00F13444"/>
    <w:rsid w:val="00F14D5B"/>
    <w:rsid w:val="00F15BF2"/>
    <w:rsid w:val="00F16C8C"/>
    <w:rsid w:val="00F1781F"/>
    <w:rsid w:val="00F17D79"/>
    <w:rsid w:val="00F17D99"/>
    <w:rsid w:val="00F20C12"/>
    <w:rsid w:val="00F21C86"/>
    <w:rsid w:val="00F230E5"/>
    <w:rsid w:val="00F24C1D"/>
    <w:rsid w:val="00F2608F"/>
    <w:rsid w:val="00F27B13"/>
    <w:rsid w:val="00F3117E"/>
    <w:rsid w:val="00F311BE"/>
    <w:rsid w:val="00F32196"/>
    <w:rsid w:val="00F326FB"/>
    <w:rsid w:val="00F3438D"/>
    <w:rsid w:val="00F362A5"/>
    <w:rsid w:val="00F36BC2"/>
    <w:rsid w:val="00F376F0"/>
    <w:rsid w:val="00F37F67"/>
    <w:rsid w:val="00F40B99"/>
    <w:rsid w:val="00F41CF3"/>
    <w:rsid w:val="00F41D74"/>
    <w:rsid w:val="00F428AD"/>
    <w:rsid w:val="00F43A25"/>
    <w:rsid w:val="00F453BD"/>
    <w:rsid w:val="00F45554"/>
    <w:rsid w:val="00F460C3"/>
    <w:rsid w:val="00F4614A"/>
    <w:rsid w:val="00F468AF"/>
    <w:rsid w:val="00F47011"/>
    <w:rsid w:val="00F515B9"/>
    <w:rsid w:val="00F51C48"/>
    <w:rsid w:val="00F53E14"/>
    <w:rsid w:val="00F541D1"/>
    <w:rsid w:val="00F54414"/>
    <w:rsid w:val="00F544E5"/>
    <w:rsid w:val="00F610EC"/>
    <w:rsid w:val="00F623E7"/>
    <w:rsid w:val="00F64D08"/>
    <w:rsid w:val="00F658CC"/>
    <w:rsid w:val="00F65F8B"/>
    <w:rsid w:val="00F700D8"/>
    <w:rsid w:val="00F70524"/>
    <w:rsid w:val="00F71091"/>
    <w:rsid w:val="00F76007"/>
    <w:rsid w:val="00F83753"/>
    <w:rsid w:val="00F83EB5"/>
    <w:rsid w:val="00F8428A"/>
    <w:rsid w:val="00F85344"/>
    <w:rsid w:val="00F85E37"/>
    <w:rsid w:val="00F86527"/>
    <w:rsid w:val="00F9030D"/>
    <w:rsid w:val="00F90386"/>
    <w:rsid w:val="00F90635"/>
    <w:rsid w:val="00F913B4"/>
    <w:rsid w:val="00F921F3"/>
    <w:rsid w:val="00F934B6"/>
    <w:rsid w:val="00F94032"/>
    <w:rsid w:val="00F957C6"/>
    <w:rsid w:val="00F95C13"/>
    <w:rsid w:val="00F95C51"/>
    <w:rsid w:val="00F96510"/>
    <w:rsid w:val="00F9741B"/>
    <w:rsid w:val="00FA0886"/>
    <w:rsid w:val="00FA1865"/>
    <w:rsid w:val="00FA4546"/>
    <w:rsid w:val="00FA4A02"/>
    <w:rsid w:val="00FB082D"/>
    <w:rsid w:val="00FB0884"/>
    <w:rsid w:val="00FB12D2"/>
    <w:rsid w:val="00FB15A6"/>
    <w:rsid w:val="00FB1D68"/>
    <w:rsid w:val="00FB241A"/>
    <w:rsid w:val="00FB3123"/>
    <w:rsid w:val="00FB3663"/>
    <w:rsid w:val="00FB3CF0"/>
    <w:rsid w:val="00FB44E7"/>
    <w:rsid w:val="00FB589D"/>
    <w:rsid w:val="00FB6270"/>
    <w:rsid w:val="00FB6966"/>
    <w:rsid w:val="00FC01E6"/>
    <w:rsid w:val="00FC1DBD"/>
    <w:rsid w:val="00FC2B61"/>
    <w:rsid w:val="00FC3389"/>
    <w:rsid w:val="00FC454B"/>
    <w:rsid w:val="00FC48E8"/>
    <w:rsid w:val="00FC4BF1"/>
    <w:rsid w:val="00FC5CCA"/>
    <w:rsid w:val="00FC6626"/>
    <w:rsid w:val="00FD1F7F"/>
    <w:rsid w:val="00FD2573"/>
    <w:rsid w:val="00FD2C22"/>
    <w:rsid w:val="00FD4F54"/>
    <w:rsid w:val="00FD6660"/>
    <w:rsid w:val="00FE0B84"/>
    <w:rsid w:val="00FE10DB"/>
    <w:rsid w:val="00FE2C7F"/>
    <w:rsid w:val="00FE32D4"/>
    <w:rsid w:val="00FE3FC8"/>
    <w:rsid w:val="00FE3FCD"/>
    <w:rsid w:val="00FE6A1D"/>
    <w:rsid w:val="00FE6C9F"/>
    <w:rsid w:val="00FF038B"/>
    <w:rsid w:val="00FF06AC"/>
    <w:rsid w:val="00FF07F7"/>
    <w:rsid w:val="00FF1E41"/>
    <w:rsid w:val="00FF3B39"/>
    <w:rsid w:val="00FF3FE5"/>
    <w:rsid w:val="00FF4141"/>
    <w:rsid w:val="00FF44DE"/>
    <w:rsid w:val="00FF4E68"/>
    <w:rsid w:val="00FF7B54"/>
    <w:rsid w:val="011729BC"/>
    <w:rsid w:val="012CE9CA"/>
    <w:rsid w:val="013F12BB"/>
    <w:rsid w:val="017A8380"/>
    <w:rsid w:val="01AF2BA6"/>
    <w:rsid w:val="01B86E0C"/>
    <w:rsid w:val="01E65206"/>
    <w:rsid w:val="0233349F"/>
    <w:rsid w:val="025B02B0"/>
    <w:rsid w:val="02D010EA"/>
    <w:rsid w:val="02F09D0D"/>
    <w:rsid w:val="0314E407"/>
    <w:rsid w:val="032C9F3F"/>
    <w:rsid w:val="033FBE0D"/>
    <w:rsid w:val="03C8CA46"/>
    <w:rsid w:val="03D48FA2"/>
    <w:rsid w:val="04AA9472"/>
    <w:rsid w:val="04FF8361"/>
    <w:rsid w:val="0547537A"/>
    <w:rsid w:val="05567543"/>
    <w:rsid w:val="0573823C"/>
    <w:rsid w:val="0575BACB"/>
    <w:rsid w:val="05DAEE6B"/>
    <w:rsid w:val="062808DC"/>
    <w:rsid w:val="06ADEC93"/>
    <w:rsid w:val="07140527"/>
    <w:rsid w:val="074444AF"/>
    <w:rsid w:val="076007E2"/>
    <w:rsid w:val="079B3BB4"/>
    <w:rsid w:val="07C6A7FF"/>
    <w:rsid w:val="07E51D53"/>
    <w:rsid w:val="081A55F2"/>
    <w:rsid w:val="082154DB"/>
    <w:rsid w:val="082401C8"/>
    <w:rsid w:val="08675CF4"/>
    <w:rsid w:val="086C4826"/>
    <w:rsid w:val="08E92075"/>
    <w:rsid w:val="08FD37E0"/>
    <w:rsid w:val="091CD0D5"/>
    <w:rsid w:val="0952BFBB"/>
    <w:rsid w:val="0952E05E"/>
    <w:rsid w:val="09C88989"/>
    <w:rsid w:val="09E57D09"/>
    <w:rsid w:val="09E9D649"/>
    <w:rsid w:val="0A0A1AD4"/>
    <w:rsid w:val="0A222B92"/>
    <w:rsid w:val="0A635DC1"/>
    <w:rsid w:val="0A8ABA18"/>
    <w:rsid w:val="0ACF1955"/>
    <w:rsid w:val="0AE7BFD4"/>
    <w:rsid w:val="0BDC0485"/>
    <w:rsid w:val="0BEAC4E3"/>
    <w:rsid w:val="0C1CDFA7"/>
    <w:rsid w:val="0C1ED4F2"/>
    <w:rsid w:val="0C8D2BA4"/>
    <w:rsid w:val="0CB26A3C"/>
    <w:rsid w:val="0CC68B1D"/>
    <w:rsid w:val="0D14BB5B"/>
    <w:rsid w:val="0D28275F"/>
    <w:rsid w:val="0D33177A"/>
    <w:rsid w:val="0D4B00F0"/>
    <w:rsid w:val="0D6C735C"/>
    <w:rsid w:val="0DC9916F"/>
    <w:rsid w:val="0DFFD034"/>
    <w:rsid w:val="0E1C35DB"/>
    <w:rsid w:val="0E428370"/>
    <w:rsid w:val="0E5880F6"/>
    <w:rsid w:val="0E65C3F6"/>
    <w:rsid w:val="0E8A4BC9"/>
    <w:rsid w:val="0EAA5430"/>
    <w:rsid w:val="0EC5BD77"/>
    <w:rsid w:val="0EDB7D65"/>
    <w:rsid w:val="0F298BD7"/>
    <w:rsid w:val="0F3D0C2A"/>
    <w:rsid w:val="0F575C9E"/>
    <w:rsid w:val="0F9A13F8"/>
    <w:rsid w:val="0FA19017"/>
    <w:rsid w:val="0FC4998D"/>
    <w:rsid w:val="10086592"/>
    <w:rsid w:val="100D56F4"/>
    <w:rsid w:val="10221222"/>
    <w:rsid w:val="1024D6D3"/>
    <w:rsid w:val="1081FC8C"/>
    <w:rsid w:val="10D44628"/>
    <w:rsid w:val="10F5D0BB"/>
    <w:rsid w:val="114DB577"/>
    <w:rsid w:val="1176C00E"/>
    <w:rsid w:val="1184E0CE"/>
    <w:rsid w:val="11D9FD27"/>
    <w:rsid w:val="125E82DF"/>
    <w:rsid w:val="125F07B7"/>
    <w:rsid w:val="12A30BA3"/>
    <w:rsid w:val="12A7D78F"/>
    <w:rsid w:val="12AF230B"/>
    <w:rsid w:val="12B034BF"/>
    <w:rsid w:val="12D6B72A"/>
    <w:rsid w:val="1303E25B"/>
    <w:rsid w:val="133FB868"/>
    <w:rsid w:val="13F63BE9"/>
    <w:rsid w:val="13FBA2FA"/>
    <w:rsid w:val="14358E66"/>
    <w:rsid w:val="148ECCD5"/>
    <w:rsid w:val="14A1DF55"/>
    <w:rsid w:val="14AFBA35"/>
    <w:rsid w:val="14C065FC"/>
    <w:rsid w:val="14DCAC63"/>
    <w:rsid w:val="14FA19A7"/>
    <w:rsid w:val="14FED10D"/>
    <w:rsid w:val="15048045"/>
    <w:rsid w:val="15569A9A"/>
    <w:rsid w:val="158CB8AA"/>
    <w:rsid w:val="15A4DB7F"/>
    <w:rsid w:val="15BCC90A"/>
    <w:rsid w:val="15D3997E"/>
    <w:rsid w:val="15DE97C5"/>
    <w:rsid w:val="15EB17EC"/>
    <w:rsid w:val="1624FD81"/>
    <w:rsid w:val="163CFA30"/>
    <w:rsid w:val="1653BFA5"/>
    <w:rsid w:val="16564099"/>
    <w:rsid w:val="167983A0"/>
    <w:rsid w:val="16BDA3A6"/>
    <w:rsid w:val="1710C021"/>
    <w:rsid w:val="1749066B"/>
    <w:rsid w:val="174BE881"/>
    <w:rsid w:val="176090BB"/>
    <w:rsid w:val="17AFA032"/>
    <w:rsid w:val="17DB519C"/>
    <w:rsid w:val="17EEBA50"/>
    <w:rsid w:val="17FA9792"/>
    <w:rsid w:val="180C9336"/>
    <w:rsid w:val="184F7F59"/>
    <w:rsid w:val="186E35D3"/>
    <w:rsid w:val="187DC6AA"/>
    <w:rsid w:val="19037F80"/>
    <w:rsid w:val="1903F508"/>
    <w:rsid w:val="1919143D"/>
    <w:rsid w:val="1985A402"/>
    <w:rsid w:val="1997CA5C"/>
    <w:rsid w:val="19CEA7F2"/>
    <w:rsid w:val="19FCC3FB"/>
    <w:rsid w:val="1A1C1D55"/>
    <w:rsid w:val="1B11C636"/>
    <w:rsid w:val="1B5AAD62"/>
    <w:rsid w:val="1B5F02C2"/>
    <w:rsid w:val="1B7E9EEF"/>
    <w:rsid w:val="1B907B16"/>
    <w:rsid w:val="1BA45D08"/>
    <w:rsid w:val="1BA52D9E"/>
    <w:rsid w:val="1BB3D85E"/>
    <w:rsid w:val="1BC6E8F5"/>
    <w:rsid w:val="1BFFDE1E"/>
    <w:rsid w:val="1C144F2C"/>
    <w:rsid w:val="1C14F1BB"/>
    <w:rsid w:val="1C15F9BC"/>
    <w:rsid w:val="1CD15133"/>
    <w:rsid w:val="1CE109E4"/>
    <w:rsid w:val="1CF4CD13"/>
    <w:rsid w:val="1D08FC23"/>
    <w:rsid w:val="1D11E49C"/>
    <w:rsid w:val="1D4ADF03"/>
    <w:rsid w:val="1DC6BE80"/>
    <w:rsid w:val="1DCC114F"/>
    <w:rsid w:val="1DD2BAA5"/>
    <w:rsid w:val="1E0EDF79"/>
    <w:rsid w:val="1EC592EA"/>
    <w:rsid w:val="1F086920"/>
    <w:rsid w:val="1F0E87C8"/>
    <w:rsid w:val="1F278405"/>
    <w:rsid w:val="1F40061F"/>
    <w:rsid w:val="1F4AC9A8"/>
    <w:rsid w:val="1FA2E5DB"/>
    <w:rsid w:val="1FBFF530"/>
    <w:rsid w:val="1FC93D43"/>
    <w:rsid w:val="1FEAC11A"/>
    <w:rsid w:val="1FEF1217"/>
    <w:rsid w:val="20091D57"/>
    <w:rsid w:val="2029C851"/>
    <w:rsid w:val="2048CE2D"/>
    <w:rsid w:val="20667B8E"/>
    <w:rsid w:val="2097602D"/>
    <w:rsid w:val="20BCED68"/>
    <w:rsid w:val="20C7AB7F"/>
    <w:rsid w:val="20D431C3"/>
    <w:rsid w:val="20F15E7E"/>
    <w:rsid w:val="2120BB8F"/>
    <w:rsid w:val="213708B9"/>
    <w:rsid w:val="2155C965"/>
    <w:rsid w:val="215BC40A"/>
    <w:rsid w:val="218DC4D0"/>
    <w:rsid w:val="21970755"/>
    <w:rsid w:val="21CB39A4"/>
    <w:rsid w:val="21D373A5"/>
    <w:rsid w:val="226C3EFB"/>
    <w:rsid w:val="227594DF"/>
    <w:rsid w:val="22A61AE0"/>
    <w:rsid w:val="22B3018A"/>
    <w:rsid w:val="22C4D555"/>
    <w:rsid w:val="231ED352"/>
    <w:rsid w:val="232BFD28"/>
    <w:rsid w:val="23602A48"/>
    <w:rsid w:val="2377A594"/>
    <w:rsid w:val="23F1FA10"/>
    <w:rsid w:val="23F386B0"/>
    <w:rsid w:val="23F3E31A"/>
    <w:rsid w:val="2407031A"/>
    <w:rsid w:val="241DC466"/>
    <w:rsid w:val="2440EA2F"/>
    <w:rsid w:val="244562E9"/>
    <w:rsid w:val="245F9ECC"/>
    <w:rsid w:val="2460BE67"/>
    <w:rsid w:val="246DE8C6"/>
    <w:rsid w:val="24F7D19A"/>
    <w:rsid w:val="2514880C"/>
    <w:rsid w:val="251AA4AC"/>
    <w:rsid w:val="258A3612"/>
    <w:rsid w:val="258ACD44"/>
    <w:rsid w:val="25A6F5CB"/>
    <w:rsid w:val="260FD433"/>
    <w:rsid w:val="26525C07"/>
    <w:rsid w:val="26AA3F20"/>
    <w:rsid w:val="26C3C5F6"/>
    <w:rsid w:val="26CEBD28"/>
    <w:rsid w:val="26D73973"/>
    <w:rsid w:val="2749AAD5"/>
    <w:rsid w:val="274F4A01"/>
    <w:rsid w:val="27A097D5"/>
    <w:rsid w:val="27B768D8"/>
    <w:rsid w:val="28149ED0"/>
    <w:rsid w:val="281AB020"/>
    <w:rsid w:val="2865F382"/>
    <w:rsid w:val="2870DB8E"/>
    <w:rsid w:val="2878924D"/>
    <w:rsid w:val="2879B51A"/>
    <w:rsid w:val="287F29E2"/>
    <w:rsid w:val="288D2A17"/>
    <w:rsid w:val="29387BB1"/>
    <w:rsid w:val="2974CC39"/>
    <w:rsid w:val="2999D33C"/>
    <w:rsid w:val="29C1630E"/>
    <w:rsid w:val="29C343AE"/>
    <w:rsid w:val="29F0D52A"/>
    <w:rsid w:val="2A27587E"/>
    <w:rsid w:val="2A2A19CD"/>
    <w:rsid w:val="2A46EE41"/>
    <w:rsid w:val="2A532033"/>
    <w:rsid w:val="2A93DEBA"/>
    <w:rsid w:val="2AA82240"/>
    <w:rsid w:val="2AE95BB7"/>
    <w:rsid w:val="2B67EB3D"/>
    <w:rsid w:val="2B6E6883"/>
    <w:rsid w:val="2B788A5E"/>
    <w:rsid w:val="2B8B6075"/>
    <w:rsid w:val="2BCA071B"/>
    <w:rsid w:val="2C09FA2D"/>
    <w:rsid w:val="2C15E769"/>
    <w:rsid w:val="2C25BBD8"/>
    <w:rsid w:val="2C363179"/>
    <w:rsid w:val="2CA458D4"/>
    <w:rsid w:val="2CBF655F"/>
    <w:rsid w:val="2CD62C2C"/>
    <w:rsid w:val="2CE8B98D"/>
    <w:rsid w:val="2CFBF78B"/>
    <w:rsid w:val="2D6E5706"/>
    <w:rsid w:val="2D8202E1"/>
    <w:rsid w:val="2D88E618"/>
    <w:rsid w:val="2D999240"/>
    <w:rsid w:val="2DCC6B03"/>
    <w:rsid w:val="2DCD0ED0"/>
    <w:rsid w:val="2DD8DE17"/>
    <w:rsid w:val="2DEDDB82"/>
    <w:rsid w:val="2E14F55A"/>
    <w:rsid w:val="2E4BE1F8"/>
    <w:rsid w:val="2E4D3A87"/>
    <w:rsid w:val="2E717146"/>
    <w:rsid w:val="2EB8C8E4"/>
    <w:rsid w:val="2EB90531"/>
    <w:rsid w:val="2EBA6EB4"/>
    <w:rsid w:val="2EDEEB9F"/>
    <w:rsid w:val="2EF7A30C"/>
    <w:rsid w:val="2F0F1F96"/>
    <w:rsid w:val="2F133BBB"/>
    <w:rsid w:val="2F33184A"/>
    <w:rsid w:val="2F439AF5"/>
    <w:rsid w:val="2FB6474A"/>
    <w:rsid w:val="2FEA201E"/>
    <w:rsid w:val="2FEF023C"/>
    <w:rsid w:val="301DD1BD"/>
    <w:rsid w:val="307DB0FE"/>
    <w:rsid w:val="310BF32B"/>
    <w:rsid w:val="311633E0"/>
    <w:rsid w:val="3134B0DA"/>
    <w:rsid w:val="314227C5"/>
    <w:rsid w:val="314ABAF4"/>
    <w:rsid w:val="3176E088"/>
    <w:rsid w:val="31838B54"/>
    <w:rsid w:val="31C21D58"/>
    <w:rsid w:val="31CAACF3"/>
    <w:rsid w:val="320F9C71"/>
    <w:rsid w:val="32390CBA"/>
    <w:rsid w:val="3256D6CB"/>
    <w:rsid w:val="3257C787"/>
    <w:rsid w:val="326C0F2E"/>
    <w:rsid w:val="329477C8"/>
    <w:rsid w:val="32C290B3"/>
    <w:rsid w:val="33148F1C"/>
    <w:rsid w:val="3334D679"/>
    <w:rsid w:val="33436A98"/>
    <w:rsid w:val="3367F338"/>
    <w:rsid w:val="33B603DA"/>
    <w:rsid w:val="33E51CA6"/>
    <w:rsid w:val="340CFEE5"/>
    <w:rsid w:val="343CD970"/>
    <w:rsid w:val="34A84BCF"/>
    <w:rsid w:val="34B5EA7D"/>
    <w:rsid w:val="34BC25A7"/>
    <w:rsid w:val="34EC85F7"/>
    <w:rsid w:val="351803CC"/>
    <w:rsid w:val="353D3563"/>
    <w:rsid w:val="358EF2F9"/>
    <w:rsid w:val="35D61520"/>
    <w:rsid w:val="35EDA0FF"/>
    <w:rsid w:val="361004D5"/>
    <w:rsid w:val="3639E243"/>
    <w:rsid w:val="36EC49D0"/>
    <w:rsid w:val="370D1FDE"/>
    <w:rsid w:val="373DCC24"/>
    <w:rsid w:val="374995B0"/>
    <w:rsid w:val="37623500"/>
    <w:rsid w:val="37D66CE2"/>
    <w:rsid w:val="37F4644C"/>
    <w:rsid w:val="384623DA"/>
    <w:rsid w:val="385FEC7F"/>
    <w:rsid w:val="3877CD0B"/>
    <w:rsid w:val="388B21FD"/>
    <w:rsid w:val="39140709"/>
    <w:rsid w:val="39358119"/>
    <w:rsid w:val="39484F20"/>
    <w:rsid w:val="3953ECDB"/>
    <w:rsid w:val="39B26F48"/>
    <w:rsid w:val="39C6DC1F"/>
    <w:rsid w:val="39C736BF"/>
    <w:rsid w:val="39CABD15"/>
    <w:rsid w:val="39CE231A"/>
    <w:rsid w:val="3A33102E"/>
    <w:rsid w:val="3A6E419C"/>
    <w:rsid w:val="3A808797"/>
    <w:rsid w:val="3AAB16A1"/>
    <w:rsid w:val="3AFFE0D7"/>
    <w:rsid w:val="3B023921"/>
    <w:rsid w:val="3B029239"/>
    <w:rsid w:val="3B2E0DFF"/>
    <w:rsid w:val="3B444E45"/>
    <w:rsid w:val="3BAB5452"/>
    <w:rsid w:val="3C171E66"/>
    <w:rsid w:val="3C347F95"/>
    <w:rsid w:val="3C6C7C4A"/>
    <w:rsid w:val="3C6FD384"/>
    <w:rsid w:val="3C7E412D"/>
    <w:rsid w:val="3C9F8A09"/>
    <w:rsid w:val="3CA63BED"/>
    <w:rsid w:val="3CA6AEA2"/>
    <w:rsid w:val="3CD9AF49"/>
    <w:rsid w:val="3CF41D41"/>
    <w:rsid w:val="3D094157"/>
    <w:rsid w:val="3D463B21"/>
    <w:rsid w:val="3D6AB80F"/>
    <w:rsid w:val="3D9BA6CD"/>
    <w:rsid w:val="3DBB2EB1"/>
    <w:rsid w:val="3DC1C854"/>
    <w:rsid w:val="3DDF96F5"/>
    <w:rsid w:val="3DF263FF"/>
    <w:rsid w:val="3E83F1E4"/>
    <w:rsid w:val="3EAC7335"/>
    <w:rsid w:val="3ED120B7"/>
    <w:rsid w:val="3F15DB80"/>
    <w:rsid w:val="3F243940"/>
    <w:rsid w:val="3F42EC7C"/>
    <w:rsid w:val="3F675779"/>
    <w:rsid w:val="3FA4A58E"/>
    <w:rsid w:val="3FB9CD64"/>
    <w:rsid w:val="3FC23C21"/>
    <w:rsid w:val="3FFF3854"/>
    <w:rsid w:val="40182001"/>
    <w:rsid w:val="401A9F12"/>
    <w:rsid w:val="40281E3E"/>
    <w:rsid w:val="40413ADC"/>
    <w:rsid w:val="4094CD2F"/>
    <w:rsid w:val="40D300C3"/>
    <w:rsid w:val="40F52CF0"/>
    <w:rsid w:val="412178D8"/>
    <w:rsid w:val="413D8056"/>
    <w:rsid w:val="41408DE4"/>
    <w:rsid w:val="41E4EBEE"/>
    <w:rsid w:val="41EF33E7"/>
    <w:rsid w:val="41F1F130"/>
    <w:rsid w:val="4206C31D"/>
    <w:rsid w:val="4239FA8E"/>
    <w:rsid w:val="424D0356"/>
    <w:rsid w:val="425B4572"/>
    <w:rsid w:val="42785D1C"/>
    <w:rsid w:val="42BDD324"/>
    <w:rsid w:val="42BE1330"/>
    <w:rsid w:val="42D0EDFF"/>
    <w:rsid w:val="42E5BC4C"/>
    <w:rsid w:val="432CF29F"/>
    <w:rsid w:val="4387AFCA"/>
    <w:rsid w:val="43929105"/>
    <w:rsid w:val="4393B2AA"/>
    <w:rsid w:val="43EDF6BB"/>
    <w:rsid w:val="441EF141"/>
    <w:rsid w:val="4428275F"/>
    <w:rsid w:val="445811E6"/>
    <w:rsid w:val="44A81429"/>
    <w:rsid w:val="44C87002"/>
    <w:rsid w:val="44C9FDDD"/>
    <w:rsid w:val="45934EF1"/>
    <w:rsid w:val="45E638FD"/>
    <w:rsid w:val="461CBADB"/>
    <w:rsid w:val="46342DA0"/>
    <w:rsid w:val="464E3329"/>
    <w:rsid w:val="466DC2DE"/>
    <w:rsid w:val="4674D5B3"/>
    <w:rsid w:val="46ADC91B"/>
    <w:rsid w:val="46BD4253"/>
    <w:rsid w:val="46F1191C"/>
    <w:rsid w:val="4706F5F5"/>
    <w:rsid w:val="4730335A"/>
    <w:rsid w:val="473ABAC9"/>
    <w:rsid w:val="475C61C2"/>
    <w:rsid w:val="4770BE7C"/>
    <w:rsid w:val="47BFD2E1"/>
    <w:rsid w:val="47F4D163"/>
    <w:rsid w:val="485CF3DF"/>
    <w:rsid w:val="48E51357"/>
    <w:rsid w:val="48F9AB20"/>
    <w:rsid w:val="49315C22"/>
    <w:rsid w:val="49442BB7"/>
    <w:rsid w:val="49578F1A"/>
    <w:rsid w:val="495D6D78"/>
    <w:rsid w:val="499A3FFF"/>
    <w:rsid w:val="499CFE62"/>
    <w:rsid w:val="499ECE19"/>
    <w:rsid w:val="49ACC1EB"/>
    <w:rsid w:val="49E20071"/>
    <w:rsid w:val="49F53131"/>
    <w:rsid w:val="49FFC7BD"/>
    <w:rsid w:val="4A0B4DA2"/>
    <w:rsid w:val="4A4556F4"/>
    <w:rsid w:val="4A4EEA23"/>
    <w:rsid w:val="4A6719AE"/>
    <w:rsid w:val="4A79EAA4"/>
    <w:rsid w:val="4AA9187F"/>
    <w:rsid w:val="4AE52A9E"/>
    <w:rsid w:val="4B1AC660"/>
    <w:rsid w:val="4B4A9A3B"/>
    <w:rsid w:val="4BBC2FF5"/>
    <w:rsid w:val="4BD73FEA"/>
    <w:rsid w:val="4BDE12E8"/>
    <w:rsid w:val="4C3351B5"/>
    <w:rsid w:val="4C33FC01"/>
    <w:rsid w:val="4C593581"/>
    <w:rsid w:val="4C5E1237"/>
    <w:rsid w:val="4C75C89F"/>
    <w:rsid w:val="4C99A9C4"/>
    <w:rsid w:val="4CCF7025"/>
    <w:rsid w:val="4CD8FA8B"/>
    <w:rsid w:val="4CDBFCBE"/>
    <w:rsid w:val="4CEFD264"/>
    <w:rsid w:val="4D4399CE"/>
    <w:rsid w:val="4D6A2211"/>
    <w:rsid w:val="4D8E6EFB"/>
    <w:rsid w:val="4DABB331"/>
    <w:rsid w:val="4E1B353D"/>
    <w:rsid w:val="4E428BC4"/>
    <w:rsid w:val="4E4CAD8C"/>
    <w:rsid w:val="4E76BEB4"/>
    <w:rsid w:val="4EBA78FA"/>
    <w:rsid w:val="4EC68586"/>
    <w:rsid w:val="4EEAACBD"/>
    <w:rsid w:val="4F101D84"/>
    <w:rsid w:val="4F6183C4"/>
    <w:rsid w:val="4FE39CF7"/>
    <w:rsid w:val="50394953"/>
    <w:rsid w:val="50414D2D"/>
    <w:rsid w:val="508C33C0"/>
    <w:rsid w:val="50CF34D1"/>
    <w:rsid w:val="511EE900"/>
    <w:rsid w:val="513C6D8F"/>
    <w:rsid w:val="5183B518"/>
    <w:rsid w:val="519D3E74"/>
    <w:rsid w:val="51A5D0DB"/>
    <w:rsid w:val="51A62921"/>
    <w:rsid w:val="51C88483"/>
    <w:rsid w:val="51D0695D"/>
    <w:rsid w:val="51F5F5E9"/>
    <w:rsid w:val="5206BDA1"/>
    <w:rsid w:val="52534344"/>
    <w:rsid w:val="52892A65"/>
    <w:rsid w:val="529C47BE"/>
    <w:rsid w:val="52E17352"/>
    <w:rsid w:val="52E70967"/>
    <w:rsid w:val="52F38E46"/>
    <w:rsid w:val="53054E29"/>
    <w:rsid w:val="5354D7BC"/>
    <w:rsid w:val="536DFB2B"/>
    <w:rsid w:val="5377808E"/>
    <w:rsid w:val="537D664E"/>
    <w:rsid w:val="539C77AA"/>
    <w:rsid w:val="53A6ED35"/>
    <w:rsid w:val="53BF6C63"/>
    <w:rsid w:val="53F6FE66"/>
    <w:rsid w:val="5472C413"/>
    <w:rsid w:val="54930807"/>
    <w:rsid w:val="549B52BC"/>
    <w:rsid w:val="54F21FDB"/>
    <w:rsid w:val="551A9AC7"/>
    <w:rsid w:val="55565B5A"/>
    <w:rsid w:val="555F807F"/>
    <w:rsid w:val="55753B03"/>
    <w:rsid w:val="55C19FF8"/>
    <w:rsid w:val="55D43116"/>
    <w:rsid w:val="55FB22DA"/>
    <w:rsid w:val="56124F67"/>
    <w:rsid w:val="56128569"/>
    <w:rsid w:val="569E1984"/>
    <w:rsid w:val="56A50BEE"/>
    <w:rsid w:val="56AF6DCB"/>
    <w:rsid w:val="56F6CA70"/>
    <w:rsid w:val="57073D7B"/>
    <w:rsid w:val="572768AA"/>
    <w:rsid w:val="576C4B60"/>
    <w:rsid w:val="5780DEEC"/>
    <w:rsid w:val="57D8E03B"/>
    <w:rsid w:val="57E27CEC"/>
    <w:rsid w:val="57EBCF68"/>
    <w:rsid w:val="57F861BE"/>
    <w:rsid w:val="5815E9B5"/>
    <w:rsid w:val="585BB0DA"/>
    <w:rsid w:val="5863E881"/>
    <w:rsid w:val="5867241C"/>
    <w:rsid w:val="587F608B"/>
    <w:rsid w:val="587FE498"/>
    <w:rsid w:val="58961751"/>
    <w:rsid w:val="58B5C6A5"/>
    <w:rsid w:val="58D4C269"/>
    <w:rsid w:val="58F25E14"/>
    <w:rsid w:val="59425B6C"/>
    <w:rsid w:val="5953146E"/>
    <w:rsid w:val="59675430"/>
    <w:rsid w:val="5AEC22FF"/>
    <w:rsid w:val="5B2B5C6A"/>
    <w:rsid w:val="5B3448B6"/>
    <w:rsid w:val="5B4A0A1B"/>
    <w:rsid w:val="5B6F2E56"/>
    <w:rsid w:val="5B725FBB"/>
    <w:rsid w:val="5BC73E83"/>
    <w:rsid w:val="5BFB40C7"/>
    <w:rsid w:val="5C23E9A3"/>
    <w:rsid w:val="5C5CAF9E"/>
    <w:rsid w:val="5C5E2259"/>
    <w:rsid w:val="5C7940EB"/>
    <w:rsid w:val="5CF0F894"/>
    <w:rsid w:val="5D160450"/>
    <w:rsid w:val="5D3BE084"/>
    <w:rsid w:val="5D4EAAAC"/>
    <w:rsid w:val="5D523F04"/>
    <w:rsid w:val="5DD7026D"/>
    <w:rsid w:val="5E635FE0"/>
    <w:rsid w:val="5E857A8D"/>
    <w:rsid w:val="5ED71A99"/>
    <w:rsid w:val="5EE9541B"/>
    <w:rsid w:val="5F109914"/>
    <w:rsid w:val="5F1615B0"/>
    <w:rsid w:val="5F276CA3"/>
    <w:rsid w:val="5F46CC22"/>
    <w:rsid w:val="5FB0433E"/>
    <w:rsid w:val="5FBB3634"/>
    <w:rsid w:val="5FFD9743"/>
    <w:rsid w:val="6015844F"/>
    <w:rsid w:val="6035DA7A"/>
    <w:rsid w:val="6052F999"/>
    <w:rsid w:val="605AAB3B"/>
    <w:rsid w:val="60724A28"/>
    <w:rsid w:val="60943C72"/>
    <w:rsid w:val="610D1A1E"/>
    <w:rsid w:val="6157B66A"/>
    <w:rsid w:val="6160CD42"/>
    <w:rsid w:val="6174CD64"/>
    <w:rsid w:val="6190E42F"/>
    <w:rsid w:val="619C2499"/>
    <w:rsid w:val="61A8C133"/>
    <w:rsid w:val="61B85B8E"/>
    <w:rsid w:val="61C2A713"/>
    <w:rsid w:val="61D4E8C9"/>
    <w:rsid w:val="62A8404C"/>
    <w:rsid w:val="62B19A67"/>
    <w:rsid w:val="6313D9EB"/>
    <w:rsid w:val="631934CA"/>
    <w:rsid w:val="63715AAC"/>
    <w:rsid w:val="63792CD0"/>
    <w:rsid w:val="63AE3129"/>
    <w:rsid w:val="63BBF13F"/>
    <w:rsid w:val="63BE54CA"/>
    <w:rsid w:val="63D34F66"/>
    <w:rsid w:val="63E9D1EF"/>
    <w:rsid w:val="6432460D"/>
    <w:rsid w:val="645B44D3"/>
    <w:rsid w:val="6464EC07"/>
    <w:rsid w:val="64837267"/>
    <w:rsid w:val="648789E1"/>
    <w:rsid w:val="64BF1714"/>
    <w:rsid w:val="64C44BFE"/>
    <w:rsid w:val="64D263FC"/>
    <w:rsid w:val="6523B3E0"/>
    <w:rsid w:val="65345DC7"/>
    <w:rsid w:val="6550DC0F"/>
    <w:rsid w:val="65A7158A"/>
    <w:rsid w:val="65B58143"/>
    <w:rsid w:val="65BC402E"/>
    <w:rsid w:val="65D0FC8B"/>
    <w:rsid w:val="66370D83"/>
    <w:rsid w:val="66375EEF"/>
    <w:rsid w:val="663B484D"/>
    <w:rsid w:val="66452629"/>
    <w:rsid w:val="666F9B02"/>
    <w:rsid w:val="667AAE43"/>
    <w:rsid w:val="67E7F3A0"/>
    <w:rsid w:val="67E9CB50"/>
    <w:rsid w:val="68332644"/>
    <w:rsid w:val="685067C5"/>
    <w:rsid w:val="6886C127"/>
    <w:rsid w:val="688C70E0"/>
    <w:rsid w:val="6896462B"/>
    <w:rsid w:val="68EEBBE5"/>
    <w:rsid w:val="696684C5"/>
    <w:rsid w:val="69A41D5D"/>
    <w:rsid w:val="69EF96AE"/>
    <w:rsid w:val="6A4C2F76"/>
    <w:rsid w:val="6A51B0E7"/>
    <w:rsid w:val="6A559942"/>
    <w:rsid w:val="6A60B8EC"/>
    <w:rsid w:val="6A6CD991"/>
    <w:rsid w:val="6A6FC2FF"/>
    <w:rsid w:val="6A737EE1"/>
    <w:rsid w:val="6AB70DEA"/>
    <w:rsid w:val="6AE3DDA7"/>
    <w:rsid w:val="6AE4ACA3"/>
    <w:rsid w:val="6B39B669"/>
    <w:rsid w:val="6B3D7C6E"/>
    <w:rsid w:val="6B46F5B5"/>
    <w:rsid w:val="6B8B83DD"/>
    <w:rsid w:val="6B8C9E34"/>
    <w:rsid w:val="6BB35B5E"/>
    <w:rsid w:val="6C86F938"/>
    <w:rsid w:val="6CAE6E63"/>
    <w:rsid w:val="6D0CEA19"/>
    <w:rsid w:val="6D1D8799"/>
    <w:rsid w:val="6D60DA36"/>
    <w:rsid w:val="6D6174A3"/>
    <w:rsid w:val="6DF541C1"/>
    <w:rsid w:val="6E35AA15"/>
    <w:rsid w:val="6E6BB8FA"/>
    <w:rsid w:val="6E7279B3"/>
    <w:rsid w:val="6E87CEF8"/>
    <w:rsid w:val="6EB0B672"/>
    <w:rsid w:val="6EB266B0"/>
    <w:rsid w:val="6EE35ABD"/>
    <w:rsid w:val="6EF70A62"/>
    <w:rsid w:val="6F1DD511"/>
    <w:rsid w:val="6F37BDB7"/>
    <w:rsid w:val="6F57D2F6"/>
    <w:rsid w:val="6F6CF593"/>
    <w:rsid w:val="6F86872A"/>
    <w:rsid w:val="6F8D7E83"/>
    <w:rsid w:val="6FA28B71"/>
    <w:rsid w:val="7015C4DC"/>
    <w:rsid w:val="70466717"/>
    <w:rsid w:val="7059C441"/>
    <w:rsid w:val="707A3A85"/>
    <w:rsid w:val="708A1354"/>
    <w:rsid w:val="70AF9A06"/>
    <w:rsid w:val="70B1E6D8"/>
    <w:rsid w:val="70D0C4EC"/>
    <w:rsid w:val="713064FA"/>
    <w:rsid w:val="713B9F6D"/>
    <w:rsid w:val="719E400B"/>
    <w:rsid w:val="71A0E25B"/>
    <w:rsid w:val="71B584F6"/>
    <w:rsid w:val="71BBD2DF"/>
    <w:rsid w:val="71C8FB37"/>
    <w:rsid w:val="71E2E32C"/>
    <w:rsid w:val="722BB057"/>
    <w:rsid w:val="72B62C06"/>
    <w:rsid w:val="72E599F7"/>
    <w:rsid w:val="72F3C4F5"/>
    <w:rsid w:val="7319C1A1"/>
    <w:rsid w:val="732264BD"/>
    <w:rsid w:val="732BBF33"/>
    <w:rsid w:val="732F746A"/>
    <w:rsid w:val="735B9047"/>
    <w:rsid w:val="7372FD31"/>
    <w:rsid w:val="7410EA71"/>
    <w:rsid w:val="742D78F4"/>
    <w:rsid w:val="748B0DBD"/>
    <w:rsid w:val="74C20271"/>
    <w:rsid w:val="74D38EE4"/>
    <w:rsid w:val="751DF6D4"/>
    <w:rsid w:val="75620493"/>
    <w:rsid w:val="7566BC20"/>
    <w:rsid w:val="758D040F"/>
    <w:rsid w:val="75A333C8"/>
    <w:rsid w:val="75D0BE2C"/>
    <w:rsid w:val="75D28B24"/>
    <w:rsid w:val="75D7665E"/>
    <w:rsid w:val="7607E9B2"/>
    <w:rsid w:val="761F16EA"/>
    <w:rsid w:val="7647114A"/>
    <w:rsid w:val="76595F76"/>
    <w:rsid w:val="7681B0B9"/>
    <w:rsid w:val="7688CF86"/>
    <w:rsid w:val="76BE4885"/>
    <w:rsid w:val="76F06CAC"/>
    <w:rsid w:val="770869F1"/>
    <w:rsid w:val="772AD75E"/>
    <w:rsid w:val="77383406"/>
    <w:rsid w:val="773B7DCC"/>
    <w:rsid w:val="77648292"/>
    <w:rsid w:val="776D09C4"/>
    <w:rsid w:val="77710110"/>
    <w:rsid w:val="77A46560"/>
    <w:rsid w:val="77A6B89F"/>
    <w:rsid w:val="77B389D5"/>
    <w:rsid w:val="782AD191"/>
    <w:rsid w:val="786F1FD4"/>
    <w:rsid w:val="78B8E9CE"/>
    <w:rsid w:val="78C5F377"/>
    <w:rsid w:val="78D41101"/>
    <w:rsid w:val="791CBE51"/>
    <w:rsid w:val="7928D876"/>
    <w:rsid w:val="793689D8"/>
    <w:rsid w:val="79A66444"/>
    <w:rsid w:val="79CC65AB"/>
    <w:rsid w:val="79FF49DE"/>
    <w:rsid w:val="7A1FCF47"/>
    <w:rsid w:val="7A81B36B"/>
    <w:rsid w:val="7AB57B80"/>
    <w:rsid w:val="7AB9480B"/>
    <w:rsid w:val="7AB99293"/>
    <w:rsid w:val="7ABA4869"/>
    <w:rsid w:val="7B262C7B"/>
    <w:rsid w:val="7BBE40FC"/>
    <w:rsid w:val="7C0E9877"/>
    <w:rsid w:val="7C2E0AB8"/>
    <w:rsid w:val="7CEC4890"/>
    <w:rsid w:val="7CF5990E"/>
    <w:rsid w:val="7D6D5EDC"/>
    <w:rsid w:val="7D739D52"/>
    <w:rsid w:val="7D75C93F"/>
    <w:rsid w:val="7DB29CBC"/>
    <w:rsid w:val="7DFD55B2"/>
    <w:rsid w:val="7E01D456"/>
    <w:rsid w:val="7E02B8AC"/>
    <w:rsid w:val="7E032157"/>
    <w:rsid w:val="7E03D246"/>
    <w:rsid w:val="7E27A0C9"/>
    <w:rsid w:val="7EC16CD8"/>
    <w:rsid w:val="7F04EE14"/>
    <w:rsid w:val="7F0933C7"/>
    <w:rsid w:val="7F2AC320"/>
    <w:rsid w:val="7F5444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4215D"/>
  <w14:defaultImageDpi w14:val="330"/>
  <w15:chartTrackingRefBased/>
  <w15:docId w15:val="{509090AE-1C05-467A-9B32-7B867B80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35"/>
    <w:pPr>
      <w:spacing w:after="120"/>
    </w:pPr>
    <w:rPr>
      <w:sz w:val="22"/>
    </w:rPr>
  </w:style>
  <w:style w:type="paragraph" w:styleId="Heading1">
    <w:name w:val="heading 1"/>
    <w:basedOn w:val="Normal"/>
    <w:next w:val="Normal"/>
    <w:link w:val="Heading1Char"/>
    <w:uiPriority w:val="2"/>
    <w:qFormat/>
    <w:rsid w:val="00285CAF"/>
    <w:pPr>
      <w:keepNext/>
      <w:keepLines/>
      <w:spacing w:before="360" w:line="240" w:lineRule="auto"/>
      <w:outlineLvl w:val="0"/>
    </w:pPr>
    <w:rPr>
      <w:rFonts w:asciiTheme="majorHAnsi" w:eastAsiaTheme="majorEastAsia" w:hAnsiTheme="majorHAnsi" w:cstheme="majorBidi"/>
      <w:color w:val="1B375C" w:themeColor="accent1"/>
      <w:sz w:val="40"/>
      <w:szCs w:val="40"/>
    </w:rPr>
  </w:style>
  <w:style w:type="paragraph" w:styleId="Heading2">
    <w:name w:val="heading 2"/>
    <w:basedOn w:val="Normal"/>
    <w:next w:val="Normal"/>
    <w:link w:val="Heading2Char"/>
    <w:uiPriority w:val="2"/>
    <w:qFormat/>
    <w:rsid w:val="00117A77"/>
    <w:pPr>
      <w:keepNext/>
      <w:keepLines/>
      <w:spacing w:before="240" w:line="240" w:lineRule="auto"/>
      <w:outlineLvl w:val="1"/>
    </w:pPr>
    <w:rPr>
      <w:rFonts w:asciiTheme="majorHAnsi" w:eastAsiaTheme="majorEastAsia" w:hAnsiTheme="majorHAnsi" w:cstheme="majorBidi"/>
      <w:color w:val="1B375C" w:themeColor="accent1"/>
      <w:sz w:val="32"/>
      <w:szCs w:val="28"/>
    </w:rPr>
  </w:style>
  <w:style w:type="paragraph" w:styleId="Heading3">
    <w:name w:val="heading 3"/>
    <w:basedOn w:val="Heading4"/>
    <w:next w:val="Normal"/>
    <w:link w:val="Heading3Char"/>
    <w:uiPriority w:val="2"/>
    <w:qFormat/>
    <w:rsid w:val="00FE2C7F"/>
    <w:pPr>
      <w:outlineLvl w:val="2"/>
    </w:pPr>
    <w:rPr>
      <w:color w:val="1B375C" w:themeColor="accent1"/>
      <w:sz w:val="26"/>
    </w:rPr>
  </w:style>
  <w:style w:type="paragraph" w:styleId="Heading4">
    <w:name w:val="heading 4"/>
    <w:basedOn w:val="Normal"/>
    <w:next w:val="Normal"/>
    <w:link w:val="Heading4Char"/>
    <w:uiPriority w:val="2"/>
    <w:qFormat/>
    <w:rsid w:val="006200EB"/>
    <w:pPr>
      <w:keepNext/>
      <w:keepLines/>
      <w:spacing w:before="240"/>
      <w:outlineLvl w:val="3"/>
    </w:pPr>
    <w:rPr>
      <w:rFonts w:asciiTheme="majorHAnsi" w:eastAsiaTheme="majorEastAsia" w:hAnsiTheme="majorHAnsi" w:cstheme="majorBidi"/>
      <w:color w:val="3266AB"/>
      <w:szCs w:val="22"/>
    </w:rPr>
  </w:style>
  <w:style w:type="paragraph" w:styleId="Heading5">
    <w:name w:val="heading 5"/>
    <w:basedOn w:val="Normal"/>
    <w:next w:val="Normal"/>
    <w:link w:val="Heading5Char"/>
    <w:uiPriority w:val="2"/>
    <w:unhideWhenUsed/>
    <w:rsid w:val="006200EB"/>
    <w:pPr>
      <w:keepNext/>
      <w:keepLines/>
      <w:spacing w:before="240"/>
      <w:outlineLvl w:val="4"/>
    </w:pPr>
    <w:rPr>
      <w:rFonts w:asciiTheme="majorHAnsi" w:eastAsiaTheme="majorEastAsia" w:hAnsiTheme="majorHAnsi" w:cstheme="majorBidi"/>
      <w: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12C83"/>
    <w:rPr>
      <w:rFonts w:asciiTheme="majorHAnsi" w:eastAsiaTheme="majorEastAsia" w:hAnsiTheme="majorHAnsi" w:cstheme="majorBidi"/>
      <w:color w:val="1B375C" w:themeColor="accent1"/>
      <w:sz w:val="40"/>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A12C83"/>
    <w:rPr>
      <w:rFonts w:asciiTheme="majorHAnsi" w:eastAsiaTheme="majorEastAsia" w:hAnsiTheme="majorHAnsi" w:cstheme="majorBidi"/>
      <w:color w:val="1B375C" w:themeColor="accent1"/>
      <w:sz w:val="32"/>
      <w:szCs w:val="28"/>
    </w:rPr>
  </w:style>
  <w:style w:type="character" w:customStyle="1" w:styleId="Heading3Char">
    <w:name w:val="Heading 3 Char"/>
    <w:basedOn w:val="DefaultParagraphFont"/>
    <w:link w:val="Heading3"/>
    <w:uiPriority w:val="2"/>
    <w:rsid w:val="00A12C83"/>
    <w:rPr>
      <w:rFonts w:asciiTheme="majorHAnsi" w:eastAsiaTheme="majorEastAsia" w:hAnsiTheme="majorHAnsi" w:cstheme="majorBidi"/>
      <w:color w:val="1B375C" w:themeColor="accent1"/>
      <w:sz w:val="26"/>
      <w:szCs w:val="22"/>
    </w:rPr>
  </w:style>
  <w:style w:type="character" w:customStyle="1" w:styleId="Heading4Char">
    <w:name w:val="Heading 4 Char"/>
    <w:basedOn w:val="DefaultParagraphFont"/>
    <w:link w:val="Heading4"/>
    <w:uiPriority w:val="2"/>
    <w:rsid w:val="006200EB"/>
    <w:rPr>
      <w:rFonts w:asciiTheme="majorHAnsi" w:eastAsiaTheme="majorEastAsia" w:hAnsiTheme="majorHAnsi" w:cstheme="majorBidi"/>
      <w:color w:val="3266AB"/>
      <w:sz w:val="22"/>
      <w:szCs w:val="22"/>
    </w:rPr>
  </w:style>
  <w:style w:type="character" w:customStyle="1" w:styleId="Heading5Char">
    <w:name w:val="Heading 5 Char"/>
    <w:basedOn w:val="DefaultParagraphFont"/>
    <w:link w:val="Heading5"/>
    <w:uiPriority w:val="2"/>
    <w:rsid w:val="006200EB"/>
    <w:rPr>
      <w:rFonts w:asciiTheme="majorHAnsi" w:eastAsiaTheme="majorEastAsia" w:hAnsiTheme="majorHAnsi" w:cstheme="majorBidi"/>
      <w: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0743FF"/>
    <w:pPr>
      <w:spacing w:line="240" w:lineRule="auto"/>
    </w:pPr>
    <w:rPr>
      <w:rFonts w:ascii="Segoe UI" w:hAnsi="Segoe UI"/>
      <w:bCs/>
      <w:color w:val="3266AB"/>
    </w:rPr>
  </w:style>
  <w:style w:type="character" w:styleId="Strong">
    <w:name w:val="Strong"/>
    <w:basedOn w:val="DefaultParagraphFont"/>
    <w:uiPriority w:val="22"/>
    <w:unhideWhenUsed/>
    <w:qFormat/>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6200EB"/>
    <w:pPr>
      <w:spacing w:before="240"/>
      <w:ind w:left="720" w:right="720"/>
    </w:pPr>
    <w:rPr>
      <w:i/>
      <w:iCs/>
      <w:noProof/>
      <w:color w:val="3266AB"/>
    </w:rPr>
  </w:style>
  <w:style w:type="character" w:customStyle="1" w:styleId="QuoteChar">
    <w:name w:val="Quote Char"/>
    <w:basedOn w:val="DefaultParagraphFont"/>
    <w:link w:val="Quote"/>
    <w:uiPriority w:val="16"/>
    <w:rsid w:val="006200EB"/>
    <w:rPr>
      <w:i/>
      <w:iCs/>
      <w:noProof/>
      <w:color w:val="3266AB"/>
      <w:sz w:val="22"/>
    </w:rPr>
  </w:style>
  <w:style w:type="paragraph" w:styleId="IntenseQuote">
    <w:name w:val="Intense Quote"/>
    <w:basedOn w:val="Normal"/>
    <w:next w:val="Normal"/>
    <w:link w:val="IntenseQuoteChar"/>
    <w:uiPriority w:val="17"/>
    <w:qFormat/>
    <w:rsid w:val="006200EB"/>
    <w:pPr>
      <w:spacing w:before="120" w:line="264" w:lineRule="auto"/>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6200EB"/>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semiHidden/>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C7A05"/>
    <w:pPr>
      <w:jc w:val="center"/>
    </w:pPr>
    <w:rPr>
      <w:rFonts w:ascii="Segoe UI" w:hAnsi="Segoe UI"/>
      <w:caps/>
      <w:color w:val="C00000"/>
      <w:sz w:val="18"/>
    </w:rPr>
  </w:style>
  <w:style w:type="paragraph" w:customStyle="1" w:styleId="BOXHeading2">
    <w:name w:val="BOX Heading 2"/>
    <w:basedOn w:val="Heading2"/>
    <w:next w:val="BOXText"/>
    <w:uiPriority w:val="6"/>
    <w:qFormat/>
    <w:rsid w:val="004C17DE"/>
    <w:pPr>
      <w:pBdr>
        <w:top w:val="single" w:sz="48" w:space="1" w:color="E0E8F2"/>
        <w:left w:val="single" w:sz="48" w:space="4" w:color="E0E8F2"/>
        <w:bottom w:val="single" w:sz="48" w:space="1" w:color="E0E8F2"/>
        <w:right w:val="single" w:sz="48" w:space="4" w:color="E0E8F2"/>
      </w:pBdr>
      <w:shd w:val="clear" w:color="auto" w:fill="E0E8F2"/>
      <w:ind w:left="227" w:right="227"/>
    </w:pPr>
    <w:rPr>
      <w:noProof/>
    </w:rPr>
  </w:style>
  <w:style w:type="character" w:customStyle="1" w:styleId="CLASSIFICATIONChar">
    <w:name w:val="CLASSIFICATION Char"/>
    <w:basedOn w:val="DefaultParagraphFont"/>
    <w:link w:val="CLASSIFICATION"/>
    <w:uiPriority w:val="99"/>
    <w:rsid w:val="00E2753F"/>
    <w:rPr>
      <w:rFonts w:ascii="Segoe UI" w:hAnsi="Segoe UI"/>
      <w:caps/>
      <w:color w:val="C00000"/>
      <w:sz w:val="18"/>
    </w:rPr>
  </w:style>
  <w:style w:type="paragraph" w:customStyle="1" w:styleId="BOXText">
    <w:name w:val="BOX Text"/>
    <w:basedOn w:val="Normal"/>
    <w:uiPriority w:val="4"/>
    <w:qFormat/>
    <w:rsid w:val="004C17DE"/>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rPr>
      <w:noProof/>
    </w:rPr>
  </w:style>
  <w:style w:type="paragraph" w:customStyle="1" w:styleId="BOXBulletedList">
    <w:name w:val="BOX Bulleted List"/>
    <w:basedOn w:val="BOXText"/>
    <w:uiPriority w:val="5"/>
    <w:qFormat/>
    <w:rsid w:val="00FE2C7F"/>
    <w:pPr>
      <w:numPr>
        <w:numId w:val="3"/>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paragraph" w:customStyle="1" w:styleId="Figure">
    <w:name w:val="Figure"/>
    <w:basedOn w:val="Normal"/>
    <w:autoRedefine/>
    <w:uiPriority w:val="2"/>
    <w:qFormat/>
    <w:rsid w:val="00DE58B2"/>
    <w:pPr>
      <w:numPr>
        <w:numId w:val="8"/>
      </w:numPr>
      <w:spacing w:before="240"/>
      <w:ind w:left="567"/>
    </w:pPr>
    <w:rPr>
      <w:rFonts w:asciiTheme="majorHAnsi" w:eastAsiaTheme="majorEastAsia" w:hAnsiTheme="majorHAnsi" w:cstheme="majorBidi"/>
      <w:noProof/>
      <w:color w:val="3266AB"/>
      <w:sz w:val="32"/>
      <w:szCs w:val="28"/>
    </w:rPr>
  </w:style>
  <w:style w:type="paragraph" w:customStyle="1" w:styleId="TBLHeading">
    <w:name w:val="TBL Heading"/>
    <w:basedOn w:val="Normal"/>
    <w:autoRedefine/>
    <w:uiPriority w:val="11"/>
    <w:qFormat/>
    <w:rsid w:val="007B5859"/>
    <w:pPr>
      <w:spacing w:line="240" w:lineRule="auto"/>
      <w:jc w:val="center"/>
    </w:pPr>
    <w:rPr>
      <w:rFonts w:ascii="Segoe UI" w:hAnsi="Segoe UI" w:cs="Segoe UI"/>
      <w:noProof/>
      <w:color w:val="FFFFFF" w:themeColor="background1"/>
      <w:sz w:val="18"/>
    </w:rPr>
  </w:style>
  <w:style w:type="paragraph" w:customStyle="1" w:styleId="TBLText">
    <w:name w:val="TBL Text"/>
    <w:basedOn w:val="Normal"/>
    <w:uiPriority w:val="9"/>
    <w:qFormat/>
    <w:rsid w:val="006E170D"/>
    <w:pPr>
      <w:spacing w:line="240" w:lineRule="auto"/>
    </w:pPr>
    <w:rPr>
      <w:noProof/>
      <w:sz w:val="18"/>
      <w:szCs w:val="18"/>
    </w:rPr>
  </w:style>
  <w:style w:type="paragraph" w:customStyle="1" w:styleId="TBLBulletedList">
    <w:name w:val="TBL Bulleted List"/>
    <w:basedOn w:val="TBLText"/>
    <w:uiPriority w:val="10"/>
    <w:qFormat/>
    <w:rsid w:val="00374D2A"/>
    <w:pPr>
      <w:numPr>
        <w:numId w:val="4"/>
      </w:numPr>
      <w:ind w:left="357" w:hanging="357"/>
    </w:pPr>
  </w:style>
  <w:style w:type="paragraph" w:customStyle="1" w:styleId="TBLNumberedList">
    <w:name w:val="TBL Numbered List"/>
    <w:basedOn w:val="TBLText"/>
    <w:uiPriority w:val="10"/>
    <w:qFormat/>
    <w:rsid w:val="00374D2A"/>
    <w:pPr>
      <w:numPr>
        <w:numId w:val="5"/>
      </w:numPr>
      <w:ind w:left="357" w:hanging="357"/>
    </w:pPr>
  </w:style>
  <w:style w:type="paragraph" w:customStyle="1" w:styleId="BOXHeading3">
    <w:name w:val="BOX Heading 3"/>
    <w:basedOn w:val="BOXHeading2"/>
    <w:next w:val="BOXText"/>
    <w:uiPriority w:val="6"/>
    <w:qFormat/>
    <w:rsid w:val="00FE2C7F"/>
    <w:pPr>
      <w:outlineLvl w:val="2"/>
    </w:pPr>
    <w:rPr>
      <w:sz w:val="26"/>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962EE8"/>
    <w:pPr>
      <w:numPr>
        <w:numId w:val="6"/>
      </w:numPr>
      <w:ind w:left="568" w:hanging="284"/>
    </w:pPr>
  </w:style>
  <w:style w:type="paragraph" w:customStyle="1" w:styleId="BulletedList-Level2">
    <w:name w:val="Bulleted List - Level 2"/>
    <w:basedOn w:val="BulletedList-Level1"/>
    <w:uiPriority w:val="1"/>
    <w:qFormat/>
    <w:rsid w:val="00962EE8"/>
    <w:pPr>
      <w:numPr>
        <w:numId w:val="11"/>
      </w:numPr>
    </w:pPr>
  </w:style>
  <w:style w:type="paragraph" w:customStyle="1" w:styleId="BulletedList-Level3">
    <w:name w:val="Bulleted List - Level 3"/>
    <w:basedOn w:val="ListParagraph"/>
    <w:uiPriority w:val="1"/>
    <w:qFormat/>
    <w:rsid w:val="00962EE8"/>
    <w:pPr>
      <w:numPr>
        <w:numId w:val="12"/>
      </w:numPr>
      <w:ind w:left="1135" w:hanging="284"/>
    </w:pPr>
  </w:style>
  <w:style w:type="paragraph" w:customStyle="1" w:styleId="NumberedList-Level1">
    <w:name w:val="Numbered List - Level 1"/>
    <w:basedOn w:val="ListParagraph"/>
    <w:uiPriority w:val="1"/>
    <w:qFormat/>
    <w:rsid w:val="00962EE8"/>
    <w:pPr>
      <w:numPr>
        <w:numId w:val="7"/>
      </w:numPr>
      <w:ind w:left="568" w:hanging="284"/>
    </w:pPr>
  </w:style>
  <w:style w:type="paragraph" w:customStyle="1" w:styleId="NumberedList-level2">
    <w:name w:val="Numbered List - level 2"/>
    <w:basedOn w:val="ListParagraph"/>
    <w:uiPriority w:val="1"/>
    <w:qFormat/>
    <w:rsid w:val="00962EE8"/>
    <w:pPr>
      <w:numPr>
        <w:ilvl w:val="1"/>
        <w:numId w:val="7"/>
      </w:numPr>
    </w:pPr>
  </w:style>
  <w:style w:type="paragraph" w:customStyle="1" w:styleId="NumberedList-Level3">
    <w:name w:val="Numbered List - Level 3"/>
    <w:basedOn w:val="ListParagraph"/>
    <w:uiPriority w:val="1"/>
    <w:qFormat/>
    <w:rsid w:val="00962EE8"/>
    <w:pPr>
      <w:numPr>
        <w:ilvl w:val="2"/>
        <w:numId w:val="7"/>
      </w:numPr>
    </w:pPr>
  </w:style>
  <w:style w:type="paragraph" w:customStyle="1" w:styleId="BoxDark-HeadingLevel1">
    <w:name w:val="Box Dark - Heading Level 1"/>
    <w:basedOn w:val="BOXHeading2"/>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DB7717"/>
    <w:pPr>
      <w:tabs>
        <w:tab w:val="right" w:leader="dot" w:pos="9968"/>
      </w:tabs>
      <w:spacing w:after="100"/>
      <w:ind w:left="220"/>
    </w:pPr>
  </w:style>
  <w:style w:type="paragraph" w:styleId="TOC3">
    <w:name w:val="toc 3"/>
    <w:basedOn w:val="Normal"/>
    <w:next w:val="Normal"/>
    <w:autoRedefine/>
    <w:uiPriority w:val="39"/>
    <w:unhideWhenUsed/>
    <w:rsid w:val="00DB7717"/>
    <w:pPr>
      <w:tabs>
        <w:tab w:val="right" w:leader="dot" w:pos="9968"/>
      </w:tabs>
      <w:spacing w:after="100"/>
      <w:ind w:left="440"/>
    </w:pPr>
  </w:style>
  <w:style w:type="character" w:styleId="Hyperlink">
    <w:name w:val="Hyperlink"/>
    <w:basedOn w:val="DefaultParagraphFont"/>
    <w:uiPriority w:val="99"/>
    <w:unhideWhenUsed/>
    <w:rsid w:val="00117A77"/>
    <w:rPr>
      <w:color w:val="3266AB" w:themeColor="hyperlink"/>
      <w:u w:val="single"/>
    </w:rPr>
  </w:style>
  <w:style w:type="paragraph" w:customStyle="1" w:styleId="BoxDark-HeadingLevel3">
    <w:name w:val="Box Dark - Heading Level 3"/>
    <w:basedOn w:val="BOXHeading3"/>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customStyle="1" w:styleId="BoxDark-Text">
    <w:name w:val="Box Dark - Text"/>
    <w:basedOn w:val="BOXText"/>
    <w:uiPriority w:val="7"/>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rPr>
  </w:style>
  <w:style w:type="paragraph" w:customStyle="1" w:styleId="BOXNumberedList">
    <w:name w:val="BOX Numbered List"/>
    <w:basedOn w:val="BOXText"/>
    <w:uiPriority w:val="5"/>
    <w:qFormat/>
    <w:rsid w:val="00FE2C7F"/>
    <w:pPr>
      <w:numPr>
        <w:numId w:val="9"/>
      </w:numPr>
      <w:ind w:left="584" w:hanging="357"/>
    </w:pPr>
  </w:style>
  <w:style w:type="paragraph" w:customStyle="1" w:styleId="BoxDark-NumberedList">
    <w:name w:val="Box Dark - Numbered List"/>
    <w:basedOn w:val="BOXNumberedList"/>
    <w:uiPriority w:val="8"/>
    <w:rsid w:val="00FE2C7F"/>
    <w:pPr>
      <w:numPr>
        <w:numId w:val="10"/>
      </w:num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ind w:left="584" w:hanging="357"/>
    </w:pPr>
  </w:style>
  <w:style w:type="paragraph" w:customStyle="1" w:styleId="BodyText1">
    <w:name w:val="Body Text1"/>
    <w:basedOn w:val="Normal"/>
    <w:rsid w:val="00D03322"/>
    <w:pPr>
      <w:spacing w:after="200" w:line="260" w:lineRule="exact"/>
    </w:pPr>
    <w:rPr>
      <w:rFonts w:ascii="Arial" w:eastAsia="Times New Roman" w:hAnsi="Arial" w:cs="Times New Roman"/>
      <w:szCs w:val="24"/>
    </w:rPr>
  </w:style>
  <w:style w:type="paragraph" w:customStyle="1" w:styleId="Sourcenotetext">
    <w:name w:val="Source/note text"/>
    <w:qFormat/>
    <w:rsid w:val="00B05528"/>
    <w:pPr>
      <w:spacing w:before="85" w:after="85" w:line="240" w:lineRule="auto"/>
    </w:pPr>
    <w:rPr>
      <w:rFonts w:ascii="Arial" w:eastAsia="Times New Roman" w:hAnsi="Arial" w:cs="Arial"/>
      <w:i/>
      <w:sz w:val="12"/>
      <w:szCs w:val="12"/>
    </w:rPr>
  </w:style>
  <w:style w:type="paragraph" w:styleId="NormalWeb">
    <w:name w:val="Normal (Web)"/>
    <w:basedOn w:val="Normal"/>
    <w:uiPriority w:val="99"/>
    <w:semiHidden/>
    <w:unhideWhenUsed/>
    <w:rsid w:val="00A239D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ield">
    <w:name w:val="field"/>
    <w:basedOn w:val="DefaultParagraphFont"/>
    <w:rsid w:val="00A96867"/>
  </w:style>
  <w:style w:type="character" w:styleId="CommentReference">
    <w:name w:val="annotation reference"/>
    <w:basedOn w:val="DefaultParagraphFont"/>
    <w:uiPriority w:val="99"/>
    <w:semiHidden/>
    <w:unhideWhenUsed/>
    <w:rsid w:val="00446B79"/>
    <w:rPr>
      <w:sz w:val="16"/>
      <w:szCs w:val="16"/>
    </w:rPr>
  </w:style>
  <w:style w:type="paragraph" w:styleId="CommentText">
    <w:name w:val="annotation text"/>
    <w:basedOn w:val="Normal"/>
    <w:link w:val="CommentTextChar"/>
    <w:uiPriority w:val="99"/>
    <w:unhideWhenUsed/>
    <w:rsid w:val="00446B79"/>
    <w:pPr>
      <w:spacing w:line="240" w:lineRule="auto"/>
    </w:pPr>
    <w:rPr>
      <w:sz w:val="20"/>
      <w:szCs w:val="20"/>
    </w:rPr>
  </w:style>
  <w:style w:type="character" w:customStyle="1" w:styleId="CommentTextChar">
    <w:name w:val="Comment Text Char"/>
    <w:basedOn w:val="DefaultParagraphFont"/>
    <w:link w:val="CommentText"/>
    <w:uiPriority w:val="99"/>
    <w:rsid w:val="00446B79"/>
    <w:rPr>
      <w:sz w:val="20"/>
      <w:szCs w:val="20"/>
    </w:rPr>
  </w:style>
  <w:style w:type="paragraph" w:styleId="CommentSubject">
    <w:name w:val="annotation subject"/>
    <w:basedOn w:val="CommentText"/>
    <w:next w:val="CommentText"/>
    <w:link w:val="CommentSubjectChar"/>
    <w:uiPriority w:val="99"/>
    <w:semiHidden/>
    <w:unhideWhenUsed/>
    <w:rsid w:val="00446B79"/>
    <w:rPr>
      <w:b/>
      <w:bCs/>
    </w:rPr>
  </w:style>
  <w:style w:type="character" w:customStyle="1" w:styleId="CommentSubjectChar">
    <w:name w:val="Comment Subject Char"/>
    <w:basedOn w:val="CommentTextChar"/>
    <w:link w:val="CommentSubject"/>
    <w:uiPriority w:val="99"/>
    <w:semiHidden/>
    <w:rsid w:val="00446B79"/>
    <w:rPr>
      <w:b/>
      <w:bCs/>
      <w:sz w:val="20"/>
      <w:szCs w:val="20"/>
    </w:rPr>
  </w:style>
  <w:style w:type="paragraph" w:styleId="Revision">
    <w:name w:val="Revision"/>
    <w:hidden/>
    <w:uiPriority w:val="99"/>
    <w:semiHidden/>
    <w:rsid w:val="00DC0C9E"/>
    <w:pPr>
      <w:spacing w:after="0" w:line="240" w:lineRule="auto"/>
    </w:pPr>
    <w:rPr>
      <w:sz w:val="22"/>
    </w:rPr>
  </w:style>
  <w:style w:type="paragraph" w:customStyle="1" w:styleId="Style1">
    <w:name w:val="Style1"/>
    <w:basedOn w:val="Heading2"/>
    <w:link w:val="Style1Char"/>
    <w:qFormat/>
    <w:rsid w:val="00CA4B93"/>
    <w:rPr>
      <w:noProof/>
    </w:rPr>
  </w:style>
  <w:style w:type="character" w:customStyle="1" w:styleId="Style1Char">
    <w:name w:val="Style1 Char"/>
    <w:basedOn w:val="Heading2Char"/>
    <w:link w:val="Style1"/>
    <w:rsid w:val="00CA4B93"/>
    <w:rPr>
      <w:rFonts w:asciiTheme="majorHAnsi" w:eastAsiaTheme="majorEastAsia" w:hAnsiTheme="majorHAnsi" w:cstheme="majorBidi"/>
      <w:noProof/>
      <w:color w:val="1B375C" w:themeColor="accent1"/>
      <w:sz w:val="32"/>
      <w:szCs w:val="28"/>
    </w:rPr>
  </w:style>
  <w:style w:type="paragraph" w:customStyle="1" w:styleId="TBLFootnore">
    <w:name w:val="TBL Footnore"/>
    <w:basedOn w:val="Normal"/>
    <w:link w:val="TBLFootnoreChar"/>
    <w:qFormat/>
    <w:rsid w:val="00B11452"/>
    <w:pPr>
      <w:spacing w:line="240" w:lineRule="auto"/>
      <w:contextualSpacing/>
    </w:pPr>
    <w:rPr>
      <w:sz w:val="14"/>
      <w:szCs w:val="14"/>
    </w:rPr>
  </w:style>
  <w:style w:type="character" w:customStyle="1" w:styleId="TBLFootnoreChar">
    <w:name w:val="TBL Footnore Char"/>
    <w:basedOn w:val="DefaultParagraphFont"/>
    <w:link w:val="TBLFootnore"/>
    <w:rsid w:val="00B11452"/>
    <w:rPr>
      <w:sz w:val="14"/>
      <w:szCs w:val="14"/>
    </w:rPr>
  </w:style>
  <w:style w:type="paragraph" w:customStyle="1" w:styleId="paragraph">
    <w:name w:val="paragraph"/>
    <w:basedOn w:val="Normal"/>
    <w:rsid w:val="00CD5A6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D5A6D"/>
  </w:style>
  <w:style w:type="character" w:customStyle="1" w:styleId="eop">
    <w:name w:val="eop"/>
    <w:basedOn w:val="DefaultParagraphFont"/>
    <w:rsid w:val="00CD5A6D"/>
  </w:style>
  <w:style w:type="paragraph" w:styleId="FootnoteText">
    <w:name w:val="footnote text"/>
    <w:basedOn w:val="Normal"/>
    <w:link w:val="FootnoteTextChar"/>
    <w:uiPriority w:val="99"/>
    <w:semiHidden/>
    <w:unhideWhenUsed/>
    <w:rsid w:val="005D1B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B80"/>
    <w:rPr>
      <w:sz w:val="20"/>
      <w:szCs w:val="20"/>
    </w:rPr>
  </w:style>
  <w:style w:type="character" w:styleId="FootnoteReference">
    <w:name w:val="footnote reference"/>
    <w:basedOn w:val="DefaultParagraphFont"/>
    <w:uiPriority w:val="99"/>
    <w:semiHidden/>
    <w:unhideWhenUsed/>
    <w:rsid w:val="005D1B80"/>
    <w:rPr>
      <w:vertAlign w:val="superscript"/>
    </w:rPr>
  </w:style>
  <w:style w:type="character" w:styleId="Mention">
    <w:name w:val="Mention"/>
    <w:basedOn w:val="DefaultParagraphFont"/>
    <w:uiPriority w:val="99"/>
    <w:unhideWhenUsed/>
    <w:rsid w:val="002216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3265">
      <w:marLeft w:val="0"/>
      <w:marRight w:val="0"/>
      <w:marTop w:val="0"/>
      <w:marBottom w:val="0"/>
      <w:divBdr>
        <w:top w:val="none" w:sz="0" w:space="0" w:color="auto"/>
        <w:left w:val="none" w:sz="0" w:space="0" w:color="auto"/>
        <w:bottom w:val="none" w:sz="0" w:space="0" w:color="auto"/>
        <w:right w:val="none" w:sz="0" w:space="0" w:color="auto"/>
      </w:divBdr>
    </w:div>
    <w:div w:id="151603373">
      <w:bodyDiv w:val="1"/>
      <w:marLeft w:val="0"/>
      <w:marRight w:val="0"/>
      <w:marTop w:val="0"/>
      <w:marBottom w:val="0"/>
      <w:divBdr>
        <w:top w:val="none" w:sz="0" w:space="0" w:color="auto"/>
        <w:left w:val="none" w:sz="0" w:space="0" w:color="auto"/>
        <w:bottom w:val="none" w:sz="0" w:space="0" w:color="auto"/>
        <w:right w:val="none" w:sz="0" w:space="0" w:color="auto"/>
      </w:divBdr>
    </w:div>
    <w:div w:id="366637788">
      <w:bodyDiv w:val="1"/>
      <w:marLeft w:val="0"/>
      <w:marRight w:val="0"/>
      <w:marTop w:val="0"/>
      <w:marBottom w:val="0"/>
      <w:divBdr>
        <w:top w:val="none" w:sz="0" w:space="0" w:color="auto"/>
        <w:left w:val="none" w:sz="0" w:space="0" w:color="auto"/>
        <w:bottom w:val="none" w:sz="0" w:space="0" w:color="auto"/>
        <w:right w:val="none" w:sz="0" w:space="0" w:color="auto"/>
      </w:divBdr>
      <w:divsChild>
        <w:div w:id="1251818944">
          <w:marLeft w:val="0"/>
          <w:marRight w:val="0"/>
          <w:marTop w:val="0"/>
          <w:marBottom w:val="0"/>
          <w:divBdr>
            <w:top w:val="none" w:sz="0" w:space="0" w:color="auto"/>
            <w:left w:val="none" w:sz="0" w:space="0" w:color="auto"/>
            <w:bottom w:val="none" w:sz="0" w:space="0" w:color="auto"/>
            <w:right w:val="none" w:sz="0" w:space="0" w:color="auto"/>
          </w:divBdr>
        </w:div>
      </w:divsChild>
    </w:div>
    <w:div w:id="454494697">
      <w:marLeft w:val="0"/>
      <w:marRight w:val="0"/>
      <w:marTop w:val="0"/>
      <w:marBottom w:val="0"/>
      <w:divBdr>
        <w:top w:val="none" w:sz="0" w:space="0" w:color="auto"/>
        <w:left w:val="none" w:sz="0" w:space="0" w:color="auto"/>
        <w:bottom w:val="none" w:sz="0" w:space="0" w:color="auto"/>
        <w:right w:val="none" w:sz="0" w:space="0" w:color="auto"/>
      </w:divBdr>
    </w:div>
    <w:div w:id="618998545">
      <w:bodyDiv w:val="1"/>
      <w:marLeft w:val="0"/>
      <w:marRight w:val="0"/>
      <w:marTop w:val="0"/>
      <w:marBottom w:val="0"/>
      <w:divBdr>
        <w:top w:val="none" w:sz="0" w:space="0" w:color="auto"/>
        <w:left w:val="none" w:sz="0" w:space="0" w:color="auto"/>
        <w:bottom w:val="none" w:sz="0" w:space="0" w:color="auto"/>
        <w:right w:val="none" w:sz="0" w:space="0" w:color="auto"/>
      </w:divBdr>
    </w:div>
    <w:div w:id="843711033">
      <w:bodyDiv w:val="1"/>
      <w:marLeft w:val="0"/>
      <w:marRight w:val="0"/>
      <w:marTop w:val="0"/>
      <w:marBottom w:val="0"/>
      <w:divBdr>
        <w:top w:val="none" w:sz="0" w:space="0" w:color="auto"/>
        <w:left w:val="none" w:sz="0" w:space="0" w:color="auto"/>
        <w:bottom w:val="none" w:sz="0" w:space="0" w:color="auto"/>
        <w:right w:val="none" w:sz="0" w:space="0" w:color="auto"/>
      </w:divBdr>
    </w:div>
    <w:div w:id="951129322">
      <w:marLeft w:val="0"/>
      <w:marRight w:val="0"/>
      <w:marTop w:val="0"/>
      <w:marBottom w:val="0"/>
      <w:divBdr>
        <w:top w:val="none" w:sz="0" w:space="0" w:color="auto"/>
        <w:left w:val="none" w:sz="0" w:space="0" w:color="auto"/>
        <w:bottom w:val="none" w:sz="0" w:space="0" w:color="auto"/>
        <w:right w:val="none" w:sz="0" w:space="0" w:color="auto"/>
      </w:divBdr>
    </w:div>
    <w:div w:id="962612791">
      <w:bodyDiv w:val="1"/>
      <w:marLeft w:val="0"/>
      <w:marRight w:val="0"/>
      <w:marTop w:val="0"/>
      <w:marBottom w:val="0"/>
      <w:divBdr>
        <w:top w:val="none" w:sz="0" w:space="0" w:color="auto"/>
        <w:left w:val="none" w:sz="0" w:space="0" w:color="auto"/>
        <w:bottom w:val="none" w:sz="0" w:space="0" w:color="auto"/>
        <w:right w:val="none" w:sz="0" w:space="0" w:color="auto"/>
      </w:divBdr>
      <w:divsChild>
        <w:div w:id="638607515">
          <w:marLeft w:val="0"/>
          <w:marRight w:val="0"/>
          <w:marTop w:val="0"/>
          <w:marBottom w:val="0"/>
          <w:divBdr>
            <w:top w:val="none" w:sz="0" w:space="0" w:color="auto"/>
            <w:left w:val="none" w:sz="0" w:space="0" w:color="auto"/>
            <w:bottom w:val="none" w:sz="0" w:space="0" w:color="auto"/>
            <w:right w:val="none" w:sz="0" w:space="0" w:color="auto"/>
          </w:divBdr>
        </w:div>
      </w:divsChild>
    </w:div>
    <w:div w:id="1114249221">
      <w:bodyDiv w:val="1"/>
      <w:marLeft w:val="0"/>
      <w:marRight w:val="0"/>
      <w:marTop w:val="0"/>
      <w:marBottom w:val="0"/>
      <w:divBdr>
        <w:top w:val="none" w:sz="0" w:space="0" w:color="auto"/>
        <w:left w:val="none" w:sz="0" w:space="0" w:color="auto"/>
        <w:bottom w:val="none" w:sz="0" w:space="0" w:color="auto"/>
        <w:right w:val="none" w:sz="0" w:space="0" w:color="auto"/>
      </w:divBdr>
    </w:div>
    <w:div w:id="1263414451">
      <w:bodyDiv w:val="1"/>
      <w:marLeft w:val="0"/>
      <w:marRight w:val="0"/>
      <w:marTop w:val="0"/>
      <w:marBottom w:val="0"/>
      <w:divBdr>
        <w:top w:val="none" w:sz="0" w:space="0" w:color="auto"/>
        <w:left w:val="none" w:sz="0" w:space="0" w:color="auto"/>
        <w:bottom w:val="none" w:sz="0" w:space="0" w:color="auto"/>
        <w:right w:val="none" w:sz="0" w:space="0" w:color="auto"/>
      </w:divBdr>
    </w:div>
    <w:div w:id="1342855877">
      <w:bodyDiv w:val="1"/>
      <w:marLeft w:val="0"/>
      <w:marRight w:val="0"/>
      <w:marTop w:val="0"/>
      <w:marBottom w:val="0"/>
      <w:divBdr>
        <w:top w:val="none" w:sz="0" w:space="0" w:color="auto"/>
        <w:left w:val="none" w:sz="0" w:space="0" w:color="auto"/>
        <w:bottom w:val="none" w:sz="0" w:space="0" w:color="auto"/>
        <w:right w:val="none" w:sz="0" w:space="0" w:color="auto"/>
      </w:divBdr>
      <w:divsChild>
        <w:div w:id="1049453357">
          <w:marLeft w:val="0"/>
          <w:marRight w:val="0"/>
          <w:marTop w:val="0"/>
          <w:marBottom w:val="0"/>
          <w:divBdr>
            <w:top w:val="none" w:sz="0" w:space="0" w:color="auto"/>
            <w:left w:val="none" w:sz="0" w:space="0" w:color="auto"/>
            <w:bottom w:val="none" w:sz="0" w:space="0" w:color="auto"/>
            <w:right w:val="none" w:sz="0" w:space="0" w:color="auto"/>
          </w:divBdr>
        </w:div>
        <w:div w:id="1534727700">
          <w:marLeft w:val="0"/>
          <w:marRight w:val="0"/>
          <w:marTop w:val="0"/>
          <w:marBottom w:val="0"/>
          <w:divBdr>
            <w:top w:val="none" w:sz="0" w:space="0" w:color="auto"/>
            <w:left w:val="none" w:sz="0" w:space="0" w:color="auto"/>
            <w:bottom w:val="none" w:sz="0" w:space="0" w:color="auto"/>
            <w:right w:val="none" w:sz="0" w:space="0" w:color="auto"/>
          </w:divBdr>
        </w:div>
        <w:div w:id="1717460560">
          <w:marLeft w:val="0"/>
          <w:marRight w:val="0"/>
          <w:marTop w:val="0"/>
          <w:marBottom w:val="0"/>
          <w:divBdr>
            <w:top w:val="none" w:sz="0" w:space="0" w:color="auto"/>
            <w:left w:val="none" w:sz="0" w:space="0" w:color="auto"/>
            <w:bottom w:val="none" w:sz="0" w:space="0" w:color="auto"/>
            <w:right w:val="none" w:sz="0" w:space="0" w:color="auto"/>
          </w:divBdr>
          <w:divsChild>
            <w:div w:id="2093970272">
              <w:marLeft w:val="-75"/>
              <w:marRight w:val="0"/>
              <w:marTop w:val="30"/>
              <w:marBottom w:val="30"/>
              <w:divBdr>
                <w:top w:val="none" w:sz="0" w:space="0" w:color="auto"/>
                <w:left w:val="none" w:sz="0" w:space="0" w:color="auto"/>
                <w:bottom w:val="none" w:sz="0" w:space="0" w:color="auto"/>
                <w:right w:val="none" w:sz="0" w:space="0" w:color="auto"/>
              </w:divBdr>
              <w:divsChild>
                <w:div w:id="6640115">
                  <w:marLeft w:val="0"/>
                  <w:marRight w:val="0"/>
                  <w:marTop w:val="0"/>
                  <w:marBottom w:val="0"/>
                  <w:divBdr>
                    <w:top w:val="none" w:sz="0" w:space="0" w:color="auto"/>
                    <w:left w:val="none" w:sz="0" w:space="0" w:color="auto"/>
                    <w:bottom w:val="none" w:sz="0" w:space="0" w:color="auto"/>
                    <w:right w:val="none" w:sz="0" w:space="0" w:color="auto"/>
                  </w:divBdr>
                  <w:divsChild>
                    <w:div w:id="310792231">
                      <w:marLeft w:val="0"/>
                      <w:marRight w:val="0"/>
                      <w:marTop w:val="0"/>
                      <w:marBottom w:val="0"/>
                      <w:divBdr>
                        <w:top w:val="none" w:sz="0" w:space="0" w:color="auto"/>
                        <w:left w:val="none" w:sz="0" w:space="0" w:color="auto"/>
                        <w:bottom w:val="none" w:sz="0" w:space="0" w:color="auto"/>
                        <w:right w:val="none" w:sz="0" w:space="0" w:color="auto"/>
                      </w:divBdr>
                    </w:div>
                  </w:divsChild>
                </w:div>
                <w:div w:id="283004992">
                  <w:marLeft w:val="0"/>
                  <w:marRight w:val="0"/>
                  <w:marTop w:val="0"/>
                  <w:marBottom w:val="0"/>
                  <w:divBdr>
                    <w:top w:val="none" w:sz="0" w:space="0" w:color="auto"/>
                    <w:left w:val="none" w:sz="0" w:space="0" w:color="auto"/>
                    <w:bottom w:val="none" w:sz="0" w:space="0" w:color="auto"/>
                    <w:right w:val="none" w:sz="0" w:space="0" w:color="auto"/>
                  </w:divBdr>
                  <w:divsChild>
                    <w:div w:id="461773896">
                      <w:marLeft w:val="0"/>
                      <w:marRight w:val="0"/>
                      <w:marTop w:val="0"/>
                      <w:marBottom w:val="0"/>
                      <w:divBdr>
                        <w:top w:val="none" w:sz="0" w:space="0" w:color="auto"/>
                        <w:left w:val="none" w:sz="0" w:space="0" w:color="auto"/>
                        <w:bottom w:val="none" w:sz="0" w:space="0" w:color="auto"/>
                        <w:right w:val="none" w:sz="0" w:space="0" w:color="auto"/>
                      </w:divBdr>
                    </w:div>
                  </w:divsChild>
                </w:div>
                <w:div w:id="753552550">
                  <w:marLeft w:val="0"/>
                  <w:marRight w:val="0"/>
                  <w:marTop w:val="0"/>
                  <w:marBottom w:val="0"/>
                  <w:divBdr>
                    <w:top w:val="none" w:sz="0" w:space="0" w:color="auto"/>
                    <w:left w:val="none" w:sz="0" w:space="0" w:color="auto"/>
                    <w:bottom w:val="none" w:sz="0" w:space="0" w:color="auto"/>
                    <w:right w:val="none" w:sz="0" w:space="0" w:color="auto"/>
                  </w:divBdr>
                  <w:divsChild>
                    <w:div w:id="354353477">
                      <w:marLeft w:val="0"/>
                      <w:marRight w:val="0"/>
                      <w:marTop w:val="0"/>
                      <w:marBottom w:val="0"/>
                      <w:divBdr>
                        <w:top w:val="none" w:sz="0" w:space="0" w:color="auto"/>
                        <w:left w:val="none" w:sz="0" w:space="0" w:color="auto"/>
                        <w:bottom w:val="none" w:sz="0" w:space="0" w:color="auto"/>
                        <w:right w:val="none" w:sz="0" w:space="0" w:color="auto"/>
                      </w:divBdr>
                    </w:div>
                  </w:divsChild>
                </w:div>
                <w:div w:id="1002705807">
                  <w:marLeft w:val="0"/>
                  <w:marRight w:val="0"/>
                  <w:marTop w:val="0"/>
                  <w:marBottom w:val="0"/>
                  <w:divBdr>
                    <w:top w:val="none" w:sz="0" w:space="0" w:color="auto"/>
                    <w:left w:val="none" w:sz="0" w:space="0" w:color="auto"/>
                    <w:bottom w:val="none" w:sz="0" w:space="0" w:color="auto"/>
                    <w:right w:val="none" w:sz="0" w:space="0" w:color="auto"/>
                  </w:divBdr>
                  <w:divsChild>
                    <w:div w:id="613289416">
                      <w:marLeft w:val="0"/>
                      <w:marRight w:val="0"/>
                      <w:marTop w:val="0"/>
                      <w:marBottom w:val="0"/>
                      <w:divBdr>
                        <w:top w:val="none" w:sz="0" w:space="0" w:color="auto"/>
                        <w:left w:val="none" w:sz="0" w:space="0" w:color="auto"/>
                        <w:bottom w:val="none" w:sz="0" w:space="0" w:color="auto"/>
                        <w:right w:val="none" w:sz="0" w:space="0" w:color="auto"/>
                      </w:divBdr>
                    </w:div>
                  </w:divsChild>
                </w:div>
                <w:div w:id="1334531352">
                  <w:marLeft w:val="0"/>
                  <w:marRight w:val="0"/>
                  <w:marTop w:val="0"/>
                  <w:marBottom w:val="0"/>
                  <w:divBdr>
                    <w:top w:val="none" w:sz="0" w:space="0" w:color="auto"/>
                    <w:left w:val="none" w:sz="0" w:space="0" w:color="auto"/>
                    <w:bottom w:val="none" w:sz="0" w:space="0" w:color="auto"/>
                    <w:right w:val="none" w:sz="0" w:space="0" w:color="auto"/>
                  </w:divBdr>
                  <w:divsChild>
                    <w:div w:id="1109159672">
                      <w:marLeft w:val="0"/>
                      <w:marRight w:val="0"/>
                      <w:marTop w:val="0"/>
                      <w:marBottom w:val="0"/>
                      <w:divBdr>
                        <w:top w:val="none" w:sz="0" w:space="0" w:color="auto"/>
                        <w:left w:val="none" w:sz="0" w:space="0" w:color="auto"/>
                        <w:bottom w:val="none" w:sz="0" w:space="0" w:color="auto"/>
                        <w:right w:val="none" w:sz="0" w:space="0" w:color="auto"/>
                      </w:divBdr>
                    </w:div>
                  </w:divsChild>
                </w:div>
                <w:div w:id="1365205794">
                  <w:marLeft w:val="0"/>
                  <w:marRight w:val="0"/>
                  <w:marTop w:val="0"/>
                  <w:marBottom w:val="0"/>
                  <w:divBdr>
                    <w:top w:val="none" w:sz="0" w:space="0" w:color="auto"/>
                    <w:left w:val="none" w:sz="0" w:space="0" w:color="auto"/>
                    <w:bottom w:val="none" w:sz="0" w:space="0" w:color="auto"/>
                    <w:right w:val="none" w:sz="0" w:space="0" w:color="auto"/>
                  </w:divBdr>
                  <w:divsChild>
                    <w:div w:id="989989490">
                      <w:marLeft w:val="0"/>
                      <w:marRight w:val="0"/>
                      <w:marTop w:val="0"/>
                      <w:marBottom w:val="0"/>
                      <w:divBdr>
                        <w:top w:val="none" w:sz="0" w:space="0" w:color="auto"/>
                        <w:left w:val="none" w:sz="0" w:space="0" w:color="auto"/>
                        <w:bottom w:val="none" w:sz="0" w:space="0" w:color="auto"/>
                        <w:right w:val="none" w:sz="0" w:space="0" w:color="auto"/>
                      </w:divBdr>
                    </w:div>
                  </w:divsChild>
                </w:div>
                <w:div w:id="2033267317">
                  <w:marLeft w:val="0"/>
                  <w:marRight w:val="0"/>
                  <w:marTop w:val="0"/>
                  <w:marBottom w:val="0"/>
                  <w:divBdr>
                    <w:top w:val="none" w:sz="0" w:space="0" w:color="auto"/>
                    <w:left w:val="none" w:sz="0" w:space="0" w:color="auto"/>
                    <w:bottom w:val="none" w:sz="0" w:space="0" w:color="auto"/>
                    <w:right w:val="none" w:sz="0" w:space="0" w:color="auto"/>
                  </w:divBdr>
                  <w:divsChild>
                    <w:div w:id="1043554491">
                      <w:marLeft w:val="0"/>
                      <w:marRight w:val="0"/>
                      <w:marTop w:val="0"/>
                      <w:marBottom w:val="0"/>
                      <w:divBdr>
                        <w:top w:val="none" w:sz="0" w:space="0" w:color="auto"/>
                        <w:left w:val="none" w:sz="0" w:space="0" w:color="auto"/>
                        <w:bottom w:val="none" w:sz="0" w:space="0" w:color="auto"/>
                        <w:right w:val="none" w:sz="0" w:space="0" w:color="auto"/>
                      </w:divBdr>
                    </w:div>
                  </w:divsChild>
                </w:div>
                <w:div w:id="2062167624">
                  <w:marLeft w:val="0"/>
                  <w:marRight w:val="0"/>
                  <w:marTop w:val="0"/>
                  <w:marBottom w:val="0"/>
                  <w:divBdr>
                    <w:top w:val="none" w:sz="0" w:space="0" w:color="auto"/>
                    <w:left w:val="none" w:sz="0" w:space="0" w:color="auto"/>
                    <w:bottom w:val="none" w:sz="0" w:space="0" w:color="auto"/>
                    <w:right w:val="none" w:sz="0" w:space="0" w:color="auto"/>
                  </w:divBdr>
                  <w:divsChild>
                    <w:div w:id="1376387465">
                      <w:marLeft w:val="0"/>
                      <w:marRight w:val="0"/>
                      <w:marTop w:val="0"/>
                      <w:marBottom w:val="0"/>
                      <w:divBdr>
                        <w:top w:val="none" w:sz="0" w:space="0" w:color="auto"/>
                        <w:left w:val="none" w:sz="0" w:space="0" w:color="auto"/>
                        <w:bottom w:val="none" w:sz="0" w:space="0" w:color="auto"/>
                        <w:right w:val="none" w:sz="0" w:space="0" w:color="auto"/>
                      </w:divBdr>
                    </w:div>
                  </w:divsChild>
                </w:div>
                <w:div w:id="2103793441">
                  <w:marLeft w:val="0"/>
                  <w:marRight w:val="0"/>
                  <w:marTop w:val="0"/>
                  <w:marBottom w:val="0"/>
                  <w:divBdr>
                    <w:top w:val="none" w:sz="0" w:space="0" w:color="auto"/>
                    <w:left w:val="none" w:sz="0" w:space="0" w:color="auto"/>
                    <w:bottom w:val="none" w:sz="0" w:space="0" w:color="auto"/>
                    <w:right w:val="none" w:sz="0" w:space="0" w:color="auto"/>
                  </w:divBdr>
                  <w:divsChild>
                    <w:div w:id="1381056233">
                      <w:marLeft w:val="0"/>
                      <w:marRight w:val="0"/>
                      <w:marTop w:val="0"/>
                      <w:marBottom w:val="0"/>
                      <w:divBdr>
                        <w:top w:val="none" w:sz="0" w:space="0" w:color="auto"/>
                        <w:left w:val="none" w:sz="0" w:space="0" w:color="auto"/>
                        <w:bottom w:val="none" w:sz="0" w:space="0" w:color="auto"/>
                        <w:right w:val="none" w:sz="0" w:space="0" w:color="auto"/>
                      </w:divBdr>
                    </w:div>
                  </w:divsChild>
                </w:div>
                <w:div w:id="2128347327">
                  <w:marLeft w:val="0"/>
                  <w:marRight w:val="0"/>
                  <w:marTop w:val="0"/>
                  <w:marBottom w:val="0"/>
                  <w:divBdr>
                    <w:top w:val="none" w:sz="0" w:space="0" w:color="auto"/>
                    <w:left w:val="none" w:sz="0" w:space="0" w:color="auto"/>
                    <w:bottom w:val="none" w:sz="0" w:space="0" w:color="auto"/>
                    <w:right w:val="none" w:sz="0" w:space="0" w:color="auto"/>
                  </w:divBdr>
                  <w:divsChild>
                    <w:div w:id="4843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92719">
      <w:bodyDiv w:val="1"/>
      <w:marLeft w:val="0"/>
      <w:marRight w:val="0"/>
      <w:marTop w:val="0"/>
      <w:marBottom w:val="0"/>
      <w:divBdr>
        <w:top w:val="none" w:sz="0" w:space="0" w:color="auto"/>
        <w:left w:val="none" w:sz="0" w:space="0" w:color="auto"/>
        <w:bottom w:val="none" w:sz="0" w:space="0" w:color="auto"/>
        <w:right w:val="none" w:sz="0" w:space="0" w:color="auto"/>
      </w:divBdr>
      <w:divsChild>
        <w:div w:id="1995210270">
          <w:marLeft w:val="0"/>
          <w:marRight w:val="0"/>
          <w:marTop w:val="0"/>
          <w:marBottom w:val="0"/>
          <w:divBdr>
            <w:top w:val="none" w:sz="0" w:space="0" w:color="auto"/>
            <w:left w:val="none" w:sz="0" w:space="0" w:color="auto"/>
            <w:bottom w:val="none" w:sz="0" w:space="0" w:color="auto"/>
            <w:right w:val="none" w:sz="0" w:space="0" w:color="auto"/>
          </w:divBdr>
        </w:div>
      </w:divsChild>
    </w:div>
    <w:div w:id="1643651472">
      <w:bodyDiv w:val="1"/>
      <w:marLeft w:val="0"/>
      <w:marRight w:val="0"/>
      <w:marTop w:val="0"/>
      <w:marBottom w:val="0"/>
      <w:divBdr>
        <w:top w:val="none" w:sz="0" w:space="0" w:color="auto"/>
        <w:left w:val="none" w:sz="0" w:space="0" w:color="auto"/>
        <w:bottom w:val="none" w:sz="0" w:space="0" w:color="auto"/>
        <w:right w:val="none" w:sz="0" w:space="0" w:color="auto"/>
      </w:divBdr>
      <w:divsChild>
        <w:div w:id="104741301">
          <w:marLeft w:val="0"/>
          <w:marRight w:val="0"/>
          <w:marTop w:val="0"/>
          <w:marBottom w:val="0"/>
          <w:divBdr>
            <w:top w:val="none" w:sz="0" w:space="0" w:color="auto"/>
            <w:left w:val="none" w:sz="0" w:space="0" w:color="auto"/>
            <w:bottom w:val="none" w:sz="0" w:space="0" w:color="auto"/>
            <w:right w:val="none" w:sz="0" w:space="0" w:color="auto"/>
          </w:divBdr>
        </w:div>
      </w:divsChild>
    </w:div>
    <w:div w:id="1645816457">
      <w:bodyDiv w:val="1"/>
      <w:marLeft w:val="0"/>
      <w:marRight w:val="0"/>
      <w:marTop w:val="0"/>
      <w:marBottom w:val="0"/>
      <w:divBdr>
        <w:top w:val="none" w:sz="0" w:space="0" w:color="auto"/>
        <w:left w:val="none" w:sz="0" w:space="0" w:color="auto"/>
        <w:bottom w:val="none" w:sz="0" w:space="0" w:color="auto"/>
        <w:right w:val="none" w:sz="0" w:space="0" w:color="auto"/>
      </w:divBdr>
      <w:divsChild>
        <w:div w:id="1703482398">
          <w:marLeft w:val="0"/>
          <w:marRight w:val="0"/>
          <w:marTop w:val="0"/>
          <w:marBottom w:val="0"/>
          <w:divBdr>
            <w:top w:val="none" w:sz="0" w:space="0" w:color="auto"/>
            <w:left w:val="none" w:sz="0" w:space="0" w:color="auto"/>
            <w:bottom w:val="none" w:sz="0" w:space="0" w:color="auto"/>
            <w:right w:val="none" w:sz="0" w:space="0" w:color="auto"/>
          </w:divBdr>
        </w:div>
      </w:divsChild>
    </w:div>
    <w:div w:id="1974090948">
      <w:bodyDiv w:val="1"/>
      <w:marLeft w:val="0"/>
      <w:marRight w:val="0"/>
      <w:marTop w:val="0"/>
      <w:marBottom w:val="0"/>
      <w:divBdr>
        <w:top w:val="none" w:sz="0" w:space="0" w:color="auto"/>
        <w:left w:val="none" w:sz="0" w:space="0" w:color="auto"/>
        <w:bottom w:val="none" w:sz="0" w:space="0" w:color="auto"/>
        <w:right w:val="none" w:sz="0" w:space="0" w:color="auto"/>
      </w:divBdr>
    </w:div>
    <w:div w:id="20958579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ia.pmc.gov.au/summary-repor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0F1F35"/>
      </a:dk2>
      <a:lt2>
        <a:srgbClr val="E0E8F2"/>
      </a:lt2>
      <a:accent1>
        <a:srgbClr val="1B375C"/>
      </a:accent1>
      <a:accent2>
        <a:srgbClr val="778E61"/>
      </a:accent2>
      <a:accent3>
        <a:srgbClr val="F26337"/>
      </a:accent3>
      <a:accent4>
        <a:srgbClr val="4BADB0"/>
      </a:accent4>
      <a:accent5>
        <a:srgbClr val="B75B53"/>
      </a:accent5>
      <a:accent6>
        <a:srgbClr val="FCB76C"/>
      </a:accent6>
      <a:hlink>
        <a:srgbClr val="3266AB"/>
      </a:hlink>
      <a:folHlink>
        <a:srgbClr val="3266AB"/>
      </a:folHlink>
    </a:clrScheme>
    <a:fontScheme name="PM&amp;C 2022">
      <a:majorFont>
        <a:latin typeface="Times New Roman"/>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_dlc_DocId xmlns="d0dfa800-9ef0-44cb-8a12-633e29de1e0b">PMCdoc-213507164-73939</_dlc_DocId>
    <_dlc_DocIdUrl xmlns="d0dfa800-9ef0-44cb-8a12-633e29de1e0b">
      <Url>https://pmc01.sharepoint.com/sites/pmc-ms-cb/_layouts/15/DocIdRedir.aspx?ID=PMCdoc-213507164-73939</Url>
      <Description>PMCdoc-213507164-73939</Description>
    </_dlc_DocIdUrl>
    <TaxCatchAll xmlns="d0dfa800-9ef0-44cb-8a12-633e29de1e0b">
      <Value>4</Value>
    </TaxCatchAll>
    <TaxKeywordTaxHTField xmlns="d0dfa800-9ef0-44cb-8a12-633e29de1e0b">
      <Terms xmlns="http://schemas.microsoft.com/office/infopath/2007/PartnerControls"/>
    </TaxKeywordTaxHTField>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FE45D-76CF-4AC8-A26E-FC6F78DD1DFD}">
  <ds:schemaRefs>
    <ds:schemaRef ds:uri="http://schemas.microsoft.com/sharepoint/events"/>
  </ds:schemaRefs>
</ds:datastoreItem>
</file>

<file path=customXml/itemProps2.xml><?xml version="1.0" encoding="utf-8"?>
<ds:datastoreItem xmlns:ds="http://schemas.openxmlformats.org/officeDocument/2006/customXml" ds:itemID="{FCCAEA67-029D-44B6-9D76-E634B4FB67BB}">
  <ds:schemaRefs>
    <ds:schemaRef ds:uri="http://schemas.openxmlformats.org/officeDocument/2006/bibliography"/>
  </ds:schemaRefs>
</ds:datastoreItem>
</file>

<file path=customXml/itemProps3.xml><?xml version="1.0" encoding="utf-8"?>
<ds:datastoreItem xmlns:ds="http://schemas.openxmlformats.org/officeDocument/2006/customXml" ds:itemID="{E3E7F099-4EC3-40B6-92BA-07BFB75AD009}">
  <ds:schemaRefs>
    <ds:schemaRef ds:uri="http://schemas.microsoft.com/sharepoint/v3/contenttype/forms"/>
  </ds:schemaRefs>
</ds:datastoreItem>
</file>

<file path=customXml/itemProps4.xml><?xml version="1.0" encoding="utf-8"?>
<ds:datastoreItem xmlns:ds="http://schemas.openxmlformats.org/officeDocument/2006/customXml" ds:itemID="{4223FEB2-ACCF-4222-9227-EAA2B0F21518}">
  <ds:schemaRefs>
    <ds:schemaRef ds:uri="http://schemas.microsoft.com/office/2006/metadata/properties"/>
    <ds:schemaRef ds:uri="http://schemas.microsoft.com/office/infopath/2007/PartnerControls"/>
    <ds:schemaRef ds:uri="e771ab56-0c5d-40e7-b080-2686d2b89623"/>
    <ds:schemaRef ds:uri="http://schemas.microsoft.com/sharepoint/v3"/>
    <ds:schemaRef ds:uri="d0dfa800-9ef0-44cb-8a12-633e29de1e0b"/>
    <ds:schemaRef ds:uri="ce530a30-1469-477c-a42f-e412a5d2cfe7"/>
  </ds:schemaRefs>
</ds:datastoreItem>
</file>

<file path=customXml/itemProps5.xml><?xml version="1.0" encoding="utf-8"?>
<ds:datastoreItem xmlns:ds="http://schemas.openxmlformats.org/officeDocument/2006/customXml" ds:itemID="{9531EBE7-BF10-414E-8476-3125C125B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Commonwealth-State Regulation Impact Statement status, 2024-25</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Impact Analysis status, 2025-26</dc:title>
  <dc:subject/>
  <dc:creator>Lloyd, Eddie</dc:creator>
  <cp:keywords/>
  <cp:lastModifiedBy>Lipapis, Sia</cp:lastModifiedBy>
  <cp:revision>299</cp:revision>
  <dcterms:created xsi:type="dcterms:W3CDTF">2026-05-06T22:39:00Z</dcterms:created>
  <dcterms:modified xsi:type="dcterms:W3CDTF">2026-07-02T02:52:00Z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InformationMarker">
    <vt:lpwstr/>
  </property>
  <property fmtid="{D5CDD505-2E9C-101B-9397-08002B2CF9AE}" pid="4" name="SecurityClassification">
    <vt:lpwstr>4;#OFFICIAL|9e0ec9cb-4e7f-4d4a-bd32-1ee7525c6d87</vt:lpwstr>
  </property>
  <property fmtid="{D5CDD505-2E9C-101B-9397-08002B2CF9AE}" pid="5" name="TaxKeyword">
    <vt:lpwstr/>
  </property>
  <property fmtid="{D5CDD505-2E9C-101B-9397-08002B2CF9AE}" pid="6" name="_dlc_DocIdItemGuid">
    <vt:lpwstr>fb331699-c919-4e54-b9ae-89ba84a61b4c</vt:lpwstr>
  </property>
  <property fmtid="{D5CDD505-2E9C-101B-9397-08002B2CF9AE}" pid="7" name="docLang">
    <vt:lpwstr>en</vt:lpwstr>
  </property>
  <property fmtid="{D5CDD505-2E9C-101B-9397-08002B2CF9AE}" pid="8" name="MediaServiceImageTags">
    <vt:lpwstr/>
  </property>
</Properties>
</file>