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846AC" w14:textId="33B09FC1" w:rsidR="002D0A99" w:rsidRPr="00A5267C" w:rsidRDefault="009F143A" w:rsidP="009B43EB">
      <w:pPr>
        <w:pStyle w:val="Classification"/>
        <w:spacing w:after="600"/>
      </w:pPr>
      <w:bookmarkStart w:id="0" w:name="_Toc96326909"/>
      <w:r>
        <w:rPr>
          <w:color w:val="FFFFFF" w:themeColor="background1"/>
          <w:sz w:val="72"/>
          <w:szCs w:val="72"/>
        </w:rPr>
        <w:drawing>
          <wp:anchor distT="0" distB="0" distL="114300" distR="114300" simplePos="0" relativeHeight="251660290" behindDoc="0" locked="0" layoutInCell="1" allowOverlap="1" wp14:anchorId="72D82319" wp14:editId="4302B01E">
            <wp:simplePos x="0" y="0"/>
            <wp:positionH relativeFrom="margin">
              <wp:posOffset>-133350</wp:posOffset>
            </wp:positionH>
            <wp:positionV relativeFrom="paragraph">
              <wp:posOffset>-1547495</wp:posOffset>
            </wp:positionV>
            <wp:extent cx="4008296" cy="1276350"/>
            <wp:effectExtent l="0" t="0" r="0" b="0"/>
            <wp:wrapNone/>
            <wp:docPr id="162110896" name="Picture 4" descr="Australian Government, Department of the Prime Minister and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896" name="Picture 4" descr="Australian Government, Department of the Prime Minister and Cabine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8296" cy="12763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6" behindDoc="1" locked="0" layoutInCell="1" allowOverlap="1" wp14:anchorId="2EC36BEC" wp14:editId="65BE1F4D">
            <wp:simplePos x="0" y="0"/>
            <wp:positionH relativeFrom="page">
              <wp:align>left</wp:align>
            </wp:positionH>
            <wp:positionV relativeFrom="paragraph">
              <wp:posOffset>-1795780</wp:posOffset>
            </wp:positionV>
            <wp:extent cx="7556500" cy="10688280"/>
            <wp:effectExtent l="0" t="0" r="6350" b="0"/>
            <wp:wrapNone/>
            <wp:docPr id="11017495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49534"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0" cy="106882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olor w:val="FFFFFF" w:themeColor="background1"/>
          <w:sz w:val="72"/>
          <w:szCs w:val="72"/>
        </w:rPr>
        <w:alias w:val="Title"/>
        <w:tag w:val=""/>
        <w:id w:val="-1230608325"/>
        <w:placeholder>
          <w:docPart w:val="272683064C8B422C972D4FCEFA03B41A"/>
        </w:placeholder>
        <w:dataBinding w:prefixMappings="xmlns:ns0='http://purl.org/dc/elements/1.1/' xmlns:ns1='http://schemas.openxmlformats.org/package/2006/metadata/core-properties' " w:xpath="/ns1:coreProperties[1]/ns0:title[1]" w:storeItemID="{6C3C8BC8-F283-45AE-878A-BAB7291924A1}"/>
        <w:text/>
      </w:sdtPr>
      <w:sdtEndPr/>
      <w:sdtContent>
        <w:p w14:paraId="58681E01" w14:textId="0D7180FB" w:rsidR="004A3A1A" w:rsidRPr="009F143A" w:rsidRDefault="00D43E51" w:rsidP="004A3A1A">
          <w:pPr>
            <w:pStyle w:val="Title"/>
            <w:rPr>
              <w:color w:val="FFFFFF" w:themeColor="background1"/>
              <w:sz w:val="72"/>
              <w:szCs w:val="72"/>
            </w:rPr>
          </w:pPr>
          <w:r w:rsidRPr="00D67AC9">
            <w:rPr>
              <w:color w:val="FFFFFF" w:themeColor="background1"/>
              <w:sz w:val="72"/>
              <w:szCs w:val="72"/>
            </w:rPr>
            <w:t>Australian Government Impact Analysis Framework</w:t>
          </w:r>
        </w:p>
      </w:sdtContent>
    </w:sdt>
    <w:p w14:paraId="2D53FB09" w14:textId="057C87F9" w:rsidR="004A3A1A" w:rsidRPr="004A3A1A" w:rsidRDefault="004A3A1A" w:rsidP="004A3A1A">
      <w:pPr>
        <w:pStyle w:val="Subtitle"/>
        <w:rPr>
          <w:rFonts w:ascii="Segoe UI Semibold" w:hAnsi="Segoe UI Semibold" w:cs="Segoe UI Semibold"/>
          <w:color w:val="FFFFFF" w:themeColor="background1"/>
          <w:sz w:val="32"/>
          <w:szCs w:val="32"/>
        </w:rPr>
        <w:sectPr w:rsidR="004A3A1A" w:rsidRPr="004A3A1A" w:rsidSect="004A3A1A">
          <w:footerReference w:type="default" r:id="rId14"/>
          <w:headerReference w:type="first" r:id="rId15"/>
          <w:footerReference w:type="first" r:id="rId16"/>
          <w:pgSz w:w="11906" w:h="16838"/>
          <w:pgMar w:top="2835" w:right="1134" w:bottom="1701" w:left="1134" w:header="709" w:footer="709" w:gutter="0"/>
          <w:cols w:space="708"/>
          <w:docGrid w:linePitch="360"/>
        </w:sectPr>
      </w:pPr>
      <w:r w:rsidRPr="004A3A1A">
        <w:rPr>
          <w:sz w:val="32"/>
          <w:szCs w:val="32"/>
        </w:rPr>
        <w:drawing>
          <wp:anchor distT="0" distB="0" distL="114300" distR="114300" simplePos="0" relativeHeight="251664386" behindDoc="0" locked="0" layoutInCell="1" allowOverlap="1" wp14:anchorId="09D2469D" wp14:editId="256FB5E7">
            <wp:simplePos x="0" y="0"/>
            <wp:positionH relativeFrom="margin">
              <wp:align>right</wp:align>
            </wp:positionH>
            <wp:positionV relativeFrom="paragraph">
              <wp:posOffset>5539740</wp:posOffset>
            </wp:positionV>
            <wp:extent cx="1993900" cy="1587500"/>
            <wp:effectExtent l="0" t="0" r="6350" b="0"/>
            <wp:wrapNone/>
            <wp:docPr id="619223146" name="Picture 5" descr="OIA, the Office of Impact Analy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23146" name="Picture 5" descr="OIA, the Office of Impact Analysi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A1A">
        <w:rPr>
          <w:rFonts w:ascii="Segoe UI Semibold" w:hAnsi="Segoe UI Semibold" w:cs="Segoe UI Semibold"/>
          <w:color w:val="FFFFFF" w:themeColor="background1"/>
          <w:sz w:val="32"/>
          <w:szCs w:val="32"/>
          <w:lang w:eastAsia="en-AU"/>
        </w:rPr>
        <mc:AlternateContent>
          <mc:Choice Requires="wps">
            <w:drawing>
              <wp:anchor distT="45720" distB="45720" distL="114300" distR="114300" simplePos="0" relativeHeight="251662338" behindDoc="1" locked="0" layoutInCell="1" allowOverlap="1" wp14:anchorId="3B7AEB23" wp14:editId="3BB0A608">
                <wp:simplePos x="0" y="0"/>
                <wp:positionH relativeFrom="column">
                  <wp:posOffset>-1156207</wp:posOffset>
                </wp:positionH>
                <wp:positionV relativeFrom="page">
                  <wp:posOffset>5448617</wp:posOffset>
                </wp:positionV>
                <wp:extent cx="2360930" cy="3994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399415"/>
                        </a:xfrm>
                        <a:prstGeom prst="rect">
                          <a:avLst/>
                        </a:prstGeom>
                        <a:noFill/>
                        <a:ln w="9525">
                          <a:noFill/>
                          <a:miter lim="800000"/>
                          <a:headEnd/>
                          <a:tailEnd/>
                        </a:ln>
                      </wps:spPr>
                      <wps:txbx>
                        <w:txbxContent>
                          <w:p w14:paraId="3181B777" w14:textId="77777777" w:rsidR="004A3A1A" w:rsidRDefault="004A3A1A" w:rsidP="004A3A1A">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7AEB23" id="_x0000_t202" coordsize="21600,21600" o:spt="202" path="m,l,21600r21600,l21600,xe">
                <v:stroke joinstyle="miter"/>
                <v:path gradientshapeok="t" o:connecttype="rect"/>
              </v:shapetype>
              <v:shape id="Text Box 2" o:spid="_x0000_s1026" type="#_x0000_t202" style="position:absolute;margin-left:-91.05pt;margin-top:429pt;width:185.9pt;height:31.45pt;rotation:-90;z-index:-2516541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" filled="f" stroked="f">
                <v:textbox style="mso-fit-shape-to-text:t">
                  <w:txbxContent>
                    <w:p w14:paraId="3181B777" w14:textId="77777777" w:rsidR="004A3A1A" w:rsidRDefault="004A3A1A" w:rsidP="004A3A1A">
                      <w:pPr>
                        <w:jc w:val="right"/>
                      </w:pPr>
                    </w:p>
                  </w:txbxContent>
                </v:textbox>
                <w10:wrap anchory="page"/>
              </v:shape>
            </w:pict>
          </mc:Fallback>
        </mc:AlternateContent>
      </w:r>
      <w:sdt>
        <w:sdtPr>
          <w:rPr>
            <w:rFonts w:ascii="Segoe UI Semibold" w:hAnsi="Segoe UI Semibold" w:cs="Segoe UI Semibold"/>
            <w:color w:val="FFFFFF" w:themeColor="background1"/>
            <w:sz w:val="32"/>
            <w:szCs w:val="32"/>
          </w:rPr>
          <w:alias w:val="Subject"/>
          <w:tag w:val=""/>
          <w:id w:val="690341429"/>
          <w:placeholder>
            <w:docPart w:val="30FD39034C684840884A0832B317AB6A"/>
          </w:placeholder>
          <w:dataBinding w:prefixMappings="xmlns:ns0='http://purl.org/dc/elements/1.1/' xmlns:ns1='http://schemas.openxmlformats.org/package/2006/metadata/core-properties' " w:xpath="/ns1:coreProperties[1]/ns0:subject[1]" w:storeItemID="{6C3C8BC8-F283-45AE-878A-BAB7291924A1}"/>
          <w:text/>
        </w:sdtPr>
        <w:sdtEndPr/>
        <w:sdtContent>
          <w:r w:rsidRPr="004A3A1A">
            <w:rPr>
              <w:rFonts w:ascii="Segoe UI Semibold" w:hAnsi="Segoe UI Semibold" w:cs="Segoe UI Semibold"/>
              <w:color w:val="FFFFFF" w:themeColor="background1"/>
              <w:sz w:val="32"/>
              <w:szCs w:val="32"/>
            </w:rPr>
            <w:t>Practical Guide for Agencies</w:t>
          </w:r>
        </w:sdtContent>
      </w:sdt>
    </w:p>
    <w:p w14:paraId="4929E899" w14:textId="77777777" w:rsidR="004A3A1A" w:rsidRDefault="004A3A1A" w:rsidP="004A3A1A">
      <w:pPr>
        <w:pStyle w:val="TOCHeading"/>
        <w:rPr>
          <w:rFonts w:asciiTheme="minorHAnsi" w:eastAsiaTheme="minorEastAsia" w:hAnsiTheme="minorHAnsi" w:cstheme="minorBidi"/>
          <w:color w:val="auto"/>
          <w:sz w:val="22"/>
          <w:szCs w:val="21"/>
        </w:rPr>
      </w:pPr>
    </w:p>
    <w:sdt>
      <w:sdtPr>
        <w:rPr>
          <w:rFonts w:asciiTheme="minorHAnsi" w:eastAsiaTheme="minorEastAsia" w:hAnsiTheme="minorHAnsi" w:cstheme="minorBidi"/>
          <w:color w:val="auto"/>
          <w:sz w:val="22"/>
          <w:szCs w:val="21"/>
        </w:rPr>
        <w:id w:val="-1632619507"/>
        <w:docPartObj>
          <w:docPartGallery w:val="Table of Contents"/>
          <w:docPartUnique/>
        </w:docPartObj>
      </w:sdtPr>
      <w:sdtEndPr>
        <w:rPr>
          <w:rFonts w:ascii="Segoe UI Semilight" w:hAnsi="Segoe UI Semilight"/>
          <w:b/>
          <w:bCs/>
          <w:noProof/>
          <w:szCs w:val="22"/>
        </w:rPr>
      </w:sdtEndPr>
      <w:sdtContent>
        <w:p w14:paraId="6A617721" w14:textId="5F3CC14E" w:rsidR="00167100" w:rsidRPr="00A5267C" w:rsidRDefault="00167100" w:rsidP="004A3A1A">
          <w:pPr>
            <w:pStyle w:val="TOCHeading"/>
          </w:pPr>
          <w:r w:rsidRPr="00A5267C">
            <w:t>Contents</w:t>
          </w:r>
        </w:p>
        <w:p w14:paraId="10C7A762" w14:textId="527B8669" w:rsidR="003D709C" w:rsidRDefault="00167100">
          <w:pPr>
            <w:pStyle w:val="TOC1"/>
            <w:tabs>
              <w:tab w:val="right" w:leader="dot" w:pos="9016"/>
            </w:tabs>
            <w:rPr>
              <w:rFonts w:asciiTheme="minorHAnsi" w:hAnsiTheme="minorHAnsi"/>
              <w:noProof/>
              <w:kern w:val="2"/>
              <w:sz w:val="24"/>
              <w:szCs w:val="24"/>
              <w:lang w:eastAsia="en-AU"/>
              <w14:ligatures w14:val="standardContextual"/>
            </w:rPr>
          </w:pPr>
          <w:r w:rsidRPr="00A5267C">
            <w:fldChar w:fldCharType="begin"/>
          </w:r>
          <w:r w:rsidRPr="00A5267C">
            <w:instrText xml:space="preserve"> TOC \o "1-2" \h \z \u </w:instrText>
          </w:r>
          <w:r w:rsidRPr="00A5267C">
            <w:fldChar w:fldCharType="separate"/>
          </w:r>
          <w:hyperlink w:anchor="_Toc232522177" w:history="1">
            <w:r w:rsidR="003D709C" w:rsidRPr="0048149C">
              <w:rPr>
                <w:rStyle w:val="Hyperlink"/>
                <w:noProof/>
              </w:rPr>
              <w:t>Introduction</w:t>
            </w:r>
            <w:r w:rsidR="003D709C">
              <w:rPr>
                <w:noProof/>
                <w:webHidden/>
              </w:rPr>
              <w:tab/>
            </w:r>
            <w:r w:rsidR="003D709C">
              <w:rPr>
                <w:noProof/>
                <w:webHidden/>
              </w:rPr>
              <w:fldChar w:fldCharType="begin"/>
            </w:r>
            <w:r w:rsidR="003D709C">
              <w:rPr>
                <w:noProof/>
                <w:webHidden/>
              </w:rPr>
              <w:instrText xml:space="preserve"> PAGEREF _Toc232522177 \h </w:instrText>
            </w:r>
            <w:r w:rsidR="003D709C">
              <w:rPr>
                <w:noProof/>
                <w:webHidden/>
              </w:rPr>
            </w:r>
            <w:r w:rsidR="003D709C">
              <w:rPr>
                <w:noProof/>
                <w:webHidden/>
              </w:rPr>
              <w:fldChar w:fldCharType="separate"/>
            </w:r>
            <w:r w:rsidR="003D709C">
              <w:rPr>
                <w:noProof/>
                <w:webHidden/>
              </w:rPr>
              <w:t>3</w:t>
            </w:r>
            <w:r w:rsidR="003D709C">
              <w:rPr>
                <w:noProof/>
                <w:webHidden/>
              </w:rPr>
              <w:fldChar w:fldCharType="end"/>
            </w:r>
          </w:hyperlink>
        </w:p>
        <w:p w14:paraId="566D0A7B" w14:textId="23C7B343"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78" w:history="1">
            <w:r w:rsidRPr="0048149C">
              <w:rPr>
                <w:rStyle w:val="Hyperlink"/>
                <w:noProof/>
              </w:rPr>
              <w:t>Impact analysis steps</w:t>
            </w:r>
            <w:r>
              <w:rPr>
                <w:noProof/>
                <w:webHidden/>
              </w:rPr>
              <w:tab/>
            </w:r>
            <w:r>
              <w:rPr>
                <w:noProof/>
                <w:webHidden/>
              </w:rPr>
              <w:fldChar w:fldCharType="begin"/>
            </w:r>
            <w:r>
              <w:rPr>
                <w:noProof/>
                <w:webHidden/>
              </w:rPr>
              <w:instrText xml:space="preserve"> PAGEREF _Toc232522178 \h </w:instrText>
            </w:r>
            <w:r>
              <w:rPr>
                <w:noProof/>
                <w:webHidden/>
              </w:rPr>
            </w:r>
            <w:r>
              <w:rPr>
                <w:noProof/>
                <w:webHidden/>
              </w:rPr>
              <w:fldChar w:fldCharType="separate"/>
            </w:r>
            <w:r>
              <w:rPr>
                <w:noProof/>
                <w:webHidden/>
              </w:rPr>
              <w:t>4</w:t>
            </w:r>
            <w:r>
              <w:rPr>
                <w:noProof/>
                <w:webHidden/>
              </w:rPr>
              <w:fldChar w:fldCharType="end"/>
            </w:r>
          </w:hyperlink>
        </w:p>
        <w:p w14:paraId="3037ED25" w14:textId="67E7E6A7"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179" w:history="1">
            <w:r w:rsidRPr="0048149C">
              <w:rPr>
                <w:rStyle w:val="Hyperlink"/>
                <w:rFonts w:eastAsia="Times New Roman"/>
                <w:noProof/>
              </w:rPr>
              <w:t>Step 1: Preliminary analysis</w:t>
            </w:r>
            <w:r>
              <w:rPr>
                <w:noProof/>
                <w:webHidden/>
              </w:rPr>
              <w:tab/>
            </w:r>
            <w:r>
              <w:rPr>
                <w:noProof/>
                <w:webHidden/>
              </w:rPr>
              <w:fldChar w:fldCharType="begin"/>
            </w:r>
            <w:r>
              <w:rPr>
                <w:noProof/>
                <w:webHidden/>
              </w:rPr>
              <w:instrText xml:space="preserve"> PAGEREF _Toc232522179 \h </w:instrText>
            </w:r>
            <w:r>
              <w:rPr>
                <w:noProof/>
                <w:webHidden/>
              </w:rPr>
            </w:r>
            <w:r>
              <w:rPr>
                <w:noProof/>
                <w:webHidden/>
              </w:rPr>
              <w:fldChar w:fldCharType="separate"/>
            </w:r>
            <w:r>
              <w:rPr>
                <w:noProof/>
                <w:webHidden/>
              </w:rPr>
              <w:t>5</w:t>
            </w:r>
            <w:r>
              <w:rPr>
                <w:noProof/>
                <w:webHidden/>
              </w:rPr>
              <w:fldChar w:fldCharType="end"/>
            </w:r>
          </w:hyperlink>
        </w:p>
        <w:p w14:paraId="6C9183D3" w14:textId="00486640"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0" w:history="1">
            <w:r w:rsidRPr="0048149C">
              <w:rPr>
                <w:rStyle w:val="Hyperlink"/>
                <w:noProof/>
              </w:rPr>
              <w:t>What is in scope?</w:t>
            </w:r>
            <w:r>
              <w:rPr>
                <w:noProof/>
                <w:webHidden/>
              </w:rPr>
              <w:tab/>
            </w:r>
            <w:r>
              <w:rPr>
                <w:noProof/>
                <w:webHidden/>
              </w:rPr>
              <w:fldChar w:fldCharType="begin"/>
            </w:r>
            <w:r>
              <w:rPr>
                <w:noProof/>
                <w:webHidden/>
              </w:rPr>
              <w:instrText xml:space="preserve"> PAGEREF _Toc232522180 \h </w:instrText>
            </w:r>
            <w:r>
              <w:rPr>
                <w:noProof/>
                <w:webHidden/>
              </w:rPr>
            </w:r>
            <w:r>
              <w:rPr>
                <w:noProof/>
                <w:webHidden/>
              </w:rPr>
              <w:fldChar w:fldCharType="separate"/>
            </w:r>
            <w:r>
              <w:rPr>
                <w:noProof/>
                <w:webHidden/>
              </w:rPr>
              <w:t>5</w:t>
            </w:r>
            <w:r>
              <w:rPr>
                <w:noProof/>
                <w:webHidden/>
              </w:rPr>
              <w:fldChar w:fldCharType="end"/>
            </w:r>
          </w:hyperlink>
        </w:p>
        <w:p w14:paraId="257B1843" w14:textId="0521E33E"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1" w:history="1">
            <w:r w:rsidRPr="0048149C">
              <w:rPr>
                <w:rStyle w:val="Hyperlink"/>
                <w:noProof/>
              </w:rPr>
              <w:t>What is a regulatory policy proposal?</w:t>
            </w:r>
            <w:r>
              <w:rPr>
                <w:noProof/>
                <w:webHidden/>
              </w:rPr>
              <w:tab/>
            </w:r>
            <w:r>
              <w:rPr>
                <w:noProof/>
                <w:webHidden/>
              </w:rPr>
              <w:fldChar w:fldCharType="begin"/>
            </w:r>
            <w:r>
              <w:rPr>
                <w:noProof/>
                <w:webHidden/>
              </w:rPr>
              <w:instrText xml:space="preserve"> PAGEREF _Toc232522181 \h </w:instrText>
            </w:r>
            <w:r>
              <w:rPr>
                <w:noProof/>
                <w:webHidden/>
              </w:rPr>
            </w:r>
            <w:r>
              <w:rPr>
                <w:noProof/>
                <w:webHidden/>
              </w:rPr>
              <w:fldChar w:fldCharType="separate"/>
            </w:r>
            <w:r>
              <w:rPr>
                <w:noProof/>
                <w:webHidden/>
              </w:rPr>
              <w:t>5</w:t>
            </w:r>
            <w:r>
              <w:rPr>
                <w:noProof/>
                <w:webHidden/>
              </w:rPr>
              <w:fldChar w:fldCharType="end"/>
            </w:r>
          </w:hyperlink>
        </w:p>
        <w:p w14:paraId="7E5E7750" w14:textId="1EB11585"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2" w:history="1">
            <w:r w:rsidRPr="0048149C">
              <w:rPr>
                <w:rStyle w:val="Hyperlink"/>
                <w:noProof/>
              </w:rPr>
              <w:t>What is a material competition impact?</w:t>
            </w:r>
            <w:r>
              <w:rPr>
                <w:noProof/>
                <w:webHidden/>
              </w:rPr>
              <w:tab/>
            </w:r>
            <w:r>
              <w:rPr>
                <w:noProof/>
                <w:webHidden/>
              </w:rPr>
              <w:fldChar w:fldCharType="begin"/>
            </w:r>
            <w:r>
              <w:rPr>
                <w:noProof/>
                <w:webHidden/>
              </w:rPr>
              <w:instrText xml:space="preserve"> PAGEREF _Toc232522182 \h </w:instrText>
            </w:r>
            <w:r>
              <w:rPr>
                <w:noProof/>
                <w:webHidden/>
              </w:rPr>
            </w:r>
            <w:r>
              <w:rPr>
                <w:noProof/>
                <w:webHidden/>
              </w:rPr>
              <w:fldChar w:fldCharType="separate"/>
            </w:r>
            <w:r>
              <w:rPr>
                <w:noProof/>
                <w:webHidden/>
              </w:rPr>
              <w:t>6</w:t>
            </w:r>
            <w:r>
              <w:rPr>
                <w:noProof/>
                <w:webHidden/>
              </w:rPr>
              <w:fldChar w:fldCharType="end"/>
            </w:r>
          </w:hyperlink>
        </w:p>
        <w:p w14:paraId="09142204" w14:textId="507BADC7"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3" w:history="1">
            <w:r w:rsidRPr="0048149C">
              <w:rPr>
                <w:rStyle w:val="Hyperlink"/>
                <w:noProof/>
              </w:rPr>
              <w:t>Preliminary analysis of regulatory burden (IA threshold 1)</w:t>
            </w:r>
            <w:r>
              <w:rPr>
                <w:noProof/>
                <w:webHidden/>
              </w:rPr>
              <w:tab/>
            </w:r>
            <w:r>
              <w:rPr>
                <w:noProof/>
                <w:webHidden/>
              </w:rPr>
              <w:fldChar w:fldCharType="begin"/>
            </w:r>
            <w:r>
              <w:rPr>
                <w:noProof/>
                <w:webHidden/>
              </w:rPr>
              <w:instrText xml:space="preserve"> PAGEREF _Toc232522183 \h </w:instrText>
            </w:r>
            <w:r>
              <w:rPr>
                <w:noProof/>
                <w:webHidden/>
              </w:rPr>
            </w:r>
            <w:r>
              <w:rPr>
                <w:noProof/>
                <w:webHidden/>
              </w:rPr>
              <w:fldChar w:fldCharType="separate"/>
            </w:r>
            <w:r>
              <w:rPr>
                <w:noProof/>
                <w:webHidden/>
              </w:rPr>
              <w:t>7</w:t>
            </w:r>
            <w:r>
              <w:rPr>
                <w:noProof/>
                <w:webHidden/>
              </w:rPr>
              <w:fldChar w:fldCharType="end"/>
            </w:r>
          </w:hyperlink>
        </w:p>
        <w:p w14:paraId="6469A0EF" w14:textId="6044CE29"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4" w:history="1">
            <w:r w:rsidRPr="0048149C">
              <w:rPr>
                <w:rStyle w:val="Hyperlink"/>
                <w:noProof/>
              </w:rPr>
              <w:t>Preliminary analysis of material economic and social impacts (IA threshold 2)</w:t>
            </w:r>
            <w:r>
              <w:rPr>
                <w:noProof/>
                <w:webHidden/>
              </w:rPr>
              <w:tab/>
            </w:r>
            <w:r>
              <w:rPr>
                <w:noProof/>
                <w:webHidden/>
              </w:rPr>
              <w:fldChar w:fldCharType="begin"/>
            </w:r>
            <w:r>
              <w:rPr>
                <w:noProof/>
                <w:webHidden/>
              </w:rPr>
              <w:instrText xml:space="preserve"> PAGEREF _Toc232522184 \h </w:instrText>
            </w:r>
            <w:r>
              <w:rPr>
                <w:noProof/>
                <w:webHidden/>
              </w:rPr>
            </w:r>
            <w:r>
              <w:rPr>
                <w:noProof/>
                <w:webHidden/>
              </w:rPr>
              <w:fldChar w:fldCharType="separate"/>
            </w:r>
            <w:r>
              <w:rPr>
                <w:noProof/>
                <w:webHidden/>
              </w:rPr>
              <w:t>8</w:t>
            </w:r>
            <w:r>
              <w:rPr>
                <w:noProof/>
                <w:webHidden/>
              </w:rPr>
              <w:fldChar w:fldCharType="end"/>
            </w:r>
          </w:hyperlink>
        </w:p>
        <w:p w14:paraId="434FD47B" w14:textId="5BF80741"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5" w:history="1">
            <w:r w:rsidRPr="0048149C">
              <w:rPr>
                <w:rStyle w:val="Hyperlink"/>
                <w:noProof/>
              </w:rPr>
              <w:t>Preliminary analysis of distributional impacts (IA threshold 3)</w:t>
            </w:r>
            <w:r>
              <w:rPr>
                <w:noProof/>
                <w:webHidden/>
              </w:rPr>
              <w:tab/>
            </w:r>
            <w:r>
              <w:rPr>
                <w:noProof/>
                <w:webHidden/>
              </w:rPr>
              <w:fldChar w:fldCharType="begin"/>
            </w:r>
            <w:r>
              <w:rPr>
                <w:noProof/>
                <w:webHidden/>
              </w:rPr>
              <w:instrText xml:space="preserve"> PAGEREF _Toc232522185 \h </w:instrText>
            </w:r>
            <w:r>
              <w:rPr>
                <w:noProof/>
                <w:webHidden/>
              </w:rPr>
            </w:r>
            <w:r>
              <w:rPr>
                <w:noProof/>
                <w:webHidden/>
              </w:rPr>
              <w:fldChar w:fldCharType="separate"/>
            </w:r>
            <w:r>
              <w:rPr>
                <w:noProof/>
                <w:webHidden/>
              </w:rPr>
              <w:t>9</w:t>
            </w:r>
            <w:r>
              <w:rPr>
                <w:noProof/>
                <w:webHidden/>
              </w:rPr>
              <w:fldChar w:fldCharType="end"/>
            </w:r>
          </w:hyperlink>
        </w:p>
        <w:p w14:paraId="68973C7C" w14:textId="59E77F54"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6" w:history="1">
            <w:r w:rsidRPr="0048149C">
              <w:rPr>
                <w:rStyle w:val="Hyperlink"/>
                <w:noProof/>
              </w:rPr>
              <w:t>Are there any exemptions from scope?</w:t>
            </w:r>
            <w:r>
              <w:rPr>
                <w:noProof/>
                <w:webHidden/>
              </w:rPr>
              <w:tab/>
            </w:r>
            <w:r>
              <w:rPr>
                <w:noProof/>
                <w:webHidden/>
              </w:rPr>
              <w:fldChar w:fldCharType="begin"/>
            </w:r>
            <w:r>
              <w:rPr>
                <w:noProof/>
                <w:webHidden/>
              </w:rPr>
              <w:instrText xml:space="preserve"> PAGEREF _Toc232522186 \h </w:instrText>
            </w:r>
            <w:r>
              <w:rPr>
                <w:noProof/>
                <w:webHidden/>
              </w:rPr>
            </w:r>
            <w:r>
              <w:rPr>
                <w:noProof/>
                <w:webHidden/>
              </w:rPr>
              <w:fldChar w:fldCharType="separate"/>
            </w:r>
            <w:r>
              <w:rPr>
                <w:noProof/>
                <w:webHidden/>
              </w:rPr>
              <w:t>10</w:t>
            </w:r>
            <w:r>
              <w:rPr>
                <w:noProof/>
                <w:webHidden/>
              </w:rPr>
              <w:fldChar w:fldCharType="end"/>
            </w:r>
          </w:hyperlink>
        </w:p>
        <w:p w14:paraId="0CF85E08" w14:textId="7A3E9E93"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187" w:history="1">
            <w:r w:rsidRPr="0048149C">
              <w:rPr>
                <w:rStyle w:val="Hyperlink"/>
                <w:noProof/>
              </w:rPr>
              <w:t>Step 2: Impact analysis</w:t>
            </w:r>
            <w:r>
              <w:rPr>
                <w:noProof/>
                <w:webHidden/>
              </w:rPr>
              <w:tab/>
            </w:r>
            <w:r>
              <w:rPr>
                <w:noProof/>
                <w:webHidden/>
              </w:rPr>
              <w:fldChar w:fldCharType="begin"/>
            </w:r>
            <w:r>
              <w:rPr>
                <w:noProof/>
                <w:webHidden/>
              </w:rPr>
              <w:instrText xml:space="preserve"> PAGEREF _Toc232522187 \h </w:instrText>
            </w:r>
            <w:r>
              <w:rPr>
                <w:noProof/>
                <w:webHidden/>
              </w:rPr>
            </w:r>
            <w:r>
              <w:rPr>
                <w:noProof/>
                <w:webHidden/>
              </w:rPr>
              <w:fldChar w:fldCharType="separate"/>
            </w:r>
            <w:r>
              <w:rPr>
                <w:noProof/>
                <w:webHidden/>
              </w:rPr>
              <w:t>11</w:t>
            </w:r>
            <w:r>
              <w:rPr>
                <w:noProof/>
                <w:webHidden/>
              </w:rPr>
              <w:fldChar w:fldCharType="end"/>
            </w:r>
          </w:hyperlink>
        </w:p>
        <w:p w14:paraId="2F3C0B7C" w14:textId="3DFD4FFE"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8" w:history="1">
            <w:r w:rsidRPr="0048149C">
              <w:rPr>
                <w:rStyle w:val="Hyperlink"/>
                <w:noProof/>
              </w:rPr>
              <w:t>General approach</w:t>
            </w:r>
            <w:r>
              <w:rPr>
                <w:noProof/>
                <w:webHidden/>
              </w:rPr>
              <w:tab/>
            </w:r>
            <w:r>
              <w:rPr>
                <w:noProof/>
                <w:webHidden/>
              </w:rPr>
              <w:fldChar w:fldCharType="begin"/>
            </w:r>
            <w:r>
              <w:rPr>
                <w:noProof/>
                <w:webHidden/>
              </w:rPr>
              <w:instrText xml:space="preserve"> PAGEREF _Toc232522188 \h </w:instrText>
            </w:r>
            <w:r>
              <w:rPr>
                <w:noProof/>
                <w:webHidden/>
              </w:rPr>
            </w:r>
            <w:r>
              <w:rPr>
                <w:noProof/>
                <w:webHidden/>
              </w:rPr>
              <w:fldChar w:fldCharType="separate"/>
            </w:r>
            <w:r>
              <w:rPr>
                <w:noProof/>
                <w:webHidden/>
              </w:rPr>
              <w:t>11</w:t>
            </w:r>
            <w:r>
              <w:rPr>
                <w:noProof/>
                <w:webHidden/>
              </w:rPr>
              <w:fldChar w:fldCharType="end"/>
            </w:r>
          </w:hyperlink>
        </w:p>
        <w:p w14:paraId="2D915ED4" w14:textId="2A8DDE34"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89" w:history="1">
            <w:r w:rsidRPr="0048149C">
              <w:rPr>
                <w:rStyle w:val="Hyperlink"/>
                <w:noProof/>
              </w:rPr>
              <w:t>Detailed IA: additional guidance</w:t>
            </w:r>
            <w:r>
              <w:rPr>
                <w:noProof/>
                <w:webHidden/>
              </w:rPr>
              <w:tab/>
            </w:r>
            <w:r>
              <w:rPr>
                <w:noProof/>
                <w:webHidden/>
              </w:rPr>
              <w:fldChar w:fldCharType="begin"/>
            </w:r>
            <w:r>
              <w:rPr>
                <w:noProof/>
                <w:webHidden/>
              </w:rPr>
              <w:instrText xml:space="preserve"> PAGEREF _Toc232522189 \h </w:instrText>
            </w:r>
            <w:r>
              <w:rPr>
                <w:noProof/>
                <w:webHidden/>
              </w:rPr>
            </w:r>
            <w:r>
              <w:rPr>
                <w:noProof/>
                <w:webHidden/>
              </w:rPr>
              <w:fldChar w:fldCharType="separate"/>
            </w:r>
            <w:r>
              <w:rPr>
                <w:noProof/>
                <w:webHidden/>
              </w:rPr>
              <w:t>12</w:t>
            </w:r>
            <w:r>
              <w:rPr>
                <w:noProof/>
                <w:webHidden/>
              </w:rPr>
              <w:fldChar w:fldCharType="end"/>
            </w:r>
          </w:hyperlink>
        </w:p>
        <w:p w14:paraId="3CEFA922" w14:textId="453953EE"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190" w:history="1">
            <w:r w:rsidRPr="0048149C">
              <w:rPr>
                <w:rStyle w:val="Hyperlink"/>
                <w:rFonts w:eastAsia="Times New Roman"/>
                <w:noProof/>
              </w:rPr>
              <w:t>Step 3: Assess the IA</w:t>
            </w:r>
            <w:r>
              <w:rPr>
                <w:noProof/>
                <w:webHidden/>
              </w:rPr>
              <w:tab/>
            </w:r>
            <w:r>
              <w:rPr>
                <w:noProof/>
                <w:webHidden/>
              </w:rPr>
              <w:fldChar w:fldCharType="begin"/>
            </w:r>
            <w:r>
              <w:rPr>
                <w:noProof/>
                <w:webHidden/>
              </w:rPr>
              <w:instrText xml:space="preserve"> PAGEREF _Toc232522190 \h </w:instrText>
            </w:r>
            <w:r>
              <w:rPr>
                <w:noProof/>
                <w:webHidden/>
              </w:rPr>
            </w:r>
            <w:r>
              <w:rPr>
                <w:noProof/>
                <w:webHidden/>
              </w:rPr>
              <w:fldChar w:fldCharType="separate"/>
            </w:r>
            <w:r>
              <w:rPr>
                <w:noProof/>
                <w:webHidden/>
              </w:rPr>
              <w:t>13</w:t>
            </w:r>
            <w:r>
              <w:rPr>
                <w:noProof/>
                <w:webHidden/>
              </w:rPr>
              <w:fldChar w:fldCharType="end"/>
            </w:r>
          </w:hyperlink>
        </w:p>
        <w:p w14:paraId="51384715" w14:textId="4B1A7DCE"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1" w:history="1">
            <w:r w:rsidRPr="0048149C">
              <w:rPr>
                <w:rStyle w:val="Hyperlink"/>
                <w:noProof/>
              </w:rPr>
              <w:t>Statement of Sufficiency</w:t>
            </w:r>
            <w:r>
              <w:rPr>
                <w:noProof/>
                <w:webHidden/>
              </w:rPr>
              <w:tab/>
            </w:r>
            <w:r>
              <w:rPr>
                <w:noProof/>
                <w:webHidden/>
              </w:rPr>
              <w:fldChar w:fldCharType="begin"/>
            </w:r>
            <w:r>
              <w:rPr>
                <w:noProof/>
                <w:webHidden/>
              </w:rPr>
              <w:instrText xml:space="preserve"> PAGEREF _Toc232522191 \h </w:instrText>
            </w:r>
            <w:r>
              <w:rPr>
                <w:noProof/>
                <w:webHidden/>
              </w:rPr>
            </w:r>
            <w:r>
              <w:rPr>
                <w:noProof/>
                <w:webHidden/>
              </w:rPr>
              <w:fldChar w:fldCharType="separate"/>
            </w:r>
            <w:r>
              <w:rPr>
                <w:noProof/>
                <w:webHidden/>
              </w:rPr>
              <w:t>13</w:t>
            </w:r>
            <w:r>
              <w:rPr>
                <w:noProof/>
                <w:webHidden/>
              </w:rPr>
              <w:fldChar w:fldCharType="end"/>
            </w:r>
          </w:hyperlink>
        </w:p>
        <w:p w14:paraId="770BC046" w14:textId="409E9952"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2" w:history="1">
            <w:r w:rsidRPr="0048149C">
              <w:rPr>
                <w:rStyle w:val="Hyperlink"/>
                <w:noProof/>
              </w:rPr>
              <w:t>Self-Assessment Tool</w:t>
            </w:r>
            <w:r>
              <w:rPr>
                <w:noProof/>
                <w:webHidden/>
              </w:rPr>
              <w:tab/>
            </w:r>
            <w:r>
              <w:rPr>
                <w:noProof/>
                <w:webHidden/>
              </w:rPr>
              <w:fldChar w:fldCharType="begin"/>
            </w:r>
            <w:r>
              <w:rPr>
                <w:noProof/>
                <w:webHidden/>
              </w:rPr>
              <w:instrText xml:space="preserve"> PAGEREF _Toc232522192 \h </w:instrText>
            </w:r>
            <w:r>
              <w:rPr>
                <w:noProof/>
                <w:webHidden/>
              </w:rPr>
            </w:r>
            <w:r>
              <w:rPr>
                <w:noProof/>
                <w:webHidden/>
              </w:rPr>
              <w:fldChar w:fldCharType="separate"/>
            </w:r>
            <w:r>
              <w:rPr>
                <w:noProof/>
                <w:webHidden/>
              </w:rPr>
              <w:t>13</w:t>
            </w:r>
            <w:r>
              <w:rPr>
                <w:noProof/>
                <w:webHidden/>
              </w:rPr>
              <w:fldChar w:fldCharType="end"/>
            </w:r>
          </w:hyperlink>
        </w:p>
        <w:p w14:paraId="18DC40DB" w14:textId="29E25F6E"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193" w:history="1">
            <w:r w:rsidRPr="0048149C">
              <w:rPr>
                <w:rStyle w:val="Hyperlink"/>
                <w:rFonts w:eastAsia="Times New Roman"/>
                <w:noProof/>
              </w:rPr>
              <w:t>Step 4: Policy decision</w:t>
            </w:r>
            <w:r>
              <w:rPr>
                <w:noProof/>
                <w:webHidden/>
              </w:rPr>
              <w:tab/>
            </w:r>
            <w:r>
              <w:rPr>
                <w:noProof/>
                <w:webHidden/>
              </w:rPr>
              <w:fldChar w:fldCharType="begin"/>
            </w:r>
            <w:r>
              <w:rPr>
                <w:noProof/>
                <w:webHidden/>
              </w:rPr>
              <w:instrText xml:space="preserve"> PAGEREF _Toc232522193 \h </w:instrText>
            </w:r>
            <w:r>
              <w:rPr>
                <w:noProof/>
                <w:webHidden/>
              </w:rPr>
            </w:r>
            <w:r>
              <w:rPr>
                <w:noProof/>
                <w:webHidden/>
              </w:rPr>
              <w:fldChar w:fldCharType="separate"/>
            </w:r>
            <w:r>
              <w:rPr>
                <w:noProof/>
                <w:webHidden/>
              </w:rPr>
              <w:t>14</w:t>
            </w:r>
            <w:r>
              <w:rPr>
                <w:noProof/>
                <w:webHidden/>
              </w:rPr>
              <w:fldChar w:fldCharType="end"/>
            </w:r>
          </w:hyperlink>
        </w:p>
        <w:p w14:paraId="54B0DC1C" w14:textId="2DFB9F93"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4" w:history="1">
            <w:r w:rsidRPr="0048149C">
              <w:rPr>
                <w:rStyle w:val="Hyperlink"/>
                <w:noProof/>
                <w:lang w:val="en-US"/>
              </w:rPr>
              <w:t>Decision-making</w:t>
            </w:r>
            <w:r>
              <w:rPr>
                <w:noProof/>
                <w:webHidden/>
              </w:rPr>
              <w:tab/>
            </w:r>
            <w:r>
              <w:rPr>
                <w:noProof/>
                <w:webHidden/>
              </w:rPr>
              <w:fldChar w:fldCharType="begin"/>
            </w:r>
            <w:r>
              <w:rPr>
                <w:noProof/>
                <w:webHidden/>
              </w:rPr>
              <w:instrText xml:space="preserve"> PAGEREF _Toc232522194 \h </w:instrText>
            </w:r>
            <w:r>
              <w:rPr>
                <w:noProof/>
                <w:webHidden/>
              </w:rPr>
            </w:r>
            <w:r>
              <w:rPr>
                <w:noProof/>
                <w:webHidden/>
              </w:rPr>
              <w:fldChar w:fldCharType="separate"/>
            </w:r>
            <w:r>
              <w:rPr>
                <w:noProof/>
                <w:webHidden/>
              </w:rPr>
              <w:t>14</w:t>
            </w:r>
            <w:r>
              <w:rPr>
                <w:noProof/>
                <w:webHidden/>
              </w:rPr>
              <w:fldChar w:fldCharType="end"/>
            </w:r>
          </w:hyperlink>
        </w:p>
        <w:p w14:paraId="1FF9141C" w14:textId="2431AF2A"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5" w:history="1">
            <w:r w:rsidRPr="0048149C">
              <w:rPr>
                <w:rStyle w:val="Hyperlink"/>
                <w:noProof/>
              </w:rPr>
              <w:t>What is a key decision?</w:t>
            </w:r>
            <w:r>
              <w:rPr>
                <w:noProof/>
                <w:webHidden/>
              </w:rPr>
              <w:tab/>
            </w:r>
            <w:r>
              <w:rPr>
                <w:noProof/>
                <w:webHidden/>
              </w:rPr>
              <w:fldChar w:fldCharType="begin"/>
            </w:r>
            <w:r>
              <w:rPr>
                <w:noProof/>
                <w:webHidden/>
              </w:rPr>
              <w:instrText xml:space="preserve"> PAGEREF _Toc232522195 \h </w:instrText>
            </w:r>
            <w:r>
              <w:rPr>
                <w:noProof/>
                <w:webHidden/>
              </w:rPr>
            </w:r>
            <w:r>
              <w:rPr>
                <w:noProof/>
                <w:webHidden/>
              </w:rPr>
              <w:fldChar w:fldCharType="separate"/>
            </w:r>
            <w:r>
              <w:rPr>
                <w:noProof/>
                <w:webHidden/>
              </w:rPr>
              <w:t>15</w:t>
            </w:r>
            <w:r>
              <w:rPr>
                <w:noProof/>
                <w:webHidden/>
              </w:rPr>
              <w:fldChar w:fldCharType="end"/>
            </w:r>
          </w:hyperlink>
        </w:p>
        <w:p w14:paraId="31854C44" w14:textId="6DB6626E"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196" w:history="1">
            <w:r w:rsidRPr="0048149C">
              <w:rPr>
                <w:rStyle w:val="Hyperlink"/>
                <w:noProof/>
              </w:rPr>
              <w:t>Step 5: Publication and reporting</w:t>
            </w:r>
            <w:r>
              <w:rPr>
                <w:noProof/>
                <w:webHidden/>
              </w:rPr>
              <w:tab/>
            </w:r>
            <w:r>
              <w:rPr>
                <w:noProof/>
                <w:webHidden/>
              </w:rPr>
              <w:fldChar w:fldCharType="begin"/>
            </w:r>
            <w:r>
              <w:rPr>
                <w:noProof/>
                <w:webHidden/>
              </w:rPr>
              <w:instrText xml:space="preserve"> PAGEREF _Toc232522196 \h </w:instrText>
            </w:r>
            <w:r>
              <w:rPr>
                <w:noProof/>
                <w:webHidden/>
              </w:rPr>
            </w:r>
            <w:r>
              <w:rPr>
                <w:noProof/>
                <w:webHidden/>
              </w:rPr>
              <w:fldChar w:fldCharType="separate"/>
            </w:r>
            <w:r>
              <w:rPr>
                <w:noProof/>
                <w:webHidden/>
              </w:rPr>
              <w:t>16</w:t>
            </w:r>
            <w:r>
              <w:rPr>
                <w:noProof/>
                <w:webHidden/>
              </w:rPr>
              <w:fldChar w:fldCharType="end"/>
            </w:r>
          </w:hyperlink>
        </w:p>
        <w:p w14:paraId="61CB9B3A" w14:textId="3D28A1BB"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7" w:history="1">
            <w:r w:rsidRPr="0048149C">
              <w:rPr>
                <w:rStyle w:val="Hyperlink"/>
                <w:noProof/>
              </w:rPr>
              <w:t>What is published?</w:t>
            </w:r>
            <w:r>
              <w:rPr>
                <w:noProof/>
                <w:webHidden/>
              </w:rPr>
              <w:tab/>
            </w:r>
            <w:r>
              <w:rPr>
                <w:noProof/>
                <w:webHidden/>
              </w:rPr>
              <w:fldChar w:fldCharType="begin"/>
            </w:r>
            <w:r>
              <w:rPr>
                <w:noProof/>
                <w:webHidden/>
              </w:rPr>
              <w:instrText xml:space="preserve"> PAGEREF _Toc232522197 \h </w:instrText>
            </w:r>
            <w:r>
              <w:rPr>
                <w:noProof/>
                <w:webHidden/>
              </w:rPr>
            </w:r>
            <w:r>
              <w:rPr>
                <w:noProof/>
                <w:webHidden/>
              </w:rPr>
              <w:fldChar w:fldCharType="separate"/>
            </w:r>
            <w:r>
              <w:rPr>
                <w:noProof/>
                <w:webHidden/>
              </w:rPr>
              <w:t>16</w:t>
            </w:r>
            <w:r>
              <w:rPr>
                <w:noProof/>
                <w:webHidden/>
              </w:rPr>
              <w:fldChar w:fldCharType="end"/>
            </w:r>
          </w:hyperlink>
        </w:p>
        <w:p w14:paraId="5B0EE7B2" w14:textId="2B7999C5"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8" w:history="1">
            <w:r w:rsidRPr="0048149C">
              <w:rPr>
                <w:rStyle w:val="Hyperlink"/>
                <w:noProof/>
              </w:rPr>
              <w:t>When and where is it published?</w:t>
            </w:r>
            <w:r>
              <w:rPr>
                <w:noProof/>
                <w:webHidden/>
              </w:rPr>
              <w:tab/>
            </w:r>
            <w:r>
              <w:rPr>
                <w:noProof/>
                <w:webHidden/>
              </w:rPr>
              <w:fldChar w:fldCharType="begin"/>
            </w:r>
            <w:r>
              <w:rPr>
                <w:noProof/>
                <w:webHidden/>
              </w:rPr>
              <w:instrText xml:space="preserve"> PAGEREF _Toc232522198 \h </w:instrText>
            </w:r>
            <w:r>
              <w:rPr>
                <w:noProof/>
                <w:webHidden/>
              </w:rPr>
            </w:r>
            <w:r>
              <w:rPr>
                <w:noProof/>
                <w:webHidden/>
              </w:rPr>
              <w:fldChar w:fldCharType="separate"/>
            </w:r>
            <w:r>
              <w:rPr>
                <w:noProof/>
                <w:webHidden/>
              </w:rPr>
              <w:t>17</w:t>
            </w:r>
            <w:r>
              <w:rPr>
                <w:noProof/>
                <w:webHidden/>
              </w:rPr>
              <w:fldChar w:fldCharType="end"/>
            </w:r>
          </w:hyperlink>
        </w:p>
        <w:p w14:paraId="65DB7985" w14:textId="4FAD921F"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199" w:history="1">
            <w:r w:rsidRPr="0048149C">
              <w:rPr>
                <w:rStyle w:val="Hyperlink"/>
                <w:noProof/>
              </w:rPr>
              <w:t>Publishing Prime Minister’s exemptions</w:t>
            </w:r>
            <w:r>
              <w:rPr>
                <w:noProof/>
                <w:webHidden/>
              </w:rPr>
              <w:tab/>
            </w:r>
            <w:r>
              <w:rPr>
                <w:noProof/>
                <w:webHidden/>
              </w:rPr>
              <w:fldChar w:fldCharType="begin"/>
            </w:r>
            <w:r>
              <w:rPr>
                <w:noProof/>
                <w:webHidden/>
              </w:rPr>
              <w:instrText xml:space="preserve"> PAGEREF _Toc232522199 \h </w:instrText>
            </w:r>
            <w:r>
              <w:rPr>
                <w:noProof/>
                <w:webHidden/>
              </w:rPr>
            </w:r>
            <w:r>
              <w:rPr>
                <w:noProof/>
                <w:webHidden/>
              </w:rPr>
              <w:fldChar w:fldCharType="separate"/>
            </w:r>
            <w:r>
              <w:rPr>
                <w:noProof/>
                <w:webHidden/>
              </w:rPr>
              <w:t>17</w:t>
            </w:r>
            <w:r>
              <w:rPr>
                <w:noProof/>
                <w:webHidden/>
              </w:rPr>
              <w:fldChar w:fldCharType="end"/>
            </w:r>
          </w:hyperlink>
        </w:p>
        <w:p w14:paraId="2FD1C5B3" w14:textId="2BF874E0"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0" w:history="1">
            <w:r w:rsidRPr="0048149C">
              <w:rPr>
                <w:rStyle w:val="Hyperlink"/>
                <w:noProof/>
              </w:rPr>
              <w:t>How should confidential or sensitive information be treated?</w:t>
            </w:r>
            <w:r>
              <w:rPr>
                <w:noProof/>
                <w:webHidden/>
              </w:rPr>
              <w:tab/>
            </w:r>
            <w:r>
              <w:rPr>
                <w:noProof/>
                <w:webHidden/>
              </w:rPr>
              <w:fldChar w:fldCharType="begin"/>
            </w:r>
            <w:r>
              <w:rPr>
                <w:noProof/>
                <w:webHidden/>
              </w:rPr>
              <w:instrText xml:space="preserve"> PAGEREF _Toc232522200 \h </w:instrText>
            </w:r>
            <w:r>
              <w:rPr>
                <w:noProof/>
                <w:webHidden/>
              </w:rPr>
            </w:r>
            <w:r>
              <w:rPr>
                <w:noProof/>
                <w:webHidden/>
              </w:rPr>
              <w:fldChar w:fldCharType="separate"/>
            </w:r>
            <w:r>
              <w:rPr>
                <w:noProof/>
                <w:webHidden/>
              </w:rPr>
              <w:t>18</w:t>
            </w:r>
            <w:r>
              <w:rPr>
                <w:noProof/>
                <w:webHidden/>
              </w:rPr>
              <w:fldChar w:fldCharType="end"/>
            </w:r>
          </w:hyperlink>
        </w:p>
        <w:p w14:paraId="1D9A2A76" w14:textId="5E62C476"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1" w:history="1">
            <w:r w:rsidRPr="0048149C">
              <w:rPr>
                <w:rStyle w:val="Hyperlink"/>
                <w:noProof/>
              </w:rPr>
              <w:t>Providing additional information after the final decision</w:t>
            </w:r>
            <w:r>
              <w:rPr>
                <w:noProof/>
                <w:webHidden/>
              </w:rPr>
              <w:tab/>
            </w:r>
            <w:r>
              <w:rPr>
                <w:noProof/>
                <w:webHidden/>
              </w:rPr>
              <w:fldChar w:fldCharType="begin"/>
            </w:r>
            <w:r>
              <w:rPr>
                <w:noProof/>
                <w:webHidden/>
              </w:rPr>
              <w:instrText xml:space="preserve"> PAGEREF _Toc232522201 \h </w:instrText>
            </w:r>
            <w:r>
              <w:rPr>
                <w:noProof/>
                <w:webHidden/>
              </w:rPr>
            </w:r>
            <w:r>
              <w:rPr>
                <w:noProof/>
                <w:webHidden/>
              </w:rPr>
              <w:fldChar w:fldCharType="separate"/>
            </w:r>
            <w:r>
              <w:rPr>
                <w:noProof/>
                <w:webHidden/>
              </w:rPr>
              <w:t>18</w:t>
            </w:r>
            <w:r>
              <w:rPr>
                <w:noProof/>
                <w:webHidden/>
              </w:rPr>
              <w:fldChar w:fldCharType="end"/>
            </w:r>
          </w:hyperlink>
        </w:p>
        <w:p w14:paraId="3E5BC0D1" w14:textId="42839CD6"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2" w:history="1">
            <w:r w:rsidRPr="0048149C">
              <w:rPr>
                <w:rStyle w:val="Hyperlink"/>
                <w:noProof/>
              </w:rPr>
              <w:t>Agency reporting requirements</w:t>
            </w:r>
            <w:r>
              <w:rPr>
                <w:noProof/>
                <w:webHidden/>
              </w:rPr>
              <w:tab/>
            </w:r>
            <w:r>
              <w:rPr>
                <w:noProof/>
                <w:webHidden/>
              </w:rPr>
              <w:fldChar w:fldCharType="begin"/>
            </w:r>
            <w:r>
              <w:rPr>
                <w:noProof/>
                <w:webHidden/>
              </w:rPr>
              <w:instrText xml:space="preserve"> PAGEREF _Toc232522202 \h </w:instrText>
            </w:r>
            <w:r>
              <w:rPr>
                <w:noProof/>
                <w:webHidden/>
              </w:rPr>
            </w:r>
            <w:r>
              <w:rPr>
                <w:noProof/>
                <w:webHidden/>
              </w:rPr>
              <w:fldChar w:fldCharType="separate"/>
            </w:r>
            <w:r>
              <w:rPr>
                <w:noProof/>
                <w:webHidden/>
              </w:rPr>
              <w:t>19</w:t>
            </w:r>
            <w:r>
              <w:rPr>
                <w:noProof/>
                <w:webHidden/>
              </w:rPr>
              <w:fldChar w:fldCharType="end"/>
            </w:r>
          </w:hyperlink>
        </w:p>
        <w:p w14:paraId="6100E47F" w14:textId="6C5F463B"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3" w:history="1">
            <w:r w:rsidRPr="0048149C">
              <w:rPr>
                <w:rStyle w:val="Hyperlink"/>
                <w:noProof/>
              </w:rPr>
              <w:t>Web accessibility and publication standards</w:t>
            </w:r>
            <w:r>
              <w:rPr>
                <w:noProof/>
                <w:webHidden/>
              </w:rPr>
              <w:tab/>
            </w:r>
            <w:r>
              <w:rPr>
                <w:noProof/>
                <w:webHidden/>
              </w:rPr>
              <w:fldChar w:fldCharType="begin"/>
            </w:r>
            <w:r>
              <w:rPr>
                <w:noProof/>
                <w:webHidden/>
              </w:rPr>
              <w:instrText xml:space="preserve"> PAGEREF _Toc232522203 \h </w:instrText>
            </w:r>
            <w:r>
              <w:rPr>
                <w:noProof/>
                <w:webHidden/>
              </w:rPr>
            </w:r>
            <w:r>
              <w:rPr>
                <w:noProof/>
                <w:webHidden/>
              </w:rPr>
              <w:fldChar w:fldCharType="separate"/>
            </w:r>
            <w:r>
              <w:rPr>
                <w:noProof/>
                <w:webHidden/>
              </w:rPr>
              <w:t>20</w:t>
            </w:r>
            <w:r>
              <w:rPr>
                <w:noProof/>
                <w:webHidden/>
              </w:rPr>
              <w:fldChar w:fldCharType="end"/>
            </w:r>
          </w:hyperlink>
        </w:p>
        <w:p w14:paraId="7A4ABC6B" w14:textId="549A7111"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204" w:history="1">
            <w:r w:rsidRPr="0048149C">
              <w:rPr>
                <w:rStyle w:val="Hyperlink"/>
                <w:rFonts w:eastAsia="Times New Roman"/>
                <w:noProof/>
              </w:rPr>
              <w:t>Special cases – additional guidance</w:t>
            </w:r>
            <w:r>
              <w:rPr>
                <w:noProof/>
                <w:webHidden/>
              </w:rPr>
              <w:tab/>
            </w:r>
            <w:r>
              <w:rPr>
                <w:noProof/>
                <w:webHidden/>
              </w:rPr>
              <w:fldChar w:fldCharType="begin"/>
            </w:r>
            <w:r>
              <w:rPr>
                <w:noProof/>
                <w:webHidden/>
              </w:rPr>
              <w:instrText xml:space="preserve"> PAGEREF _Toc232522204 \h </w:instrText>
            </w:r>
            <w:r>
              <w:rPr>
                <w:noProof/>
                <w:webHidden/>
              </w:rPr>
            </w:r>
            <w:r>
              <w:rPr>
                <w:noProof/>
                <w:webHidden/>
              </w:rPr>
              <w:fldChar w:fldCharType="separate"/>
            </w:r>
            <w:r>
              <w:rPr>
                <w:noProof/>
                <w:webHidden/>
              </w:rPr>
              <w:t>21</w:t>
            </w:r>
            <w:r>
              <w:rPr>
                <w:noProof/>
                <w:webHidden/>
              </w:rPr>
              <w:fldChar w:fldCharType="end"/>
            </w:r>
          </w:hyperlink>
        </w:p>
        <w:p w14:paraId="202B3E5F" w14:textId="7E5325C3"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5" w:history="1">
            <w:r w:rsidRPr="0048149C">
              <w:rPr>
                <w:rStyle w:val="Hyperlink"/>
                <w:noProof/>
              </w:rPr>
              <w:t>Sunsetting legislative instruments</w:t>
            </w:r>
            <w:r>
              <w:rPr>
                <w:noProof/>
                <w:webHidden/>
              </w:rPr>
              <w:tab/>
            </w:r>
            <w:r>
              <w:rPr>
                <w:noProof/>
                <w:webHidden/>
              </w:rPr>
              <w:fldChar w:fldCharType="begin"/>
            </w:r>
            <w:r>
              <w:rPr>
                <w:noProof/>
                <w:webHidden/>
              </w:rPr>
              <w:instrText xml:space="preserve"> PAGEREF _Toc232522205 \h </w:instrText>
            </w:r>
            <w:r>
              <w:rPr>
                <w:noProof/>
                <w:webHidden/>
              </w:rPr>
            </w:r>
            <w:r>
              <w:rPr>
                <w:noProof/>
                <w:webHidden/>
              </w:rPr>
              <w:fldChar w:fldCharType="separate"/>
            </w:r>
            <w:r>
              <w:rPr>
                <w:noProof/>
                <w:webHidden/>
              </w:rPr>
              <w:t>21</w:t>
            </w:r>
            <w:r>
              <w:rPr>
                <w:noProof/>
                <w:webHidden/>
              </w:rPr>
              <w:fldChar w:fldCharType="end"/>
            </w:r>
          </w:hyperlink>
        </w:p>
        <w:p w14:paraId="360492C3" w14:textId="6B46103A" w:rsidR="003D709C" w:rsidRDefault="003D709C">
          <w:pPr>
            <w:pStyle w:val="TOC2"/>
            <w:tabs>
              <w:tab w:val="right" w:leader="dot" w:pos="9016"/>
            </w:tabs>
            <w:rPr>
              <w:rFonts w:asciiTheme="minorHAnsi" w:hAnsiTheme="minorHAnsi"/>
              <w:noProof/>
              <w:kern w:val="2"/>
              <w:sz w:val="24"/>
              <w:szCs w:val="24"/>
              <w:lang w:eastAsia="en-AU"/>
              <w14:ligatures w14:val="standardContextual"/>
            </w:rPr>
          </w:pPr>
          <w:hyperlink w:anchor="_Toc232522206" w:history="1">
            <w:r w:rsidRPr="0048149C">
              <w:rPr>
                <w:rStyle w:val="Hyperlink"/>
                <w:noProof/>
              </w:rPr>
              <w:t>International treaties and agreements</w:t>
            </w:r>
            <w:r>
              <w:rPr>
                <w:noProof/>
                <w:webHidden/>
              </w:rPr>
              <w:tab/>
            </w:r>
            <w:r>
              <w:rPr>
                <w:noProof/>
                <w:webHidden/>
              </w:rPr>
              <w:fldChar w:fldCharType="begin"/>
            </w:r>
            <w:r>
              <w:rPr>
                <w:noProof/>
                <w:webHidden/>
              </w:rPr>
              <w:instrText xml:space="preserve"> PAGEREF _Toc232522206 \h </w:instrText>
            </w:r>
            <w:r>
              <w:rPr>
                <w:noProof/>
                <w:webHidden/>
              </w:rPr>
            </w:r>
            <w:r>
              <w:rPr>
                <w:noProof/>
                <w:webHidden/>
              </w:rPr>
              <w:fldChar w:fldCharType="separate"/>
            </w:r>
            <w:r>
              <w:rPr>
                <w:noProof/>
                <w:webHidden/>
              </w:rPr>
              <w:t>22</w:t>
            </w:r>
            <w:r>
              <w:rPr>
                <w:noProof/>
                <w:webHidden/>
              </w:rPr>
              <w:fldChar w:fldCharType="end"/>
            </w:r>
          </w:hyperlink>
        </w:p>
        <w:p w14:paraId="687F0AEB" w14:textId="092904C5"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207" w:history="1">
            <w:r w:rsidRPr="0048149C">
              <w:rPr>
                <w:rStyle w:val="Hyperlink"/>
                <w:noProof/>
              </w:rPr>
              <w:t>Evaluation</w:t>
            </w:r>
            <w:r>
              <w:rPr>
                <w:noProof/>
                <w:webHidden/>
              </w:rPr>
              <w:tab/>
            </w:r>
            <w:r>
              <w:rPr>
                <w:noProof/>
                <w:webHidden/>
              </w:rPr>
              <w:fldChar w:fldCharType="begin"/>
            </w:r>
            <w:r>
              <w:rPr>
                <w:noProof/>
                <w:webHidden/>
              </w:rPr>
              <w:instrText xml:space="preserve"> PAGEREF _Toc232522207 \h </w:instrText>
            </w:r>
            <w:r>
              <w:rPr>
                <w:noProof/>
                <w:webHidden/>
              </w:rPr>
            </w:r>
            <w:r>
              <w:rPr>
                <w:noProof/>
                <w:webHidden/>
              </w:rPr>
              <w:fldChar w:fldCharType="separate"/>
            </w:r>
            <w:r>
              <w:rPr>
                <w:noProof/>
                <w:webHidden/>
              </w:rPr>
              <w:t>23</w:t>
            </w:r>
            <w:r>
              <w:rPr>
                <w:noProof/>
                <w:webHidden/>
              </w:rPr>
              <w:fldChar w:fldCharType="end"/>
            </w:r>
          </w:hyperlink>
        </w:p>
        <w:p w14:paraId="6CD2CF88" w14:textId="34B83D03" w:rsidR="003D709C" w:rsidRDefault="003D709C">
          <w:pPr>
            <w:pStyle w:val="TOC1"/>
            <w:tabs>
              <w:tab w:val="right" w:leader="dot" w:pos="9016"/>
            </w:tabs>
            <w:rPr>
              <w:rFonts w:asciiTheme="minorHAnsi" w:hAnsiTheme="minorHAnsi"/>
              <w:noProof/>
              <w:kern w:val="2"/>
              <w:sz w:val="24"/>
              <w:szCs w:val="24"/>
              <w:lang w:eastAsia="en-AU"/>
              <w14:ligatures w14:val="standardContextual"/>
            </w:rPr>
          </w:pPr>
          <w:hyperlink w:anchor="_Toc232522208" w:history="1">
            <w:r w:rsidRPr="0048149C">
              <w:rPr>
                <w:rStyle w:val="Hyperlink"/>
                <w:noProof/>
              </w:rPr>
              <w:t>Glossary</w:t>
            </w:r>
            <w:r>
              <w:rPr>
                <w:noProof/>
                <w:webHidden/>
              </w:rPr>
              <w:tab/>
            </w:r>
            <w:r>
              <w:rPr>
                <w:noProof/>
                <w:webHidden/>
              </w:rPr>
              <w:fldChar w:fldCharType="begin"/>
            </w:r>
            <w:r>
              <w:rPr>
                <w:noProof/>
                <w:webHidden/>
              </w:rPr>
              <w:instrText xml:space="preserve"> PAGEREF _Toc232522208 \h </w:instrText>
            </w:r>
            <w:r>
              <w:rPr>
                <w:noProof/>
                <w:webHidden/>
              </w:rPr>
            </w:r>
            <w:r>
              <w:rPr>
                <w:noProof/>
                <w:webHidden/>
              </w:rPr>
              <w:fldChar w:fldCharType="separate"/>
            </w:r>
            <w:r>
              <w:rPr>
                <w:noProof/>
                <w:webHidden/>
              </w:rPr>
              <w:t>24</w:t>
            </w:r>
            <w:r>
              <w:rPr>
                <w:noProof/>
                <w:webHidden/>
              </w:rPr>
              <w:fldChar w:fldCharType="end"/>
            </w:r>
          </w:hyperlink>
        </w:p>
        <w:p w14:paraId="25488F0B" w14:textId="6E707F67" w:rsidR="00167100" w:rsidRPr="00A5267C" w:rsidRDefault="00167100" w:rsidP="00167100">
          <w:pPr>
            <w:rPr>
              <w:b/>
              <w:bCs/>
              <w:noProof/>
            </w:rPr>
          </w:pPr>
          <w:r w:rsidRPr="00A5267C">
            <w:fldChar w:fldCharType="end"/>
          </w:r>
        </w:p>
      </w:sdtContent>
    </w:sdt>
    <w:p w14:paraId="67333202" w14:textId="5F8F9D85" w:rsidR="006732CB" w:rsidRPr="00A5267C" w:rsidRDefault="006732CB" w:rsidP="0084152F">
      <w:pPr>
        <w:pStyle w:val="Heading1"/>
      </w:pPr>
      <w:bookmarkStart w:id="1" w:name="_Toc225342727"/>
      <w:bookmarkStart w:id="2" w:name="_Toc226640781"/>
      <w:bookmarkStart w:id="3" w:name="_Toc232522177"/>
      <w:bookmarkEnd w:id="0"/>
      <w:r w:rsidRPr="00A5267C">
        <w:t>Introduction</w:t>
      </w:r>
      <w:bookmarkEnd w:id="1"/>
      <w:bookmarkEnd w:id="2"/>
      <w:bookmarkEnd w:id="3"/>
    </w:p>
    <w:p w14:paraId="3A5AF744" w14:textId="40FE3A0E" w:rsidR="000A4DAF" w:rsidRPr="00A5267C" w:rsidRDefault="000A4DAF" w:rsidP="000A4DAF">
      <w:pPr>
        <w:rPr>
          <w:rFonts w:eastAsia="Times New Roman"/>
          <w:kern w:val="2"/>
          <w:lang w:eastAsia="ja-JP"/>
          <w14:ligatures w14:val="standardContextual"/>
        </w:rPr>
      </w:pPr>
      <w:r w:rsidRPr="00A5267C">
        <w:rPr>
          <w:rFonts w:eastAsia="Times New Roman"/>
        </w:rPr>
        <w:t>The Practical Guide</w:t>
      </w:r>
      <w:r>
        <w:rPr>
          <w:rFonts w:eastAsia="Times New Roman"/>
        </w:rPr>
        <w:t xml:space="preserve"> </w:t>
      </w:r>
      <w:r w:rsidR="001A6D4B">
        <w:rPr>
          <w:rFonts w:eastAsia="Times New Roman"/>
        </w:rPr>
        <w:t xml:space="preserve">for Agencies </w:t>
      </w:r>
      <w:r w:rsidRPr="00A5267C">
        <w:rPr>
          <w:rFonts w:eastAsia="Times New Roman"/>
        </w:rPr>
        <w:t xml:space="preserve">(the guide) provides agencies with the information needed </w:t>
      </w:r>
      <w:r w:rsidR="001A6D4B">
        <w:rPr>
          <w:rFonts w:eastAsia="Times New Roman"/>
        </w:rPr>
        <w:br/>
      </w:r>
      <w:r w:rsidRPr="00A5267C">
        <w:rPr>
          <w:rFonts w:eastAsia="Times New Roman"/>
        </w:rPr>
        <w:t xml:space="preserve">to develop an </w:t>
      </w:r>
      <w:r w:rsidR="001A6D4B">
        <w:rPr>
          <w:rFonts w:eastAsia="Times New Roman"/>
        </w:rPr>
        <w:t>i</w:t>
      </w:r>
      <w:r>
        <w:rPr>
          <w:rFonts w:eastAsia="Times New Roman"/>
        </w:rPr>
        <w:t xml:space="preserve">mpact </w:t>
      </w:r>
      <w:r w:rsidR="001A6D4B">
        <w:rPr>
          <w:rFonts w:eastAsia="Times New Roman"/>
        </w:rPr>
        <w:t>a</w:t>
      </w:r>
      <w:r>
        <w:rPr>
          <w:rFonts w:eastAsia="Times New Roman"/>
        </w:rPr>
        <w:t>nalysis (</w:t>
      </w:r>
      <w:r w:rsidRPr="00A5267C">
        <w:rPr>
          <w:rFonts w:eastAsia="Times New Roman"/>
        </w:rPr>
        <w:t>IA</w:t>
      </w:r>
      <w:r>
        <w:rPr>
          <w:rFonts w:eastAsia="Times New Roman"/>
        </w:rPr>
        <w:t>)</w:t>
      </w:r>
      <w:r w:rsidRPr="00A5267C">
        <w:rPr>
          <w:rFonts w:eastAsia="Times New Roman"/>
        </w:rPr>
        <w:t xml:space="preserve"> in practice.</w:t>
      </w:r>
    </w:p>
    <w:p w14:paraId="4ECCAC4A" w14:textId="0CB185B1" w:rsidR="000A4DAF" w:rsidRPr="0082627A" w:rsidRDefault="000A4DAF" w:rsidP="000A4DAF">
      <w:pPr>
        <w:rPr>
          <w:rFonts w:eastAsia="Times New Roman"/>
        </w:rPr>
      </w:pPr>
      <w:r w:rsidRPr="00A5267C">
        <w:rPr>
          <w:rFonts w:eastAsia="Times New Roman"/>
        </w:rPr>
        <w:t xml:space="preserve">The guide is intended to be read alongside the </w:t>
      </w:r>
      <w:r w:rsidRPr="00A5267C">
        <w:rPr>
          <w:rFonts w:eastAsia="Times New Roman"/>
          <w:i/>
        </w:rPr>
        <w:t>Australian Government’s Impact Analysis Framework</w:t>
      </w:r>
      <w:r w:rsidRPr="00A5267C">
        <w:rPr>
          <w:rFonts w:eastAsia="Times New Roman"/>
        </w:rPr>
        <w:t xml:space="preserve"> (the framework). </w:t>
      </w:r>
      <w:r>
        <w:rPr>
          <w:rFonts w:eastAsia="Times New Roman"/>
        </w:rPr>
        <w:t xml:space="preserve">The framework is the overarching document that sets out Australia’s </w:t>
      </w:r>
      <w:r w:rsidR="001A6D4B">
        <w:rPr>
          <w:rFonts w:eastAsia="Times New Roman"/>
        </w:rPr>
        <w:t>i</w:t>
      </w:r>
      <w:r>
        <w:rPr>
          <w:rFonts w:eastAsia="Times New Roman"/>
        </w:rPr>
        <w:t xml:space="preserve">mpact </w:t>
      </w:r>
      <w:r w:rsidR="001A6D4B">
        <w:rPr>
          <w:rFonts w:eastAsia="Times New Roman"/>
        </w:rPr>
        <w:t>a</w:t>
      </w:r>
      <w:r>
        <w:rPr>
          <w:rFonts w:eastAsia="Times New Roman"/>
        </w:rPr>
        <w:t xml:space="preserve">nalysis requirements. </w:t>
      </w:r>
      <w:r w:rsidRPr="00A5267C">
        <w:rPr>
          <w:rFonts w:eastAsia="Times New Roman"/>
        </w:rPr>
        <w:t>Th</w:t>
      </w:r>
      <w:r>
        <w:rPr>
          <w:rFonts w:eastAsia="Times New Roman"/>
        </w:rPr>
        <w:t>is</w:t>
      </w:r>
      <w:r w:rsidRPr="00A5267C">
        <w:rPr>
          <w:rFonts w:eastAsia="Times New Roman"/>
        </w:rPr>
        <w:t xml:space="preserve"> guide provides additional detail for </w:t>
      </w:r>
      <w:r>
        <w:rPr>
          <w:rFonts w:eastAsia="Times New Roman"/>
        </w:rPr>
        <w:t xml:space="preserve">navigating </w:t>
      </w:r>
      <w:r w:rsidRPr="00A5267C">
        <w:rPr>
          <w:rFonts w:eastAsia="Times New Roman"/>
        </w:rPr>
        <w:t xml:space="preserve">each of the </w:t>
      </w:r>
      <w:r w:rsidR="001A6D4B">
        <w:rPr>
          <w:rFonts w:eastAsia="Times New Roman"/>
        </w:rPr>
        <w:t>5</w:t>
      </w:r>
      <w:r w:rsidRPr="00A5267C">
        <w:rPr>
          <w:rFonts w:eastAsia="Times New Roman"/>
        </w:rPr>
        <w:t xml:space="preserve"> steps</w:t>
      </w:r>
      <w:r>
        <w:rPr>
          <w:rFonts w:eastAsia="Times New Roman"/>
        </w:rPr>
        <w:t xml:space="preserve"> </w:t>
      </w:r>
      <w:r w:rsidRPr="00A5267C">
        <w:rPr>
          <w:rFonts w:eastAsia="Times New Roman"/>
        </w:rPr>
        <w:t>in the IA process, how to manage special cases</w:t>
      </w:r>
      <w:r>
        <w:rPr>
          <w:rFonts w:eastAsia="Times New Roman"/>
        </w:rPr>
        <w:t xml:space="preserve"> </w:t>
      </w:r>
      <w:r w:rsidRPr="00C97E85">
        <w:rPr>
          <w:rFonts w:eastAsia="Times New Roman"/>
        </w:rPr>
        <w:t>and how to develop robust analysis and evidence on the intended and potentially</w:t>
      </w:r>
      <w:r>
        <w:rPr>
          <w:rFonts w:eastAsia="Times New Roman"/>
        </w:rPr>
        <w:t xml:space="preserve"> </w:t>
      </w:r>
      <w:r w:rsidRPr="00C97E85">
        <w:rPr>
          <w:rFonts w:eastAsia="Times New Roman"/>
        </w:rPr>
        <w:t xml:space="preserve">unintended effects of a </w:t>
      </w:r>
      <w:r w:rsidR="001A6D4B">
        <w:rPr>
          <w:rFonts w:eastAsia="Times New Roman"/>
        </w:rPr>
        <w:br/>
      </w:r>
      <w:r w:rsidRPr="00C97E85">
        <w:rPr>
          <w:rFonts w:eastAsia="Times New Roman"/>
        </w:rPr>
        <w:t>policy proposal</w:t>
      </w:r>
      <w:r>
        <w:rPr>
          <w:rFonts w:eastAsia="Times New Roman"/>
        </w:rPr>
        <w:t>.</w:t>
      </w:r>
    </w:p>
    <w:p w14:paraId="1CFA82C1" w14:textId="6E8509B1" w:rsidR="000A4DAF" w:rsidRPr="00A5267C" w:rsidRDefault="000A4DAF" w:rsidP="000A4DAF">
      <w:pPr>
        <w:rPr>
          <w:rFonts w:eastAsia="Times New Roman"/>
          <w:kern w:val="2"/>
          <w:lang w:eastAsia="ja-JP"/>
          <w14:ligatures w14:val="standardContextual"/>
        </w:rPr>
      </w:pPr>
      <w:r w:rsidRPr="00A5267C">
        <w:rPr>
          <w:rFonts w:eastAsia="Times New Roman"/>
        </w:rPr>
        <w:t xml:space="preserve">The guide also includes supporting resources. </w:t>
      </w:r>
      <w:r>
        <w:rPr>
          <w:rFonts w:eastAsia="Times New Roman"/>
        </w:rPr>
        <w:t>Agencies</w:t>
      </w:r>
      <w:r w:rsidRPr="00A5267C">
        <w:rPr>
          <w:rFonts w:eastAsia="Times New Roman"/>
        </w:rPr>
        <w:t xml:space="preserve"> will likely find </w:t>
      </w:r>
      <w:r w:rsidRPr="00157D54">
        <w:rPr>
          <w:rFonts w:eastAsia="Times New Roman"/>
        </w:rPr>
        <w:t xml:space="preserve">the </w:t>
      </w:r>
      <w:r w:rsidRPr="00053161">
        <w:rPr>
          <w:rFonts w:eastAsia="Times New Roman"/>
          <w:b/>
          <w:bCs/>
        </w:rPr>
        <w:t>Regulatory Burden Estimation Tool</w:t>
      </w:r>
      <w:r w:rsidRPr="00157D54">
        <w:rPr>
          <w:rFonts w:eastAsia="Times New Roman"/>
        </w:rPr>
        <w:t xml:space="preserve"> (an</w:t>
      </w:r>
      <w:r w:rsidRPr="00A5267C">
        <w:rPr>
          <w:rFonts w:eastAsia="Times New Roman"/>
        </w:rPr>
        <w:t xml:space="preserve"> Excel workbook) useful when undertaking preliminary analysis </w:t>
      </w:r>
      <w:r w:rsidR="001A6D4B">
        <w:rPr>
          <w:rFonts w:eastAsia="Times New Roman"/>
        </w:rPr>
        <w:br/>
      </w:r>
      <w:r w:rsidRPr="00A5267C">
        <w:rPr>
          <w:rFonts w:eastAsia="Times New Roman"/>
        </w:rPr>
        <w:t xml:space="preserve">and estimating regulatory burden. Likewise, the </w:t>
      </w:r>
      <w:r w:rsidRPr="00053161">
        <w:rPr>
          <w:rFonts w:eastAsia="Times New Roman"/>
          <w:b/>
          <w:bCs/>
        </w:rPr>
        <w:t>Self-Assessment Tool</w:t>
      </w:r>
      <w:r>
        <w:rPr>
          <w:rFonts w:eastAsia="Times New Roman"/>
        </w:rPr>
        <w:t xml:space="preserve"> </w:t>
      </w:r>
      <w:r w:rsidRPr="00A5267C">
        <w:rPr>
          <w:rFonts w:eastAsia="Times New Roman"/>
        </w:rPr>
        <w:t xml:space="preserve">is a simple way </w:t>
      </w:r>
      <w:r w:rsidR="001A6D4B">
        <w:rPr>
          <w:rFonts w:eastAsia="Times New Roman"/>
        </w:rPr>
        <w:br/>
      </w:r>
      <w:r w:rsidRPr="00A5267C">
        <w:rPr>
          <w:rFonts w:eastAsia="Times New Roman"/>
        </w:rPr>
        <w:t>to complete Step 3 in the IA process.</w:t>
      </w:r>
    </w:p>
    <w:p w14:paraId="4A3BC6ED" w14:textId="1BD4FD29" w:rsidR="00AF6C3C" w:rsidRPr="00A5267C" w:rsidRDefault="000A4DAF">
      <w:pPr>
        <w:rPr>
          <w:rFonts w:eastAsia="Times New Roman"/>
          <w:kern w:val="2"/>
          <w:lang w:eastAsia="ja-JP"/>
          <w14:ligatures w14:val="standardContextual"/>
        </w:rPr>
      </w:pPr>
      <w:r w:rsidRPr="00A5267C">
        <w:rPr>
          <w:rFonts w:eastAsia="Times New Roman"/>
        </w:rPr>
        <w:t>Agencies are encouraged to engage with the Office of Impact Analysis (OIA) for advice whenever needed.</w:t>
      </w:r>
      <w:r w:rsidRPr="00D1339F">
        <w:rPr>
          <w:lang w:val="en-US"/>
        </w:rPr>
        <w:t xml:space="preserve"> </w:t>
      </w:r>
      <w:r w:rsidRPr="0084152F">
        <w:rPr>
          <w:lang w:val="en-US"/>
        </w:rPr>
        <w:t xml:space="preserve">On a quarterly basis, agencies are also required to review and report </w:t>
      </w:r>
      <w:r w:rsidR="001A6D4B">
        <w:rPr>
          <w:lang w:val="en-US"/>
        </w:rPr>
        <w:br/>
      </w:r>
      <w:r w:rsidRPr="0084152F">
        <w:rPr>
          <w:lang w:val="en-US"/>
        </w:rPr>
        <w:t>to the OIA on the status of ongoing IAs and any outstanding IAs to be published</w:t>
      </w:r>
      <w:r w:rsidRPr="0084152F">
        <w:t>.</w:t>
      </w:r>
    </w:p>
    <w:p w14:paraId="35657D3B" w14:textId="77777777" w:rsidR="006732CB" w:rsidRPr="00A5267C" w:rsidRDefault="006732CB" w:rsidP="006732CB">
      <w:r w:rsidRPr="00A5267C">
        <w:br w:type="page"/>
      </w:r>
    </w:p>
    <w:p w14:paraId="11820EBD" w14:textId="4C3ABF2F" w:rsidR="006732CB" w:rsidRDefault="000A4DAF" w:rsidP="002A2387">
      <w:pPr>
        <w:pStyle w:val="Heading2"/>
      </w:pPr>
      <w:bookmarkStart w:id="4" w:name="_Toc227230118"/>
      <w:bookmarkStart w:id="5" w:name="_Toc228972214"/>
      <w:bookmarkStart w:id="6" w:name="_Toc232522178"/>
      <w:r>
        <w:t xml:space="preserve">Impact </w:t>
      </w:r>
      <w:r w:rsidRPr="002A2387">
        <w:t>analysis</w:t>
      </w:r>
      <w:r>
        <w:t xml:space="preserve"> steps</w:t>
      </w:r>
      <w:bookmarkEnd w:id="4"/>
      <w:bookmarkEnd w:id="5"/>
      <w:bookmarkEnd w:id="6"/>
    </w:p>
    <w:p w14:paraId="6F67BF05" w14:textId="282C7ECF" w:rsidR="000A4DAF" w:rsidRDefault="000A4DAF" w:rsidP="00475791">
      <w:pPr>
        <w:spacing w:after="0"/>
      </w:pPr>
      <w:r>
        <w:t>The IA approach can be summarised in 5 steps.</w:t>
      </w:r>
    </w:p>
    <w:p w14:paraId="47512D16" w14:textId="77777777" w:rsidR="000A4DAF" w:rsidRPr="002A2387" w:rsidRDefault="000A4DAF" w:rsidP="004F4FD0">
      <w:pPr>
        <w:pStyle w:val="PindanBoxHeading"/>
        <w:spacing w:before="360" w:after="120"/>
      </w:pPr>
      <w:r w:rsidRPr="002A2387">
        <w:t>Early policy development</w:t>
      </w:r>
    </w:p>
    <w:p w14:paraId="056AC7CE" w14:textId="2191166E" w:rsidR="002A2387" w:rsidRDefault="000A4DAF" w:rsidP="00475791">
      <w:pPr>
        <w:pStyle w:val="PindanBoxText"/>
        <w:spacing w:after="0"/>
      </w:pPr>
      <w:r>
        <w:t xml:space="preserve">Early in policy process, consider the policy problem and objective, and alternative </w:t>
      </w:r>
      <w:r w:rsidR="004F4FD0">
        <w:br/>
      </w:r>
      <w:r>
        <w:t>policy options.</w:t>
      </w:r>
    </w:p>
    <w:p w14:paraId="6A646AB6" w14:textId="2B2D572D" w:rsidR="002A2387" w:rsidRPr="002A2387" w:rsidRDefault="002A2387" w:rsidP="004F4FD0">
      <w:pPr>
        <w:pStyle w:val="TerracottaBoxHeading"/>
        <w:spacing w:before="320" w:after="120"/>
      </w:pPr>
      <w:r w:rsidRPr="002A2387">
        <w:rPr>
          <w:rFonts w:asciiTheme="minorHAnsi" w:hAnsiTheme="minorHAnsi" w:cstheme="minorHAnsi"/>
        </w:rPr>
        <w:t>Step 1:</w:t>
      </w:r>
      <w:r>
        <w:t xml:space="preserve"> </w:t>
      </w:r>
      <w:r w:rsidRPr="002A2387">
        <w:t>Preliminary analysis</w:t>
      </w:r>
    </w:p>
    <w:p w14:paraId="46A84416" w14:textId="164382A9" w:rsidR="00475791" w:rsidRDefault="002A2387" w:rsidP="00475791">
      <w:pPr>
        <w:pStyle w:val="TerracottaBoxText"/>
        <w:spacing w:after="0"/>
      </w:pPr>
      <w:r w:rsidRPr="002A2387">
        <w:t>Assess whether the policy proposal is in scope. That is, any regulatory policy proposals and proposals with material competition impacts. If in scope, assess the proposal against the IA thresholds to determine if the proposal is expected to have moderate or major impacts.</w:t>
      </w:r>
    </w:p>
    <w:p w14:paraId="1D26A712" w14:textId="77777777" w:rsidR="00475791" w:rsidRPr="002A2387" w:rsidRDefault="00475791" w:rsidP="00475791">
      <w:pPr>
        <w:spacing w:after="0"/>
      </w:pPr>
    </w:p>
    <w:p w14:paraId="03F6AC19" w14:textId="1202101E" w:rsidR="002A2387" w:rsidRPr="002A2387" w:rsidRDefault="002A2387" w:rsidP="004F4FD0">
      <w:pPr>
        <w:pStyle w:val="TerracottaBoxHeading"/>
        <w:spacing w:before="0" w:after="120"/>
      </w:pPr>
      <w:r w:rsidRPr="002A2387">
        <w:rPr>
          <w:rFonts w:asciiTheme="minorHAnsi" w:hAnsiTheme="minorHAnsi" w:cstheme="minorHAnsi"/>
        </w:rPr>
        <w:t>Step 2:</w:t>
      </w:r>
      <w:r>
        <w:t xml:space="preserve"> </w:t>
      </w:r>
      <w:r w:rsidRPr="002A2387">
        <w:t>Impact</w:t>
      </w:r>
      <w:r>
        <w:t xml:space="preserve"> </w:t>
      </w:r>
      <w:r w:rsidRPr="002A2387">
        <w:t>analysis</w:t>
      </w:r>
    </w:p>
    <w:p w14:paraId="2934F5FA" w14:textId="76C301EA" w:rsidR="002A2387" w:rsidRDefault="002A2387" w:rsidP="00475791">
      <w:pPr>
        <w:pStyle w:val="TerracottaBoxText"/>
        <w:spacing w:after="0"/>
      </w:pPr>
      <w:r w:rsidRPr="002A2387">
        <w:t xml:space="preserve">Evaluate the policy proposal using the 7 IA questions, including estimating the regulatory burden. Prepare a Dashboard IA (or a Detailed IA if required by the Prime Minister </w:t>
      </w:r>
      <w:r w:rsidR="004F4FD0">
        <w:br/>
      </w:r>
      <w:r w:rsidRPr="002A2387">
        <w:t>or Cabinet).</w:t>
      </w:r>
    </w:p>
    <w:p w14:paraId="48C63A17" w14:textId="77777777" w:rsidR="00475791" w:rsidRPr="002A2387" w:rsidRDefault="00475791" w:rsidP="00475791">
      <w:pPr>
        <w:spacing w:after="0"/>
      </w:pPr>
    </w:p>
    <w:p w14:paraId="316F6154" w14:textId="65637E42" w:rsidR="002A2387" w:rsidRPr="002A2387" w:rsidRDefault="002A2387" w:rsidP="004F4FD0">
      <w:pPr>
        <w:pStyle w:val="TerracottaBoxHeading"/>
        <w:spacing w:before="0" w:after="120"/>
      </w:pPr>
      <w:r w:rsidRPr="002A2387">
        <w:rPr>
          <w:rFonts w:asciiTheme="minorHAnsi" w:hAnsiTheme="minorHAnsi" w:cstheme="minorHAnsi"/>
        </w:rPr>
        <w:t>Step 3:</w:t>
      </w:r>
      <w:r w:rsidRPr="002A2387">
        <w:t xml:space="preserve"> Assess</w:t>
      </w:r>
      <w:r w:rsidR="00FE1A65">
        <w:t xml:space="preserve"> the</w:t>
      </w:r>
      <w:r>
        <w:t xml:space="preserve"> </w:t>
      </w:r>
      <w:r w:rsidRPr="002A2387">
        <w:t>IA</w:t>
      </w:r>
    </w:p>
    <w:p w14:paraId="18F5A078" w14:textId="40467CD9" w:rsidR="002A2387" w:rsidRPr="002A2387" w:rsidRDefault="002A2387" w:rsidP="00475791">
      <w:pPr>
        <w:pStyle w:val="TerracottaBoxText"/>
        <w:spacing w:after="0"/>
      </w:pPr>
      <w:r w:rsidRPr="002A2387">
        <w:t xml:space="preserve">Agencies assess whether the IA provides sufficient and robust analysis to inform a key decision. Agencies also certify that the IA is sufficient to inform </w:t>
      </w:r>
      <w:r w:rsidR="00FE1A65">
        <w:t>a</w:t>
      </w:r>
      <w:r w:rsidRPr="002A2387">
        <w:t xml:space="preserve"> key decision.</w:t>
      </w:r>
    </w:p>
    <w:p w14:paraId="564BB321" w14:textId="7F20194E" w:rsidR="002A2387" w:rsidRPr="002A2387" w:rsidRDefault="002A2387" w:rsidP="004F4FD0">
      <w:pPr>
        <w:pStyle w:val="Lightblueboxheading"/>
        <w:spacing w:after="120"/>
      </w:pPr>
      <w:r w:rsidRPr="004F4FD0">
        <w:rPr>
          <w:rFonts w:asciiTheme="minorHAnsi" w:hAnsiTheme="minorHAnsi" w:cstheme="minorHAnsi"/>
        </w:rPr>
        <w:t>Step 4:</w:t>
      </w:r>
      <w:r w:rsidRPr="002A2387">
        <w:t xml:space="preserve"> Policy decision</w:t>
      </w:r>
    </w:p>
    <w:p w14:paraId="3123D381" w14:textId="77777777" w:rsidR="002A2387" w:rsidRPr="002A2387" w:rsidRDefault="002A2387" w:rsidP="004F4FD0">
      <w:pPr>
        <w:pStyle w:val="Lightblueboxtext"/>
      </w:pPr>
      <w:r w:rsidRPr="002A2387">
        <w:t xml:space="preserve">The Dashboard (or Detailed) IA is provided to decision-makers to support the key decision. </w:t>
      </w:r>
    </w:p>
    <w:p w14:paraId="2E415258" w14:textId="3BE2F34A" w:rsidR="002A2387" w:rsidRPr="002A2387" w:rsidRDefault="002A2387" w:rsidP="004F4FD0">
      <w:pPr>
        <w:pStyle w:val="Darkblueboxheading"/>
        <w:spacing w:before="320" w:after="120"/>
      </w:pPr>
      <w:r w:rsidRPr="004F4FD0">
        <w:rPr>
          <w:rFonts w:asciiTheme="minorHAnsi" w:hAnsiTheme="minorHAnsi" w:cstheme="minorHAnsi"/>
        </w:rPr>
        <w:t>Step 5:</w:t>
      </w:r>
      <w:r>
        <w:t xml:space="preserve"> </w:t>
      </w:r>
      <w:r w:rsidRPr="002A2387">
        <w:t xml:space="preserve">Publication and </w:t>
      </w:r>
      <w:r w:rsidR="00FE1A65">
        <w:t>r</w:t>
      </w:r>
      <w:r w:rsidRPr="002A2387">
        <w:t>eporting</w:t>
      </w:r>
    </w:p>
    <w:p w14:paraId="32297038" w14:textId="2FDB3F36" w:rsidR="006732CB" w:rsidRPr="002A2387" w:rsidRDefault="002A2387" w:rsidP="004F4FD0">
      <w:pPr>
        <w:pStyle w:val="Darkblueboxtext"/>
      </w:pPr>
      <w:r w:rsidRPr="002A2387">
        <w:t xml:space="preserve">After announcement of the policy, the Dashboard (or Detailed) IA is reviewed then published on the OIA website together with the </w:t>
      </w:r>
      <w:r w:rsidR="00FE1A65">
        <w:t>S</w:t>
      </w:r>
      <w:r w:rsidRPr="002A2387">
        <w:t xml:space="preserve">tatement of </w:t>
      </w:r>
      <w:r w:rsidR="00FE1A65">
        <w:t>S</w:t>
      </w:r>
      <w:r w:rsidRPr="002A2387">
        <w:t>ufficiency.</w:t>
      </w:r>
      <w:r w:rsidR="006732CB" w:rsidRPr="000B53C2">
        <w:br w:type="page"/>
      </w:r>
    </w:p>
    <w:p w14:paraId="7AC2E14B" w14:textId="63853CA5" w:rsidR="006732CB" w:rsidRPr="00A5267C" w:rsidRDefault="006732CB" w:rsidP="006732CB">
      <w:pPr>
        <w:pStyle w:val="Heading1"/>
        <w:rPr>
          <w:rFonts w:eastAsia="Times New Roman"/>
          <w:kern w:val="36"/>
        </w:rPr>
      </w:pPr>
      <w:bookmarkStart w:id="7" w:name="_Toc226640782"/>
      <w:bookmarkStart w:id="8" w:name="_Toc232522179"/>
      <w:r w:rsidRPr="00A5267C">
        <w:rPr>
          <w:rFonts w:eastAsia="Times New Roman"/>
        </w:rPr>
        <w:t xml:space="preserve">Step 1: Preliminary </w:t>
      </w:r>
      <w:r w:rsidR="00757D45">
        <w:rPr>
          <w:rFonts w:eastAsia="Times New Roman"/>
        </w:rPr>
        <w:t>a</w:t>
      </w:r>
      <w:r w:rsidRPr="00A5267C">
        <w:rPr>
          <w:rFonts w:eastAsia="Times New Roman"/>
        </w:rPr>
        <w:t>nalysis</w:t>
      </w:r>
      <w:bookmarkEnd w:id="7"/>
      <w:bookmarkEnd w:id="8"/>
    </w:p>
    <w:p w14:paraId="5CDA709E" w14:textId="77777777" w:rsidR="00307526" w:rsidRDefault="00307526" w:rsidP="00307526">
      <w:pPr>
        <w:rPr>
          <w:rFonts w:eastAsia="Times New Roman"/>
        </w:rPr>
      </w:pPr>
      <w:r w:rsidRPr="00A5267C">
        <w:rPr>
          <w:rFonts w:eastAsia="Times New Roman"/>
        </w:rPr>
        <w:t xml:space="preserve">Preliminary analysis </w:t>
      </w:r>
      <w:r>
        <w:rPr>
          <w:rFonts w:eastAsia="Times New Roman"/>
        </w:rPr>
        <w:t xml:space="preserve">is when an agency </w:t>
      </w:r>
      <w:r w:rsidRPr="00A5267C">
        <w:rPr>
          <w:rFonts w:eastAsia="Times New Roman"/>
        </w:rPr>
        <w:t>determines whether a proposal is in scope and meets or exceeds at least one of the IA thresholds.</w:t>
      </w:r>
    </w:p>
    <w:p w14:paraId="431F3930" w14:textId="77777777" w:rsidR="00307526" w:rsidRPr="00A5267C" w:rsidRDefault="00307526" w:rsidP="00307526">
      <w:pPr>
        <w:rPr>
          <w:rFonts w:eastAsia="Times New Roman"/>
          <w:kern w:val="2"/>
          <w:lang w:eastAsia="ja-JP"/>
          <w14:ligatures w14:val="standardContextual"/>
        </w:rPr>
      </w:pPr>
      <w:r>
        <w:t xml:space="preserve">Where the proposal is likely to be in scope or meet at least one of the thresholds, a Dashboard IA must be prepared and presented to decision makers </w:t>
      </w:r>
      <w:r w:rsidRPr="00F35BF2">
        <w:t xml:space="preserve">at </w:t>
      </w:r>
      <w:r>
        <w:t>key</w:t>
      </w:r>
      <w:r w:rsidRPr="00F35BF2">
        <w:t xml:space="preserve"> points</w:t>
      </w:r>
      <w:r>
        <w:t xml:space="preserve">. For proposals outside of the scope of the framework, an agency does not need to present a Dashboard IA. </w:t>
      </w:r>
    </w:p>
    <w:p w14:paraId="2B7C1DBC" w14:textId="1B9F661C" w:rsidR="006732CB" w:rsidRPr="00307526" w:rsidRDefault="00307526" w:rsidP="006732CB">
      <w:pPr>
        <w:rPr>
          <w:rFonts w:eastAsia="Times New Roman"/>
          <w:kern w:val="2"/>
          <w:lang w:eastAsia="ja-JP"/>
          <w14:ligatures w14:val="standardContextual"/>
        </w:rPr>
      </w:pPr>
      <w:r w:rsidRPr="00A5267C">
        <w:rPr>
          <w:rFonts w:eastAsia="Times New Roman"/>
        </w:rPr>
        <w:t>This section provides practical guidance on</w:t>
      </w:r>
      <w:r>
        <w:rPr>
          <w:rFonts w:eastAsia="Times New Roman"/>
        </w:rPr>
        <w:t xml:space="preserve"> determining whether a proposal is in scope and then whether it meets the thresholds, including</w:t>
      </w:r>
      <w:r w:rsidRPr="00A5267C">
        <w:rPr>
          <w:rFonts w:eastAsia="Times New Roman"/>
        </w:rPr>
        <w:t>:</w:t>
      </w:r>
    </w:p>
    <w:p w14:paraId="51932A07" w14:textId="77777777" w:rsidR="00307526" w:rsidRDefault="00307526" w:rsidP="00307526">
      <w:pPr>
        <w:pStyle w:val="BulletedList-Level1"/>
      </w:pPr>
      <w:r>
        <w:t>common proposal types and whether they are likely to be in scope</w:t>
      </w:r>
    </w:p>
    <w:p w14:paraId="15C01C9F" w14:textId="77777777" w:rsidR="00307526" w:rsidRDefault="00307526" w:rsidP="00307526">
      <w:pPr>
        <w:pStyle w:val="BulletedList-Level1"/>
      </w:pPr>
      <w:r>
        <w:t xml:space="preserve">what is meant by regulatory policy </w:t>
      </w:r>
    </w:p>
    <w:p w14:paraId="0616BD95" w14:textId="77777777" w:rsidR="00307526" w:rsidRDefault="00307526" w:rsidP="00307526">
      <w:pPr>
        <w:pStyle w:val="BulletedList-Level1"/>
      </w:pPr>
      <w:r>
        <w:t>what is meant by competition impacts</w:t>
      </w:r>
    </w:p>
    <w:p w14:paraId="3173AAFC" w14:textId="77777777" w:rsidR="00307526" w:rsidRDefault="00307526" w:rsidP="00307526">
      <w:pPr>
        <w:pStyle w:val="BulletedList-Level1"/>
      </w:pPr>
      <w:r>
        <w:t>proposals not covered by the framework, including machinery changes</w:t>
      </w:r>
    </w:p>
    <w:p w14:paraId="3FF9C386" w14:textId="268CCE76" w:rsidR="006732CB" w:rsidRPr="00A5267C" w:rsidRDefault="00307526" w:rsidP="00307526">
      <w:pPr>
        <w:pStyle w:val="BulletedList-Level1"/>
      </w:pPr>
      <w:r>
        <w:t xml:space="preserve">how to assess proposals in scope against the </w:t>
      </w:r>
      <w:r w:rsidR="002B25CA">
        <w:t>3</w:t>
      </w:r>
      <w:r>
        <w:t xml:space="preserve"> IA thresholds</w:t>
      </w:r>
      <w:r w:rsidR="00D15367" w:rsidRPr="00A5267C">
        <w:t>.</w:t>
      </w:r>
    </w:p>
    <w:p w14:paraId="668AA291" w14:textId="603BB83B" w:rsidR="00307526" w:rsidRDefault="00307526" w:rsidP="00307526">
      <w:pPr>
        <w:rPr>
          <w:rFonts w:eastAsia="Times New Roman"/>
          <w:kern w:val="2"/>
          <w:lang w:eastAsia="ja-JP"/>
          <w14:ligatures w14:val="standardContextual"/>
        </w:rPr>
      </w:pPr>
      <w:r>
        <w:rPr>
          <w:rFonts w:eastAsia="Times New Roman"/>
        </w:rPr>
        <w:t>Whether the policy meets one or more of the thresholds is a matter of judgement, as the quality of information that is available to policy drafters early in the policy process may be uncertain. Where proposals are in scope but there is significant uncertainty on whether the thresholds are likely to be met, it is suggested that drafters develop a Dashboard.</w:t>
      </w:r>
    </w:p>
    <w:p w14:paraId="6F8B7AE0" w14:textId="355342E3" w:rsidR="00307526" w:rsidRPr="00A5267C" w:rsidRDefault="00307526" w:rsidP="00307526">
      <w:pPr>
        <w:rPr>
          <w:rFonts w:eastAsia="Times New Roman"/>
          <w:kern w:val="2"/>
          <w:lang w:eastAsia="ja-JP"/>
          <w14:ligatures w14:val="standardContextual"/>
        </w:rPr>
      </w:pPr>
      <w:r>
        <w:rPr>
          <w:rFonts w:eastAsia="Times New Roman"/>
        </w:rPr>
        <w:t>If your proposal appears to be in scope and may meet a threshold,</w:t>
      </w:r>
      <w:r w:rsidRPr="00A5267C">
        <w:rPr>
          <w:rFonts w:eastAsia="Times New Roman"/>
        </w:rPr>
        <w:t xml:space="preserve"> </w:t>
      </w:r>
      <w:r>
        <w:rPr>
          <w:rFonts w:eastAsia="Times New Roman"/>
        </w:rPr>
        <w:t>t</w:t>
      </w:r>
      <w:r w:rsidRPr="00A5267C">
        <w:rPr>
          <w:rFonts w:eastAsia="Times New Roman"/>
        </w:rPr>
        <w:t xml:space="preserve">he </w:t>
      </w:r>
      <w:r w:rsidRPr="00226E0A">
        <w:rPr>
          <w:rFonts w:eastAsia="Times New Roman"/>
          <w:b/>
          <w:bCs/>
        </w:rPr>
        <w:t>Regulatory Burden</w:t>
      </w:r>
      <w:r w:rsidR="002B25CA">
        <w:rPr>
          <w:rFonts w:eastAsia="Times New Roman"/>
          <w:b/>
          <w:bCs/>
        </w:rPr>
        <w:t xml:space="preserve"> Estimation</w:t>
      </w:r>
      <w:r w:rsidRPr="00226E0A">
        <w:rPr>
          <w:rFonts w:eastAsia="Times New Roman"/>
          <w:b/>
          <w:bCs/>
        </w:rPr>
        <w:t xml:space="preserve"> </w:t>
      </w:r>
      <w:r>
        <w:rPr>
          <w:rFonts w:eastAsia="Times New Roman"/>
          <w:b/>
          <w:bCs/>
        </w:rPr>
        <w:t>Tool</w:t>
      </w:r>
      <w:r w:rsidRPr="00A5267C">
        <w:rPr>
          <w:rFonts w:eastAsia="Times New Roman"/>
        </w:rPr>
        <w:t xml:space="preserve"> is a useful resource for underlying data and preliminary analysis of regulatory burden that may assist at this stage. The </w:t>
      </w:r>
      <w:hyperlink r:id="rId18" w:history="1">
        <w:r w:rsidRPr="00AE452F">
          <w:rPr>
            <w:rStyle w:val="Hyperlink"/>
            <w:rFonts w:eastAsia="Times New Roman"/>
          </w:rPr>
          <w:t>OIA website</w:t>
        </w:r>
      </w:hyperlink>
      <w:r w:rsidRPr="00A5267C">
        <w:rPr>
          <w:rFonts w:eastAsia="Times New Roman"/>
        </w:rPr>
        <w:t xml:space="preserve"> has supplementary material on how to assess economic</w:t>
      </w:r>
      <w:r>
        <w:rPr>
          <w:rFonts w:eastAsia="Times New Roman"/>
        </w:rPr>
        <w:t xml:space="preserve"> </w:t>
      </w:r>
      <w:r w:rsidRPr="00A5267C">
        <w:rPr>
          <w:rFonts w:eastAsia="Times New Roman"/>
        </w:rPr>
        <w:t>and other impacts from policy</w:t>
      </w:r>
      <w:r>
        <w:rPr>
          <w:rFonts w:eastAsia="Times New Roman"/>
        </w:rPr>
        <w:t>.</w:t>
      </w:r>
    </w:p>
    <w:p w14:paraId="7C21B662" w14:textId="12A7A934" w:rsidR="006732CB" w:rsidRPr="00307526" w:rsidRDefault="00307526" w:rsidP="00307526">
      <w:pPr>
        <w:rPr>
          <w:rFonts w:eastAsia="Times New Roman"/>
        </w:rPr>
      </w:pPr>
      <w:r>
        <w:rPr>
          <w:rFonts w:eastAsia="Times New Roman"/>
        </w:rPr>
        <w:t>If needed, please c</w:t>
      </w:r>
      <w:r w:rsidRPr="00A5267C">
        <w:rPr>
          <w:rFonts w:eastAsia="Times New Roman"/>
        </w:rPr>
        <w:t>ontact the OIA for further advice</w:t>
      </w:r>
      <w:r w:rsidR="00D92C6D" w:rsidRPr="00A5267C">
        <w:rPr>
          <w:rFonts w:eastAsia="Times New Roman"/>
        </w:rPr>
        <w:t>.</w:t>
      </w:r>
    </w:p>
    <w:p w14:paraId="345EDB38" w14:textId="35B10AEA" w:rsidR="006732CB" w:rsidRPr="00A5267C" w:rsidRDefault="006732CB" w:rsidP="00771650">
      <w:pPr>
        <w:pStyle w:val="Heading2"/>
      </w:pPr>
      <w:bookmarkStart w:id="9" w:name="_Toc226640783"/>
      <w:bookmarkStart w:id="10" w:name="_Toc232522180"/>
      <w:r w:rsidRPr="00A5267C">
        <w:t>What is</w:t>
      </w:r>
      <w:r w:rsidR="00757D45">
        <w:t xml:space="preserve"> </w:t>
      </w:r>
      <w:r w:rsidR="00601223">
        <w:t>in scope</w:t>
      </w:r>
      <w:r w:rsidRPr="00A5267C">
        <w:t>?</w:t>
      </w:r>
      <w:bookmarkEnd w:id="9"/>
      <w:bookmarkEnd w:id="10"/>
    </w:p>
    <w:p w14:paraId="78D983C4" w14:textId="6C86021C" w:rsidR="00601223" w:rsidRPr="00A5267C" w:rsidRDefault="006732CB" w:rsidP="00601223">
      <w:r w:rsidRPr="00A5267C">
        <w:t xml:space="preserve"> </w:t>
      </w:r>
      <w:r w:rsidR="00601223" w:rsidRPr="00A5267C">
        <w:t>Under the framework, a proposal is in scope if it is either:</w:t>
      </w:r>
    </w:p>
    <w:p w14:paraId="4BA0DC7B" w14:textId="77777777" w:rsidR="00601223" w:rsidRPr="00A5267C" w:rsidRDefault="00601223" w:rsidP="00601223">
      <w:pPr>
        <w:pStyle w:val="BulletedList-Level1"/>
        <w:ind w:left="425" w:hanging="283"/>
      </w:pPr>
      <w:r w:rsidRPr="00A5267C">
        <w:t>a regulatory policy proposal, or</w:t>
      </w:r>
    </w:p>
    <w:p w14:paraId="75373246" w14:textId="77777777" w:rsidR="00601223" w:rsidRPr="00A5267C" w:rsidRDefault="00601223" w:rsidP="00601223">
      <w:pPr>
        <w:pStyle w:val="BulletedList-Level1"/>
        <w:ind w:left="425" w:hanging="283"/>
      </w:pPr>
      <w:r w:rsidRPr="00A5267C">
        <w:t xml:space="preserve">a proposal with material competition impacts. </w:t>
      </w:r>
    </w:p>
    <w:p w14:paraId="24925D3D" w14:textId="2294AC72" w:rsidR="006732CB" w:rsidRPr="00A5267C" w:rsidRDefault="00601223" w:rsidP="00771650">
      <w:pPr>
        <w:pStyle w:val="Heading2"/>
      </w:pPr>
      <w:bookmarkStart w:id="11" w:name="_Toc226640784"/>
      <w:bookmarkStart w:id="12" w:name="_Toc232522181"/>
      <w:r w:rsidRPr="00A5267C">
        <w:t>What is a regulatory policy proposal</w:t>
      </w:r>
      <w:r w:rsidR="006732CB" w:rsidRPr="00A5267C">
        <w:t>?</w:t>
      </w:r>
      <w:bookmarkEnd w:id="11"/>
      <w:bookmarkEnd w:id="12"/>
    </w:p>
    <w:p w14:paraId="7CA09ED8" w14:textId="1CBDD907" w:rsidR="00AF6C3C" w:rsidRPr="00601223" w:rsidRDefault="00601223" w:rsidP="00601223">
      <w:pPr>
        <w:pStyle w:val="BOXText"/>
      </w:pPr>
      <w:r w:rsidRPr="00A5267C">
        <w:t>Under the framework, a regulatory policy proposal to establish or reform government rules that set requirements</w:t>
      </w:r>
      <w:r>
        <w:t xml:space="preserve"> is in scope</w:t>
      </w:r>
      <w:r w:rsidRPr="00A5267C">
        <w:t>. This includes quasi-regulation, such as industry-government agreements (co-regulation), which influence the behaviour of people, businesses or community organisations</w:t>
      </w:r>
      <w:r>
        <w:t>.</w:t>
      </w:r>
    </w:p>
    <w:p w14:paraId="118F5A0D" w14:textId="77777777" w:rsidR="00601223" w:rsidRPr="00A5267C" w:rsidRDefault="00601223" w:rsidP="00601223">
      <w:r w:rsidRPr="00A5267C">
        <w:t>Regulatory policy proposals include proposals to:</w:t>
      </w:r>
    </w:p>
    <w:p w14:paraId="437E53B4" w14:textId="77777777" w:rsidR="00601223" w:rsidRPr="00A5267C" w:rsidRDefault="00601223" w:rsidP="00601223">
      <w:pPr>
        <w:pStyle w:val="BulletedList-Level1"/>
        <w:ind w:left="425" w:hanging="283"/>
      </w:pPr>
      <w:r w:rsidRPr="00A5267C">
        <w:t>create or reform a legal or quasi-legal requirement in primary or</w:t>
      </w:r>
      <w:r>
        <w:t xml:space="preserve"> d</w:t>
      </w:r>
      <w:r w:rsidRPr="007D5CAC">
        <w:t xml:space="preserve">elegated (also known as </w:t>
      </w:r>
      <w:r>
        <w:t xml:space="preserve">secondary or </w:t>
      </w:r>
      <w:r w:rsidRPr="007D5CAC">
        <w:t xml:space="preserve">subordinate) </w:t>
      </w:r>
      <w:r w:rsidRPr="00A5267C">
        <w:t>legislation, such as a prohibition, mandatory standard, condition, rule,</w:t>
      </w:r>
      <w:r>
        <w:t xml:space="preserve"> </w:t>
      </w:r>
      <w:r w:rsidRPr="00A5267C">
        <w:t>or approval process</w:t>
      </w:r>
    </w:p>
    <w:p w14:paraId="605DF5F5" w14:textId="77777777" w:rsidR="00601223" w:rsidRPr="00A5267C" w:rsidRDefault="00601223" w:rsidP="00601223">
      <w:pPr>
        <w:pStyle w:val="BulletedList-Level1"/>
        <w:ind w:left="425" w:hanging="283"/>
      </w:pPr>
      <w:r w:rsidRPr="00A5267C">
        <w:t>create or materially change an authorisation scheme, such as a licensing, registration, permit, or accreditation scheme</w:t>
      </w:r>
    </w:p>
    <w:p w14:paraId="0FB1A27B" w14:textId="77777777" w:rsidR="00601223" w:rsidRPr="00A5267C" w:rsidRDefault="00601223" w:rsidP="00601223">
      <w:pPr>
        <w:pStyle w:val="BulletedList-Level1"/>
        <w:ind w:left="425" w:hanging="283"/>
      </w:pPr>
      <w:r w:rsidRPr="00A5267C">
        <w:t>change who may lawfully operate, supply, import, export, or undertake an activity, including by changing eligibility criteria, fit-and-proper tests, scope-of-practice rules,</w:t>
      </w:r>
      <w:r>
        <w:t xml:space="preserve"> </w:t>
      </w:r>
      <w:r w:rsidRPr="00A5267C">
        <w:t>or categories of permitted providers/products</w:t>
      </w:r>
    </w:p>
    <w:p w14:paraId="2CB3006F" w14:textId="5E45E2D4" w:rsidR="00601223" w:rsidRPr="00A5267C" w:rsidRDefault="00601223" w:rsidP="00601223">
      <w:pPr>
        <w:pStyle w:val="BulletedList-Level1"/>
        <w:ind w:left="425" w:hanging="283"/>
      </w:pPr>
      <w:r w:rsidRPr="00A5267C">
        <w:t>introduce or change mandatory product, service, or conduct standards, including technical standards, safety standards, interoperability requirements,</w:t>
      </w:r>
      <w:r>
        <w:t xml:space="preserve"> </w:t>
      </w:r>
      <w:r w:rsidRPr="00A5267C">
        <w:t>or professional</w:t>
      </w:r>
      <w:r w:rsidR="002B25CA">
        <w:t xml:space="preserve"> or </w:t>
      </w:r>
      <w:r w:rsidRPr="00A5267C">
        <w:t>industry conduct standards</w:t>
      </w:r>
    </w:p>
    <w:p w14:paraId="6A245B31" w14:textId="77777777" w:rsidR="00601223" w:rsidRPr="0027726C" w:rsidRDefault="00601223" w:rsidP="00601223">
      <w:pPr>
        <w:pStyle w:val="BulletedList-Level1"/>
        <w:ind w:left="425" w:hanging="283"/>
      </w:pPr>
      <w:r w:rsidRPr="0027726C">
        <w:t>impose new or expanded compliance obligations, including reporting, disclosure, record-keeping, audit, training, accreditation, certification, monitoring, inspection, or enforcement-related requirements</w:t>
      </w:r>
    </w:p>
    <w:p w14:paraId="0FCB61D6" w14:textId="77777777" w:rsidR="00601223" w:rsidRPr="0027726C" w:rsidRDefault="00601223" w:rsidP="00601223">
      <w:pPr>
        <w:pStyle w:val="BulletedList-Level1"/>
        <w:ind w:left="425" w:hanging="283"/>
      </w:pPr>
      <w:r w:rsidRPr="0027726C">
        <w:t>introduce or materially change a regulatory permission or “permission to operate” condition, including ongoing conditions attached to a licence/permit/registration requirement</w:t>
      </w:r>
    </w:p>
    <w:p w14:paraId="08750BF6" w14:textId="7A611B2B" w:rsidR="00601223" w:rsidRPr="0027726C" w:rsidRDefault="00601223" w:rsidP="00601223">
      <w:pPr>
        <w:pStyle w:val="BulletedList-Level1"/>
        <w:ind w:left="425" w:hanging="283"/>
      </w:pPr>
      <w:r w:rsidRPr="0027726C">
        <w:t xml:space="preserve">introduce or materially change a regulatory fee, levy, charge, licence fee, permit fee, </w:t>
      </w:r>
      <w:r w:rsidRPr="0027726C">
        <w:br/>
        <w:t>or cost-recovery arrangement (noting fees may be part of a broader compliance framework)</w:t>
      </w:r>
      <w:r w:rsidRPr="0027726C">
        <w:rPr>
          <w:rStyle w:val="FootnoteReference"/>
        </w:rPr>
        <w:footnoteReference w:id="1"/>
      </w:r>
    </w:p>
    <w:p w14:paraId="0D589F35" w14:textId="77777777" w:rsidR="00601223" w:rsidRPr="00A5267C" w:rsidRDefault="00601223" w:rsidP="00601223">
      <w:pPr>
        <w:pStyle w:val="BulletedList-Level1"/>
        <w:ind w:left="425" w:hanging="283"/>
      </w:pPr>
      <w:r w:rsidRPr="0027726C">
        <w:t>create or materially change a quasi-regulation, such as a co-regulatory or government-backed industry code, or an industry–government arrangement that is endorsed, enforced</w:t>
      </w:r>
      <w:r w:rsidRPr="00A5267C">
        <w:t>, or otherwise backed by government in a way that influences behaviour</w:t>
      </w:r>
    </w:p>
    <w:p w14:paraId="1BE068A2" w14:textId="77777777" w:rsidR="00601223" w:rsidRPr="003F66B4" w:rsidRDefault="00601223" w:rsidP="00601223">
      <w:pPr>
        <w:pStyle w:val="BulletedList-Level1"/>
        <w:ind w:left="425" w:hanging="283"/>
        <w:rPr>
          <w:kern w:val="2"/>
          <w:lang w:eastAsia="ja-JP"/>
          <w14:ligatures w14:val="standardContextual"/>
        </w:rPr>
      </w:pPr>
      <w:r>
        <w:t xml:space="preserve">enter into or </w:t>
      </w:r>
      <w:r w:rsidRPr="00A5267C">
        <w:t>implement obligations arising from a treaty or convention.</w:t>
      </w:r>
    </w:p>
    <w:p w14:paraId="0B1AC10F" w14:textId="77777777" w:rsidR="00601223" w:rsidRDefault="00601223" w:rsidP="00601223">
      <w:pPr>
        <w:pStyle w:val="BulletedList-Level1"/>
        <w:numPr>
          <w:ilvl w:val="0"/>
          <w:numId w:val="0"/>
        </w:numPr>
        <w:ind w:left="425" w:hanging="283"/>
        <w:rPr>
          <w:kern w:val="2"/>
          <w:lang w:eastAsia="ja-JP"/>
          <w14:ligatures w14:val="standardContextual"/>
        </w:rPr>
      </w:pPr>
    </w:p>
    <w:p w14:paraId="433EFC90" w14:textId="41283005" w:rsidR="006732CB" w:rsidRPr="00601223" w:rsidRDefault="00601223" w:rsidP="00601223">
      <w:pPr>
        <w:pStyle w:val="BulletedList-Level1"/>
        <w:numPr>
          <w:ilvl w:val="0"/>
          <w:numId w:val="0"/>
        </w:numPr>
        <w:ind w:left="425" w:hanging="283"/>
        <w:rPr>
          <w:kern w:val="2"/>
          <w:lang w:eastAsia="ja-JP"/>
          <w14:ligatures w14:val="standardContextual"/>
        </w:rPr>
      </w:pPr>
      <w:r>
        <w:rPr>
          <w:kern w:val="2"/>
          <w:lang w:eastAsia="ja-JP"/>
          <w14:ligatures w14:val="standardContextual"/>
        </w:rPr>
        <w:t xml:space="preserve">Deregulatory proposals are also in scope </w:t>
      </w:r>
      <w:r w:rsidR="002B25CA">
        <w:rPr>
          <w:kern w:val="2"/>
          <w:lang w:eastAsia="ja-JP"/>
          <w14:ligatures w14:val="standardContextual"/>
        </w:rPr>
        <w:t>of</w:t>
      </w:r>
      <w:r>
        <w:rPr>
          <w:kern w:val="2"/>
          <w:lang w:eastAsia="ja-JP"/>
          <w14:ligatures w14:val="standardContextual"/>
        </w:rPr>
        <w:t xml:space="preserve"> the framework.</w:t>
      </w:r>
    </w:p>
    <w:p w14:paraId="776FC6D8" w14:textId="77777777" w:rsidR="00601223" w:rsidRPr="00A5267C" w:rsidRDefault="00601223" w:rsidP="00601223">
      <w:pPr>
        <w:pStyle w:val="Heading2"/>
      </w:pPr>
      <w:bookmarkStart w:id="13" w:name="_Toc231900551"/>
      <w:bookmarkStart w:id="14" w:name="_Toc232522182"/>
      <w:bookmarkStart w:id="15" w:name="_Toc226640785"/>
      <w:r w:rsidRPr="00A5267C">
        <w:t>What is a material competition impact?</w:t>
      </w:r>
      <w:bookmarkEnd w:id="13"/>
      <w:bookmarkEnd w:id="14"/>
    </w:p>
    <w:p w14:paraId="162C4E8C" w14:textId="77777777" w:rsidR="00601223" w:rsidRPr="003A6743" w:rsidRDefault="00601223" w:rsidP="00601223">
      <w:pPr>
        <w:pStyle w:val="BOXText"/>
      </w:pPr>
      <w:r w:rsidRPr="00A5267C">
        <w:t>Under the framework, proposals expected to have a material (positive or negative) impact on competition in a market</w:t>
      </w:r>
      <w:r>
        <w:t xml:space="preserve"> are in scope.</w:t>
      </w:r>
    </w:p>
    <w:p w14:paraId="3CCE10EC" w14:textId="1B0348E1" w:rsidR="00601223" w:rsidRPr="00A5267C" w:rsidRDefault="00601223" w:rsidP="00601223">
      <w:r w:rsidRPr="00A5267C">
        <w:t>Proposals that are expected to</w:t>
      </w:r>
      <w:r>
        <w:t xml:space="preserve"> affect business </w:t>
      </w:r>
      <w:r w:rsidRPr="00A5267C">
        <w:t>ent</w:t>
      </w:r>
      <w:r>
        <w:t>ry or exit</w:t>
      </w:r>
      <w:r w:rsidRPr="00A5267C">
        <w:t xml:space="preserve">, </w:t>
      </w:r>
      <w:r w:rsidR="002B25CA">
        <w:t xml:space="preserve">business profitability, </w:t>
      </w:r>
      <w:r>
        <w:t>the</w:t>
      </w:r>
      <w:r w:rsidRPr="00A5267C">
        <w:t xml:space="preserve"> quality</w:t>
      </w:r>
      <w:r>
        <w:t>,</w:t>
      </w:r>
      <w:r w:rsidRPr="00A5267C">
        <w:t xml:space="preserve"> variety </w:t>
      </w:r>
      <w:r>
        <w:t xml:space="preserve">or price </w:t>
      </w:r>
      <w:r w:rsidRPr="00A5267C">
        <w:t>of goods</w:t>
      </w:r>
      <w:r>
        <w:t xml:space="preserve"> or services in a market</w:t>
      </w:r>
      <w:r w:rsidRPr="00A5267C">
        <w:t xml:space="preserve"> are in scope. Beyond regulatory policies, taxes, subsidies and other policies may have material competition impacts and therefore be</w:t>
      </w:r>
      <w:r>
        <w:t xml:space="preserve"> </w:t>
      </w:r>
      <w:r w:rsidRPr="00A5267C">
        <w:t>in scope of the framework.</w:t>
      </w:r>
    </w:p>
    <w:p w14:paraId="486C1330" w14:textId="77777777" w:rsidR="00601223" w:rsidRPr="00A5267C" w:rsidRDefault="00601223" w:rsidP="00601223">
      <w:r w:rsidRPr="00A5267C">
        <w:t>Competition impacts include:</w:t>
      </w:r>
    </w:p>
    <w:p w14:paraId="7528F007" w14:textId="77777777" w:rsidR="00601223" w:rsidRPr="00A5267C" w:rsidRDefault="00601223" w:rsidP="00601223">
      <w:pPr>
        <w:pStyle w:val="BulletedList-Level1"/>
        <w:ind w:left="425" w:hanging="283"/>
      </w:pPr>
      <w:r w:rsidRPr="00A5267C">
        <w:t>barriers to entry, growth or exit for businesses, organisations or workers</w:t>
      </w:r>
    </w:p>
    <w:p w14:paraId="3E8D2358" w14:textId="77777777" w:rsidR="00601223" w:rsidRPr="00A5267C" w:rsidRDefault="00601223" w:rsidP="00601223">
      <w:pPr>
        <w:pStyle w:val="BulletedList-Level1"/>
        <w:ind w:left="425" w:hanging="283"/>
      </w:pPr>
      <w:r w:rsidRPr="00A5267C">
        <w:t>limiting the number or types of businesses or organisations that can operate</w:t>
      </w:r>
    </w:p>
    <w:p w14:paraId="4791C8E6" w14:textId="77777777" w:rsidR="00601223" w:rsidRPr="00A5267C" w:rsidRDefault="00601223" w:rsidP="00601223">
      <w:pPr>
        <w:pStyle w:val="BulletedList-Level1"/>
        <w:ind w:left="425" w:hanging="283"/>
      </w:pPr>
      <w:r w:rsidRPr="00A5267C">
        <w:t>the ability or incentives for businesses or organisations to compete</w:t>
      </w:r>
    </w:p>
    <w:p w14:paraId="3ED508E7" w14:textId="77777777" w:rsidR="00601223" w:rsidRPr="00A5267C" w:rsidRDefault="00601223" w:rsidP="00601223">
      <w:pPr>
        <w:pStyle w:val="BulletedList-Level1"/>
        <w:ind w:left="425" w:hanging="283"/>
      </w:pPr>
      <w:r>
        <w:t>conditions that influence the prices a business can set or their market share</w:t>
      </w:r>
    </w:p>
    <w:p w14:paraId="0DC36E99" w14:textId="77777777" w:rsidR="00601223" w:rsidRPr="00A5267C" w:rsidRDefault="00601223" w:rsidP="00601223">
      <w:pPr>
        <w:pStyle w:val="BulletedList-Level1"/>
        <w:ind w:left="425" w:hanging="283"/>
      </w:pPr>
      <w:r w:rsidRPr="00A5267C">
        <w:t xml:space="preserve">the choices, information, goods or services available to consumers. </w:t>
      </w:r>
    </w:p>
    <w:p w14:paraId="1D768D8B" w14:textId="77777777" w:rsidR="00601223" w:rsidRDefault="00601223" w:rsidP="00601223">
      <w:r w:rsidRPr="00A5267C">
        <w:t xml:space="preserve">It is important to note that both positive and negative impacts on competition are in scope </w:t>
      </w:r>
      <w:r>
        <w:br/>
      </w:r>
      <w:r w:rsidRPr="00A5267C">
        <w:t>and should consider changes in dynamism (</w:t>
      </w:r>
      <w:r>
        <w:t xml:space="preserve">that is, </w:t>
      </w:r>
      <w:r w:rsidRPr="00A5267C">
        <w:t>the entry and exit of businesses or organisations) over time.</w:t>
      </w:r>
      <w:r>
        <w:t xml:space="preserve"> Refer to the OIA </w:t>
      </w:r>
      <w:hyperlink r:id="rId19" w:history="1">
        <w:r w:rsidRPr="00320379">
          <w:rPr>
            <w:rStyle w:val="Hyperlink"/>
          </w:rPr>
          <w:t>supplementary guidance on competition and regulation</w:t>
        </w:r>
      </w:hyperlink>
      <w:r>
        <w:t xml:space="preserve"> for further information.</w:t>
      </w:r>
    </w:p>
    <w:p w14:paraId="6E1E7650" w14:textId="77777777" w:rsidR="00601223" w:rsidRPr="00A5267C" w:rsidRDefault="00601223" w:rsidP="00601223">
      <w:pPr>
        <w:pStyle w:val="Heading2"/>
        <w:rPr>
          <w:kern w:val="2"/>
          <w:szCs w:val="36"/>
          <w:lang w:eastAsia="ja-JP"/>
          <w14:ligatures w14:val="standardContextual"/>
        </w:rPr>
      </w:pPr>
      <w:bookmarkStart w:id="16" w:name="_Toc226640786"/>
      <w:bookmarkStart w:id="17" w:name="_Toc231900552"/>
      <w:bookmarkStart w:id="18" w:name="_Toc232522183"/>
      <w:bookmarkEnd w:id="15"/>
      <w:bookmarkEnd w:id="16"/>
      <w:r w:rsidRPr="00A5267C">
        <w:t>Preliminary analysis of regulatory burden (IA threshold 1)</w:t>
      </w:r>
      <w:bookmarkEnd w:id="17"/>
      <w:bookmarkEnd w:id="18"/>
    </w:p>
    <w:p w14:paraId="21ADC709" w14:textId="77777777" w:rsidR="00601223" w:rsidRPr="00A5267C" w:rsidRDefault="00601223" w:rsidP="00601223">
      <w:pPr>
        <w:pStyle w:val="BOXText"/>
        <w:rPr>
          <w:kern w:val="2"/>
          <w:lang w:eastAsia="ja-JP"/>
          <w14:ligatures w14:val="standardContextual"/>
        </w:rPr>
      </w:pPr>
      <w:r w:rsidRPr="00A5267C">
        <w:t>IA threshold 1 covers proposals likely to change regulatory burden by $20 million or more in total (over 10</w:t>
      </w:r>
      <w:r>
        <w:t> </w:t>
      </w:r>
      <w:r w:rsidRPr="00A5267C">
        <w:t>years).</w:t>
      </w:r>
    </w:p>
    <w:p w14:paraId="22B9745F" w14:textId="179D7EA1" w:rsidR="00601223" w:rsidRPr="00A5267C" w:rsidRDefault="00601223" w:rsidP="00601223">
      <w:r w:rsidRPr="00A5267C">
        <w:t xml:space="preserve">The preliminary analysis of the regulatory burden </w:t>
      </w:r>
      <w:r>
        <w:t>is undertaken to</w:t>
      </w:r>
      <w:r w:rsidRPr="00A5267C">
        <w:t xml:space="preserve"> determine whether a proposal is </w:t>
      </w:r>
      <w:r w:rsidRPr="00F9607A">
        <w:rPr>
          <w:rFonts w:asciiTheme="minorHAnsi" w:hAnsiTheme="minorHAnsi" w:cstheme="minorHAnsi"/>
          <w:u w:val="single"/>
        </w:rPr>
        <w:t>likely</w:t>
      </w:r>
      <w:r w:rsidRPr="00A5267C">
        <w:t xml:space="preserve"> to meet the regulatory burden threshold</w:t>
      </w:r>
      <w:r>
        <w:t>.</w:t>
      </w:r>
      <w:r w:rsidRPr="00A5267C">
        <w:t xml:space="preserve"> </w:t>
      </w:r>
      <w:r>
        <w:t>T</w:t>
      </w:r>
      <w:r w:rsidRPr="00A5267C">
        <w:t xml:space="preserve">his preliminary analysis does not need to be at the same level of detail as the final analysis of regulatory burden included in the Dashboard IA. </w:t>
      </w:r>
      <w:r>
        <w:t xml:space="preserve">If regulatory burden is likely to be greater than $20 million over 10 years, the agency should proceed with the </w:t>
      </w:r>
      <w:r w:rsidR="002B25CA">
        <w:t>development</w:t>
      </w:r>
      <w:r>
        <w:t xml:space="preserve"> of a Dashboard IA.</w:t>
      </w:r>
    </w:p>
    <w:p w14:paraId="3FB21AA8" w14:textId="77777777" w:rsidR="00601223" w:rsidRPr="00A5267C" w:rsidRDefault="00601223" w:rsidP="00601223">
      <w:r w:rsidRPr="00A5267C">
        <w:t>The agency’s professional judgement</w:t>
      </w:r>
      <w:r>
        <w:t>, based on available evidence,</w:t>
      </w:r>
      <w:r w:rsidRPr="00A5267C">
        <w:t xml:space="preserve"> around the likely compliance</w:t>
      </w:r>
      <w:r>
        <w:t xml:space="preserve"> (including administrative costs and substantive compliance costs)</w:t>
      </w:r>
      <w:r w:rsidRPr="00A5267C">
        <w:t xml:space="preserve"> and delay costs is sufficient at this stage to make </w:t>
      </w:r>
      <w:r>
        <w:t>an early estimate</w:t>
      </w:r>
      <w:r w:rsidRPr="00A5267C">
        <w:t xml:space="preserve"> of the </w:t>
      </w:r>
      <w:r>
        <w:t>likely magnitude of</w:t>
      </w:r>
      <w:r w:rsidRPr="00A5267C">
        <w:t xml:space="preserve"> regulatory burden.</w:t>
      </w:r>
      <w:r>
        <w:t xml:space="preserve"> </w:t>
      </w:r>
      <w:r w:rsidRPr="00A5267C">
        <w:t xml:space="preserve">This </w:t>
      </w:r>
      <w:r>
        <w:t>estimate</w:t>
      </w:r>
      <w:r w:rsidRPr="00A5267C">
        <w:t xml:space="preserve"> could be based on the agency’s engagements and liaison with</w:t>
      </w:r>
      <w:r>
        <w:t xml:space="preserve"> </w:t>
      </w:r>
      <w:r w:rsidRPr="00A5267C">
        <w:t xml:space="preserve">its regulated entities or analysis. </w:t>
      </w:r>
    </w:p>
    <w:p w14:paraId="2EB57713" w14:textId="1AA8E64B" w:rsidR="00601223" w:rsidRPr="00A5267C" w:rsidRDefault="00601223" w:rsidP="00601223">
      <w:pPr>
        <w:rPr>
          <w:rFonts w:eastAsia="Times New Roman"/>
          <w:kern w:val="2"/>
          <w:lang w:eastAsia="ja-JP"/>
          <w14:ligatures w14:val="standardContextual"/>
        </w:rPr>
      </w:pPr>
      <w:r w:rsidRPr="00A5267C">
        <w:rPr>
          <w:rFonts w:eastAsia="Times New Roman"/>
        </w:rPr>
        <w:t xml:space="preserve">The </w:t>
      </w:r>
      <w:r w:rsidRPr="00A5267C">
        <w:rPr>
          <w:rFonts w:eastAsia="Times New Roman"/>
          <w:b/>
        </w:rPr>
        <w:t>Regulatory Burden Estimation Tool</w:t>
      </w:r>
      <w:r w:rsidRPr="00A5267C">
        <w:rPr>
          <w:rFonts w:eastAsia="Times New Roman"/>
        </w:rPr>
        <w:t xml:space="preserve"> </w:t>
      </w:r>
      <w:r>
        <w:rPr>
          <w:rFonts w:eastAsia="Times New Roman"/>
        </w:rPr>
        <w:t xml:space="preserve">may help </w:t>
      </w:r>
      <w:r w:rsidRPr="00A5267C">
        <w:rPr>
          <w:rFonts w:eastAsia="Times New Roman"/>
        </w:rPr>
        <w:t>agencies assess regulatory burden and supports standardised calculations, such as correctly including the relevant costs associated with a proposal’s regulatory burden</w:t>
      </w:r>
      <w:r>
        <w:rPr>
          <w:rFonts w:eastAsia="Times New Roman"/>
        </w:rPr>
        <w:t xml:space="preserve">. This tool applies the </w:t>
      </w:r>
      <w:hyperlink r:id="rId20" w:history="1">
        <w:r w:rsidRPr="002D4D1C">
          <w:rPr>
            <w:rStyle w:val="Hyperlink"/>
            <w:rFonts w:eastAsia="Times New Roman"/>
            <w:i/>
            <w:iCs/>
          </w:rPr>
          <w:t>Regulatory Burden Measurement Framework</w:t>
        </w:r>
      </w:hyperlink>
      <w:r>
        <w:rPr>
          <w:rFonts w:eastAsia="Times New Roman"/>
          <w:i/>
          <w:iCs/>
        </w:rPr>
        <w:t xml:space="preserve"> </w:t>
      </w:r>
      <w:r>
        <w:rPr>
          <w:rFonts w:eastAsia="Times New Roman"/>
        </w:rPr>
        <w:t>and is likely to be useful in later stages of policy development.</w:t>
      </w:r>
    </w:p>
    <w:p w14:paraId="02A5D7CB" w14:textId="77777777" w:rsidR="00601223" w:rsidRPr="00A5267C" w:rsidRDefault="00601223" w:rsidP="00601223">
      <w:r>
        <w:t>To estimate likely regulatory burden,</w:t>
      </w:r>
      <w:r w:rsidRPr="00A5267C">
        <w:t xml:space="preserve"> </w:t>
      </w:r>
      <w:r>
        <w:t>a</w:t>
      </w:r>
      <w:r w:rsidRPr="00A5267C">
        <w:t xml:space="preserve">gencies should </w:t>
      </w:r>
      <w:r>
        <w:t>consider:</w:t>
      </w:r>
    </w:p>
    <w:p w14:paraId="2F542997" w14:textId="77777777" w:rsidR="00601223" w:rsidRPr="00A5267C" w:rsidRDefault="00601223" w:rsidP="00601223">
      <w:pPr>
        <w:pStyle w:val="BulletedList-Level1"/>
        <w:ind w:left="425" w:hanging="283"/>
      </w:pPr>
      <w:r w:rsidRPr="00A5267C">
        <w:t xml:space="preserve">how many businesses, organisations or individuals are </w:t>
      </w:r>
      <w:r>
        <w:t xml:space="preserve">likely to be </w:t>
      </w:r>
      <w:r w:rsidRPr="00A5267C">
        <w:t>affected?</w:t>
      </w:r>
    </w:p>
    <w:p w14:paraId="4ACC4B17" w14:textId="77777777" w:rsidR="00601223" w:rsidRPr="00A5267C" w:rsidRDefault="00601223" w:rsidP="00601223">
      <w:pPr>
        <w:pStyle w:val="BulletedList-Level1"/>
        <w:ind w:left="425" w:hanging="283"/>
      </w:pPr>
      <w:r w:rsidRPr="00A5267C">
        <w:t>what tasks will they need to undertake?</w:t>
      </w:r>
    </w:p>
    <w:p w14:paraId="1A699BE8" w14:textId="77777777" w:rsidR="00601223" w:rsidRPr="00A5267C" w:rsidRDefault="00601223" w:rsidP="00601223">
      <w:pPr>
        <w:pStyle w:val="BulletedList-Level1"/>
        <w:ind w:left="425" w:hanging="283"/>
      </w:pPr>
      <w:r w:rsidRPr="00A5267C">
        <w:t>how much time or expense is involved?</w:t>
      </w:r>
    </w:p>
    <w:p w14:paraId="1E22D16F" w14:textId="249A2647" w:rsidR="006732CB" w:rsidRPr="00053F0E" w:rsidRDefault="00601223" w:rsidP="00601223">
      <w:pPr>
        <w:pStyle w:val="BulletedList-Level1"/>
        <w:ind w:left="425" w:hanging="283"/>
      </w:pPr>
      <w:r w:rsidRPr="00A5267C">
        <w:t xml:space="preserve">is there any delay </w:t>
      </w:r>
      <w:r>
        <w:t xml:space="preserve">(or change to the delay) caused by regulation </w:t>
      </w:r>
      <w:r w:rsidRPr="00A5267C">
        <w:t>before a person or business can operate, supply or trade?</w:t>
      </w:r>
    </w:p>
    <w:p w14:paraId="7B309429" w14:textId="77777777" w:rsidR="00601223" w:rsidRPr="00A5267C" w:rsidRDefault="00601223" w:rsidP="00601223">
      <w:pPr>
        <w:pStyle w:val="Heading2"/>
        <w:rPr>
          <w:kern w:val="2"/>
          <w:szCs w:val="36"/>
          <w:lang w:eastAsia="ja-JP"/>
          <w14:ligatures w14:val="standardContextual"/>
        </w:rPr>
      </w:pPr>
      <w:bookmarkStart w:id="19" w:name="_Toc226640787"/>
      <w:bookmarkStart w:id="20" w:name="_Toc226640788"/>
      <w:bookmarkStart w:id="21" w:name="_Toc231900553"/>
      <w:bookmarkStart w:id="22" w:name="_Toc232522184"/>
      <w:bookmarkEnd w:id="19"/>
      <w:bookmarkEnd w:id="20"/>
      <w:r w:rsidRPr="00A5267C">
        <w:t>Preliminary analysis of material economic</w:t>
      </w:r>
      <w:r>
        <w:t xml:space="preserve"> and</w:t>
      </w:r>
      <w:r w:rsidRPr="00A5267C">
        <w:t xml:space="preserve"> social impacts (IA</w:t>
      </w:r>
      <w:r>
        <w:t> </w:t>
      </w:r>
      <w:r w:rsidRPr="00A5267C">
        <w:t>threshold 2)</w:t>
      </w:r>
      <w:bookmarkEnd w:id="21"/>
      <w:bookmarkEnd w:id="22"/>
    </w:p>
    <w:p w14:paraId="11B0DBEA" w14:textId="77777777" w:rsidR="00601223" w:rsidRPr="00A5267C" w:rsidRDefault="00601223" w:rsidP="00601223">
      <w:pPr>
        <w:pStyle w:val="BOXText"/>
        <w:rPr>
          <w:kern w:val="2"/>
          <w:lang w:eastAsia="ja-JP"/>
          <w14:ligatures w14:val="standardContextual"/>
        </w:rPr>
      </w:pPr>
      <w:r w:rsidRPr="00A5267C">
        <w:t>IA threshold 2 covers proposals likely to have indicative impacts of $200 million or more a year on economic and social outcomes for people, businesses or community organisations.</w:t>
      </w:r>
    </w:p>
    <w:p w14:paraId="48F14C97" w14:textId="77777777" w:rsidR="00601223" w:rsidRDefault="00601223" w:rsidP="00601223">
      <w:r>
        <w:t>The threshold considers a wide range of direct and indirect impacts of a policy proposal. This includes, for example,</w:t>
      </w:r>
      <w:r w:rsidRPr="007F1B42">
        <w:t xml:space="preserve"> </w:t>
      </w:r>
      <w:r>
        <w:t xml:space="preserve">changes in economic </w:t>
      </w:r>
      <w:r w:rsidRPr="007F1B42">
        <w:t>growt</w:t>
      </w:r>
      <w:r>
        <w:t>h, household income, investment, innovation and productivity.</w:t>
      </w:r>
      <w:r w:rsidRPr="007F1B42">
        <w:t xml:space="preserve"> </w:t>
      </w:r>
      <w:r>
        <w:t>C</w:t>
      </w:r>
      <w:r w:rsidRPr="007F1B42">
        <w:t>hanges</w:t>
      </w:r>
      <w:r>
        <w:t xml:space="preserve"> in</w:t>
      </w:r>
      <w:r w:rsidRPr="007F1B42">
        <w:t xml:space="preserve"> </w:t>
      </w:r>
      <w:r>
        <w:t>what goods and services consumers can access and at what cost should also be considered – including changes in government-funded goods and services</w:t>
      </w:r>
      <w:r w:rsidRPr="007F1B42">
        <w:t xml:space="preserve">. </w:t>
      </w:r>
      <w:r>
        <w:t>H</w:t>
      </w:r>
      <w:r w:rsidRPr="007F1B42">
        <w:t>ealth</w:t>
      </w:r>
      <w:r>
        <w:t xml:space="preserve"> and safety outcomes (such as life years added or lost), </w:t>
      </w:r>
      <w:r w:rsidRPr="007F1B42">
        <w:t>education</w:t>
      </w:r>
      <w:r>
        <w:t xml:space="preserve"> outcomes (</w:t>
      </w:r>
      <w:r w:rsidRPr="00A5267C">
        <w:t>such as, graduation rates</w:t>
      </w:r>
      <w:r>
        <w:t>)</w:t>
      </w:r>
      <w:r w:rsidRPr="007F1B42">
        <w:t xml:space="preserve"> </w:t>
      </w:r>
      <w:r>
        <w:t xml:space="preserve">and other social </w:t>
      </w:r>
      <w:r w:rsidRPr="007F1B42">
        <w:t>outcome</w:t>
      </w:r>
      <w:r>
        <w:t>s relevant to the policy proposal are also relevant under this threshold, along with environmental outcomes</w:t>
      </w:r>
      <w:r w:rsidRPr="007F1B42">
        <w:t>.</w:t>
      </w:r>
    </w:p>
    <w:p w14:paraId="6C14199D" w14:textId="77777777" w:rsidR="00601223" w:rsidRPr="005D1E88" w:rsidRDefault="00601223" w:rsidP="00601223">
      <w:r w:rsidRPr="00907839">
        <w:t>This threshold complements the regulatory burden threshold, acknowledging that some proposals do not create ‘red tape’ but nevertheless have a significant impact on Australians.</w:t>
      </w:r>
    </w:p>
    <w:p w14:paraId="5A27974A" w14:textId="77777777" w:rsidR="00601223" w:rsidRDefault="00601223" w:rsidP="00601223">
      <w:r>
        <w:t xml:space="preserve">The application of this threshold is based on a judgement of whether there are likely to be costs/harms or benefits to </w:t>
      </w:r>
      <w:r w:rsidRPr="00024918">
        <w:rPr>
          <w:b/>
          <w:bCs/>
        </w:rPr>
        <w:t>any group</w:t>
      </w:r>
      <w:r>
        <w:t xml:space="preserve"> of Australians that is likely to have a monetary value of over $200 million per year. </w:t>
      </w:r>
    </w:p>
    <w:p w14:paraId="3BE3EA71" w14:textId="6B803D10" w:rsidR="00601223" w:rsidRDefault="00601223" w:rsidP="00601223">
      <w:r w:rsidRPr="005C549D">
        <w:rPr>
          <w:b/>
          <w:bCs/>
        </w:rPr>
        <w:t>For regulatory proposals</w:t>
      </w:r>
      <w:r>
        <w:t xml:space="preserve">, where proposals may reduce or </w:t>
      </w:r>
      <w:r w:rsidRPr="009A3862">
        <w:t>expand opportunities</w:t>
      </w:r>
      <w:r>
        <w:t xml:space="preserve"> (for example, change to </w:t>
      </w:r>
      <w:r w:rsidR="002B25CA">
        <w:t>revenue</w:t>
      </w:r>
      <w:r>
        <w:t xml:space="preserve"> based on introduction or removal of an import or export ban), impact access to or costs of goods and services (for example, by driving changes in prices) or create other economic and social impacts such as on human health or the environment (monetised</w:t>
      </w:r>
      <w:r w:rsidR="002B25CA">
        <w:t>, for example,</w:t>
      </w:r>
      <w:r>
        <w:t xml:space="preserve"> using value of statistical life </w:t>
      </w:r>
      <w:r w:rsidR="002B25CA" w:rsidRPr="004455F3">
        <w:t>an estimate of the value society places on reducing the risk of dying</w:t>
      </w:r>
      <w:r w:rsidR="002B25CA">
        <w:t xml:space="preserve"> </w:t>
      </w:r>
      <w:r>
        <w:t>or environmental values), estimates of such impacts should be compared with the threshold.</w:t>
      </w:r>
    </w:p>
    <w:p w14:paraId="31A5D4DB" w14:textId="7CAA023A" w:rsidR="00601223" w:rsidRDefault="00601223" w:rsidP="00601223">
      <w:pPr>
        <w:rPr>
          <w:highlight w:val="yellow"/>
        </w:rPr>
      </w:pPr>
      <w:r w:rsidRPr="005C549D">
        <w:rPr>
          <w:b/>
          <w:bCs/>
        </w:rPr>
        <w:t>For proposals with material competition impacts</w:t>
      </w:r>
      <w:r>
        <w:t xml:space="preserve">, among others, the size of the government funding (including grants or taxation arrangements) may be a good indicator of whether this threshold has been met. For example, if funding is being provided to a particular sector or businesses that may give them an advantage over domestic competitors, the upper estimate </w:t>
      </w:r>
      <w:r w:rsidR="00F5487F">
        <w:br/>
      </w:r>
      <w:r>
        <w:t xml:space="preserve">of that funding should be compared with the threshold. </w:t>
      </w:r>
    </w:p>
    <w:p w14:paraId="2A58C137" w14:textId="77B00664" w:rsidR="00F5487F" w:rsidRDefault="00601223" w:rsidP="00F5487F">
      <w:r>
        <w:t xml:space="preserve">It is not necessary to complete a full cost benefit analysis as part of </w:t>
      </w:r>
      <w:r w:rsidR="00024918">
        <w:t>p</w:t>
      </w:r>
      <w:r>
        <w:t xml:space="preserve">reliminary </w:t>
      </w:r>
      <w:r w:rsidR="00024918">
        <w:t>a</w:t>
      </w:r>
      <w:r>
        <w:t>nalysis, and estimates should be made based on</w:t>
      </w:r>
      <w:r w:rsidR="00F5487F">
        <w:t xml:space="preserve"> available</w:t>
      </w:r>
      <w:r>
        <w:t xml:space="preserve"> information. For purposes of preliminary analysis, consideration of the threshold should not include discounting or other adjustments as they are indicative ‘order of magnitude’ estimates only.</w:t>
      </w:r>
    </w:p>
    <w:p w14:paraId="567C3159" w14:textId="3976FE28" w:rsidR="00601223" w:rsidRDefault="00601223" w:rsidP="00F5487F">
      <w:pPr>
        <w:pStyle w:val="BOXText"/>
        <w:keepNext/>
        <w:keepLines/>
        <w:spacing w:after="0"/>
      </w:pPr>
      <w:r>
        <w:rPr>
          <w:b/>
          <w:bCs/>
        </w:rPr>
        <w:t>Illustrative e</w:t>
      </w:r>
      <w:r w:rsidRPr="00355980">
        <w:rPr>
          <w:b/>
          <w:bCs/>
        </w:rPr>
        <w:t>xample.</w:t>
      </w:r>
      <w:r>
        <w:t xml:space="preserve"> A policy drafter understands that a group of exporters have an annual </w:t>
      </w:r>
      <w:r w:rsidR="001D35A1">
        <w:t>revenue</w:t>
      </w:r>
      <w:r>
        <w:t xml:space="preserve"> of between $150 to $300 million for a single product. The proposal is considering the ban of this product, so the </w:t>
      </w:r>
      <w:r w:rsidRPr="00601223">
        <w:t>threshold</w:t>
      </w:r>
      <w:r>
        <w:t xml:space="preserve"> is likely to be met and a </w:t>
      </w:r>
      <w:r w:rsidR="001D35A1">
        <w:t>D</w:t>
      </w:r>
      <w:r>
        <w:t xml:space="preserve">ashboard </w:t>
      </w:r>
      <w:r w:rsidR="001D35A1">
        <w:t xml:space="preserve">IA </w:t>
      </w:r>
      <w:r>
        <w:t>will be prepared.</w:t>
      </w:r>
    </w:p>
    <w:p w14:paraId="757DFD05" w14:textId="77777777" w:rsidR="00601223" w:rsidRDefault="00601223" w:rsidP="00F5487F">
      <w:pPr>
        <w:pStyle w:val="BulletedList-Level1"/>
        <w:numPr>
          <w:ilvl w:val="0"/>
          <w:numId w:val="0"/>
        </w:numPr>
        <w:spacing w:after="0"/>
        <w:rPr>
          <w:b/>
          <w:bCs/>
        </w:rPr>
      </w:pPr>
    </w:p>
    <w:p w14:paraId="7D6092E9" w14:textId="23F9DC6C" w:rsidR="00601223" w:rsidRPr="008138AF" w:rsidRDefault="00601223" w:rsidP="00601223">
      <w:pPr>
        <w:pStyle w:val="BOXText"/>
        <w:rPr>
          <w:b/>
          <w:bCs/>
        </w:rPr>
      </w:pPr>
      <w:r>
        <w:rPr>
          <w:b/>
          <w:bCs/>
        </w:rPr>
        <w:t>Illustrative e</w:t>
      </w:r>
      <w:r w:rsidRPr="00355980">
        <w:rPr>
          <w:b/>
          <w:bCs/>
        </w:rPr>
        <w:t>xample</w:t>
      </w:r>
      <w:r>
        <w:t xml:space="preserve">. A </w:t>
      </w:r>
      <w:r w:rsidRPr="00601223">
        <w:t>policy</w:t>
      </w:r>
      <w:r>
        <w:t xml:space="preserve"> drafter is working on a proposal that aims to reduce the health risk of misuse of prescription medication. To meet the $200 million threshold, the proposal would need to be expected to save 34 lives per year (that is, $5.87 million per life saved</w:t>
      </w:r>
      <w:r w:rsidR="001D35A1" w:rsidRPr="001D35A1">
        <w:t xml:space="preserve"> </w:t>
      </w:r>
      <w:r w:rsidR="001D35A1">
        <w:t>multiplied by 34 is around $200 million</w:t>
      </w:r>
      <w:r>
        <w:t xml:space="preserve">, based on </w:t>
      </w:r>
      <w:hyperlink r:id="rId21" w:history="1">
        <w:r w:rsidRPr="00355980">
          <w:rPr>
            <w:rStyle w:val="Hyperlink"/>
          </w:rPr>
          <w:t>OIA guidance on the value of statistical life</w:t>
        </w:r>
      </w:hyperlink>
      <w:r>
        <w:t xml:space="preserve">). </w:t>
      </w:r>
      <w:r w:rsidR="001D35A1">
        <w:t>If the</w:t>
      </w:r>
      <w:r>
        <w:t xml:space="preserve"> agency considers it is unlikely that more than 34 deaths could be avoided per year under this proposal, the threshold is not likely to be met and a </w:t>
      </w:r>
      <w:r w:rsidR="001D35A1">
        <w:t>D</w:t>
      </w:r>
      <w:r>
        <w:t xml:space="preserve">ashboard </w:t>
      </w:r>
      <w:r w:rsidR="001D35A1">
        <w:t xml:space="preserve">IA </w:t>
      </w:r>
      <w:r>
        <w:t>will not be prepared</w:t>
      </w:r>
      <w:r w:rsidR="001D35A1">
        <w:t>.</w:t>
      </w:r>
    </w:p>
    <w:p w14:paraId="40BE4C09" w14:textId="77777777" w:rsidR="0016620D" w:rsidRPr="00A5267C" w:rsidRDefault="0016620D" w:rsidP="0016620D">
      <w:pPr>
        <w:pStyle w:val="Heading2"/>
        <w:rPr>
          <w:kern w:val="2"/>
          <w:szCs w:val="36"/>
          <w:lang w:eastAsia="ja-JP"/>
          <w14:ligatures w14:val="standardContextual"/>
        </w:rPr>
      </w:pPr>
      <w:bookmarkStart w:id="23" w:name="_Toc231900554"/>
      <w:bookmarkStart w:id="24" w:name="_Toc232522185"/>
      <w:r w:rsidRPr="00A5267C">
        <w:t>Preliminary analysis of distributional impacts (IA threshold 3)</w:t>
      </w:r>
      <w:bookmarkEnd w:id="23"/>
      <w:bookmarkEnd w:id="24"/>
    </w:p>
    <w:p w14:paraId="5F77C418" w14:textId="77777777" w:rsidR="0016620D" w:rsidRPr="00A5267C" w:rsidRDefault="0016620D" w:rsidP="0016620D">
      <w:pPr>
        <w:pStyle w:val="BOXText"/>
        <w:rPr>
          <w:kern w:val="2"/>
          <w:lang w:eastAsia="ja-JP"/>
          <w14:ligatures w14:val="standardContextual"/>
        </w:rPr>
      </w:pPr>
      <w:r w:rsidRPr="00A5267C">
        <w:t>IA threshold 3 applies where proposals are likely to have a disproportionate and significant impact on a cohort (including small businesses) and no other impact assessment applies.</w:t>
      </w:r>
    </w:p>
    <w:p w14:paraId="10AAA9DC" w14:textId="3D97F0E1" w:rsidR="0016620D" w:rsidRPr="00A5267C" w:rsidRDefault="0016620D" w:rsidP="0016620D">
      <w:pPr>
        <w:rPr>
          <w:rFonts w:eastAsia="Times New Roman"/>
          <w:kern w:val="2"/>
          <w:lang w:eastAsia="ja-JP"/>
          <w14:ligatures w14:val="standardContextual"/>
        </w:rPr>
      </w:pPr>
      <w:r w:rsidRPr="00A5267C">
        <w:rPr>
          <w:rFonts w:eastAsia="Times New Roman"/>
        </w:rPr>
        <w:t>For preliminary analysis, agencies need to identify relevant cohorts and consider whether</w:t>
      </w:r>
      <w:r w:rsidR="00F9607A">
        <w:rPr>
          <w:rFonts w:eastAsia="Times New Roman"/>
        </w:rPr>
        <w:t xml:space="preserve"> </w:t>
      </w:r>
      <w:r w:rsidRPr="00A5267C">
        <w:rPr>
          <w:rFonts w:eastAsia="Times New Roman"/>
        </w:rPr>
        <w:t>the</w:t>
      </w:r>
      <w:r w:rsidR="00F9607A">
        <w:rPr>
          <w:rFonts w:eastAsia="Times New Roman"/>
        </w:rPr>
        <w:t xml:space="preserve"> </w:t>
      </w:r>
      <w:r w:rsidRPr="00A5267C">
        <w:rPr>
          <w:rFonts w:eastAsia="Times New Roman"/>
        </w:rPr>
        <w:t>proposal</w:t>
      </w:r>
      <w:r w:rsidR="00F9607A">
        <w:rPr>
          <w:rFonts w:eastAsia="Times New Roman"/>
        </w:rPr>
        <w:t xml:space="preserve"> </w:t>
      </w:r>
      <w:r w:rsidRPr="00A5267C">
        <w:rPr>
          <w:rFonts w:eastAsia="Times New Roman"/>
        </w:rPr>
        <w:t>is</w:t>
      </w:r>
      <w:r w:rsidR="00F9607A">
        <w:rPr>
          <w:rFonts w:eastAsia="Times New Roman"/>
        </w:rPr>
        <w:t xml:space="preserve"> </w:t>
      </w:r>
      <w:r w:rsidRPr="00A5267C">
        <w:rPr>
          <w:rFonts w:eastAsia="Times New Roman"/>
        </w:rPr>
        <w:t>likely to have a disproportionate and significant impact on them. A cohort is a</w:t>
      </w:r>
      <w:r w:rsidR="00F9607A">
        <w:rPr>
          <w:rFonts w:eastAsia="Times New Roman"/>
        </w:rPr>
        <w:t xml:space="preserve"> </w:t>
      </w:r>
      <w:r w:rsidRPr="00A5267C">
        <w:rPr>
          <w:rFonts w:eastAsia="Times New Roman"/>
        </w:rPr>
        <w:t>recognisable group that is affected in a materially different way from others. For example,</w:t>
      </w:r>
      <w:r w:rsidR="00F9607A">
        <w:rPr>
          <w:rFonts w:eastAsia="Times New Roman"/>
        </w:rPr>
        <w:t xml:space="preserve"> </w:t>
      </w:r>
      <w:r w:rsidR="00F9607A">
        <w:rPr>
          <w:rFonts w:eastAsia="Times New Roman"/>
        </w:rPr>
        <w:br/>
      </w:r>
      <w:r w:rsidRPr="00A5267C">
        <w:rPr>
          <w:rFonts w:eastAsia="Times New Roman"/>
        </w:rPr>
        <w:t>small</w:t>
      </w:r>
      <w:r w:rsidR="00F9607A">
        <w:rPr>
          <w:rFonts w:eastAsia="Times New Roman"/>
        </w:rPr>
        <w:t xml:space="preserve"> </w:t>
      </w:r>
      <w:r w:rsidRPr="00A5267C">
        <w:rPr>
          <w:rFonts w:eastAsia="Times New Roman"/>
        </w:rPr>
        <w:t>businesses, or businesses operating in a particular market segment (such as</w:t>
      </w:r>
      <w:r>
        <w:rPr>
          <w:rFonts w:eastAsia="Times New Roman"/>
        </w:rPr>
        <w:t>,</w:t>
      </w:r>
      <w:r w:rsidRPr="00A5267C">
        <w:rPr>
          <w:rFonts w:eastAsia="Times New Roman"/>
        </w:rPr>
        <w:t xml:space="preserve"> a specific region or</w:t>
      </w:r>
      <w:r w:rsidR="00F9607A">
        <w:rPr>
          <w:rFonts w:eastAsia="Times New Roman"/>
        </w:rPr>
        <w:t xml:space="preserve"> </w:t>
      </w:r>
      <w:r w:rsidRPr="00A5267C">
        <w:rPr>
          <w:rFonts w:eastAsia="Times New Roman"/>
        </w:rPr>
        <w:t>a specific good or service)</w:t>
      </w:r>
      <w:r>
        <w:rPr>
          <w:rFonts w:eastAsia="Times New Roman"/>
        </w:rPr>
        <w:t xml:space="preserve">, or with </w:t>
      </w:r>
      <w:r w:rsidRPr="00A5267C">
        <w:t xml:space="preserve">disproportionate and significant impact </w:t>
      </w:r>
      <w:r>
        <w:t xml:space="preserve">on a </w:t>
      </w:r>
      <w:r>
        <w:rPr>
          <w:rFonts w:eastAsia="Times New Roman"/>
        </w:rPr>
        <w:t>vulnerable</w:t>
      </w:r>
      <w:r w:rsidR="00F9607A">
        <w:rPr>
          <w:rFonts w:eastAsia="Times New Roman"/>
        </w:rPr>
        <w:t xml:space="preserve"> </w:t>
      </w:r>
      <w:r>
        <w:rPr>
          <w:rFonts w:eastAsia="Times New Roman"/>
        </w:rPr>
        <w:t>cohort</w:t>
      </w:r>
      <w:r w:rsidRPr="00A5267C">
        <w:rPr>
          <w:rFonts w:eastAsia="Times New Roman"/>
        </w:rPr>
        <w:t>.</w:t>
      </w:r>
    </w:p>
    <w:p w14:paraId="170DAF61" w14:textId="77777777" w:rsidR="006C0288" w:rsidRPr="00F64B74" w:rsidRDefault="0016620D" w:rsidP="00F64B74">
      <w:pPr>
        <w:pStyle w:val="Heading3"/>
      </w:pPr>
      <w:r w:rsidRPr="00F64B74">
        <w:t xml:space="preserve">What does ‘disproportionately and significantly’ mean in practice? </w:t>
      </w:r>
    </w:p>
    <w:p w14:paraId="7E4307ED" w14:textId="08C20A31" w:rsidR="0016620D" w:rsidRPr="00C257C0" w:rsidRDefault="0016620D" w:rsidP="00E942CC">
      <w:pPr>
        <w:rPr>
          <w:b/>
        </w:rPr>
      </w:pPr>
      <w:r w:rsidRPr="00714ECF">
        <w:t xml:space="preserve">Examples </w:t>
      </w:r>
      <w:r w:rsidRPr="00C257C0">
        <w:t>might include proposals that:</w:t>
      </w:r>
    </w:p>
    <w:p w14:paraId="6C941957" w14:textId="0150F626" w:rsidR="0016620D" w:rsidRPr="00A5267C" w:rsidRDefault="0016620D" w:rsidP="0016620D">
      <w:pPr>
        <w:pStyle w:val="BulletedList-Level1"/>
        <w:ind w:left="425" w:hanging="283"/>
      </w:pPr>
      <w:r w:rsidRPr="00A5267C">
        <w:t xml:space="preserve">concentrate costs </w:t>
      </w:r>
      <w:r w:rsidR="001D35A1">
        <w:t>or regulatory burden</w:t>
      </w:r>
      <w:r w:rsidR="001D35A1" w:rsidRPr="00A5267C">
        <w:t xml:space="preserve"> </w:t>
      </w:r>
      <w:r w:rsidRPr="00A5267C">
        <w:t xml:space="preserve">on small businesses </w:t>
      </w:r>
      <w:r>
        <w:t>that make it difficult for these businesses to be competitive</w:t>
      </w:r>
    </w:p>
    <w:p w14:paraId="089CFD65" w14:textId="2DEE0215" w:rsidR="0016620D" w:rsidRPr="00A5267C" w:rsidRDefault="0016620D" w:rsidP="0016620D">
      <w:pPr>
        <w:pStyle w:val="BulletedList-Level1"/>
        <w:ind w:left="425" w:hanging="283"/>
      </w:pPr>
      <w:r w:rsidRPr="00A5267C">
        <w:t xml:space="preserve">create major effects for one </w:t>
      </w:r>
      <w:r>
        <w:t>particular</w:t>
      </w:r>
      <w:r w:rsidRPr="00A5267C">
        <w:t xml:space="preserve"> group</w:t>
      </w:r>
      <w:r>
        <w:t xml:space="preserve"> of people</w:t>
      </w:r>
      <w:r w:rsidRPr="00A5267C">
        <w:t>, occupation, field of study or</w:t>
      </w:r>
      <w:r w:rsidR="00F9607A">
        <w:t xml:space="preserve"> </w:t>
      </w:r>
      <w:r w:rsidRPr="00A5267C">
        <w:t>segment of consumers</w:t>
      </w:r>
    </w:p>
    <w:p w14:paraId="09B1B6A1" w14:textId="77777777" w:rsidR="0016620D" w:rsidRDefault="0016620D" w:rsidP="0016620D">
      <w:r w:rsidRPr="00CE1463">
        <w:rPr>
          <w:rFonts w:eastAsia="Times New Roman"/>
        </w:rPr>
        <w:t>An</w:t>
      </w:r>
      <w:r w:rsidRPr="00A5267C">
        <w:t xml:space="preserve"> IA </w:t>
      </w:r>
      <w:r>
        <w:t xml:space="preserve">would only be required by this threshold </w:t>
      </w:r>
      <w:r w:rsidRPr="00A5267C">
        <w:t>where other Australian Government processes</w:t>
      </w:r>
      <w:r w:rsidRPr="00CE1463">
        <w:t xml:space="preserve"> </w:t>
      </w:r>
      <w:r w:rsidRPr="00A5267C">
        <w:t>do not apply</w:t>
      </w:r>
      <w:r>
        <w:t>. This includes:</w:t>
      </w:r>
      <w:r w:rsidRPr="00A5267C">
        <w:t xml:space="preserve"> </w:t>
      </w:r>
    </w:p>
    <w:p w14:paraId="01B7F50A" w14:textId="0C476AEB" w:rsidR="0016620D" w:rsidRPr="001342D2" w:rsidRDefault="0016620D" w:rsidP="0016620D">
      <w:pPr>
        <w:pStyle w:val="ListParagraph"/>
        <w:numPr>
          <w:ilvl w:val="0"/>
          <w:numId w:val="31"/>
        </w:numPr>
        <w:rPr>
          <w:kern w:val="2"/>
          <w:lang w:eastAsia="ja-JP"/>
          <w14:ligatures w14:val="standardContextual"/>
        </w:rPr>
      </w:pPr>
      <w:hyperlink r:id="rId22" w:history="1">
        <w:r w:rsidRPr="00DA6D12">
          <w:rPr>
            <w:rStyle w:val="Hyperlink"/>
          </w:rPr>
          <w:t xml:space="preserve">Gender Impact </w:t>
        </w:r>
        <w:r w:rsidR="001D35A1">
          <w:rPr>
            <w:rStyle w:val="Hyperlink"/>
          </w:rPr>
          <w:t>Assessments</w:t>
        </w:r>
      </w:hyperlink>
    </w:p>
    <w:p w14:paraId="09403D1B" w14:textId="77777777" w:rsidR="0016620D" w:rsidRPr="001342D2" w:rsidRDefault="0016620D" w:rsidP="0016620D">
      <w:pPr>
        <w:pStyle w:val="ListParagraph"/>
        <w:numPr>
          <w:ilvl w:val="0"/>
          <w:numId w:val="31"/>
        </w:numPr>
        <w:rPr>
          <w:kern w:val="2"/>
          <w:lang w:eastAsia="ja-JP"/>
          <w14:ligatures w14:val="standardContextual"/>
        </w:rPr>
      </w:pPr>
      <w:hyperlink r:id="rId23" w:history="1">
        <w:r w:rsidRPr="0020681C">
          <w:rPr>
            <w:rStyle w:val="Hyperlink"/>
          </w:rPr>
          <w:t>Regional Australia Impact Statements</w:t>
        </w:r>
      </w:hyperlink>
    </w:p>
    <w:p w14:paraId="1D9BDCBC" w14:textId="620BABED" w:rsidR="0016620D" w:rsidRPr="0016620D" w:rsidRDefault="0016620D" w:rsidP="0016620D">
      <w:pPr>
        <w:pStyle w:val="ListParagraph"/>
        <w:numPr>
          <w:ilvl w:val="0"/>
          <w:numId w:val="31"/>
        </w:numPr>
        <w:rPr>
          <w:kern w:val="2"/>
          <w:lang w:eastAsia="ja-JP"/>
          <w14:ligatures w14:val="standardContextual"/>
        </w:rPr>
      </w:pPr>
      <w:hyperlink r:id="rId24" w:history="1">
        <w:r w:rsidRPr="00C05D65">
          <w:rPr>
            <w:rStyle w:val="Hyperlink"/>
          </w:rPr>
          <w:t>First Nations Impacts Framework</w:t>
        </w:r>
      </w:hyperlink>
      <w:r>
        <w:t>.</w:t>
      </w:r>
    </w:p>
    <w:p w14:paraId="7F6FD4CA" w14:textId="77777777" w:rsidR="0016620D" w:rsidRPr="00F34CF3" w:rsidRDefault="0016620D" w:rsidP="00D97A34">
      <w:pPr>
        <w:pStyle w:val="Heading2"/>
        <w:rPr>
          <w:b/>
        </w:rPr>
      </w:pPr>
      <w:bookmarkStart w:id="25" w:name="_Toc231900555"/>
      <w:bookmarkStart w:id="26" w:name="_Toc232522186"/>
      <w:r w:rsidRPr="00F34CF3">
        <w:t>Are there any exemptions from scope?</w:t>
      </w:r>
      <w:bookmarkEnd w:id="25"/>
      <w:bookmarkEnd w:id="26"/>
      <w:r w:rsidRPr="00F34CF3">
        <w:t xml:space="preserve"> </w:t>
      </w:r>
    </w:p>
    <w:p w14:paraId="00434C8D" w14:textId="77777777" w:rsidR="0016620D" w:rsidRDefault="0016620D" w:rsidP="0016620D">
      <w:pPr>
        <w:pStyle w:val="BOXText"/>
        <w:pBdr>
          <w:left w:val="single" w:sz="48" w:space="0" w:color="E0E8F2"/>
        </w:pBdr>
      </w:pPr>
      <w:r>
        <w:t>U</w:t>
      </w:r>
      <w:r w:rsidRPr="00A5267C">
        <w:t>nder the framework</w:t>
      </w:r>
      <w:r>
        <w:t>,</w:t>
      </w:r>
      <w:r>
        <w:rPr>
          <w:rFonts w:eastAsia="Times New Roman"/>
        </w:rPr>
        <w:t xml:space="preserve"> a</w:t>
      </w:r>
      <w:r w:rsidRPr="00120DD7">
        <w:rPr>
          <w:rFonts w:eastAsia="Times New Roman"/>
        </w:rPr>
        <w:t xml:space="preserve">ll policy proposals must be tested against the </w:t>
      </w:r>
      <w:r>
        <w:rPr>
          <w:rFonts w:eastAsia="Times New Roman"/>
        </w:rPr>
        <w:t>framework’s scope and IA thresholds</w:t>
      </w:r>
      <w:r w:rsidRPr="00A5267C">
        <w:t xml:space="preserve">. </w:t>
      </w:r>
    </w:p>
    <w:p w14:paraId="30DC5C2B" w14:textId="77777777" w:rsidR="0016620D" w:rsidRPr="00A5267C" w:rsidRDefault="0016620D" w:rsidP="0016620D">
      <w:pPr>
        <w:pStyle w:val="BOXText"/>
        <w:pBdr>
          <w:left w:val="single" w:sz="48" w:space="0" w:color="E0E8F2"/>
        </w:pBdr>
      </w:pPr>
      <w:r>
        <w:t xml:space="preserve">However, </w:t>
      </w:r>
      <w:r>
        <w:rPr>
          <w:kern w:val="2"/>
          <w:lang w:eastAsia="ja-JP"/>
          <w14:ligatures w14:val="standardContextual"/>
        </w:rPr>
        <w:t xml:space="preserve">routine </w:t>
      </w:r>
      <w:r w:rsidRPr="003F2DE1">
        <w:rPr>
          <w:kern w:val="2"/>
          <w:lang w:eastAsia="ja-JP"/>
          <w14:ligatures w14:val="standardContextual"/>
        </w:rPr>
        <w:t>indexation,</w:t>
      </w:r>
      <w:r>
        <w:rPr>
          <w:kern w:val="2"/>
          <w:lang w:eastAsia="ja-JP"/>
          <w14:ligatures w14:val="standardContextual"/>
        </w:rPr>
        <w:t xml:space="preserve"> </w:t>
      </w:r>
      <w:r w:rsidRPr="003F2DE1">
        <w:rPr>
          <w:kern w:val="2"/>
          <w:lang w:eastAsia="ja-JP"/>
          <w14:ligatures w14:val="standardContextual"/>
        </w:rPr>
        <w:t>administrative and machinery changes</w:t>
      </w:r>
      <w:r w:rsidRPr="00A5267C">
        <w:t xml:space="preserve"> </w:t>
      </w:r>
      <w:r>
        <w:t>do not require an IA.</w:t>
      </w:r>
    </w:p>
    <w:p w14:paraId="10C8B824" w14:textId="73D89B59" w:rsidR="0016620D" w:rsidRDefault="0016620D" w:rsidP="0016620D">
      <w:pPr>
        <w:rPr>
          <w:rFonts w:eastAsia="Times New Roman"/>
        </w:rPr>
      </w:pPr>
      <w:r w:rsidRPr="00120DD7">
        <w:rPr>
          <w:rFonts w:eastAsia="Times New Roman"/>
        </w:rPr>
        <w:t xml:space="preserve">All policy proposals must be tested against the </w:t>
      </w:r>
      <w:r>
        <w:rPr>
          <w:rFonts w:eastAsia="Times New Roman"/>
        </w:rPr>
        <w:t xml:space="preserve">IA </w:t>
      </w:r>
      <w:r w:rsidRPr="00120DD7">
        <w:rPr>
          <w:rFonts w:eastAsia="Times New Roman"/>
        </w:rPr>
        <w:t>framework. Some proposals will be out of scope because they are non</w:t>
      </w:r>
      <w:r>
        <w:rPr>
          <w:rFonts w:eastAsia="Times New Roman"/>
        </w:rPr>
        <w:noBreakHyphen/>
      </w:r>
      <w:r w:rsidRPr="00120DD7">
        <w:rPr>
          <w:rFonts w:eastAsia="Times New Roman"/>
        </w:rPr>
        <w:t xml:space="preserve">regulatory or do not have material competition impacts. </w:t>
      </w:r>
      <w:r>
        <w:rPr>
          <w:rFonts w:eastAsia="Times New Roman"/>
        </w:rPr>
        <w:t>D</w:t>
      </w:r>
      <w:r w:rsidRPr="00120DD7">
        <w:rPr>
          <w:rFonts w:eastAsia="Times New Roman"/>
        </w:rPr>
        <w:t>ecisions with national security or other sensitivities</w:t>
      </w:r>
      <w:r>
        <w:rPr>
          <w:rFonts w:eastAsia="Times New Roman"/>
        </w:rPr>
        <w:t xml:space="preserve"> are not carved out of the IA framework</w:t>
      </w:r>
      <w:r w:rsidRPr="00120DD7">
        <w:rPr>
          <w:rFonts w:eastAsia="Times New Roman"/>
        </w:rPr>
        <w:t xml:space="preserve">. Where a proposal is sensitive, </w:t>
      </w:r>
      <w:r>
        <w:rPr>
          <w:rFonts w:eastAsia="Times New Roman"/>
        </w:rPr>
        <w:t>IA</w:t>
      </w:r>
      <w:r w:rsidRPr="00120DD7">
        <w:rPr>
          <w:rFonts w:eastAsia="Times New Roman"/>
        </w:rPr>
        <w:t xml:space="preserve"> can be prepared including classified material for decision makers and subsequently redacted to be suitable for publication.</w:t>
      </w:r>
    </w:p>
    <w:p w14:paraId="7F4CE8C2" w14:textId="77777777" w:rsidR="0016620D" w:rsidRDefault="0016620D" w:rsidP="0016620D">
      <w:r>
        <w:rPr>
          <w:kern w:val="2"/>
          <w:lang w:eastAsia="ja-JP"/>
          <w14:ligatures w14:val="standardContextual"/>
        </w:rPr>
        <w:t xml:space="preserve">Routine </w:t>
      </w:r>
      <w:r w:rsidRPr="003F2DE1">
        <w:rPr>
          <w:kern w:val="2"/>
          <w:lang w:eastAsia="ja-JP"/>
          <w14:ligatures w14:val="standardContextual"/>
        </w:rPr>
        <w:t>indexation,</w:t>
      </w:r>
      <w:r>
        <w:rPr>
          <w:kern w:val="2"/>
          <w:lang w:eastAsia="ja-JP"/>
          <w14:ligatures w14:val="standardContextual"/>
        </w:rPr>
        <w:t xml:space="preserve"> </w:t>
      </w:r>
      <w:r w:rsidRPr="003F2DE1">
        <w:rPr>
          <w:kern w:val="2"/>
          <w:lang w:eastAsia="ja-JP"/>
          <w14:ligatures w14:val="standardContextual"/>
        </w:rPr>
        <w:t>administrative and machinery changes</w:t>
      </w:r>
      <w:r>
        <w:t xml:space="preserve"> are not within the scope of the framework and do not require an IA. This includes:</w:t>
      </w:r>
    </w:p>
    <w:p w14:paraId="448A56B5" w14:textId="75C4991F" w:rsidR="0016620D" w:rsidRPr="00AF7C74" w:rsidRDefault="001D35A1" w:rsidP="0016620D">
      <w:pPr>
        <w:pStyle w:val="ListParagraph"/>
        <w:numPr>
          <w:ilvl w:val="0"/>
          <w:numId w:val="22"/>
        </w:numPr>
        <w:rPr>
          <w:kern w:val="2"/>
          <w:lang w:eastAsia="ja-JP"/>
          <w14:ligatures w14:val="standardContextual"/>
        </w:rPr>
      </w:pPr>
      <w:r>
        <w:t>r</w:t>
      </w:r>
      <w:r w:rsidR="0016620D" w:rsidRPr="00502D1D">
        <w:t xml:space="preserve">outine indexation changes </w:t>
      </w:r>
      <w:r w:rsidR="0016620D">
        <w:t xml:space="preserve">that </w:t>
      </w:r>
      <w:r w:rsidR="0016620D" w:rsidRPr="00502D1D">
        <w:t>use a well-established formula</w:t>
      </w:r>
    </w:p>
    <w:p w14:paraId="0A2D3DE4" w14:textId="1616C24D" w:rsidR="0016620D" w:rsidRPr="00AF7C74" w:rsidRDefault="001D35A1" w:rsidP="0016620D">
      <w:pPr>
        <w:pStyle w:val="ListParagraph"/>
        <w:numPr>
          <w:ilvl w:val="0"/>
          <w:numId w:val="22"/>
        </w:numPr>
        <w:rPr>
          <w:kern w:val="2"/>
          <w:lang w:eastAsia="ja-JP"/>
          <w14:ligatures w14:val="standardContextual"/>
        </w:rPr>
      </w:pPr>
      <w:r>
        <w:t>r</w:t>
      </w:r>
      <w:r w:rsidR="0016620D" w:rsidRPr="00502D1D">
        <w:t xml:space="preserve">outine administrative changes </w:t>
      </w:r>
      <w:r w:rsidR="00F9607A">
        <w:t xml:space="preserve">that </w:t>
      </w:r>
      <w:r w:rsidR="0016620D" w:rsidRPr="00502D1D">
        <w:t xml:space="preserve">follow a regular process that has been identified </w:t>
      </w:r>
      <w:r>
        <w:br/>
      </w:r>
      <w:r w:rsidR="0016620D" w:rsidRPr="00502D1D">
        <w:t xml:space="preserve">as machinery. </w:t>
      </w:r>
      <w:r>
        <w:t>Such changes</w:t>
      </w:r>
      <w:r w:rsidR="0016620D" w:rsidRPr="00502D1D">
        <w:t xml:space="preserve"> are generally </w:t>
      </w:r>
      <w:r>
        <w:t>undertaken</w:t>
      </w:r>
      <w:r w:rsidR="0016620D" w:rsidRPr="00502D1D">
        <w:t xml:space="preserve"> in accordance with existing legislation and can often be approved by a departmental delegate. These changes tend to involve legislative instruments, but where an Act is amended, it would tend to affect only a schedule or a clause of the legislation</w:t>
      </w:r>
    </w:p>
    <w:p w14:paraId="04AC0908" w14:textId="357F031D" w:rsidR="0016620D" w:rsidRDefault="001D35A1" w:rsidP="0016620D">
      <w:pPr>
        <w:pStyle w:val="ListParagraph"/>
        <w:numPr>
          <w:ilvl w:val="0"/>
          <w:numId w:val="22"/>
        </w:numPr>
      </w:pPr>
      <w:r>
        <w:t>m</w:t>
      </w:r>
      <w:r w:rsidR="0016620D" w:rsidRPr="00502D1D">
        <w:t xml:space="preserve">achinery changes to legislation that do not </w:t>
      </w:r>
      <w:r>
        <w:t>result in</w:t>
      </w:r>
      <w:r w:rsidR="0016620D" w:rsidRPr="00502D1D">
        <w:t xml:space="preserve"> a new regulatory burden</w:t>
      </w:r>
      <w:r>
        <w:t xml:space="preserve"> </w:t>
      </w:r>
      <w:r>
        <w:br/>
        <w:t>or other impact</w:t>
      </w:r>
      <w:r w:rsidR="0016620D" w:rsidRPr="00502D1D">
        <w:t>.</w:t>
      </w:r>
    </w:p>
    <w:p w14:paraId="56E32A08" w14:textId="77777777" w:rsidR="0016620D" w:rsidRPr="00E77805" w:rsidRDefault="0016620D" w:rsidP="0016620D">
      <w:pPr>
        <w:rPr>
          <w:rFonts w:eastAsia="Times New Roman"/>
        </w:rPr>
      </w:pPr>
      <w:r>
        <w:t xml:space="preserve">These are </w:t>
      </w:r>
      <w:r>
        <w:rPr>
          <w:rFonts w:eastAsia="Times New Roman"/>
        </w:rPr>
        <w:t xml:space="preserve">policy changes </w:t>
      </w:r>
      <w:r w:rsidRPr="00A5267C">
        <w:t>that are consequential to, and required</w:t>
      </w:r>
      <w:r>
        <w:t xml:space="preserve"> </w:t>
      </w:r>
      <w:r w:rsidRPr="00A5267C">
        <w:t>as a result of, a substantive policy decision, and for which there is limited discretion available to the decision-maker.</w:t>
      </w:r>
      <w:r w:rsidRPr="00123568">
        <w:t xml:space="preserve"> </w:t>
      </w:r>
    </w:p>
    <w:p w14:paraId="20E49526" w14:textId="2F107B23" w:rsidR="006732CB" w:rsidRPr="00A5267C" w:rsidRDefault="0016620D" w:rsidP="006732CB">
      <w:pPr>
        <w:pStyle w:val="BulletedList-Level1"/>
        <w:sectPr w:rsidR="006732CB" w:rsidRPr="00A5267C" w:rsidSect="006732CB">
          <w:headerReference w:type="default" r:id="rId25"/>
          <w:footerReference w:type="default" r:id="rId26"/>
          <w:pgSz w:w="11906" w:h="16838"/>
          <w:pgMar w:top="1440" w:right="1440" w:bottom="1440" w:left="1440" w:header="708" w:footer="708" w:gutter="0"/>
          <w:cols w:space="708"/>
          <w:docGrid w:linePitch="360"/>
        </w:sectPr>
      </w:pPr>
      <w:r w:rsidRPr="00D67BB3">
        <w:t>T</w:t>
      </w:r>
      <w:r w:rsidRPr="00E42A94">
        <w:t xml:space="preserve">he </w:t>
      </w:r>
      <w:hyperlink r:id="rId27" w:history="1">
        <w:r w:rsidRPr="001B5D0A">
          <w:rPr>
            <w:rStyle w:val="Hyperlink"/>
            <w:i/>
            <w:iCs/>
          </w:rPr>
          <w:t>Regulatory Impact Analysis Guide for Ministers’ Meetings and National Standard</w:t>
        </w:r>
        <w:r w:rsidR="00F9607A">
          <w:rPr>
            <w:rStyle w:val="Hyperlink"/>
            <w:i/>
            <w:iCs/>
          </w:rPr>
          <w:t xml:space="preserve"> </w:t>
        </w:r>
        <w:r w:rsidRPr="001B5D0A">
          <w:rPr>
            <w:rStyle w:val="Hyperlink"/>
            <w:i/>
            <w:iCs/>
          </w:rPr>
          <w:t>Setting Bodies</w:t>
        </w:r>
      </w:hyperlink>
      <w:r w:rsidRPr="00E42A94">
        <w:t xml:space="preserve"> (Commonwealth–</w:t>
      </w:r>
      <w:r w:rsidR="00AA063B">
        <w:t>s</w:t>
      </w:r>
      <w:r w:rsidRPr="00E42A94">
        <w:t xml:space="preserve">tate IA framework), sets out the </w:t>
      </w:r>
      <w:r w:rsidRPr="000C6949">
        <w:t xml:space="preserve">IA requirements </w:t>
      </w:r>
      <w:r w:rsidRPr="00D67BB3">
        <w:t>for decisions taken by intergovernmental decision-making bodies.</w:t>
      </w:r>
    </w:p>
    <w:p w14:paraId="2E094352" w14:textId="371F43CD" w:rsidR="00AE5409" w:rsidRPr="00A5267C" w:rsidRDefault="00AE5409" w:rsidP="00AE5409">
      <w:pPr>
        <w:pStyle w:val="Heading1"/>
        <w:rPr>
          <w:kern w:val="36"/>
          <w:szCs w:val="48"/>
          <w:lang w:eastAsia="ja-JP"/>
          <w14:ligatures w14:val="standardContextual"/>
        </w:rPr>
      </w:pPr>
      <w:bookmarkStart w:id="27" w:name="_Toc226640789"/>
      <w:bookmarkStart w:id="28" w:name="_Toc232522187"/>
      <w:bookmarkEnd w:id="27"/>
      <w:r w:rsidRPr="00A5267C">
        <w:t xml:space="preserve">Step 2: </w:t>
      </w:r>
      <w:r w:rsidR="00AA063B">
        <w:t>I</w:t>
      </w:r>
      <w:r w:rsidRPr="00A5267C">
        <w:t xml:space="preserve">mpact </w:t>
      </w:r>
      <w:r w:rsidR="001A6D4B">
        <w:t>a</w:t>
      </w:r>
      <w:r w:rsidRPr="00A5267C">
        <w:t>nalysis</w:t>
      </w:r>
      <w:bookmarkEnd w:id="28"/>
    </w:p>
    <w:p w14:paraId="66F59798" w14:textId="77777777" w:rsidR="0016620D" w:rsidRPr="00A5267C" w:rsidRDefault="0016620D" w:rsidP="0016620D">
      <w:pPr>
        <w:pStyle w:val="Heading2"/>
        <w:rPr>
          <w:kern w:val="2"/>
          <w:szCs w:val="36"/>
          <w:lang w:eastAsia="ja-JP"/>
          <w14:ligatures w14:val="standardContextual"/>
        </w:rPr>
      </w:pPr>
      <w:bookmarkStart w:id="29" w:name="_Toc231900557"/>
      <w:bookmarkStart w:id="30" w:name="_Toc232522188"/>
      <w:r w:rsidRPr="00A5267C">
        <w:t>General</w:t>
      </w:r>
      <w:r>
        <w:t xml:space="preserve"> approach</w:t>
      </w:r>
      <w:bookmarkEnd w:id="29"/>
      <w:bookmarkEnd w:id="30"/>
    </w:p>
    <w:p w14:paraId="76C5A32B" w14:textId="474B1491" w:rsidR="0016620D" w:rsidRDefault="0016620D" w:rsidP="0016620D">
      <w:pPr>
        <w:pStyle w:val="BOXText"/>
      </w:pPr>
      <w:r w:rsidRPr="001A0D4F">
        <w:rPr>
          <w:b/>
        </w:rPr>
        <w:t xml:space="preserve">Start development of the IA </w:t>
      </w:r>
      <w:r w:rsidRPr="00AC0970">
        <w:rPr>
          <w:b/>
        </w:rPr>
        <w:t>early</w:t>
      </w:r>
      <w:r w:rsidRPr="001A0D4F">
        <w:rPr>
          <w:b/>
        </w:rPr>
        <w:t>.</w:t>
      </w:r>
      <w:r w:rsidRPr="001A0D4F">
        <w:t xml:space="preserve"> </w:t>
      </w:r>
      <w:r>
        <w:t xml:space="preserve">Considering the 7 IA questions early in the development of the </w:t>
      </w:r>
      <w:r w:rsidR="0075704A">
        <w:t xml:space="preserve">policy </w:t>
      </w:r>
      <w:r>
        <w:t xml:space="preserve">proposal will assist in </w:t>
      </w:r>
      <w:r w:rsidR="0075704A">
        <w:t xml:space="preserve">building </w:t>
      </w:r>
      <w:r>
        <w:t xml:space="preserve">a robust evidence base. </w:t>
      </w:r>
      <w:r w:rsidRPr="00A5267C">
        <w:t xml:space="preserve">Further detail on the </w:t>
      </w:r>
      <w:r w:rsidR="00AA063B">
        <w:t>7</w:t>
      </w:r>
      <w:r w:rsidRPr="00A5267C">
        <w:t xml:space="preserve"> IA questions is </w:t>
      </w:r>
      <w:r>
        <w:t xml:space="preserve">also </w:t>
      </w:r>
      <w:r w:rsidRPr="00A5267C">
        <w:t xml:space="preserve">available on the </w:t>
      </w:r>
      <w:hyperlink r:id="rId28" w:history="1">
        <w:r w:rsidRPr="00A069CD">
          <w:rPr>
            <w:rStyle w:val="Hyperlink"/>
          </w:rPr>
          <w:t>OIA website</w:t>
        </w:r>
      </w:hyperlink>
      <w:r>
        <w:t>.</w:t>
      </w:r>
    </w:p>
    <w:p w14:paraId="1711999E" w14:textId="77777777" w:rsidR="0016620D" w:rsidRPr="00A5267C" w:rsidRDefault="0016620D" w:rsidP="0016620D">
      <w:pPr>
        <w:pStyle w:val="BOXText"/>
      </w:pPr>
      <w:r w:rsidRPr="00811F82">
        <w:rPr>
          <w:b/>
          <w:bCs/>
        </w:rPr>
        <w:t>Where a proposal is in scope and has met one or more of the IA thresholds, agencies need to prepare a Dashboard IA</w:t>
      </w:r>
      <w:r w:rsidRPr="00A5267C">
        <w:t xml:space="preserve">. </w:t>
      </w:r>
      <w:r>
        <w:t>Where a</w:t>
      </w:r>
      <w:r w:rsidRPr="000C560A">
        <w:t xml:space="preserve"> Detailed IA </w:t>
      </w:r>
      <w:r>
        <w:t xml:space="preserve">is required to </w:t>
      </w:r>
      <w:r w:rsidRPr="000C560A">
        <w:t>provide in-depth analysis to support policy development</w:t>
      </w:r>
      <w:r>
        <w:t xml:space="preserve">, agencies will still need to prepare a </w:t>
      </w:r>
      <w:r w:rsidRPr="00A5267C">
        <w:t xml:space="preserve">Dashboard IA </w:t>
      </w:r>
      <w:r>
        <w:t>as the executive summary</w:t>
      </w:r>
      <w:r w:rsidRPr="00A5267C">
        <w:t xml:space="preserve">. </w:t>
      </w:r>
    </w:p>
    <w:p w14:paraId="193EF294" w14:textId="30C76947" w:rsidR="0016620D" w:rsidRDefault="0016620D" w:rsidP="0016620D">
      <w:pPr>
        <w:pStyle w:val="BOXText"/>
      </w:pPr>
      <w:r w:rsidRPr="00A5267C" w:rsidDel="00F42435">
        <w:rPr>
          <w:b/>
        </w:rPr>
        <w:t>Estimate the regulatory burden early and accurately.</w:t>
      </w:r>
      <w:r w:rsidRPr="00A5267C" w:rsidDel="00F42435">
        <w:t xml:space="preserve"> The Regulatory Burden</w:t>
      </w:r>
      <w:r w:rsidR="0075704A">
        <w:t xml:space="preserve"> Assessment</w:t>
      </w:r>
      <w:r w:rsidRPr="00A5267C" w:rsidDel="00F42435">
        <w:t xml:space="preserve"> Tool can support agencies to estimate regulatory burden early</w:t>
      </w:r>
      <w:r>
        <w:t xml:space="preserve"> as part of considering IA threshold 1</w:t>
      </w:r>
      <w:r w:rsidRPr="00A5267C" w:rsidDel="00F42435">
        <w:t xml:space="preserve">. Using the tool will also ensure estimates are consistent with the Regulatory Burden Measurement </w:t>
      </w:r>
      <w:r>
        <w:t>F</w:t>
      </w:r>
      <w:r w:rsidRPr="00A5267C" w:rsidDel="00F42435">
        <w:t>ramework. Using</w:t>
      </w:r>
      <w:r w:rsidR="0075704A">
        <w:t xml:space="preserve"> the tool</w:t>
      </w:r>
      <w:r w:rsidRPr="00A5267C" w:rsidDel="00F42435">
        <w:t xml:space="preserve"> early, at the preliminary analysis stage, can</w:t>
      </w:r>
      <w:r>
        <w:t xml:space="preserve"> also</w:t>
      </w:r>
      <w:r w:rsidRPr="00A5267C" w:rsidDel="00F42435">
        <w:t xml:space="preserve"> help inform stakeholder engagement (for example, </w:t>
      </w:r>
      <w:r w:rsidR="0075704A">
        <w:t xml:space="preserve">helping to identify </w:t>
      </w:r>
      <w:r w:rsidRPr="00A5267C" w:rsidDel="00F42435">
        <w:t>where more information is needed about the</w:t>
      </w:r>
      <w:r w:rsidR="0075704A">
        <w:t xml:space="preserve"> likely</w:t>
      </w:r>
      <w:r w:rsidRPr="00A5267C" w:rsidDel="00F42435">
        <w:t xml:space="preserve"> time to complete compliance activities or the costs associated with delays).</w:t>
      </w:r>
    </w:p>
    <w:p w14:paraId="1EECE9BD" w14:textId="47EDD677" w:rsidR="0016620D" w:rsidRPr="00CE5D14" w:rsidRDefault="0016620D" w:rsidP="0016620D">
      <w:pPr>
        <w:pStyle w:val="BOXText"/>
      </w:pPr>
      <w:r w:rsidRPr="00764A68">
        <w:rPr>
          <w:b/>
        </w:rPr>
        <w:t>Provide a standardised regulatory burden estimate</w:t>
      </w:r>
      <w:r w:rsidRPr="00764A68" w:rsidDel="00F42435">
        <w:rPr>
          <w:b/>
        </w:rPr>
        <w:t>.</w:t>
      </w:r>
      <w:r w:rsidRPr="00764A68" w:rsidDel="00F42435">
        <w:t xml:space="preserve"> </w:t>
      </w:r>
      <w:r w:rsidRPr="00764A68">
        <w:t>The</w:t>
      </w:r>
      <w:r w:rsidR="00F9607A">
        <w:t xml:space="preserve"> </w:t>
      </w:r>
      <w:hyperlink r:id="rId29" w:history="1">
        <w:r w:rsidR="00F9607A" w:rsidRPr="002D4D1C">
          <w:rPr>
            <w:rStyle w:val="Hyperlink"/>
            <w:rFonts w:eastAsia="Times New Roman"/>
            <w:i/>
            <w:iCs/>
          </w:rPr>
          <w:t>Regulatory Burden Measurement Framework</w:t>
        </w:r>
      </w:hyperlink>
      <w:r w:rsidR="0012331E">
        <w:t xml:space="preserve"> </w:t>
      </w:r>
      <w:r w:rsidRPr="00764A68">
        <w:t xml:space="preserve">outlines that agencies </w:t>
      </w:r>
      <w:r w:rsidRPr="00406204">
        <w:rPr>
          <w:u w:val="single"/>
        </w:rPr>
        <w:t>must</w:t>
      </w:r>
      <w:r w:rsidRPr="00764A68">
        <w:t xml:space="preserve"> provide the final r</w:t>
      </w:r>
      <w:r w:rsidRPr="00764A68" w:rsidDel="00F42435">
        <w:t xml:space="preserve">egulatory </w:t>
      </w:r>
      <w:r w:rsidRPr="00764A68">
        <w:t>b</w:t>
      </w:r>
      <w:r w:rsidRPr="00764A68" w:rsidDel="00F42435">
        <w:t xml:space="preserve">urden </w:t>
      </w:r>
      <w:r w:rsidRPr="00764A68">
        <w:t>estimate as a point estimate of the average annual</w:t>
      </w:r>
      <w:r w:rsidR="0075704A">
        <w:t xml:space="preserve"> change in regulatory burden </w:t>
      </w:r>
      <w:r w:rsidRPr="00764A68">
        <w:t xml:space="preserve">over 10 years (without discounting). This ensures all estimates can be included as part of the </w:t>
      </w:r>
      <w:r w:rsidR="00AA063B">
        <w:t>e</w:t>
      </w:r>
      <w:r w:rsidRPr="00764A68">
        <w:t xml:space="preserve">stimated </w:t>
      </w:r>
      <w:r w:rsidR="00AA063B">
        <w:t>a</w:t>
      </w:r>
      <w:r w:rsidRPr="00764A68">
        <w:t xml:space="preserve">nnual </w:t>
      </w:r>
      <w:r w:rsidR="00AA063B">
        <w:t>i</w:t>
      </w:r>
      <w:r w:rsidRPr="00764A68">
        <w:t xml:space="preserve">mpact on </w:t>
      </w:r>
      <w:r w:rsidR="00AA063B">
        <w:t>r</w:t>
      </w:r>
      <w:r w:rsidRPr="00764A68">
        <w:t xml:space="preserve">egulatory </w:t>
      </w:r>
      <w:r w:rsidR="00AA063B">
        <w:t>b</w:t>
      </w:r>
      <w:r w:rsidRPr="00764A68">
        <w:t xml:space="preserve">urden for </w:t>
      </w:r>
      <w:r w:rsidR="0075704A">
        <w:t>Australian Government</w:t>
      </w:r>
      <w:r w:rsidRPr="00764A68">
        <w:t xml:space="preserve"> policies. Any regulatory burden estimates in addenda to the original IA (see below) will also be included in the </w:t>
      </w:r>
      <w:r w:rsidR="0012331E">
        <w:t>e</w:t>
      </w:r>
      <w:r w:rsidRPr="00764A68">
        <w:t xml:space="preserve">stimated </w:t>
      </w:r>
      <w:r w:rsidR="0012331E">
        <w:t>a</w:t>
      </w:r>
      <w:r w:rsidRPr="00764A68">
        <w:t xml:space="preserve">nnual </w:t>
      </w:r>
      <w:r w:rsidR="0012331E">
        <w:t>i</w:t>
      </w:r>
      <w:r w:rsidRPr="00764A68">
        <w:t xml:space="preserve">mpact on </w:t>
      </w:r>
      <w:r w:rsidR="0012331E">
        <w:t>r</w:t>
      </w:r>
      <w:r w:rsidRPr="00764A68">
        <w:t xml:space="preserve">egulatory </w:t>
      </w:r>
      <w:r w:rsidR="0012331E">
        <w:t>b</w:t>
      </w:r>
      <w:r w:rsidRPr="00764A68">
        <w:t>urden.</w:t>
      </w:r>
      <w:r>
        <w:t xml:space="preserve"> </w:t>
      </w:r>
    </w:p>
    <w:p w14:paraId="01CFC690" w14:textId="0BD19945" w:rsidR="0016620D" w:rsidRDefault="0016620D" w:rsidP="0016620D">
      <w:pPr>
        <w:pStyle w:val="BOXText"/>
      </w:pPr>
      <w:r w:rsidRPr="00A5267C">
        <w:rPr>
          <w:b/>
        </w:rPr>
        <w:t xml:space="preserve">Use an </w:t>
      </w:r>
      <w:r w:rsidR="00F9607A" w:rsidRPr="00A5267C">
        <w:rPr>
          <w:b/>
        </w:rPr>
        <w:t xml:space="preserve">Impact Analysis Equivalent </w:t>
      </w:r>
      <w:r w:rsidRPr="00A5267C">
        <w:rPr>
          <w:b/>
        </w:rPr>
        <w:t>if possible</w:t>
      </w:r>
      <w:r w:rsidRPr="00A5267C">
        <w:t>. For a Detailed IA, agencies should consider whether</w:t>
      </w:r>
      <w:r>
        <w:t xml:space="preserve"> </w:t>
      </w:r>
      <w:r w:rsidRPr="00A5267C">
        <w:t xml:space="preserve">a review or similar analysis can be used for an </w:t>
      </w:r>
      <w:r w:rsidR="00F9607A" w:rsidRPr="00F9607A">
        <w:rPr>
          <w:bCs/>
        </w:rPr>
        <w:t>Impact Analysis Equivalent</w:t>
      </w:r>
      <w:r w:rsidRPr="00A5267C">
        <w:t xml:space="preserve"> process.</w:t>
      </w:r>
      <w:r>
        <w:t xml:space="preserve"> </w:t>
      </w:r>
      <w:r w:rsidR="00F9607A">
        <w:br/>
      </w:r>
      <w:r w:rsidRPr="005E211D">
        <w:t xml:space="preserve">This approach aims to remove duplication between comprehensive review processes and </w:t>
      </w:r>
      <w:r>
        <w:t>Detailed IAs</w:t>
      </w:r>
      <w:r w:rsidRPr="005E211D">
        <w:t>.</w:t>
      </w:r>
    </w:p>
    <w:p w14:paraId="06666902" w14:textId="50F35CD9" w:rsidR="00AE5409" w:rsidRPr="0016620D" w:rsidRDefault="0016620D" w:rsidP="0016620D">
      <w:pPr>
        <w:pStyle w:val="BOXText"/>
        <w:rPr>
          <w:kern w:val="2"/>
          <w:lang w:eastAsia="ja-JP"/>
          <w14:ligatures w14:val="standardContextual"/>
        </w:rPr>
      </w:pPr>
      <w:r w:rsidRPr="00772746">
        <w:rPr>
          <w:b/>
          <w:bCs/>
        </w:rPr>
        <w:t xml:space="preserve">Reach out to the OIA early. </w:t>
      </w:r>
      <w:r>
        <w:t>The OIA can provide advice on the IA framework, measuring regulatory burden and potential analytical approaches. As</w:t>
      </w:r>
      <w:r w:rsidR="0075704A">
        <w:t xml:space="preserve"> IAs</w:t>
      </w:r>
      <w:r>
        <w:t xml:space="preserve"> need to </w:t>
      </w:r>
      <w:r w:rsidR="0075704A">
        <w:t xml:space="preserve">be </w:t>
      </w:r>
      <w:r>
        <w:t>publish</w:t>
      </w:r>
      <w:r w:rsidR="0075704A">
        <w:t xml:space="preserve">ed on the </w:t>
      </w:r>
      <w:r w:rsidR="00F9607A">
        <w:br/>
      </w:r>
      <w:r w:rsidR="0075704A">
        <w:t>OIA website following policy announcement</w:t>
      </w:r>
      <w:r>
        <w:t xml:space="preserve">, early contact can assist with a smooth publication process. </w:t>
      </w:r>
      <w:r w:rsidRPr="00A5267C">
        <w:t xml:space="preserve">The OIA can </w:t>
      </w:r>
      <w:r>
        <w:t xml:space="preserve">also </w:t>
      </w:r>
      <w:r w:rsidRPr="00A5267C">
        <w:t xml:space="preserve">assist with providing guidance to agencies on the development </w:t>
      </w:r>
      <w:r w:rsidR="0075704A">
        <w:br/>
      </w:r>
      <w:r w:rsidRPr="00A5267C">
        <w:t xml:space="preserve">of a Detailed IA. Agencies should contact the OIA </w:t>
      </w:r>
      <w:r w:rsidR="0075704A">
        <w:t xml:space="preserve">early </w:t>
      </w:r>
      <w:r w:rsidRPr="00A5267C">
        <w:t>to notify them when undertaking</w:t>
      </w:r>
      <w:r w:rsidR="00F9607A">
        <w:br/>
      </w:r>
      <w:r w:rsidRPr="00A5267C">
        <w:t>a Detailed IA.</w:t>
      </w:r>
    </w:p>
    <w:p w14:paraId="275D058D" w14:textId="77777777" w:rsidR="00406204" w:rsidRDefault="00406204">
      <w:pPr>
        <w:rPr>
          <w:rFonts w:asciiTheme="majorHAnsi" w:eastAsiaTheme="majorEastAsia" w:hAnsiTheme="majorHAnsi" w:cstheme="majorBidi"/>
          <w:color w:val="092B57" w:themeColor="accent1"/>
          <w:sz w:val="36"/>
          <w:szCs w:val="28"/>
        </w:rPr>
      </w:pPr>
      <w:bookmarkStart w:id="31" w:name="_Toc231900558"/>
      <w:r>
        <w:br w:type="page"/>
      </w:r>
    </w:p>
    <w:p w14:paraId="0A762D35" w14:textId="607C9B41" w:rsidR="0016620D" w:rsidRPr="00A5267C" w:rsidRDefault="0016620D" w:rsidP="0075704A">
      <w:pPr>
        <w:pStyle w:val="Heading2"/>
        <w:pageBreakBefore/>
      </w:pPr>
      <w:bookmarkStart w:id="32" w:name="_Toc232522189"/>
      <w:r w:rsidRPr="00A5267C">
        <w:t>Detailed IA</w:t>
      </w:r>
      <w:r>
        <w:t>: additional guidance</w:t>
      </w:r>
      <w:bookmarkEnd w:id="31"/>
      <w:bookmarkEnd w:id="32"/>
    </w:p>
    <w:p w14:paraId="72B10273" w14:textId="77777777" w:rsidR="0016620D" w:rsidRPr="00A5267C" w:rsidRDefault="0016620D" w:rsidP="0016620D">
      <w:pPr>
        <w:pStyle w:val="BOXText"/>
        <w:rPr>
          <w:kern w:val="2"/>
          <w:lang w:eastAsia="ja-JP"/>
          <w14:ligatures w14:val="standardContextual"/>
        </w:rPr>
      </w:pPr>
      <w:r w:rsidRPr="00A5267C">
        <w:t>A Detailed IA is required:</w:t>
      </w:r>
    </w:p>
    <w:p w14:paraId="0BB7D876" w14:textId="2D3E946B" w:rsidR="0016620D" w:rsidRPr="00061690" w:rsidRDefault="0016620D" w:rsidP="0016620D">
      <w:pPr>
        <w:pStyle w:val="BOXBulletedList"/>
        <w:rPr>
          <w:kern w:val="2"/>
          <w:lang w:eastAsia="ja-JP"/>
          <w14:ligatures w14:val="standardContextual"/>
        </w:rPr>
      </w:pPr>
      <w:r w:rsidRPr="00A5267C">
        <w:t>if the Prime Minister or the Cabinet require a Detailed IA be prepared</w:t>
      </w:r>
    </w:p>
    <w:p w14:paraId="26F7E2E3" w14:textId="77777777" w:rsidR="0016620D" w:rsidRPr="00A5267C" w:rsidRDefault="0016620D" w:rsidP="0016620D">
      <w:pPr>
        <w:pStyle w:val="BOXBulletedList"/>
      </w:pPr>
      <w:r w:rsidRPr="00A5267C">
        <w:t>where the proposals consider introducing a mandatory standard that deviates from existing international standards.</w:t>
      </w:r>
    </w:p>
    <w:p w14:paraId="0EC7E4E7" w14:textId="77777777" w:rsidR="0016620D" w:rsidRPr="00A5267C" w:rsidDel="00FB66EA" w:rsidRDefault="0016620D" w:rsidP="0016620D">
      <w:pPr>
        <w:rPr>
          <w:rFonts w:eastAsia="Times New Roman"/>
          <w:kern w:val="2"/>
          <w:lang w:eastAsia="ja-JP"/>
          <w14:ligatures w14:val="standardContextual"/>
        </w:rPr>
      </w:pPr>
      <w:r w:rsidRPr="00A5267C" w:rsidDel="00FB66EA">
        <w:rPr>
          <w:rFonts w:eastAsia="Times New Roman"/>
        </w:rPr>
        <w:t xml:space="preserve">The Prime Minister or Cabinet can require a Detailed IA </w:t>
      </w:r>
      <w:r>
        <w:rPr>
          <w:rFonts w:eastAsia="Times New Roman"/>
        </w:rPr>
        <w:t xml:space="preserve">to </w:t>
      </w:r>
      <w:r w:rsidRPr="00A5267C" w:rsidDel="00FB66EA">
        <w:rPr>
          <w:rFonts w:eastAsia="Times New Roman"/>
        </w:rPr>
        <w:t>be prepared at any stage of the policy</w:t>
      </w:r>
      <w:r w:rsidDel="00FB66EA">
        <w:rPr>
          <w:rFonts w:eastAsia="Times New Roman"/>
        </w:rPr>
        <w:t xml:space="preserve"> </w:t>
      </w:r>
      <w:r w:rsidRPr="00A5267C" w:rsidDel="00FB66EA">
        <w:rPr>
          <w:rFonts w:eastAsia="Times New Roman"/>
        </w:rPr>
        <w:t>development process (sometimes referred to as ‘calling in’ a proposal). For example, a proposal may be ‘called in’ for a Detailed IA via correspondence from the Prime Minister when providing authority to bring a proposal forward, or subsequently through a Cabinet decision.</w:t>
      </w:r>
    </w:p>
    <w:p w14:paraId="25A51B81" w14:textId="00859309" w:rsidR="0016620D" w:rsidRPr="00A5267C" w:rsidRDefault="0016620D" w:rsidP="0016620D">
      <w:pPr>
        <w:rPr>
          <w:rFonts w:eastAsia="Times New Roman"/>
          <w:kern w:val="2"/>
          <w:lang w:eastAsia="ja-JP"/>
          <w14:ligatures w14:val="standardContextual"/>
        </w:rPr>
      </w:pPr>
      <w:bookmarkStart w:id="33" w:name="_Toc226640810"/>
      <w:bookmarkStart w:id="34" w:name="_Hlk224648583"/>
      <w:r w:rsidRPr="00A5267C" w:rsidDel="00061690">
        <w:rPr>
          <w:rFonts w:eastAsia="Times New Roman"/>
        </w:rPr>
        <w:t xml:space="preserve">For a mandatory standard deviating from an </w:t>
      </w:r>
      <w:r w:rsidR="0012331E">
        <w:rPr>
          <w:rFonts w:eastAsia="Times New Roman"/>
        </w:rPr>
        <w:t>i</w:t>
      </w:r>
      <w:r w:rsidRPr="00A5267C" w:rsidDel="00061690">
        <w:rPr>
          <w:rFonts w:eastAsia="Times New Roman"/>
        </w:rPr>
        <w:t xml:space="preserve">nternational </w:t>
      </w:r>
      <w:r w:rsidR="0012331E">
        <w:rPr>
          <w:rFonts w:eastAsia="Times New Roman"/>
        </w:rPr>
        <w:t>s</w:t>
      </w:r>
      <w:r w:rsidRPr="00A5267C" w:rsidDel="00061690">
        <w:rPr>
          <w:rFonts w:eastAsia="Times New Roman"/>
        </w:rPr>
        <w:t xml:space="preserve">tandard, the Detailed IA must explain </w:t>
      </w:r>
      <w:r w:rsidDel="00061690">
        <w:rPr>
          <w:rFonts w:eastAsia="Times New Roman"/>
        </w:rPr>
        <w:br/>
      </w:r>
      <w:r w:rsidRPr="00A5267C" w:rsidDel="00061690">
        <w:rPr>
          <w:rFonts w:eastAsia="Times New Roman"/>
        </w:rPr>
        <w:t xml:space="preserve">why deviation is necessary and demonstrate that the benefits to the community outweigh the costs </w:t>
      </w:r>
      <w:r w:rsidDel="00061690">
        <w:rPr>
          <w:rFonts w:eastAsia="Times New Roman"/>
        </w:rPr>
        <w:br/>
      </w:r>
      <w:r w:rsidRPr="00A5267C" w:rsidDel="00061690">
        <w:rPr>
          <w:rFonts w:eastAsia="Times New Roman"/>
        </w:rPr>
        <w:t xml:space="preserve">of deviating (that is, that the </w:t>
      </w:r>
      <w:r w:rsidR="0012331E">
        <w:rPr>
          <w:rFonts w:eastAsia="Times New Roman"/>
        </w:rPr>
        <w:t>i</w:t>
      </w:r>
      <w:r w:rsidRPr="00A5267C" w:rsidDel="00061690">
        <w:rPr>
          <w:rFonts w:eastAsia="Times New Roman"/>
        </w:rPr>
        <w:t xml:space="preserve">nternational </w:t>
      </w:r>
      <w:r w:rsidR="0012331E">
        <w:rPr>
          <w:rFonts w:eastAsia="Times New Roman"/>
        </w:rPr>
        <w:t>s</w:t>
      </w:r>
      <w:r w:rsidRPr="00A5267C" w:rsidDel="00061690">
        <w:rPr>
          <w:rFonts w:eastAsia="Times New Roman"/>
        </w:rPr>
        <w:t xml:space="preserve">tandard is not suitable for the Australian context). </w:t>
      </w:r>
      <w:r>
        <w:rPr>
          <w:rFonts w:eastAsia="Times New Roman"/>
        </w:rPr>
        <w:br/>
      </w:r>
      <w:r w:rsidRPr="00A5267C" w:rsidDel="00250DD3">
        <w:rPr>
          <w:rFonts w:eastAsia="Times New Roman"/>
        </w:rPr>
        <w:t xml:space="preserve">As outlined in the </w:t>
      </w:r>
      <w:hyperlink r:id="rId30" w:history="1">
        <w:r w:rsidRPr="00892312" w:rsidDel="00250DD3">
          <w:rPr>
            <w:rStyle w:val="Hyperlink"/>
            <w:rFonts w:eastAsia="Times New Roman"/>
            <w:i/>
            <w:iCs/>
          </w:rPr>
          <w:t>Best Practice Handbook on Standards and Conformance Policy</w:t>
        </w:r>
      </w:hyperlink>
      <w:r>
        <w:rPr>
          <w:rFonts w:eastAsia="Times New Roman"/>
          <w:i/>
          <w:iCs/>
        </w:rPr>
        <w:t xml:space="preserve">, </w:t>
      </w:r>
      <w:r w:rsidRPr="00A5267C" w:rsidDel="00250DD3">
        <w:rPr>
          <w:rFonts w:eastAsia="Times New Roman"/>
        </w:rPr>
        <w:t xml:space="preserve">if mandatory standards are appropriate to meet a policy objective, then policymakers should use </w:t>
      </w:r>
      <w:r w:rsidR="0012331E">
        <w:rPr>
          <w:rFonts w:eastAsia="Times New Roman"/>
        </w:rPr>
        <w:t>i</w:t>
      </w:r>
      <w:r w:rsidRPr="00A5267C" w:rsidDel="00250DD3">
        <w:rPr>
          <w:rFonts w:eastAsia="Times New Roman"/>
        </w:rPr>
        <w:t xml:space="preserve">nternational </w:t>
      </w:r>
      <w:r w:rsidR="0012331E">
        <w:rPr>
          <w:rFonts w:eastAsia="Times New Roman"/>
        </w:rPr>
        <w:t>s</w:t>
      </w:r>
      <w:r w:rsidRPr="00A5267C" w:rsidDel="00250DD3">
        <w:rPr>
          <w:rFonts w:eastAsia="Times New Roman"/>
        </w:rPr>
        <w:t>tandards where one exists unless demonstrably unsuitable for the Australian context.</w:t>
      </w:r>
    </w:p>
    <w:p w14:paraId="4A1CF66F" w14:textId="6B1A86C5" w:rsidR="0016620D" w:rsidRPr="005D2411" w:rsidRDefault="0016620D" w:rsidP="0016620D">
      <w:r w:rsidRPr="00A5267C">
        <w:rPr>
          <w:rFonts w:eastAsia="Times New Roman"/>
        </w:rPr>
        <w:t xml:space="preserve">Ministers may also request their agencies prepare a Detailed IA. In this case, </w:t>
      </w:r>
      <w:r w:rsidRPr="00501E48">
        <w:rPr>
          <w:rFonts w:eastAsia="Times New Roman"/>
        </w:rPr>
        <w:t>the executive summary Dashboard IA must be published</w:t>
      </w:r>
      <w:r w:rsidRPr="00A5267C">
        <w:rPr>
          <w:rFonts w:eastAsia="Times New Roman"/>
        </w:rPr>
        <w:t xml:space="preserve">. </w:t>
      </w:r>
      <w:r w:rsidRPr="00A5267C">
        <w:t>While publication of the full Detailed IA is not a formal requirement, with the agreement of the Prime Minister or Cabinet this may also be published.</w:t>
      </w:r>
    </w:p>
    <w:bookmarkEnd w:id="33"/>
    <w:bookmarkEnd w:id="34"/>
    <w:p w14:paraId="43BA6D14" w14:textId="606C7957" w:rsidR="000B53C2" w:rsidRPr="000B53C2" w:rsidRDefault="0016620D" w:rsidP="0016620D">
      <w:pPr>
        <w:rPr>
          <w:color w:val="FF0000"/>
        </w:rPr>
      </w:pPr>
      <w:r w:rsidRPr="00A5267C">
        <w:rPr>
          <w:rFonts w:eastAsia="Times New Roman"/>
        </w:rPr>
        <w:t xml:space="preserve">Where a Detailed IA is required or requested, use the Detailed IA template on the </w:t>
      </w:r>
      <w:hyperlink r:id="rId31" w:history="1">
        <w:r w:rsidRPr="00A62506">
          <w:rPr>
            <w:rStyle w:val="Hyperlink"/>
            <w:rFonts w:eastAsia="Times New Roman"/>
          </w:rPr>
          <w:t>OIA website</w:t>
        </w:r>
      </w:hyperlink>
      <w:r>
        <w:t>.</w:t>
      </w:r>
      <w:r w:rsidR="000B53C2" w:rsidRPr="000B53C2">
        <w:rPr>
          <w:color w:val="FF0000"/>
        </w:rPr>
        <w:br w:type="page"/>
      </w:r>
    </w:p>
    <w:p w14:paraId="3D002E32" w14:textId="63182F8F" w:rsidR="006732CB" w:rsidRPr="00A5267C" w:rsidRDefault="006732CB" w:rsidP="006732CB">
      <w:pPr>
        <w:pStyle w:val="Heading1"/>
        <w:rPr>
          <w:rFonts w:eastAsia="Times New Roman"/>
          <w:kern w:val="36"/>
        </w:rPr>
      </w:pPr>
      <w:bookmarkStart w:id="35" w:name="_Toc226640790"/>
      <w:bookmarkStart w:id="36" w:name="_Toc232522190"/>
      <w:r w:rsidRPr="00A5267C">
        <w:rPr>
          <w:rFonts w:eastAsia="Times New Roman"/>
        </w:rPr>
        <w:t>Step 3: Assess the IA</w:t>
      </w:r>
      <w:bookmarkEnd w:id="35"/>
      <w:bookmarkEnd w:id="36"/>
    </w:p>
    <w:p w14:paraId="72FA7906" w14:textId="675C741A" w:rsidR="006732CB" w:rsidRPr="00A5267C" w:rsidRDefault="0016620D" w:rsidP="006732CB">
      <w:r>
        <w:t xml:space="preserve">When presenting </w:t>
      </w:r>
      <w:r w:rsidRPr="00A5267C">
        <w:t>the analysis</w:t>
      </w:r>
      <w:r w:rsidRPr="003B628A">
        <w:t xml:space="preserve"> </w:t>
      </w:r>
      <w:r>
        <w:t>to decision makers</w:t>
      </w:r>
      <w:r w:rsidRPr="00A5267C">
        <w:t>, agencies are required to self-assess the IA</w:t>
      </w:r>
      <w:r w:rsidR="006732CB" w:rsidRPr="00A5267C">
        <w:t>.</w:t>
      </w:r>
    </w:p>
    <w:p w14:paraId="0E01C595" w14:textId="77777777" w:rsidR="006732CB" w:rsidRPr="00A5267C" w:rsidRDefault="006732CB" w:rsidP="00771650">
      <w:pPr>
        <w:pStyle w:val="Heading2"/>
      </w:pPr>
      <w:bookmarkStart w:id="37" w:name="_Toc232522191"/>
      <w:r w:rsidRPr="00A5267C">
        <w:t>Statement of Sufficiency</w:t>
      </w:r>
      <w:bookmarkEnd w:id="37"/>
      <w:r w:rsidRPr="00A5267C">
        <w:t xml:space="preserve"> </w:t>
      </w:r>
    </w:p>
    <w:p w14:paraId="09800A18" w14:textId="025B0242" w:rsidR="0016620D" w:rsidRDefault="0016620D" w:rsidP="0016620D">
      <w:pPr>
        <w:pStyle w:val="BOXText"/>
      </w:pPr>
      <w:r w:rsidRPr="00A5267C">
        <w:t xml:space="preserve">Agencies must </w:t>
      </w:r>
      <w:r>
        <w:t>endorse</w:t>
      </w:r>
      <w:r w:rsidRPr="00A5267C">
        <w:t xml:space="preserve"> a </w:t>
      </w:r>
      <w:r w:rsidRPr="00B0673E">
        <w:rPr>
          <w:b/>
          <w:bCs/>
        </w:rPr>
        <w:t>Statement of Sufficiency</w:t>
      </w:r>
      <w:r w:rsidRPr="00A5267C">
        <w:t xml:space="preserve"> ahead of a key policy decision. </w:t>
      </w:r>
      <w:r>
        <w:t>This statement has been included in the IA templates and is also available as a stand-alone document.</w:t>
      </w:r>
      <w:r w:rsidR="00406204">
        <w:t xml:space="preserve"> </w:t>
      </w:r>
      <w:r>
        <w:t>By endorsing this statement, t</w:t>
      </w:r>
      <w:r w:rsidRPr="00A5267C">
        <w:t xml:space="preserve">he </w:t>
      </w:r>
      <w:r>
        <w:t>Deputy Secretary or equivalent</w:t>
      </w:r>
      <w:r w:rsidRPr="00A5267C">
        <w:t xml:space="preserve"> </w:t>
      </w:r>
      <w:r>
        <w:t xml:space="preserve">is </w:t>
      </w:r>
      <w:r w:rsidRPr="00A5267C">
        <w:t>confirming that the IA</w:t>
      </w:r>
      <w:r w:rsidR="00406204">
        <w:t xml:space="preserve"> </w:t>
      </w:r>
      <w:r w:rsidRPr="00A5267C">
        <w:t xml:space="preserve">is sufficient to </w:t>
      </w:r>
      <w:r>
        <w:t xml:space="preserve">inform </w:t>
      </w:r>
      <w:r w:rsidRPr="00A5267C">
        <w:t xml:space="preserve">a </w:t>
      </w:r>
      <w:r>
        <w:t>key</w:t>
      </w:r>
      <w:r w:rsidRPr="00A5267C">
        <w:t xml:space="preserve"> decision</w:t>
      </w:r>
      <w:r>
        <w:t>.</w:t>
      </w:r>
    </w:p>
    <w:p w14:paraId="1010001B" w14:textId="6BF46139" w:rsidR="0016620D" w:rsidRDefault="0016620D" w:rsidP="0016620D">
      <w:pPr>
        <w:rPr>
          <w:rFonts w:eastAsia="Times New Roman"/>
        </w:rPr>
      </w:pPr>
      <w:r>
        <w:rPr>
          <w:rFonts w:eastAsia="Times New Roman"/>
        </w:rPr>
        <w:t>Agencies</w:t>
      </w:r>
      <w:r w:rsidR="0075704A">
        <w:rPr>
          <w:rFonts w:eastAsia="Times New Roman"/>
        </w:rPr>
        <w:t xml:space="preserve"> can use t</w:t>
      </w:r>
      <w:r w:rsidRPr="00A5267C">
        <w:rPr>
          <w:rFonts w:eastAsia="Times New Roman"/>
        </w:rPr>
        <w:t xml:space="preserve">he Self-Assessment Tool to </w:t>
      </w:r>
      <w:r w:rsidR="0075704A">
        <w:rPr>
          <w:rFonts w:eastAsia="Times New Roman"/>
        </w:rPr>
        <w:t xml:space="preserve">assist with </w:t>
      </w:r>
      <w:r w:rsidRPr="00A5267C">
        <w:rPr>
          <w:rFonts w:eastAsia="Times New Roman"/>
        </w:rPr>
        <w:t>confirm</w:t>
      </w:r>
      <w:r w:rsidR="0075704A">
        <w:rPr>
          <w:rFonts w:eastAsia="Times New Roman"/>
        </w:rPr>
        <w:t>ing</w:t>
      </w:r>
      <w:r w:rsidRPr="00A5267C">
        <w:rPr>
          <w:rFonts w:eastAsia="Times New Roman"/>
        </w:rPr>
        <w:t xml:space="preserve"> that the IA addresses the 7 IA questions, including a credible estimate of regulatory burden. The Statement of Sufficiency</w:t>
      </w:r>
      <w:r>
        <w:rPr>
          <w:rFonts w:eastAsia="Times New Roman"/>
        </w:rPr>
        <w:t xml:space="preserve"> must </w:t>
      </w:r>
      <w:r w:rsidRPr="00A5267C">
        <w:rPr>
          <w:rFonts w:eastAsia="Times New Roman"/>
        </w:rPr>
        <w:t xml:space="preserve">be </w:t>
      </w:r>
      <w:r w:rsidR="0075704A">
        <w:rPr>
          <w:rFonts w:eastAsia="Times New Roman"/>
        </w:rPr>
        <w:t>endorsed</w:t>
      </w:r>
      <w:r w:rsidRPr="00A5267C">
        <w:rPr>
          <w:rFonts w:eastAsia="Times New Roman"/>
        </w:rPr>
        <w:t xml:space="preserve"> by a </w:t>
      </w:r>
      <w:r>
        <w:rPr>
          <w:rFonts w:eastAsia="Times New Roman"/>
        </w:rPr>
        <w:t>Deputy Secretary (SES Band 3),</w:t>
      </w:r>
      <w:r w:rsidRPr="00A5267C">
        <w:rPr>
          <w:rFonts w:eastAsia="Times New Roman"/>
        </w:rPr>
        <w:t xml:space="preserve"> equivalent</w:t>
      </w:r>
      <w:r>
        <w:rPr>
          <w:rFonts w:eastAsia="Times New Roman"/>
        </w:rPr>
        <w:t>, or higher</w:t>
      </w:r>
      <w:r w:rsidRPr="00A5267C">
        <w:rPr>
          <w:rFonts w:eastAsia="Times New Roman"/>
        </w:rPr>
        <w:t>.</w:t>
      </w:r>
    </w:p>
    <w:p w14:paraId="50E0C6ED" w14:textId="77777777" w:rsidR="0016620D" w:rsidRPr="00A5267C" w:rsidRDefault="0016620D" w:rsidP="0016620D">
      <w:pPr>
        <w:rPr>
          <w:rFonts w:eastAsia="Times New Roman"/>
          <w:kern w:val="2"/>
          <w:lang w:eastAsia="ja-JP"/>
          <w14:ligatures w14:val="standardContextual"/>
        </w:rPr>
      </w:pPr>
      <w:r>
        <w:rPr>
          <w:rFonts w:eastAsia="Times New Roman"/>
        </w:rPr>
        <w:t>The Statement of Sufficiency, including name of the senior public servant signing off on the IA’s sufficiency, will be published on the OIA website alongside the final IA following policy announcement.</w:t>
      </w:r>
    </w:p>
    <w:p w14:paraId="5A3C5800" w14:textId="4A1B270B" w:rsidR="0016620D" w:rsidRDefault="0016620D" w:rsidP="0016620D">
      <w:r w:rsidRPr="00A5267C">
        <w:t>Details of when to provide the Statement of Sufficiency are covered below.</w:t>
      </w:r>
    </w:p>
    <w:p w14:paraId="0790C17A" w14:textId="3482E510" w:rsidR="0016620D" w:rsidRDefault="0016620D" w:rsidP="006732CB">
      <w:pPr>
        <w:rPr>
          <w:rFonts w:eastAsia="Times New Roman"/>
        </w:rPr>
      </w:pPr>
      <w:r w:rsidRPr="00A5267C">
        <w:rPr>
          <w:rFonts w:eastAsia="Times New Roman"/>
        </w:rPr>
        <w:t xml:space="preserve">The Statement of Sufficiency for an </w:t>
      </w:r>
      <w:r w:rsidR="00406204" w:rsidRPr="00A5267C">
        <w:rPr>
          <w:rFonts w:eastAsia="Times New Roman"/>
        </w:rPr>
        <w:t>Impact Analysis Equivalent</w:t>
      </w:r>
      <w:r w:rsidRPr="00A5267C">
        <w:rPr>
          <w:rFonts w:eastAsia="Times New Roman"/>
        </w:rPr>
        <w:t xml:space="preserve"> should note that the review, or similar analysis, addresses the 7 IA questions, and identify any gaps in analysis that are addressed in the Dashboard IA.</w:t>
      </w:r>
    </w:p>
    <w:p w14:paraId="079E1EB5" w14:textId="77777777" w:rsidR="0016620D" w:rsidRPr="00A5267C" w:rsidRDefault="0016620D" w:rsidP="0016620D">
      <w:pPr>
        <w:pStyle w:val="Heading2"/>
      </w:pPr>
      <w:bookmarkStart w:id="38" w:name="_Toc231900561"/>
      <w:bookmarkStart w:id="39" w:name="_Toc232522192"/>
      <w:r w:rsidRPr="00A5267C">
        <w:t>Self-</w:t>
      </w:r>
      <w:r>
        <w:t>Assessment Tool</w:t>
      </w:r>
      <w:bookmarkEnd w:id="38"/>
      <w:bookmarkEnd w:id="39"/>
    </w:p>
    <w:p w14:paraId="580CAD2A" w14:textId="2C183A10" w:rsidR="0016620D" w:rsidRDefault="0016620D" w:rsidP="0016620D">
      <w:pPr>
        <w:pStyle w:val="BOXText"/>
      </w:pPr>
      <w:r>
        <w:t xml:space="preserve">The </w:t>
      </w:r>
      <w:r w:rsidRPr="00B0673E">
        <w:rPr>
          <w:b/>
          <w:bCs/>
        </w:rPr>
        <w:t>Self-Assessment Tool</w:t>
      </w:r>
      <w:r>
        <w:t xml:space="preserve"> is designed to help agencies ensure each </w:t>
      </w:r>
      <w:r w:rsidR="0075704A">
        <w:t xml:space="preserve">IA </w:t>
      </w:r>
      <w:r>
        <w:t xml:space="preserve">question has been answered in an appropriate level of detail. </w:t>
      </w:r>
    </w:p>
    <w:p w14:paraId="795C12EC" w14:textId="202A7490" w:rsidR="0016620D" w:rsidRPr="007668A5" w:rsidRDefault="0016620D" w:rsidP="0016620D">
      <w:pPr>
        <w:rPr>
          <w:rFonts w:eastAsia="Times New Roman"/>
        </w:rPr>
      </w:pPr>
      <w:r>
        <w:rPr>
          <w:rFonts w:eastAsia="Times New Roman"/>
        </w:rPr>
        <w:t xml:space="preserve">The tool provides a rubric for considering each IA question and the relevant details to assess whether the IA is sufficient to inform a policy decision. </w:t>
      </w:r>
      <w:r w:rsidR="0075704A">
        <w:rPr>
          <w:rFonts w:eastAsia="Times New Roman"/>
        </w:rPr>
        <w:t>The tool</w:t>
      </w:r>
      <w:r>
        <w:rPr>
          <w:rFonts w:eastAsia="Times New Roman"/>
        </w:rPr>
        <w:t xml:space="preserve"> can assist agencies to evaluate whether the review addressed the 7 IA questions sufficiently, identify any gaps where it does not fully address the </w:t>
      </w:r>
      <w:r w:rsidR="00406204">
        <w:rPr>
          <w:rFonts w:eastAsia="Times New Roman"/>
        </w:rPr>
        <w:br/>
      </w:r>
      <w:r>
        <w:rPr>
          <w:rFonts w:eastAsia="Times New Roman"/>
        </w:rPr>
        <w:t>7 IA questions, and address those gaps in the Dashboard IA.</w:t>
      </w:r>
    </w:p>
    <w:p w14:paraId="39A1E9A9" w14:textId="237D4020" w:rsidR="006732CB" w:rsidRPr="0016620D" w:rsidRDefault="0016620D" w:rsidP="006732CB">
      <w:r>
        <w:t xml:space="preserve">The outcomes of the Self-Assessment Tool should be provided to the agency’s senior official to review when </w:t>
      </w:r>
      <w:r w:rsidR="00D43E51">
        <w:t xml:space="preserve">completing the </w:t>
      </w:r>
      <w:r w:rsidR="00D43E51" w:rsidRPr="00422E32">
        <w:t>Statement of Sufficiency</w:t>
      </w:r>
      <w:r>
        <w:t>.</w:t>
      </w:r>
      <w:r w:rsidR="006732CB" w:rsidRPr="00A5267C">
        <w:br w:type="page"/>
      </w:r>
    </w:p>
    <w:p w14:paraId="138DC726" w14:textId="77777777" w:rsidR="006732CB" w:rsidRPr="00A5267C" w:rsidRDefault="006732CB" w:rsidP="006732CB">
      <w:pPr>
        <w:pStyle w:val="Heading1"/>
        <w:rPr>
          <w:rFonts w:eastAsia="Times New Roman"/>
          <w:kern w:val="36"/>
        </w:rPr>
      </w:pPr>
      <w:bookmarkStart w:id="40" w:name="_Toc226640791"/>
      <w:bookmarkStart w:id="41" w:name="_Toc232522193"/>
      <w:r w:rsidRPr="00A5267C">
        <w:rPr>
          <w:rFonts w:eastAsia="Times New Roman"/>
        </w:rPr>
        <w:t>Step 4: Policy decision</w:t>
      </w:r>
      <w:bookmarkEnd w:id="40"/>
      <w:bookmarkEnd w:id="41"/>
      <w:r w:rsidRPr="00A5267C">
        <w:rPr>
          <w:rFonts w:eastAsia="Times New Roman"/>
        </w:rPr>
        <w:t xml:space="preserve"> </w:t>
      </w:r>
    </w:p>
    <w:p w14:paraId="0E273210" w14:textId="3513C82E" w:rsidR="0016620D" w:rsidRPr="00A5267C" w:rsidRDefault="0016620D" w:rsidP="0016620D">
      <w:pPr>
        <w:rPr>
          <w:rFonts w:eastAsia="Times New Roman"/>
          <w:kern w:val="2"/>
          <w:lang w:eastAsia="ja-JP"/>
          <w14:ligatures w14:val="standardContextual"/>
        </w:rPr>
      </w:pPr>
      <w:r w:rsidRPr="00A5267C">
        <w:rPr>
          <w:rFonts w:eastAsia="Times New Roman"/>
        </w:rPr>
        <w:t xml:space="preserve">Once a proposal is assessed as </w:t>
      </w:r>
      <w:r>
        <w:rPr>
          <w:rFonts w:eastAsia="Times New Roman"/>
        </w:rPr>
        <w:t xml:space="preserve">requiring an </w:t>
      </w:r>
      <w:r w:rsidRPr="00A5267C">
        <w:rPr>
          <w:rFonts w:eastAsia="Times New Roman"/>
        </w:rPr>
        <w:t xml:space="preserve">IA, key decisions associated with that proposal require proportionate </w:t>
      </w:r>
      <w:r>
        <w:rPr>
          <w:rFonts w:eastAsia="Times New Roman"/>
        </w:rPr>
        <w:t>i</w:t>
      </w:r>
      <w:r w:rsidRPr="00A5267C">
        <w:rPr>
          <w:rFonts w:eastAsia="Times New Roman"/>
        </w:rPr>
        <w:t xml:space="preserve">mpact </w:t>
      </w:r>
      <w:r>
        <w:rPr>
          <w:rFonts w:eastAsia="Times New Roman"/>
        </w:rPr>
        <w:t>a</w:t>
      </w:r>
      <w:r w:rsidRPr="00A5267C">
        <w:rPr>
          <w:rFonts w:eastAsia="Times New Roman"/>
        </w:rPr>
        <w:t>nalysis to support them</w:t>
      </w:r>
      <w:r w:rsidRPr="00935E3A">
        <w:rPr>
          <w:rFonts w:eastAsia="Times New Roman"/>
        </w:rPr>
        <w:t>. This means the contents of the IA may evolve as the policy</w:t>
      </w:r>
      <w:r>
        <w:rPr>
          <w:rFonts w:eastAsia="Times New Roman"/>
        </w:rPr>
        <w:t xml:space="preserve"> proposal is developed</w:t>
      </w:r>
      <w:r w:rsidRPr="00935E3A">
        <w:rPr>
          <w:rFonts w:eastAsia="Times New Roman"/>
        </w:rPr>
        <w:t>.</w:t>
      </w:r>
    </w:p>
    <w:p w14:paraId="10B84D42" w14:textId="77777777" w:rsidR="0016620D" w:rsidRPr="00A5267C" w:rsidRDefault="0016620D" w:rsidP="0016620D">
      <w:r w:rsidRPr="00A5267C">
        <w:t>This section covers:</w:t>
      </w:r>
    </w:p>
    <w:p w14:paraId="09788E5C" w14:textId="77777777" w:rsidR="0016620D" w:rsidRPr="00A5267C" w:rsidRDefault="0016620D" w:rsidP="0016620D">
      <w:pPr>
        <w:pStyle w:val="BulletedList-Level1"/>
        <w:ind w:left="425" w:hanging="283"/>
      </w:pPr>
      <w:r>
        <w:t>d</w:t>
      </w:r>
      <w:r w:rsidRPr="00A5267C">
        <w:t>ecision-making</w:t>
      </w:r>
    </w:p>
    <w:p w14:paraId="70FA076E" w14:textId="77777777" w:rsidR="0016620D" w:rsidRPr="00A5267C" w:rsidRDefault="0016620D" w:rsidP="0016620D">
      <w:pPr>
        <w:pStyle w:val="BulletedList-Level1"/>
        <w:ind w:left="425" w:hanging="283"/>
      </w:pPr>
      <w:r w:rsidRPr="00A5267C">
        <w:t xml:space="preserve">what is a key decision </w:t>
      </w:r>
    </w:p>
    <w:p w14:paraId="6210E711" w14:textId="7E70F517" w:rsidR="006732CB" w:rsidRPr="003F7FDC" w:rsidRDefault="0016620D" w:rsidP="0016620D">
      <w:pPr>
        <w:pStyle w:val="BulletedList-Level1"/>
        <w:ind w:left="425" w:hanging="283"/>
      </w:pPr>
      <w:r w:rsidRPr="00A5267C">
        <w:t>international treaties or agreements</w:t>
      </w:r>
      <w:r>
        <w:t>.</w:t>
      </w:r>
    </w:p>
    <w:p w14:paraId="3D7D5536" w14:textId="40C72D7D" w:rsidR="006732CB" w:rsidRPr="00A5267C" w:rsidRDefault="007815F0" w:rsidP="00771650">
      <w:pPr>
        <w:pStyle w:val="Heading2"/>
        <w:rPr>
          <w:lang w:val="en-US"/>
        </w:rPr>
      </w:pPr>
      <w:bookmarkStart w:id="42" w:name="_Toc226640792"/>
      <w:bookmarkStart w:id="43" w:name="_Toc232522194"/>
      <w:r w:rsidRPr="00A5267C">
        <w:rPr>
          <w:lang w:val="en-US"/>
        </w:rPr>
        <w:t>D</w:t>
      </w:r>
      <w:r w:rsidR="006732CB" w:rsidRPr="00A5267C">
        <w:rPr>
          <w:lang w:val="en-US"/>
        </w:rPr>
        <w:t>ecision-mak</w:t>
      </w:r>
      <w:r w:rsidRPr="00A5267C">
        <w:rPr>
          <w:lang w:val="en-US"/>
        </w:rPr>
        <w:t>ing</w:t>
      </w:r>
      <w:bookmarkEnd w:id="42"/>
      <w:bookmarkEnd w:id="43"/>
    </w:p>
    <w:p w14:paraId="0C3AD0E3" w14:textId="3D661D5B" w:rsidR="006732CB" w:rsidRPr="00A5267C" w:rsidRDefault="0016620D" w:rsidP="0016620D">
      <w:pPr>
        <w:pStyle w:val="BOXText"/>
        <w:rPr>
          <w:b/>
          <w:bCs/>
          <w:lang w:val="en-US"/>
        </w:rPr>
      </w:pPr>
      <w:r w:rsidRPr="00A5267C">
        <w:t xml:space="preserve">The Cabinet, </w:t>
      </w:r>
      <w:r>
        <w:t>g</w:t>
      </w:r>
      <w:r w:rsidRPr="00A5267C">
        <w:t xml:space="preserve">overnment </w:t>
      </w:r>
      <w:r>
        <w:t>m</w:t>
      </w:r>
      <w:r w:rsidRPr="00A5267C">
        <w:t xml:space="preserve">inisters, </w:t>
      </w:r>
      <w:r>
        <w:t>d</w:t>
      </w:r>
      <w:r w:rsidRPr="00A5267C">
        <w:t xml:space="preserve">epartmental </w:t>
      </w:r>
      <w:r>
        <w:t>s</w:t>
      </w:r>
      <w:r w:rsidRPr="00A5267C">
        <w:t>ecretaries</w:t>
      </w:r>
      <w:r w:rsidR="00D43E51">
        <w:t xml:space="preserve"> and</w:t>
      </w:r>
      <w:r>
        <w:t xml:space="preserve"> </w:t>
      </w:r>
      <w:r w:rsidRPr="00A5267C">
        <w:t xml:space="preserve">agency heads are </w:t>
      </w:r>
      <w:r>
        <w:t xml:space="preserve">included among </w:t>
      </w:r>
      <w:r w:rsidRPr="00A5267C">
        <w:t>decision-makers who</w:t>
      </w:r>
      <w:r>
        <w:t>, where relevant,</w:t>
      </w:r>
      <w:r w:rsidRPr="00A5267C">
        <w:t xml:space="preserve"> </w:t>
      </w:r>
      <w:r>
        <w:t xml:space="preserve">use an </w:t>
      </w:r>
      <w:r w:rsidRPr="00A5267C">
        <w:t xml:space="preserve">IA to </w:t>
      </w:r>
      <w:r>
        <w:t>inform</w:t>
      </w:r>
      <w:r w:rsidRPr="00A5267C">
        <w:t xml:space="preserve"> policy decisions</w:t>
      </w:r>
      <w:r>
        <w:t>.</w:t>
      </w:r>
    </w:p>
    <w:p w14:paraId="60C07E4C" w14:textId="5340D644" w:rsidR="0019703B" w:rsidRPr="00A5267C" w:rsidRDefault="0019703B" w:rsidP="0019703B">
      <w:r w:rsidRPr="00A5267C">
        <w:t>Cabinet is typically the decision-maker most relevant for IAs. If the proposal comes to Cabinet</w:t>
      </w:r>
      <w:r w:rsidR="00406204">
        <w:t xml:space="preserve"> </w:t>
      </w:r>
      <w:r w:rsidRPr="00A5267C">
        <w:t xml:space="preserve">(and has been assessed as in scope and </w:t>
      </w:r>
      <w:r>
        <w:t xml:space="preserve">meeting </w:t>
      </w:r>
      <w:r w:rsidRPr="00A5267C">
        <w:t>a</w:t>
      </w:r>
      <w:r>
        <w:t>n IA</w:t>
      </w:r>
      <w:r w:rsidRPr="00A5267C">
        <w:t xml:space="preserve"> threshold), then an IA will need to be</w:t>
      </w:r>
      <w:r w:rsidR="00406204">
        <w:t xml:space="preserve"> </w:t>
      </w:r>
      <w:r w:rsidRPr="00A5267C">
        <w:t xml:space="preserve">prepared. </w:t>
      </w:r>
      <w:bookmarkStart w:id="44" w:name="_Hlk232443691"/>
      <w:r>
        <w:t xml:space="preserve">The Prime Minister is also able to make binding </w:t>
      </w:r>
      <w:bookmarkEnd w:id="44"/>
      <w:r w:rsidRPr="00A5267C">
        <w:t xml:space="preserve">decisions </w:t>
      </w:r>
      <w:bookmarkStart w:id="45" w:name="_Hlk232443718"/>
      <w:r>
        <w:t>on behalf of the Government,</w:t>
      </w:r>
      <w:r w:rsidR="00406204">
        <w:t xml:space="preserve"> </w:t>
      </w:r>
      <w:r>
        <w:t xml:space="preserve">for example via exchange of </w:t>
      </w:r>
      <w:bookmarkEnd w:id="45"/>
      <w:r w:rsidRPr="00A5267C">
        <w:t xml:space="preserve">correspondence </w:t>
      </w:r>
      <w:r>
        <w:t>with</w:t>
      </w:r>
      <w:r w:rsidRPr="00A5267C">
        <w:t xml:space="preserve"> the </w:t>
      </w:r>
      <w:r>
        <w:t>relevant</w:t>
      </w:r>
      <w:r w:rsidRPr="00A5267C">
        <w:t xml:space="preserve"> Minister</w:t>
      </w:r>
      <w:r>
        <w:t xml:space="preserve">. </w:t>
      </w:r>
      <w:bookmarkStart w:id="46" w:name="_Hlk232443936"/>
      <w:r>
        <w:t>IAs are also required in this context</w:t>
      </w:r>
      <w:r w:rsidRPr="00A5267C">
        <w:t xml:space="preserve">. </w:t>
      </w:r>
      <w:bookmarkEnd w:id="46"/>
    </w:p>
    <w:p w14:paraId="6C1F9466" w14:textId="67481C32" w:rsidR="0016620D" w:rsidRPr="00A5267C" w:rsidRDefault="0019703B" w:rsidP="0016620D">
      <w:pPr>
        <w:rPr>
          <w:rFonts w:eastAsia="Times New Roman"/>
          <w:kern w:val="2"/>
          <w:lang w:eastAsia="ja-JP"/>
          <w14:ligatures w14:val="standardContextual"/>
        </w:rPr>
      </w:pPr>
      <w:r w:rsidRPr="00A5267C">
        <w:rPr>
          <w:rFonts w:eastAsia="Times New Roman"/>
        </w:rPr>
        <w:t>Ministers may also be the decision-maker for policy</w:t>
      </w:r>
      <w:r>
        <w:rPr>
          <w:rFonts w:eastAsia="Times New Roman"/>
        </w:rPr>
        <w:t>, for example</w:t>
      </w:r>
      <w:r w:rsidRPr="00A5267C">
        <w:rPr>
          <w:rFonts w:eastAsia="Times New Roman"/>
        </w:rPr>
        <w:t xml:space="preserve"> if </w:t>
      </w:r>
      <w:r>
        <w:rPr>
          <w:rFonts w:eastAsia="Times New Roman"/>
        </w:rPr>
        <w:t>a</w:t>
      </w:r>
      <w:r w:rsidRPr="00A5267C">
        <w:rPr>
          <w:rFonts w:eastAsia="Times New Roman"/>
        </w:rPr>
        <w:t xml:space="preserve"> </w:t>
      </w:r>
      <w:r>
        <w:rPr>
          <w:rFonts w:eastAsia="Times New Roman"/>
        </w:rPr>
        <w:t>decision</w:t>
      </w:r>
      <w:r w:rsidRPr="00A5267C">
        <w:rPr>
          <w:rFonts w:eastAsia="Times New Roman"/>
        </w:rPr>
        <w:t xml:space="preserve"> has been delegated</w:t>
      </w:r>
      <w:r>
        <w:rPr>
          <w:rFonts w:eastAsia="Times New Roman"/>
        </w:rPr>
        <w:t xml:space="preserve"> or is otherwise within the Minister’s remit</w:t>
      </w:r>
      <w:r w:rsidRPr="00A5267C">
        <w:rPr>
          <w:rFonts w:eastAsia="Times New Roman"/>
        </w:rPr>
        <w:t xml:space="preserve">. In this case, </w:t>
      </w:r>
      <w:r w:rsidR="0016620D">
        <w:rPr>
          <w:rFonts w:eastAsia="Times New Roman"/>
        </w:rPr>
        <w:t>the decision</w:t>
      </w:r>
      <w:r w:rsidR="0016620D" w:rsidRPr="00A5267C">
        <w:rPr>
          <w:rFonts w:eastAsia="Times New Roman"/>
        </w:rPr>
        <w:t xml:space="preserve"> typically involves the </w:t>
      </w:r>
      <w:r w:rsidR="0016620D">
        <w:rPr>
          <w:rFonts w:eastAsia="Times New Roman"/>
        </w:rPr>
        <w:t>relevant m</w:t>
      </w:r>
      <w:r w:rsidR="0016620D" w:rsidRPr="00A5267C">
        <w:rPr>
          <w:rFonts w:eastAsia="Times New Roman"/>
        </w:rPr>
        <w:t>inister being provided with a</w:t>
      </w:r>
      <w:r w:rsidR="0016620D">
        <w:rPr>
          <w:rFonts w:eastAsia="Times New Roman"/>
        </w:rPr>
        <w:t xml:space="preserve"> </w:t>
      </w:r>
      <w:r w:rsidR="0016620D" w:rsidRPr="00A5267C">
        <w:rPr>
          <w:rFonts w:eastAsia="Times New Roman"/>
        </w:rPr>
        <w:t xml:space="preserve">brief by their agency, such as on delegated legislation. The agency’s brief to the </w:t>
      </w:r>
      <w:r w:rsidR="0016620D">
        <w:rPr>
          <w:rFonts w:eastAsia="Times New Roman"/>
        </w:rPr>
        <w:t>m</w:t>
      </w:r>
      <w:r w:rsidR="0016620D" w:rsidRPr="00A5267C">
        <w:rPr>
          <w:rFonts w:eastAsia="Times New Roman"/>
        </w:rPr>
        <w:t>inister would include an IA (</w:t>
      </w:r>
      <w:r w:rsidR="0016620D">
        <w:rPr>
          <w:rFonts w:eastAsia="Times New Roman"/>
        </w:rPr>
        <w:t>where</w:t>
      </w:r>
      <w:r w:rsidR="0016620D" w:rsidRPr="00A5267C">
        <w:rPr>
          <w:rFonts w:eastAsia="Times New Roman"/>
        </w:rPr>
        <w:t xml:space="preserve"> required), and that IA would then be published </w:t>
      </w:r>
      <w:r w:rsidR="0016620D">
        <w:rPr>
          <w:rFonts w:eastAsia="Times New Roman"/>
        </w:rPr>
        <w:t>after policy announcement</w:t>
      </w:r>
      <w:r w:rsidR="0016620D" w:rsidRPr="00A5267C">
        <w:rPr>
          <w:rFonts w:eastAsia="Times New Roman"/>
        </w:rPr>
        <w:t>.</w:t>
      </w:r>
    </w:p>
    <w:p w14:paraId="1068A3E4" w14:textId="77777777" w:rsidR="0019703B" w:rsidRPr="00A5267C" w:rsidRDefault="0019703B" w:rsidP="0019703B">
      <w:pPr>
        <w:rPr>
          <w:rFonts w:eastAsia="Times New Roman"/>
          <w:kern w:val="2"/>
          <w:lang w:eastAsia="ja-JP"/>
          <w14:ligatures w14:val="standardContextual"/>
        </w:rPr>
      </w:pPr>
      <w:r w:rsidRPr="00A5267C">
        <w:rPr>
          <w:rFonts w:eastAsia="Times New Roman"/>
        </w:rPr>
        <w:t xml:space="preserve">Likewise, </w:t>
      </w:r>
      <w:r>
        <w:rPr>
          <w:rFonts w:eastAsia="Times New Roman"/>
        </w:rPr>
        <w:t>d</w:t>
      </w:r>
      <w:r w:rsidRPr="00A5267C">
        <w:rPr>
          <w:rFonts w:eastAsia="Times New Roman"/>
        </w:rPr>
        <w:t xml:space="preserve">epartmental </w:t>
      </w:r>
      <w:r>
        <w:rPr>
          <w:rFonts w:eastAsia="Times New Roman"/>
        </w:rPr>
        <w:t>s</w:t>
      </w:r>
      <w:r w:rsidRPr="00A5267C">
        <w:rPr>
          <w:rFonts w:eastAsia="Times New Roman"/>
        </w:rPr>
        <w:t>ecretaries</w:t>
      </w:r>
      <w:r>
        <w:rPr>
          <w:rFonts w:eastAsia="Times New Roman"/>
        </w:rPr>
        <w:t>,</w:t>
      </w:r>
      <w:r w:rsidRPr="00A5267C">
        <w:rPr>
          <w:rFonts w:eastAsia="Times New Roman"/>
        </w:rPr>
        <w:t xml:space="preserve"> agency heads</w:t>
      </w:r>
      <w:r>
        <w:rPr>
          <w:rFonts w:eastAsia="Times New Roman"/>
        </w:rPr>
        <w:t>, and other senior public servants</w:t>
      </w:r>
      <w:r w:rsidRPr="00A5267C">
        <w:rPr>
          <w:rFonts w:eastAsia="Times New Roman"/>
        </w:rPr>
        <w:t xml:space="preserve"> sometimes have power to make policy decisions. For example, they could make decisions regarding compliance or reporting requirements, or accreditation of agents to represent people’s interests. As with Ministers, if the proposal is in scope and </w:t>
      </w:r>
      <w:r>
        <w:rPr>
          <w:rFonts w:eastAsia="Times New Roman"/>
        </w:rPr>
        <w:t>meets</w:t>
      </w:r>
      <w:r w:rsidRPr="00A5267C">
        <w:rPr>
          <w:rFonts w:eastAsia="Times New Roman"/>
        </w:rPr>
        <w:t xml:space="preserve"> at least one IA threshold, the </w:t>
      </w:r>
      <w:r>
        <w:rPr>
          <w:rFonts w:eastAsia="Times New Roman"/>
        </w:rPr>
        <w:t>s</w:t>
      </w:r>
      <w:r w:rsidRPr="00A5267C">
        <w:rPr>
          <w:rFonts w:eastAsia="Times New Roman"/>
        </w:rPr>
        <w:t>ecretary or agency head is provided</w:t>
      </w:r>
      <w:r>
        <w:rPr>
          <w:rFonts w:eastAsia="Times New Roman"/>
        </w:rPr>
        <w:t xml:space="preserve"> </w:t>
      </w:r>
      <w:r w:rsidRPr="00A5267C">
        <w:rPr>
          <w:rFonts w:eastAsia="Times New Roman"/>
        </w:rPr>
        <w:t xml:space="preserve">a brief, which would include the IA. The IA would then be published </w:t>
      </w:r>
      <w:r>
        <w:rPr>
          <w:rFonts w:eastAsia="Times New Roman"/>
        </w:rPr>
        <w:t>after policy announcement.</w:t>
      </w:r>
    </w:p>
    <w:p w14:paraId="1964257E" w14:textId="77777777" w:rsidR="0019703B" w:rsidRPr="00A5267C" w:rsidRDefault="0019703B" w:rsidP="0019703B">
      <w:pPr>
        <w:rPr>
          <w:rFonts w:eastAsia="Times New Roman"/>
          <w:kern w:val="2"/>
          <w:lang w:eastAsia="ja-JP"/>
          <w14:ligatures w14:val="standardContextual"/>
        </w:rPr>
      </w:pPr>
      <w:r>
        <w:rPr>
          <w:rFonts w:eastAsia="Times New Roman"/>
        </w:rPr>
        <w:t xml:space="preserve">Decisions by </w:t>
      </w:r>
      <w:r w:rsidRPr="00A5267C">
        <w:rPr>
          <w:rFonts w:eastAsia="Times New Roman"/>
        </w:rPr>
        <w:t>National Cabinet, other Commonwealth–</w:t>
      </w:r>
      <w:r>
        <w:rPr>
          <w:rFonts w:eastAsia="Times New Roman"/>
        </w:rPr>
        <w:t>S</w:t>
      </w:r>
      <w:r w:rsidRPr="00A5267C">
        <w:rPr>
          <w:rFonts w:eastAsia="Times New Roman"/>
        </w:rPr>
        <w:t xml:space="preserve">tate ministers’ meetings, and standard-setting bodies are not captured by the </w:t>
      </w:r>
      <w:r>
        <w:rPr>
          <w:rFonts w:eastAsia="Times New Roman"/>
        </w:rPr>
        <w:t>Australian Government</w:t>
      </w:r>
      <w:r w:rsidRPr="00A5267C">
        <w:rPr>
          <w:rFonts w:eastAsia="Times New Roman"/>
        </w:rPr>
        <w:t xml:space="preserve"> I</w:t>
      </w:r>
      <w:r>
        <w:rPr>
          <w:rFonts w:eastAsia="Times New Roman"/>
        </w:rPr>
        <w:t xml:space="preserve">mpact </w:t>
      </w:r>
      <w:r w:rsidRPr="00A5267C">
        <w:rPr>
          <w:rFonts w:eastAsia="Times New Roman"/>
        </w:rPr>
        <w:t>A</w:t>
      </w:r>
      <w:r>
        <w:rPr>
          <w:rFonts w:eastAsia="Times New Roman"/>
        </w:rPr>
        <w:t>nalysis</w:t>
      </w:r>
      <w:r w:rsidRPr="00A5267C">
        <w:rPr>
          <w:rFonts w:eastAsia="Times New Roman"/>
        </w:rPr>
        <w:t xml:space="preserve"> </w:t>
      </w:r>
      <w:r>
        <w:rPr>
          <w:rFonts w:eastAsia="Times New Roman"/>
        </w:rPr>
        <w:t>F</w:t>
      </w:r>
      <w:r w:rsidRPr="00A5267C">
        <w:rPr>
          <w:rFonts w:eastAsia="Times New Roman"/>
        </w:rPr>
        <w:t>ramework.</w:t>
      </w:r>
    </w:p>
    <w:p w14:paraId="4ACBB63A" w14:textId="4849DDF7" w:rsidR="00EB78D1" w:rsidRPr="00A5267C" w:rsidRDefault="00EB78D1" w:rsidP="00771650">
      <w:pPr>
        <w:pStyle w:val="Heading2"/>
      </w:pPr>
      <w:bookmarkStart w:id="47" w:name="_Toc232522195"/>
      <w:r w:rsidRPr="00A5267C">
        <w:t>What is a key decision?</w:t>
      </w:r>
      <w:bookmarkEnd w:id="47"/>
    </w:p>
    <w:p w14:paraId="041AAEFC" w14:textId="77777777" w:rsidR="00EB78D1" w:rsidRPr="00A5267C" w:rsidRDefault="00EB78D1" w:rsidP="0084152F">
      <w:pPr>
        <w:pStyle w:val="BOXText"/>
      </w:pPr>
      <w:r w:rsidRPr="00A5267C">
        <w:t xml:space="preserve">A key decision is a decision taken during policy development which is material to the policy parameters. This may include decisions which widen or narrow the scope of a policy response, change who is affected, alter the scale of the intervention, or change other core design features.  </w:t>
      </w:r>
    </w:p>
    <w:p w14:paraId="71A1F125" w14:textId="77777777" w:rsidR="0019703B" w:rsidRPr="00771650" w:rsidRDefault="0019703B" w:rsidP="0019703B">
      <w:r w:rsidRPr="00771650">
        <w:t xml:space="preserve">A key decision needs to be supported by an IA </w:t>
      </w:r>
      <w:r>
        <w:t xml:space="preserve">(where required) </w:t>
      </w:r>
      <w:r w:rsidRPr="00771650">
        <w:t xml:space="preserve">which addresses all the IA questions, regulatory burden estimates and all other requirements. </w:t>
      </w:r>
    </w:p>
    <w:p w14:paraId="6CAD0024" w14:textId="77777777" w:rsidR="0019703B" w:rsidRPr="00A5267C" w:rsidRDefault="0019703B" w:rsidP="0019703B">
      <w:pPr>
        <w:rPr>
          <w:rFonts w:eastAsia="Times New Roman"/>
          <w:kern w:val="2"/>
          <w:lang w:eastAsia="ja-JP"/>
          <w14:ligatures w14:val="standardContextual"/>
        </w:rPr>
      </w:pPr>
      <w:r w:rsidRPr="00771650">
        <w:rPr>
          <w:rFonts w:eastAsia="Times New Roman"/>
        </w:rPr>
        <w:t>Th</w:t>
      </w:r>
      <w:r>
        <w:rPr>
          <w:rFonts w:eastAsia="Times New Roman"/>
        </w:rPr>
        <w:t>e</w:t>
      </w:r>
      <w:r w:rsidRPr="00771650">
        <w:rPr>
          <w:rFonts w:eastAsia="Times New Roman"/>
        </w:rPr>
        <w:t xml:space="preserve"> IA must</w:t>
      </w:r>
      <w:r w:rsidRPr="00A5267C">
        <w:rPr>
          <w:rFonts w:eastAsia="Times New Roman"/>
        </w:rPr>
        <w:t xml:space="preserve"> be produced and attached prior to the coordination </w:t>
      </w:r>
      <w:r>
        <w:rPr>
          <w:rFonts w:eastAsia="Times New Roman"/>
        </w:rPr>
        <w:t>final</w:t>
      </w:r>
      <w:r w:rsidRPr="00A5267C">
        <w:rPr>
          <w:rFonts w:eastAsia="Times New Roman"/>
        </w:rPr>
        <w:t xml:space="preserve"> stage of the Cabinet submission. </w:t>
      </w:r>
      <w:r>
        <w:rPr>
          <w:rFonts w:eastAsia="Times New Roman"/>
        </w:rPr>
        <w:t xml:space="preserve">Earlier inclusion, for example at the exposure draft stage or earlier stages of decision maker consideration is ideal. </w:t>
      </w:r>
      <w:r w:rsidRPr="00A5267C">
        <w:rPr>
          <w:rFonts w:eastAsia="Times New Roman"/>
        </w:rPr>
        <w:t xml:space="preserve">Outside the Cabinet </w:t>
      </w:r>
      <w:r>
        <w:rPr>
          <w:rFonts w:eastAsia="Times New Roman"/>
        </w:rPr>
        <w:t>decision-making</w:t>
      </w:r>
      <w:r w:rsidRPr="00A5267C">
        <w:rPr>
          <w:rFonts w:eastAsia="Times New Roman"/>
        </w:rPr>
        <w:t>, an IA should be provided to decision-makers to inform material decisions on policy parameters.</w:t>
      </w:r>
    </w:p>
    <w:p w14:paraId="43EB4DE7" w14:textId="77777777" w:rsidR="0019703B" w:rsidRPr="00FE73E8" w:rsidRDefault="0019703B" w:rsidP="0019703B">
      <w:pPr>
        <w:rPr>
          <w:rFonts w:eastAsia="Times New Roman"/>
        </w:rPr>
      </w:pPr>
      <w:r>
        <w:rPr>
          <w:rFonts w:eastAsia="Times New Roman"/>
        </w:rPr>
        <w:t>T</w:t>
      </w:r>
      <w:r w:rsidRPr="00096D00">
        <w:rPr>
          <w:rFonts w:eastAsia="Times New Roman"/>
        </w:rPr>
        <w:t xml:space="preserve">he final decision before a policy is announced, legislation is introduced to parliament, or the policy is otherwise implemented is also </w:t>
      </w:r>
      <w:r w:rsidRPr="00FD3591">
        <w:rPr>
          <w:rFonts w:eastAsia="Times New Roman"/>
        </w:rPr>
        <w:t>a key decision</w:t>
      </w:r>
      <w:r w:rsidRPr="00096D00">
        <w:rPr>
          <w:rFonts w:eastAsia="Times New Roman"/>
        </w:rPr>
        <w:t>.</w:t>
      </w:r>
      <w:r w:rsidRPr="00A5267C">
        <w:rPr>
          <w:rFonts w:eastAsia="Times New Roman"/>
        </w:rPr>
        <w:t xml:space="preserve"> A final decision is the key decision where all core design features and/or authority to publicly announce this proposal are finalised. </w:t>
      </w:r>
      <w:r w:rsidRPr="00096D00">
        <w:rPr>
          <w:rFonts w:eastAsia="Times New Roman"/>
        </w:rPr>
        <w:t xml:space="preserve">In practice, </w:t>
      </w:r>
      <w:r>
        <w:rPr>
          <w:rFonts w:eastAsia="Times New Roman"/>
        </w:rPr>
        <w:t>a</w:t>
      </w:r>
      <w:r w:rsidRPr="00A5267C">
        <w:rPr>
          <w:rFonts w:eastAsia="Times New Roman"/>
        </w:rPr>
        <w:t xml:space="preserve">gencies should treat all key decisions as if they </w:t>
      </w:r>
      <w:r>
        <w:rPr>
          <w:rFonts w:eastAsia="Times New Roman"/>
        </w:rPr>
        <w:t>may be</w:t>
      </w:r>
      <w:r w:rsidRPr="00A5267C">
        <w:rPr>
          <w:rFonts w:eastAsia="Times New Roman"/>
        </w:rPr>
        <w:t xml:space="preserve"> final. This means agencies should expect that the IA for any key decision could be published and that agencies should have </w:t>
      </w:r>
      <w:r>
        <w:rPr>
          <w:rFonts w:eastAsia="Times New Roman"/>
        </w:rPr>
        <w:t xml:space="preserve">formally endorsed their IA analysis at the Deputy Secretary (SES Band 3) or equivalent </w:t>
      </w:r>
      <w:r w:rsidRPr="00A5267C">
        <w:rPr>
          <w:rFonts w:eastAsia="Times New Roman"/>
        </w:rPr>
        <w:t>prior to the decision. The IA can be updated if further key decision points are made.</w:t>
      </w:r>
    </w:p>
    <w:p w14:paraId="35187541" w14:textId="77777777" w:rsidR="0019703B" w:rsidRDefault="0019703B" w:rsidP="0019703B">
      <w:pPr>
        <w:rPr>
          <w:rFonts w:eastAsia="Times New Roman"/>
        </w:rPr>
      </w:pPr>
      <w:r w:rsidRPr="00A5267C">
        <w:rPr>
          <w:rFonts w:eastAsia="Times New Roman"/>
        </w:rPr>
        <w:t xml:space="preserve">The IA that supports the final decision is the IA that will be published. An IA for a final decision should also have </w:t>
      </w:r>
      <w:r>
        <w:rPr>
          <w:rFonts w:eastAsia="Times New Roman"/>
        </w:rPr>
        <w:t>been endorsed as sufficient</w:t>
      </w:r>
      <w:r w:rsidRPr="00A5267C">
        <w:rPr>
          <w:rFonts w:eastAsia="Times New Roman"/>
        </w:rPr>
        <w:t xml:space="preserve"> prior to the final decision being taken. </w:t>
      </w:r>
    </w:p>
    <w:p w14:paraId="06570C65" w14:textId="77777777" w:rsidR="0019703B" w:rsidRPr="00327563" w:rsidRDefault="0019703B" w:rsidP="0019703B">
      <w:pPr>
        <w:rPr>
          <w:rFonts w:eastAsia="Times New Roman"/>
          <w:kern w:val="2"/>
          <w:lang w:eastAsia="ja-JP"/>
          <w14:ligatures w14:val="standardContextual"/>
        </w:rPr>
      </w:pPr>
      <w:r>
        <w:rPr>
          <w:rFonts w:eastAsia="Times New Roman"/>
        </w:rPr>
        <w:t>Agencies can seek advice from the OIA if the IA requirements are unclear at any stage of policy development.</w:t>
      </w:r>
    </w:p>
    <w:p w14:paraId="34640CDA" w14:textId="77777777" w:rsidR="007327F7" w:rsidRDefault="007327F7">
      <w:pPr>
        <w:rPr>
          <w:rFonts w:asciiTheme="majorHAnsi" w:eastAsiaTheme="majorEastAsia" w:hAnsiTheme="majorHAnsi" w:cstheme="majorBidi"/>
          <w:color w:val="092B57" w:themeColor="accent1"/>
          <w:sz w:val="48"/>
          <w:szCs w:val="40"/>
        </w:rPr>
      </w:pPr>
      <w:r>
        <w:br w:type="page"/>
      </w:r>
    </w:p>
    <w:p w14:paraId="2C8CCEF1" w14:textId="04510CC8" w:rsidR="006732CB" w:rsidRPr="0084152F" w:rsidRDefault="00D92C6D" w:rsidP="0016620D">
      <w:pPr>
        <w:pStyle w:val="Heading1"/>
        <w:pageBreakBefore/>
        <w:rPr>
          <w:kern w:val="36"/>
          <w:szCs w:val="48"/>
          <w:lang w:eastAsia="ja-JP"/>
          <w14:ligatures w14:val="standardContextual"/>
        </w:rPr>
      </w:pPr>
      <w:bookmarkStart w:id="48" w:name="_Toc232522196"/>
      <w:r w:rsidRPr="00A5267C">
        <w:t>Step 5: Publication and reporting</w:t>
      </w:r>
      <w:bookmarkEnd w:id="48"/>
    </w:p>
    <w:p w14:paraId="38C1E4D0" w14:textId="77777777" w:rsidR="0016620D" w:rsidRDefault="0016620D" w:rsidP="0016620D">
      <w:pPr>
        <w:rPr>
          <w:rFonts w:eastAsia="Times New Roman"/>
        </w:rPr>
      </w:pPr>
      <w:r w:rsidRPr="00A5267C">
        <w:rPr>
          <w:rFonts w:eastAsia="Times New Roman"/>
        </w:rPr>
        <w:t xml:space="preserve">Publication is a core requirement of the IA framework. This section explains when and how IA products must be published, and provides practical direction on what is published, timing, treatment of confidential or sensitive information, and the limited circumstances where minor amendments or addenda may be appropriate. </w:t>
      </w:r>
    </w:p>
    <w:p w14:paraId="0173C3AD" w14:textId="77777777" w:rsidR="0016620D" w:rsidRPr="00A5267C" w:rsidRDefault="0016620D" w:rsidP="0016620D">
      <w:pPr>
        <w:rPr>
          <w:rFonts w:eastAsia="Times New Roman"/>
          <w:kern w:val="2"/>
          <w:lang w:eastAsia="ja-JP"/>
          <w14:ligatures w14:val="standardContextual"/>
        </w:rPr>
      </w:pPr>
      <w:r w:rsidRPr="00A5267C">
        <w:rPr>
          <w:rFonts w:eastAsia="Times New Roman"/>
        </w:rPr>
        <w:t>This guidance focuses on:</w:t>
      </w:r>
    </w:p>
    <w:p w14:paraId="51267B98" w14:textId="77777777" w:rsidR="0016620D" w:rsidRPr="00A5267C" w:rsidRDefault="0016620D" w:rsidP="0016620D">
      <w:pPr>
        <w:pStyle w:val="BulletedList-Level1"/>
        <w:ind w:left="425" w:hanging="283"/>
      </w:pPr>
      <w:r w:rsidRPr="00A5267C">
        <w:t>what is published</w:t>
      </w:r>
    </w:p>
    <w:p w14:paraId="4C605574" w14:textId="77777777" w:rsidR="0016620D" w:rsidRDefault="0016620D" w:rsidP="0016620D">
      <w:pPr>
        <w:pStyle w:val="BulletedList-Level1"/>
        <w:ind w:left="425" w:hanging="283"/>
      </w:pPr>
      <w:r w:rsidRPr="00A5267C">
        <w:t>where and when publication occurs</w:t>
      </w:r>
    </w:p>
    <w:p w14:paraId="26BB2347" w14:textId="77777777" w:rsidR="0016620D" w:rsidRPr="00A5267C" w:rsidRDefault="0016620D" w:rsidP="0016620D">
      <w:pPr>
        <w:pStyle w:val="BulletedList-Level1"/>
        <w:ind w:left="425" w:hanging="283"/>
      </w:pPr>
      <w:r>
        <w:t>p</w:t>
      </w:r>
      <w:r w:rsidRPr="00970317">
        <w:t>ublishing Prime Minister exemptions</w:t>
      </w:r>
    </w:p>
    <w:p w14:paraId="74450FFD" w14:textId="77777777" w:rsidR="0016620D" w:rsidRPr="00A5267C" w:rsidRDefault="0016620D" w:rsidP="0016620D">
      <w:pPr>
        <w:pStyle w:val="BulletedList-Level1"/>
        <w:ind w:left="425" w:hanging="283"/>
        <w:rPr>
          <w:kern w:val="2"/>
          <w:lang w:eastAsia="ja-JP"/>
          <w14:ligatures w14:val="standardContextual"/>
        </w:rPr>
      </w:pPr>
      <w:r w:rsidRPr="00A5267C">
        <w:t>how confidential or sensitive information should be treated</w:t>
      </w:r>
    </w:p>
    <w:p w14:paraId="18835BC4" w14:textId="77777777" w:rsidR="0016620D" w:rsidRPr="00A5267C" w:rsidRDefault="0016620D" w:rsidP="0016620D">
      <w:pPr>
        <w:pStyle w:val="BulletedList-Level1"/>
        <w:ind w:left="425" w:hanging="283"/>
      </w:pPr>
      <w:r w:rsidRPr="00A5267C">
        <w:t>providing additional information after final decision</w:t>
      </w:r>
    </w:p>
    <w:p w14:paraId="0264359D" w14:textId="77777777" w:rsidR="0016620D" w:rsidRPr="00A5267C" w:rsidRDefault="0016620D" w:rsidP="0016620D">
      <w:pPr>
        <w:pStyle w:val="BulletedList-Level1"/>
        <w:ind w:left="425" w:hanging="283"/>
      </w:pPr>
      <w:r>
        <w:t xml:space="preserve">agency </w:t>
      </w:r>
      <w:r w:rsidRPr="00A5267C">
        <w:t>reporting</w:t>
      </w:r>
      <w:r>
        <w:t xml:space="preserve"> requirements</w:t>
      </w:r>
    </w:p>
    <w:p w14:paraId="59697F7B" w14:textId="77777777" w:rsidR="0016620D" w:rsidRPr="00A5267C" w:rsidRDefault="0016620D" w:rsidP="0016620D">
      <w:pPr>
        <w:pStyle w:val="BulletedList-Level1"/>
        <w:ind w:left="425" w:hanging="283"/>
      </w:pPr>
      <w:r w:rsidRPr="00A5267C">
        <w:t>website accessibility and publication standards.</w:t>
      </w:r>
    </w:p>
    <w:p w14:paraId="2C58DCD3" w14:textId="4FB2BF48" w:rsidR="006732CB" w:rsidRPr="00A5267C" w:rsidRDefault="0016620D" w:rsidP="0016620D">
      <w:r w:rsidRPr="00A5267C">
        <w:t>The OIA is available to provide advice</w:t>
      </w:r>
      <w:r>
        <w:t xml:space="preserve"> on the publication process.</w:t>
      </w:r>
    </w:p>
    <w:p w14:paraId="681C5521" w14:textId="77777777" w:rsidR="006732CB" w:rsidRPr="00A5267C" w:rsidRDefault="006732CB" w:rsidP="00771650">
      <w:pPr>
        <w:pStyle w:val="Heading2"/>
      </w:pPr>
      <w:bookmarkStart w:id="49" w:name="_Toc226640800"/>
      <w:bookmarkStart w:id="50" w:name="_Toc232522197"/>
      <w:r w:rsidRPr="00A5267C">
        <w:t>What is published?</w:t>
      </w:r>
      <w:bookmarkEnd w:id="49"/>
      <w:bookmarkEnd w:id="50"/>
    </w:p>
    <w:p w14:paraId="786A17A8" w14:textId="77777777" w:rsidR="0016620D" w:rsidRDefault="0016620D" w:rsidP="0016620D">
      <w:pPr>
        <w:pStyle w:val="BOXText"/>
      </w:pPr>
      <w:r w:rsidRPr="00A5267C">
        <w:t>The IA provided to the decision-maker at the time of the final key decision is required to be published</w:t>
      </w:r>
      <w:r>
        <w:t>, along with t</w:t>
      </w:r>
      <w:r w:rsidRPr="00A5267C">
        <w:t>he agency’s Statement of Sufficiency</w:t>
      </w:r>
      <w:r>
        <w:t>.</w:t>
      </w:r>
    </w:p>
    <w:p w14:paraId="191A895C" w14:textId="77777777" w:rsidR="0016620D" w:rsidRPr="0084152F" w:rsidRDefault="0016620D" w:rsidP="0016620D">
      <w:r w:rsidRPr="00A5267C">
        <w:t>Only the IA</w:t>
      </w:r>
      <w:r>
        <w:t xml:space="preserve"> and Statement of Sufficiency</w:t>
      </w:r>
      <w:r w:rsidRPr="00A5267C">
        <w:t xml:space="preserve"> used for the final, or last, key decision is published. </w:t>
      </w:r>
      <w:r>
        <w:t>A</w:t>
      </w:r>
      <w:r w:rsidRPr="00A5267C">
        <w:t>ny IA products which occurred at any previous key decision points</w:t>
      </w:r>
      <w:r>
        <w:t xml:space="preserve"> are not published</w:t>
      </w:r>
      <w:r w:rsidRPr="00A5267C">
        <w:t>. The published IA must be the same IA that was provided to the decision</w:t>
      </w:r>
      <w:r w:rsidRPr="00A5267C">
        <w:rPr>
          <w:rFonts w:ascii="Cambria Math" w:hAnsi="Cambria Math" w:cs="Cambria Math"/>
        </w:rPr>
        <w:t>‑</w:t>
      </w:r>
      <w:r w:rsidRPr="00A5267C">
        <w:t>maker, except for permitted redactions for confidentiality or sensitivity.</w:t>
      </w:r>
    </w:p>
    <w:p w14:paraId="2A1455AE" w14:textId="77777777" w:rsidR="0016620D" w:rsidRPr="00A5267C" w:rsidRDefault="0016620D" w:rsidP="0016620D">
      <w:r w:rsidRPr="00A5267C">
        <w:t xml:space="preserve">In most cases, the published product will be a Dashboard IA. </w:t>
      </w:r>
    </w:p>
    <w:p w14:paraId="6927C415" w14:textId="3A069DC6" w:rsidR="0016620D" w:rsidRPr="00A5267C" w:rsidRDefault="0016620D" w:rsidP="0016620D">
      <w:r w:rsidRPr="00A5267C">
        <w:t xml:space="preserve">In the case where a Detailed IA was required to inform the policy decision (see </w:t>
      </w:r>
      <w:r w:rsidRPr="00CC1FBB">
        <w:t xml:space="preserve">Step 2: </w:t>
      </w:r>
      <w:r w:rsidR="0012331E">
        <w:t>I</w:t>
      </w:r>
      <w:r w:rsidRPr="00CC1FBB">
        <w:t xml:space="preserve">mpact </w:t>
      </w:r>
      <w:r w:rsidR="001A6D4B">
        <w:t>a</w:t>
      </w:r>
      <w:r w:rsidRPr="00CC1FBB">
        <w:t>nalysis</w:t>
      </w:r>
      <w:r w:rsidRPr="00A5267C">
        <w:t>), the Detailed IA must be published following policy announcement. The executive summary of a Detailed IA should use the Dashboard IA template.</w:t>
      </w:r>
    </w:p>
    <w:p w14:paraId="78B9D481" w14:textId="07A80F96" w:rsidR="006732CB" w:rsidRPr="00A5267C" w:rsidRDefault="0016620D" w:rsidP="006732CB">
      <w:r w:rsidRPr="00A5267C">
        <w:t xml:space="preserve">In the case that a </w:t>
      </w:r>
      <w:r w:rsidR="0012331E">
        <w:t>m</w:t>
      </w:r>
      <w:r w:rsidRPr="00A5267C">
        <w:t xml:space="preserve">inister requests that their agency prepare a Detailed IA for a key policy decision, the executive summary Dashboard IA must be published. While publication of the full Detailed IA </w:t>
      </w:r>
      <w:r>
        <w:br/>
      </w:r>
      <w:r w:rsidRPr="00A5267C">
        <w:t xml:space="preserve">is not a formal requirement, with the agreement of the Prime Minister or Cabinet this may also </w:t>
      </w:r>
      <w:r>
        <w:br/>
      </w:r>
      <w:r w:rsidRPr="00A5267C">
        <w:t>be published.</w:t>
      </w:r>
    </w:p>
    <w:p w14:paraId="0C1A4331" w14:textId="77777777" w:rsidR="006732CB" w:rsidRPr="00A5267C" w:rsidRDefault="006732CB" w:rsidP="00771650">
      <w:pPr>
        <w:pStyle w:val="Heading2"/>
      </w:pPr>
      <w:bookmarkStart w:id="51" w:name="_Toc226640801"/>
      <w:bookmarkStart w:id="52" w:name="_Toc232522198"/>
      <w:r w:rsidRPr="00A5267C">
        <w:t>When and where is it published?</w:t>
      </w:r>
      <w:bookmarkEnd w:id="51"/>
      <w:bookmarkEnd w:id="52"/>
    </w:p>
    <w:p w14:paraId="4B7A8B9F" w14:textId="77777777" w:rsidR="0019703B" w:rsidRPr="0084152F" w:rsidRDefault="0019703B" w:rsidP="0019703B">
      <w:pPr>
        <w:pStyle w:val="BOXText"/>
      </w:pPr>
      <w:r w:rsidRPr="0084152F">
        <w:t xml:space="preserve">The IA </w:t>
      </w:r>
      <w:r>
        <w:t>is</w:t>
      </w:r>
      <w:r w:rsidRPr="0084152F">
        <w:t xml:space="preserve"> published on the OIA website as soon as possible following announcement and within five working days. The IA must also be </w:t>
      </w:r>
      <w:r>
        <w:t>attached to</w:t>
      </w:r>
      <w:r w:rsidRPr="0084152F">
        <w:t xml:space="preserve"> any Explanatory Memorandum or Explanatory Statement.</w:t>
      </w:r>
    </w:p>
    <w:p w14:paraId="2CA77B5E" w14:textId="12FAC49F" w:rsidR="007360F7" w:rsidRPr="0084152F" w:rsidRDefault="007360F7" w:rsidP="007360F7">
      <w:pPr>
        <w:pStyle w:val="BOXText"/>
      </w:pPr>
      <w:r w:rsidRPr="0084152F">
        <w:rPr>
          <w:lang w:val="en-US"/>
        </w:rPr>
        <w:t xml:space="preserve">Agencies are required to notify the OIA of relevant policy announcements. </w:t>
      </w:r>
      <w:r>
        <w:t>Agencies also need</w:t>
      </w:r>
      <w:r w:rsidR="00406204">
        <w:t xml:space="preserve"> </w:t>
      </w:r>
      <w:r>
        <w:t xml:space="preserve">to notify the OIA when remaking </w:t>
      </w:r>
      <w:r w:rsidRPr="00A5267C">
        <w:t>sunsetting legislative instruments</w:t>
      </w:r>
      <w:r>
        <w:t xml:space="preserve"> that are captured by the IA framework. </w:t>
      </w:r>
      <w:r w:rsidRPr="0084152F">
        <w:rPr>
          <w:lang w:val="en-US"/>
        </w:rPr>
        <w:t>On a quarterly basis, agencies are also required to review and report to the OIA on the status of ongoing IAs and any outstanding IAs to be published</w:t>
      </w:r>
      <w:r w:rsidRPr="0084152F">
        <w:t>.</w:t>
      </w:r>
    </w:p>
    <w:p w14:paraId="303481B1" w14:textId="3857F9E2" w:rsidR="007360F7" w:rsidRPr="00A5267C" w:rsidRDefault="007360F7" w:rsidP="007360F7">
      <w:r w:rsidRPr="00A5267C">
        <w:t xml:space="preserve">The IA must be published on the </w:t>
      </w:r>
      <w:hyperlink r:id="rId32" w:history="1">
        <w:r w:rsidR="007327F7" w:rsidRPr="009C503D">
          <w:rPr>
            <w:rStyle w:val="Hyperlink"/>
          </w:rPr>
          <w:t>OIA website</w:t>
        </w:r>
      </w:hyperlink>
      <w:r w:rsidRPr="00A5267C">
        <w:t xml:space="preserve">. Please reach out to the OIA to arrange publication via </w:t>
      </w:r>
      <w:hyperlink r:id="rId33">
        <w:r w:rsidRPr="00A5267C">
          <w:rPr>
            <w:rStyle w:val="Hyperlink"/>
          </w:rPr>
          <w:t>helpdesk-oia@pmc.gov.au</w:t>
        </w:r>
      </w:hyperlink>
      <w:r w:rsidRPr="00A5267C">
        <w:t>.</w:t>
      </w:r>
    </w:p>
    <w:p w14:paraId="69603425" w14:textId="600ABF8D" w:rsidR="007360F7" w:rsidRPr="00A5267C" w:rsidRDefault="007360F7" w:rsidP="007360F7">
      <w:r w:rsidRPr="00A5267C">
        <w:t>Agencies may also publish copies of the IA on their website or elsewhere.</w:t>
      </w:r>
    </w:p>
    <w:p w14:paraId="7EE547AB" w14:textId="77777777" w:rsidR="0019703B" w:rsidRPr="00A5267C" w:rsidRDefault="0019703B" w:rsidP="0019703B">
      <w:r w:rsidRPr="00A5267C">
        <w:rPr>
          <w:bCs/>
        </w:rPr>
        <w:t xml:space="preserve">Agencies are responsible for notifying the OIA of IA products which need to be published as well as when the policy has been announced. </w:t>
      </w:r>
      <w:r w:rsidRPr="00A5267C">
        <w:t xml:space="preserve">These notifications enable the OIA to arrange publication </w:t>
      </w:r>
      <w:r>
        <w:br/>
      </w:r>
      <w:r w:rsidRPr="00A5267C">
        <w:t xml:space="preserve">of the relevant IA on its website. Agencies should ensure that the material provided to the OIA is ready for publication at the time of notification. </w:t>
      </w:r>
    </w:p>
    <w:p w14:paraId="3CFB573E" w14:textId="77777777" w:rsidR="0019703B" w:rsidRPr="00A5267C" w:rsidRDefault="0019703B" w:rsidP="0019703B">
      <w:r w:rsidRPr="00A5267C">
        <w:t xml:space="preserve">Agencies are encouraged to plan ahead for publication. This includes </w:t>
      </w:r>
      <w:r w:rsidRPr="002F791B">
        <w:t>preparing publication ready documents</w:t>
      </w:r>
      <w:r>
        <w:t xml:space="preserve"> that meet w</w:t>
      </w:r>
      <w:r w:rsidRPr="00A5267C">
        <w:t xml:space="preserve">eb accessibility and </w:t>
      </w:r>
      <w:r>
        <w:t xml:space="preserve">Australian Government </w:t>
      </w:r>
      <w:r w:rsidRPr="00A5267C">
        <w:t xml:space="preserve">publication standards in advance and staying in touch with the OIA. Publication </w:t>
      </w:r>
      <w:r>
        <w:t>should</w:t>
      </w:r>
      <w:r w:rsidRPr="00A5267C">
        <w:t xml:space="preserve"> occur as soon as practicable following policy announcement</w:t>
      </w:r>
      <w:r w:rsidRPr="005819B8">
        <w:t xml:space="preserve"> </w:t>
      </w:r>
      <w:r w:rsidRPr="0084152F">
        <w:t>and within five working days</w:t>
      </w:r>
      <w:r w:rsidRPr="00A5267C">
        <w:t xml:space="preserve">. </w:t>
      </w:r>
    </w:p>
    <w:p w14:paraId="2C5505C2" w14:textId="29353730" w:rsidR="009B0304" w:rsidRPr="00A5267C" w:rsidRDefault="009B0304" w:rsidP="00771650">
      <w:pPr>
        <w:pStyle w:val="Heading2"/>
        <w:rPr>
          <w:kern w:val="2"/>
          <w:szCs w:val="36"/>
          <w:lang w:eastAsia="ja-JP"/>
          <w14:ligatures w14:val="standardContextual"/>
        </w:rPr>
      </w:pPr>
      <w:bookmarkStart w:id="53" w:name="_Toc232522199"/>
      <w:r w:rsidRPr="00A5267C">
        <w:t>Publishing Prime Minister</w:t>
      </w:r>
      <w:r w:rsidR="007360F7">
        <w:t>’s</w:t>
      </w:r>
      <w:r w:rsidRPr="00A5267C">
        <w:t xml:space="preserve"> exemptions</w:t>
      </w:r>
      <w:bookmarkEnd w:id="53"/>
    </w:p>
    <w:p w14:paraId="690F4DFF" w14:textId="3EBEC7D2" w:rsidR="007360F7" w:rsidRDefault="007360F7" w:rsidP="007360F7">
      <w:pPr>
        <w:pStyle w:val="BOXText"/>
      </w:pPr>
      <w:bookmarkStart w:id="54" w:name="_Toc226640802"/>
      <w:r w:rsidRPr="00A5267C">
        <w:rPr>
          <w:rFonts w:eastAsia="Times New Roman"/>
        </w:rPr>
        <w:t>When a decision subject to a Prime Minister</w:t>
      </w:r>
      <w:r>
        <w:rPr>
          <w:rFonts w:eastAsia="Times New Roman"/>
        </w:rPr>
        <w:t>’s</w:t>
      </w:r>
      <w:r w:rsidRPr="00A5267C">
        <w:rPr>
          <w:rFonts w:eastAsia="Times New Roman"/>
        </w:rPr>
        <w:t xml:space="preserve"> exemption is publicly announced, agencies</w:t>
      </w:r>
      <w:r w:rsidR="00406204">
        <w:rPr>
          <w:rFonts w:eastAsia="Times New Roman"/>
        </w:rPr>
        <w:t xml:space="preserve"> </w:t>
      </w:r>
      <w:r w:rsidRPr="00A5267C">
        <w:rPr>
          <w:rFonts w:eastAsia="Times New Roman"/>
        </w:rPr>
        <w:t>also need to notify the OIA that the proposal was subject to a Prime Minister</w:t>
      </w:r>
      <w:r>
        <w:rPr>
          <w:rFonts w:eastAsia="Times New Roman"/>
        </w:rPr>
        <w:t>ial</w:t>
      </w:r>
      <w:r w:rsidRPr="00A5267C">
        <w:rPr>
          <w:rFonts w:eastAsia="Times New Roman"/>
        </w:rPr>
        <w:t xml:space="preserve"> exemption and the reason. </w:t>
      </w:r>
    </w:p>
    <w:p w14:paraId="04CF992B" w14:textId="22617EA4" w:rsidR="009B0304" w:rsidRPr="00A5267C" w:rsidRDefault="007360F7" w:rsidP="007360F7">
      <w:pPr>
        <w:spacing w:after="240"/>
        <w:rPr>
          <w:rFonts w:eastAsia="Times New Roman"/>
          <w:kern w:val="2"/>
          <w:lang w:eastAsia="ja-JP"/>
          <w14:ligatures w14:val="standardContextual"/>
        </w:rPr>
      </w:pPr>
      <w:r w:rsidRPr="003E121A">
        <w:t>The Prime Minister</w:t>
      </w:r>
      <w:r>
        <w:t>’s</w:t>
      </w:r>
      <w:r w:rsidRPr="003E121A">
        <w:t xml:space="preserve"> exemption also needs to be noted in any relevant Explanatory Memorandum </w:t>
      </w:r>
      <w:r>
        <w:br/>
      </w:r>
      <w:r w:rsidRPr="003E121A">
        <w:t>or Explanatory Statement</w:t>
      </w:r>
      <w:r>
        <w:t>.</w:t>
      </w:r>
    </w:p>
    <w:p w14:paraId="7FECCE5F" w14:textId="14F3567E" w:rsidR="006732CB" w:rsidRPr="0084152F" w:rsidRDefault="006732CB" w:rsidP="00771650">
      <w:pPr>
        <w:pStyle w:val="Heading2"/>
      </w:pPr>
      <w:bookmarkStart w:id="55" w:name="_Toc232522200"/>
      <w:r w:rsidRPr="0084152F">
        <w:t xml:space="preserve">How </w:t>
      </w:r>
      <w:r w:rsidR="00BA6E3B" w:rsidRPr="0084152F">
        <w:t xml:space="preserve">should </w:t>
      </w:r>
      <w:r w:rsidRPr="0084152F">
        <w:t>confidential or sensitive information be treated?</w:t>
      </w:r>
      <w:bookmarkEnd w:id="54"/>
      <w:bookmarkEnd w:id="55"/>
    </w:p>
    <w:p w14:paraId="391804D5" w14:textId="5E7D1D35" w:rsidR="007360F7" w:rsidRPr="00A5267C" w:rsidRDefault="007360F7" w:rsidP="007360F7">
      <w:pPr>
        <w:pStyle w:val="BOXText"/>
      </w:pPr>
      <w:r w:rsidRPr="0084152F">
        <w:t xml:space="preserve">Some information contained in </w:t>
      </w:r>
      <w:r w:rsidR="0019703B">
        <w:t>an</w:t>
      </w:r>
      <w:r w:rsidRPr="0084152F">
        <w:t xml:space="preserve"> IA may not be able to be published or would be more appropriately published in other products. Prior to publication, agencies should remove such material from the IA provided to the OIA.</w:t>
      </w:r>
      <w:r w:rsidRPr="00A5267C">
        <w:t xml:space="preserve"> </w:t>
      </w:r>
    </w:p>
    <w:p w14:paraId="697E292E" w14:textId="77777777" w:rsidR="007360F7" w:rsidRPr="00A5267C" w:rsidRDefault="007360F7" w:rsidP="007360F7">
      <w:pPr>
        <w:rPr>
          <w:rFonts w:eastAsia="Times New Roman"/>
          <w:kern w:val="2"/>
          <w:lang w:eastAsia="ja-JP"/>
          <w14:ligatures w14:val="standardContextual"/>
        </w:rPr>
      </w:pPr>
      <w:r w:rsidRPr="00A5267C">
        <w:rPr>
          <w:rFonts w:eastAsia="Times New Roman"/>
        </w:rPr>
        <w:t xml:space="preserve">Information that agencies should remove before publication includes commercially sensitive material, information that could prejudice national security, and other information that is protected under law or established government policy. The removal of information must be limited to </w:t>
      </w:r>
      <w:r>
        <w:rPr>
          <w:rFonts w:eastAsia="Times New Roman"/>
        </w:rPr>
        <w:t>where</w:t>
      </w:r>
      <w:r w:rsidRPr="00A5267C">
        <w:rPr>
          <w:rFonts w:eastAsia="Times New Roman"/>
        </w:rPr>
        <w:t xml:space="preserve"> necessary</w:t>
      </w:r>
      <w:r>
        <w:rPr>
          <w:rFonts w:eastAsia="Times New Roman"/>
        </w:rPr>
        <w:t xml:space="preserve">. </w:t>
      </w:r>
      <w:r w:rsidRPr="00F77E7A">
        <w:rPr>
          <w:rFonts w:eastAsia="Times New Roman"/>
        </w:rPr>
        <w:t xml:space="preserve">Agencies should consider the interaction between any material being treated as confidential and </w:t>
      </w:r>
      <w:r>
        <w:rPr>
          <w:rFonts w:eastAsia="Times New Roman"/>
        </w:rPr>
        <w:t xml:space="preserve">obligations such as the </w:t>
      </w:r>
      <w:r w:rsidRPr="00397FA6">
        <w:rPr>
          <w:rFonts w:eastAsia="Times New Roman"/>
          <w:i/>
          <w:iCs/>
        </w:rPr>
        <w:t>Freedom of Information Act 1982</w:t>
      </w:r>
      <w:r>
        <w:rPr>
          <w:rFonts w:eastAsia="Times New Roman"/>
        </w:rPr>
        <w:t>.</w:t>
      </w:r>
    </w:p>
    <w:p w14:paraId="27FEC6B1" w14:textId="77777777" w:rsidR="007360F7" w:rsidRPr="0019703B" w:rsidRDefault="007360F7" w:rsidP="007360F7">
      <w:pPr>
        <w:rPr>
          <w:rFonts w:asciiTheme="minorHAnsi" w:eastAsia="Times New Roman" w:hAnsiTheme="minorHAnsi" w:cstheme="minorHAnsi"/>
          <w:kern w:val="2"/>
          <w:lang w:eastAsia="ja-JP"/>
          <w14:ligatures w14:val="standardContextual"/>
        </w:rPr>
      </w:pPr>
      <w:r>
        <w:rPr>
          <w:rFonts w:eastAsia="Times New Roman"/>
        </w:rPr>
        <w:t>To this end, t</w:t>
      </w:r>
      <w:r w:rsidRPr="00A5267C">
        <w:rPr>
          <w:rFonts w:eastAsia="Times New Roman"/>
        </w:rPr>
        <w:t>here are clearly marked sections in the Dashboard IA and Detailed IA</w:t>
      </w:r>
      <w:r>
        <w:rPr>
          <w:rFonts w:eastAsia="Times New Roman"/>
        </w:rPr>
        <w:t xml:space="preserve"> that should</w:t>
      </w:r>
      <w:r w:rsidRPr="00A5267C">
        <w:rPr>
          <w:rFonts w:eastAsia="Times New Roman"/>
        </w:rPr>
        <w:t xml:space="preserve"> be removed </w:t>
      </w:r>
      <w:r w:rsidRPr="0019703B">
        <w:rPr>
          <w:rFonts w:eastAsia="Times New Roman"/>
        </w:rPr>
        <w:t xml:space="preserve">prior to </w:t>
      </w:r>
      <w:r w:rsidRPr="0019703B">
        <w:rPr>
          <w:rFonts w:asciiTheme="minorHAnsi" w:eastAsia="Times New Roman" w:hAnsiTheme="minorHAnsi" w:cstheme="minorHAnsi"/>
        </w:rPr>
        <w:t>publication.</w:t>
      </w:r>
    </w:p>
    <w:p w14:paraId="74194D3D" w14:textId="77777777" w:rsidR="007360F7" w:rsidRPr="00406204" w:rsidRDefault="007360F7" w:rsidP="007360F7">
      <w:pPr>
        <w:pStyle w:val="BulletedList-Level1"/>
        <w:ind w:left="425" w:hanging="283"/>
        <w:rPr>
          <w:rFonts w:asciiTheme="minorHAnsi" w:hAnsiTheme="minorHAnsi" w:cstheme="minorHAnsi"/>
        </w:rPr>
      </w:pPr>
      <w:r w:rsidRPr="00406204">
        <w:rPr>
          <w:rFonts w:asciiTheme="minorHAnsi" w:hAnsiTheme="minorHAnsi" w:cstheme="minorHAnsi"/>
        </w:rPr>
        <w:t xml:space="preserve">Strategic considerations: where the analysis is intended to support decision-makers </w:t>
      </w:r>
      <w:r w:rsidRPr="00406204">
        <w:rPr>
          <w:rFonts w:asciiTheme="minorHAnsi" w:hAnsiTheme="minorHAnsi" w:cstheme="minorHAnsi"/>
        </w:rPr>
        <w:br/>
        <w:t>to weigh how a proposal aligns with, or detracts from, other policy objectives. The analysis may reference policies at different stages of development.</w:t>
      </w:r>
    </w:p>
    <w:p w14:paraId="09B50E4E" w14:textId="77777777" w:rsidR="007360F7" w:rsidRPr="00406204" w:rsidRDefault="007360F7" w:rsidP="007360F7">
      <w:pPr>
        <w:pStyle w:val="BulletedList-Level1"/>
        <w:ind w:left="425" w:hanging="283"/>
        <w:rPr>
          <w:rFonts w:asciiTheme="minorHAnsi" w:hAnsiTheme="minorHAnsi" w:cstheme="minorHAnsi"/>
        </w:rPr>
      </w:pPr>
      <w:r w:rsidRPr="00406204">
        <w:rPr>
          <w:rFonts w:asciiTheme="minorHAnsi" w:hAnsiTheme="minorHAnsi" w:cstheme="minorHAnsi"/>
        </w:rPr>
        <w:t>Fiscal and revenue estimates:</w:t>
      </w:r>
      <w:r w:rsidRPr="00406204">
        <w:rPr>
          <w:rFonts w:asciiTheme="minorHAnsi" w:hAnsiTheme="minorHAnsi" w:cstheme="minorHAnsi"/>
          <w:i/>
          <w:iCs/>
        </w:rPr>
        <w:t xml:space="preserve"> </w:t>
      </w:r>
      <w:r w:rsidRPr="00406204">
        <w:rPr>
          <w:rFonts w:asciiTheme="minorHAnsi" w:hAnsiTheme="minorHAnsi" w:cstheme="minorHAnsi"/>
        </w:rPr>
        <w:t>where publication would be inconsistent with established government conventions. Consistent with current practice, these estimates are published through Budget processes rather than through the publication of IA.</w:t>
      </w:r>
    </w:p>
    <w:p w14:paraId="443ABD1C" w14:textId="01F2849B" w:rsidR="006732CB" w:rsidRPr="00406204" w:rsidRDefault="007360F7" w:rsidP="007360F7">
      <w:pPr>
        <w:rPr>
          <w:rFonts w:asciiTheme="minorHAnsi" w:hAnsiTheme="minorHAnsi" w:cstheme="minorHAnsi"/>
        </w:rPr>
      </w:pPr>
      <w:r w:rsidRPr="00406204">
        <w:rPr>
          <w:rFonts w:asciiTheme="minorHAnsi" w:hAnsiTheme="minorHAnsi" w:cstheme="minorHAnsi"/>
        </w:rPr>
        <w:t>Agencies are responsible for identifying and removing confidential or sensitive material</w:t>
      </w:r>
      <w:r w:rsidR="006732CB" w:rsidRPr="00406204">
        <w:rPr>
          <w:rFonts w:asciiTheme="minorHAnsi" w:hAnsiTheme="minorHAnsi" w:cstheme="minorHAnsi"/>
        </w:rPr>
        <w:t>.</w:t>
      </w:r>
    </w:p>
    <w:p w14:paraId="6877BF3D" w14:textId="77777777" w:rsidR="006732CB" w:rsidRPr="00A5267C" w:rsidRDefault="006732CB" w:rsidP="00771650">
      <w:pPr>
        <w:pStyle w:val="Heading2"/>
      </w:pPr>
      <w:bookmarkStart w:id="56" w:name="_Toc226640803"/>
      <w:bookmarkStart w:id="57" w:name="_Toc232522201"/>
      <w:r w:rsidRPr="00A5267C">
        <w:t>Providing additional information after the final decision</w:t>
      </w:r>
      <w:bookmarkEnd w:id="56"/>
      <w:bookmarkEnd w:id="57"/>
    </w:p>
    <w:p w14:paraId="0212DAEE" w14:textId="203BAD9D" w:rsidR="007360F7" w:rsidRDefault="007360F7" w:rsidP="007360F7">
      <w:pPr>
        <w:pStyle w:val="BOXText"/>
      </w:pPr>
      <w:r w:rsidRPr="0084152F">
        <w:t>After the final</w:t>
      </w:r>
      <w:r>
        <w:t xml:space="preserve"> key</w:t>
      </w:r>
      <w:r w:rsidRPr="0084152F">
        <w:t xml:space="preserve"> decision, no </w:t>
      </w:r>
      <w:r w:rsidR="0019703B">
        <w:t xml:space="preserve">substantive </w:t>
      </w:r>
      <w:r w:rsidRPr="0084152F">
        <w:t xml:space="preserve">new material may be subsequently added to the IA. Only limited amendments are permitted to ensure the accuracy, accessibility and usability of the IA. </w:t>
      </w:r>
      <w:r>
        <w:t xml:space="preserve">This provides transparency over the information provided to decision-makers. </w:t>
      </w:r>
    </w:p>
    <w:p w14:paraId="59F3EB82" w14:textId="4BE67A80" w:rsidR="007360F7" w:rsidRPr="00A5267C" w:rsidRDefault="007360F7" w:rsidP="007360F7">
      <w:pPr>
        <w:pStyle w:val="BOXText"/>
      </w:pPr>
      <w:r w:rsidRPr="0084152F">
        <w:t xml:space="preserve">Agencies may publish an addendum to add or address material issues which are relevant </w:t>
      </w:r>
      <w:r>
        <w:br/>
      </w:r>
      <w:r w:rsidRPr="0084152F">
        <w:t>to the policy decision.</w:t>
      </w:r>
    </w:p>
    <w:p w14:paraId="7D9ECA8A" w14:textId="1CC3E4E8" w:rsidR="007360F7" w:rsidRPr="00A5267C" w:rsidRDefault="0019703B" w:rsidP="007360F7">
      <w:r w:rsidRPr="00CB352D">
        <w:rPr>
          <w:b/>
          <w:bCs/>
        </w:rPr>
        <w:t>Prior to publication</w:t>
      </w:r>
      <w:r w:rsidRPr="00A5267C">
        <w:t xml:space="preserve">, </w:t>
      </w:r>
      <w:r>
        <w:t xml:space="preserve">only </w:t>
      </w:r>
      <w:r w:rsidRPr="00A5267C">
        <w:t>limited amendments may be made to a</w:t>
      </w:r>
      <w:r>
        <w:t>n</w:t>
      </w:r>
      <w:r w:rsidRPr="00A5267C">
        <w:t xml:space="preserve"> IA where needed to</w:t>
      </w:r>
      <w:r>
        <w:t>:</w:t>
      </w:r>
    </w:p>
    <w:p w14:paraId="4FCD1B0D" w14:textId="79B0DBC7" w:rsidR="007360F7" w:rsidRPr="00A5267C" w:rsidRDefault="007360F7" w:rsidP="007360F7">
      <w:pPr>
        <w:pStyle w:val="BulletedList-Level1"/>
        <w:ind w:left="425" w:hanging="283"/>
      </w:pPr>
      <w:r w:rsidRPr="00A5267C">
        <w:t>remove confidential or sensitive information</w:t>
      </w:r>
    </w:p>
    <w:p w14:paraId="0A939293" w14:textId="77777777" w:rsidR="007360F7" w:rsidRPr="00A5267C" w:rsidRDefault="007360F7" w:rsidP="007360F7">
      <w:pPr>
        <w:pStyle w:val="BulletedList-Level1"/>
        <w:ind w:left="425" w:hanging="283"/>
      </w:pPr>
      <w:r w:rsidRPr="00A5267C">
        <w:t>correct typographical</w:t>
      </w:r>
      <w:r>
        <w:t>,</w:t>
      </w:r>
      <w:r w:rsidRPr="00A5267C">
        <w:t xml:space="preserve"> formatting </w:t>
      </w:r>
      <w:r>
        <w:t xml:space="preserve">or factual </w:t>
      </w:r>
      <w:r w:rsidRPr="00A5267C">
        <w:t>errors</w:t>
      </w:r>
      <w:r>
        <w:t xml:space="preserve">, </w:t>
      </w:r>
      <w:r w:rsidRPr="003F1424">
        <w:t xml:space="preserve">but without substantially changing the meaning or analysis in the </w:t>
      </w:r>
      <w:r>
        <w:t>IA</w:t>
      </w:r>
    </w:p>
    <w:p w14:paraId="5A6AC481" w14:textId="1912ED35" w:rsidR="007360F7" w:rsidRDefault="007360F7" w:rsidP="007360F7">
      <w:pPr>
        <w:pStyle w:val="BulletedList-Level1"/>
        <w:ind w:left="425" w:hanging="283"/>
      </w:pPr>
      <w:r w:rsidRPr="00A5267C">
        <w:t>include additional relevant information that does not materially alter the substance of the analysis (for example, additional information on future reviews of the policy)</w:t>
      </w:r>
    </w:p>
    <w:p w14:paraId="4D015E0E" w14:textId="1E773A23" w:rsidR="007360F7" w:rsidRPr="00A5267C" w:rsidRDefault="007360F7" w:rsidP="007360F7">
      <w:pPr>
        <w:pStyle w:val="BulletedList-Level1"/>
        <w:ind w:left="425" w:hanging="283"/>
      </w:pPr>
      <w:r w:rsidRPr="00A5267C">
        <w:t xml:space="preserve">updates to the impacts to reflect </w:t>
      </w:r>
      <w:r>
        <w:t xml:space="preserve">minor </w:t>
      </w:r>
      <w:r w:rsidRPr="00A5267C">
        <w:t xml:space="preserve">modifications to the </w:t>
      </w:r>
      <w:r>
        <w:t xml:space="preserve">policy </w:t>
      </w:r>
      <w:r w:rsidRPr="00A5267C">
        <w:t xml:space="preserve">proposal made by </w:t>
      </w:r>
      <w:r w:rsidR="0019703B">
        <w:t xml:space="preserve">the </w:t>
      </w:r>
      <w:r w:rsidRPr="00A5267C">
        <w:t>decision</w:t>
      </w:r>
      <w:r w:rsidRPr="00A5267C">
        <w:rPr>
          <w:rFonts w:ascii="Cambria Math" w:hAnsi="Cambria Math" w:cs="Cambria Math"/>
        </w:rPr>
        <w:t>‑</w:t>
      </w:r>
      <w:r w:rsidRPr="00A5267C">
        <w:t>maker(s).</w:t>
      </w:r>
    </w:p>
    <w:p w14:paraId="48822D15" w14:textId="017B0AC3" w:rsidR="007360F7" w:rsidRDefault="0019703B" w:rsidP="007360F7">
      <w:r>
        <w:rPr>
          <w:b/>
          <w:bCs/>
        </w:rPr>
        <w:t>After</w:t>
      </w:r>
      <w:r w:rsidRPr="00CB352D">
        <w:rPr>
          <w:b/>
          <w:bCs/>
        </w:rPr>
        <w:t xml:space="preserve"> publication</w:t>
      </w:r>
      <w:r>
        <w:rPr>
          <w:b/>
          <w:bCs/>
        </w:rPr>
        <w:t>,</w:t>
      </w:r>
      <w:r w:rsidRPr="00A5267C">
        <w:t xml:space="preserve"> </w:t>
      </w:r>
      <w:r>
        <w:t>m</w:t>
      </w:r>
      <w:r w:rsidRPr="00A5267C">
        <w:t>inor typographical</w:t>
      </w:r>
      <w:r>
        <w:t>,</w:t>
      </w:r>
      <w:r w:rsidRPr="00A5267C">
        <w:t xml:space="preserve"> formatting </w:t>
      </w:r>
      <w:r>
        <w:t xml:space="preserve">or factual </w:t>
      </w:r>
      <w:r w:rsidRPr="00A5267C">
        <w:t>errors may be corrected where they do not alter the substance of the IA. This includes, for example, formatting issues, broken links, meeting accessibility requirements, or other minor inaccuracies. Any such corrections should be limited to ensuring accuracy, accessibility and usability, and should not involve changes to the content, conclusions or balance of the analysis that informed the final decision.</w:t>
      </w:r>
    </w:p>
    <w:p w14:paraId="45084AFB" w14:textId="77777777" w:rsidR="007360F7" w:rsidRPr="00A5267C" w:rsidRDefault="007360F7" w:rsidP="007360F7">
      <w:r>
        <w:t xml:space="preserve">Where </w:t>
      </w:r>
      <w:r w:rsidRPr="00A5267C">
        <w:t xml:space="preserve">errors </w:t>
      </w:r>
      <w:r>
        <w:t xml:space="preserve">are corrected after </w:t>
      </w:r>
      <w:r w:rsidRPr="00A5267C">
        <w:t>publication</w:t>
      </w:r>
      <w:r>
        <w:t xml:space="preserve">, this will be noted on the OIA website. </w:t>
      </w:r>
    </w:p>
    <w:p w14:paraId="6A315C8B" w14:textId="77777777" w:rsidR="007360F7" w:rsidRPr="00A5267C" w:rsidRDefault="007360F7" w:rsidP="007360F7">
      <w:pPr>
        <w:pStyle w:val="Heading3"/>
        <w:rPr>
          <w:kern w:val="2"/>
          <w:szCs w:val="36"/>
          <w:lang w:eastAsia="ja-JP"/>
          <w14:ligatures w14:val="standardContextual"/>
        </w:rPr>
      </w:pPr>
      <w:bookmarkStart w:id="58" w:name="_Toc226640804"/>
      <w:bookmarkEnd w:id="58"/>
      <w:r w:rsidRPr="00A5267C">
        <w:t>Addenda</w:t>
      </w:r>
    </w:p>
    <w:p w14:paraId="02B826C7" w14:textId="3133969C" w:rsidR="007360F7" w:rsidRPr="0084152F" w:rsidRDefault="007360F7" w:rsidP="007360F7">
      <w:pPr>
        <w:pStyle w:val="BOXText"/>
        <w:rPr>
          <w:kern w:val="2"/>
          <w:lang w:eastAsia="ja-JP"/>
          <w14:ligatures w14:val="standardContextual"/>
        </w:rPr>
      </w:pPr>
      <w:r>
        <w:t>A</w:t>
      </w:r>
      <w:r w:rsidRPr="0084152F">
        <w:t xml:space="preserve">gencies may decide that a separate addendum needs to be published in addition to the IA </w:t>
      </w:r>
      <w:r>
        <w:br/>
      </w:r>
      <w:r w:rsidRPr="0084152F">
        <w:t>to provide additional information or analysis.</w:t>
      </w:r>
    </w:p>
    <w:p w14:paraId="6DB45172" w14:textId="77E8BC6E" w:rsidR="007360F7" w:rsidRDefault="007360F7" w:rsidP="007360F7">
      <w:pPr>
        <w:rPr>
          <w:rFonts w:eastAsia="Times New Roman"/>
        </w:rPr>
      </w:pPr>
      <w:r w:rsidRPr="004B22C3">
        <w:rPr>
          <w:rFonts w:eastAsia="Times New Roman"/>
        </w:rPr>
        <w:t>Material covered in addenda must be substantively similar to the content of the original</w:t>
      </w:r>
      <w:r>
        <w:rPr>
          <w:rFonts w:eastAsia="Times New Roman"/>
        </w:rPr>
        <w:t xml:space="preserve"> IA</w:t>
      </w:r>
      <w:r w:rsidRPr="004B22C3">
        <w:rPr>
          <w:rFonts w:eastAsia="Times New Roman"/>
        </w:rPr>
        <w:t xml:space="preserve">. </w:t>
      </w:r>
      <w:r>
        <w:rPr>
          <w:rFonts w:eastAsia="Times New Roman"/>
        </w:rPr>
        <w:br/>
        <w:t>An addendum</w:t>
      </w:r>
      <w:r w:rsidRPr="00A5267C">
        <w:rPr>
          <w:rFonts w:eastAsia="Times New Roman"/>
        </w:rPr>
        <w:t xml:space="preserve"> may </w:t>
      </w:r>
      <w:r>
        <w:rPr>
          <w:rFonts w:eastAsia="Times New Roman"/>
        </w:rPr>
        <w:t>be appropriate, for example,</w:t>
      </w:r>
      <w:r w:rsidRPr="00A5267C">
        <w:rPr>
          <w:rFonts w:eastAsia="Times New Roman"/>
        </w:rPr>
        <w:t xml:space="preserve"> where reliable estimates </w:t>
      </w:r>
      <w:r>
        <w:rPr>
          <w:rFonts w:eastAsia="Times New Roman"/>
        </w:rPr>
        <w:t xml:space="preserve">of the impacts </w:t>
      </w:r>
      <w:r w:rsidRPr="00A5267C">
        <w:rPr>
          <w:rFonts w:eastAsia="Times New Roman"/>
        </w:rPr>
        <w:t xml:space="preserve">could not </w:t>
      </w:r>
      <w:r>
        <w:rPr>
          <w:rFonts w:eastAsia="Times New Roman"/>
        </w:rPr>
        <w:br/>
      </w:r>
      <w:r w:rsidRPr="00A5267C">
        <w:rPr>
          <w:rFonts w:eastAsia="Times New Roman"/>
        </w:rPr>
        <w:t xml:space="preserve">be developed at the time of decision (for example, where a policy is implemented in stages and early implementation is required before certain impacts can be assessed). </w:t>
      </w:r>
      <w:r>
        <w:rPr>
          <w:rFonts w:eastAsia="Times New Roman"/>
        </w:rPr>
        <w:t>W</w:t>
      </w:r>
      <w:r w:rsidRPr="00B83749">
        <w:rPr>
          <w:rFonts w:eastAsia="Times New Roman"/>
        </w:rPr>
        <w:t xml:space="preserve">here the addendum would materially change the proposal, a new </w:t>
      </w:r>
      <w:r>
        <w:rPr>
          <w:rFonts w:eastAsia="Times New Roman"/>
        </w:rPr>
        <w:t>IA</w:t>
      </w:r>
      <w:r w:rsidRPr="00B83749">
        <w:rPr>
          <w:rFonts w:eastAsia="Times New Roman"/>
        </w:rPr>
        <w:t xml:space="preserve"> must be prepared.</w:t>
      </w:r>
    </w:p>
    <w:p w14:paraId="39A56240" w14:textId="77777777" w:rsidR="007360F7" w:rsidRPr="00A5267C" w:rsidRDefault="007360F7" w:rsidP="007360F7">
      <w:r w:rsidRPr="00A5267C">
        <w:t>Where an addendum is published, it should clearly supplement and provide additional context to, rather than revise, the original IA. The original published Dashboard IA or Detailed IA must be retained unedited</w:t>
      </w:r>
      <w:r>
        <w:t xml:space="preserve"> on the OIA website</w:t>
      </w:r>
      <w:r w:rsidRPr="00A5267C">
        <w:t>.</w:t>
      </w:r>
    </w:p>
    <w:p w14:paraId="18B707F2" w14:textId="77777777" w:rsidR="007360F7" w:rsidRDefault="007360F7" w:rsidP="007360F7">
      <w:pPr>
        <w:rPr>
          <w:rFonts w:eastAsia="Times New Roman"/>
        </w:rPr>
      </w:pPr>
      <w:r w:rsidRPr="00A5267C">
        <w:rPr>
          <w:rFonts w:eastAsia="Times New Roman"/>
        </w:rPr>
        <w:t>Agencies are responsible for ensuring that any addendum is within the limited scope of providing additional information or analysis.</w:t>
      </w:r>
      <w:r w:rsidRPr="00F128C5">
        <w:rPr>
          <w:rFonts w:eastAsia="Times New Roman"/>
        </w:rPr>
        <w:t xml:space="preserve"> </w:t>
      </w:r>
    </w:p>
    <w:p w14:paraId="40B88876" w14:textId="77777777" w:rsidR="007360F7" w:rsidRPr="00A5267C" w:rsidRDefault="007360F7" w:rsidP="007360F7">
      <w:pPr>
        <w:rPr>
          <w:rFonts w:eastAsia="Times New Roman"/>
          <w:kern w:val="2"/>
          <w:lang w:eastAsia="ja-JP"/>
          <w14:ligatures w14:val="standardContextual"/>
        </w:rPr>
      </w:pPr>
      <w:r w:rsidRPr="00A5267C">
        <w:rPr>
          <w:rFonts w:eastAsia="Times New Roman"/>
        </w:rPr>
        <w:t>The OIA can support agencies to consider whether an addendum is needed and,</w:t>
      </w:r>
      <w:r>
        <w:rPr>
          <w:rFonts w:eastAsia="Times New Roman"/>
        </w:rPr>
        <w:t xml:space="preserve"> </w:t>
      </w:r>
      <w:r w:rsidRPr="00A5267C">
        <w:rPr>
          <w:rFonts w:eastAsia="Times New Roman"/>
        </w:rPr>
        <w:t xml:space="preserve">if so, what information could be included. The OIA </w:t>
      </w:r>
      <w:r>
        <w:rPr>
          <w:rFonts w:eastAsia="Times New Roman"/>
        </w:rPr>
        <w:t xml:space="preserve">will </w:t>
      </w:r>
      <w:r w:rsidRPr="00A5267C">
        <w:rPr>
          <w:rFonts w:eastAsia="Times New Roman"/>
        </w:rPr>
        <w:t>also facilitate publication on the OIA website.</w:t>
      </w:r>
      <w:r>
        <w:rPr>
          <w:rFonts w:eastAsia="Times New Roman"/>
        </w:rPr>
        <w:t xml:space="preserve"> </w:t>
      </w:r>
    </w:p>
    <w:p w14:paraId="0257DD87" w14:textId="77777777" w:rsidR="007360F7" w:rsidRPr="00A5267C" w:rsidRDefault="007360F7" w:rsidP="007360F7">
      <w:pPr>
        <w:pStyle w:val="Heading2"/>
      </w:pPr>
      <w:bookmarkStart w:id="59" w:name="_Toc231900571"/>
      <w:bookmarkStart w:id="60" w:name="_Toc232522202"/>
      <w:r>
        <w:t>Agency r</w:t>
      </w:r>
      <w:r w:rsidRPr="00A5267C">
        <w:t>eporting</w:t>
      </w:r>
      <w:r>
        <w:t xml:space="preserve"> requirements</w:t>
      </w:r>
      <w:bookmarkEnd w:id="59"/>
      <w:bookmarkEnd w:id="60"/>
    </w:p>
    <w:p w14:paraId="7FDA4288" w14:textId="77777777" w:rsidR="007360F7" w:rsidRDefault="007360F7" w:rsidP="007360F7">
      <w:pPr>
        <w:pStyle w:val="BOXText"/>
      </w:pPr>
      <w:r w:rsidRPr="00A5267C">
        <w:t>Agencies should retain a copy of the IA</w:t>
      </w:r>
      <w:r>
        <w:t xml:space="preserve"> and Statement of Sufficiency</w:t>
      </w:r>
      <w:r w:rsidRPr="00A5267C">
        <w:t xml:space="preserve"> and provide it to the OIA for publication following the policy announcement. </w:t>
      </w:r>
    </w:p>
    <w:p w14:paraId="733747FA" w14:textId="77777777" w:rsidR="007360F7" w:rsidRPr="00A5267C" w:rsidRDefault="007360F7" w:rsidP="007360F7">
      <w:pPr>
        <w:pStyle w:val="BOXText"/>
      </w:pPr>
      <w:r>
        <w:rPr>
          <w:lang w:val="en-US"/>
        </w:rPr>
        <w:t>In addition to</w:t>
      </w:r>
      <w:r w:rsidRPr="0084152F">
        <w:rPr>
          <w:lang w:val="en-US"/>
        </w:rPr>
        <w:t xml:space="preserve"> notif</w:t>
      </w:r>
      <w:r>
        <w:rPr>
          <w:lang w:val="en-US"/>
        </w:rPr>
        <w:t>ying</w:t>
      </w:r>
      <w:r w:rsidRPr="0084152F">
        <w:rPr>
          <w:lang w:val="en-US"/>
        </w:rPr>
        <w:t xml:space="preserve"> the OIA of relevant policy announcements</w:t>
      </w:r>
      <w:r>
        <w:rPr>
          <w:lang w:val="en-US"/>
        </w:rPr>
        <w:t>, o</w:t>
      </w:r>
      <w:r w:rsidRPr="0084152F">
        <w:rPr>
          <w:lang w:val="en-US"/>
        </w:rPr>
        <w:t>n a quarterly basis, agencies are also required to review and report to the OIA on the status of ongoing IAs and any</w:t>
      </w:r>
      <w:r>
        <w:rPr>
          <w:lang w:val="en-US"/>
        </w:rPr>
        <w:t xml:space="preserve"> </w:t>
      </w:r>
      <w:r w:rsidRPr="0084152F">
        <w:rPr>
          <w:lang w:val="en-US"/>
        </w:rPr>
        <w:t>outstanding IAs to be published</w:t>
      </w:r>
      <w:r w:rsidRPr="0084152F">
        <w:t>.</w:t>
      </w:r>
      <w:r>
        <w:t xml:space="preserve"> Agencies also need to notify the OIA when remaking </w:t>
      </w:r>
      <w:r w:rsidRPr="00A5267C">
        <w:t>sunsetting legislative instruments</w:t>
      </w:r>
      <w:r>
        <w:t xml:space="preserve"> that are captured by the IA framework.</w:t>
      </w:r>
    </w:p>
    <w:p w14:paraId="2AD13A3B" w14:textId="77777777" w:rsidR="007360F7" w:rsidRPr="00A5267C" w:rsidRDefault="007360F7" w:rsidP="007360F7">
      <w:r w:rsidRPr="00A5267C">
        <w:t xml:space="preserve">In addition, agencies should as good practice: </w:t>
      </w:r>
    </w:p>
    <w:p w14:paraId="4024CDCB" w14:textId="77777777" w:rsidR="0019703B" w:rsidRPr="00A5267C" w:rsidRDefault="0019703B" w:rsidP="0019703B">
      <w:pPr>
        <w:pStyle w:val="BulletedList-Level1"/>
        <w:ind w:left="425" w:hanging="283"/>
        <w:rPr>
          <w:lang w:val="en-US"/>
        </w:rPr>
      </w:pPr>
      <w:bookmarkStart w:id="61" w:name="_Toc226640805"/>
      <w:r w:rsidRPr="00A5267C">
        <w:t xml:space="preserve">retain a copy of the final estimation of the regulatory burden workbook and share the workbook with the OIA </w:t>
      </w:r>
    </w:p>
    <w:p w14:paraId="5EF7C3AE" w14:textId="11A513AF" w:rsidR="0019703B" w:rsidRPr="00A5267C" w:rsidRDefault="0019703B" w:rsidP="0019703B">
      <w:pPr>
        <w:pStyle w:val="BulletedList-Level1"/>
        <w:ind w:left="425" w:hanging="283"/>
      </w:pPr>
      <w:r w:rsidRPr="00A5267C">
        <w:t xml:space="preserve">retain any supporting material provided to decision-makers including tools or workbooks used </w:t>
      </w:r>
      <w:r>
        <w:br/>
      </w:r>
      <w:r w:rsidRPr="00A5267C">
        <w:t xml:space="preserve">to estimate costs and benefits, analysis, stakeholder engagement and other evidence. </w:t>
      </w:r>
    </w:p>
    <w:p w14:paraId="621AE05F" w14:textId="77777777" w:rsidR="0019703B" w:rsidRPr="00A5267C" w:rsidRDefault="0019703B" w:rsidP="0019703B">
      <w:r w:rsidRPr="00A5267C">
        <w:rPr>
          <w:noProof/>
        </w:rPr>
        <w:t xml:space="preserve">The OIA will </w:t>
      </w:r>
      <w:r>
        <w:rPr>
          <w:noProof/>
        </w:rPr>
        <w:t xml:space="preserve">reach out to </w:t>
      </w:r>
      <w:r w:rsidRPr="00A5267C">
        <w:rPr>
          <w:noProof/>
        </w:rPr>
        <w:t xml:space="preserve">agencies every quarter </w:t>
      </w:r>
      <w:r>
        <w:rPr>
          <w:noProof/>
        </w:rPr>
        <w:t xml:space="preserve">to confirm </w:t>
      </w:r>
      <w:r w:rsidRPr="00A5267C">
        <w:rPr>
          <w:noProof/>
        </w:rPr>
        <w:t xml:space="preserve">whether any announcements were made </w:t>
      </w:r>
      <w:r>
        <w:rPr>
          <w:noProof/>
        </w:rPr>
        <w:t>that</w:t>
      </w:r>
      <w:r w:rsidRPr="00A5267C">
        <w:rPr>
          <w:noProof/>
        </w:rPr>
        <w:t xml:space="preserve"> require</w:t>
      </w:r>
      <w:r>
        <w:rPr>
          <w:noProof/>
        </w:rPr>
        <w:t xml:space="preserve"> an IA</w:t>
      </w:r>
      <w:r w:rsidRPr="00A5267C">
        <w:rPr>
          <w:noProof/>
        </w:rPr>
        <w:t xml:space="preserve"> to be published and to access copies of the regulatory burden calculations (if not already provided).</w:t>
      </w:r>
    </w:p>
    <w:p w14:paraId="41A5AD79" w14:textId="77777777" w:rsidR="006732CB" w:rsidRPr="00A5267C" w:rsidRDefault="006732CB" w:rsidP="00771650">
      <w:pPr>
        <w:pStyle w:val="Heading2"/>
      </w:pPr>
      <w:bookmarkStart w:id="62" w:name="_Toc232522203"/>
      <w:r w:rsidRPr="00A5267C">
        <w:t>Web accessibility and publication standards</w:t>
      </w:r>
      <w:bookmarkEnd w:id="61"/>
      <w:bookmarkEnd w:id="62"/>
    </w:p>
    <w:p w14:paraId="51A6EEF8" w14:textId="77777777" w:rsidR="007360F7" w:rsidRDefault="007360F7" w:rsidP="007360F7">
      <w:pPr>
        <w:pStyle w:val="BOXText"/>
      </w:pPr>
      <w:bookmarkStart w:id="63" w:name="_Toc226640806"/>
      <w:r w:rsidRPr="00A5267C">
        <w:t>IAs and Statements of Sufficiency provided to the OIA for publication must</w:t>
      </w:r>
      <w:r>
        <w:t>:</w:t>
      </w:r>
    </w:p>
    <w:p w14:paraId="0C2A7092" w14:textId="7A9AADE0" w:rsidR="007360F7" w:rsidRDefault="007360F7" w:rsidP="007360F7">
      <w:pPr>
        <w:pStyle w:val="BOXBulletedList"/>
      </w:pPr>
      <w:r w:rsidRPr="00A5267C">
        <w:t xml:space="preserve">conform to the </w:t>
      </w:r>
      <w:r w:rsidRPr="002F24B1">
        <w:t xml:space="preserve">latest version of the </w:t>
      </w:r>
      <w:hyperlink r:id="rId34" w:history="1">
        <w:r w:rsidRPr="002F24B1">
          <w:rPr>
            <w:rStyle w:val="Hyperlink"/>
          </w:rPr>
          <w:t>Web Content Accessibility Guidelines</w:t>
        </w:r>
      </w:hyperlink>
      <w:r w:rsidRPr="00A5267C">
        <w:t xml:space="preserve"> (WCAG), </w:t>
      </w:r>
      <w:r>
        <w:br/>
      </w:r>
      <w:r w:rsidRPr="00A5267C">
        <w:t>as endorsed for use across Australian Government websites</w:t>
      </w:r>
    </w:p>
    <w:p w14:paraId="532D47A9" w14:textId="77777777" w:rsidR="007360F7" w:rsidRDefault="007360F7" w:rsidP="007360F7">
      <w:pPr>
        <w:pStyle w:val="BOXBulletedList"/>
      </w:pPr>
      <w:r w:rsidRPr="002F24B1">
        <w:t xml:space="preserve">comply with the </w:t>
      </w:r>
      <w:hyperlink r:id="rId35" w:history="1">
        <w:r w:rsidRPr="002F24B1">
          <w:rPr>
            <w:rStyle w:val="Hyperlink"/>
          </w:rPr>
          <w:t>Australian Government Style Manual</w:t>
        </w:r>
      </w:hyperlink>
      <w:r w:rsidRPr="009F32B9">
        <w:t xml:space="preserve"> </w:t>
      </w:r>
    </w:p>
    <w:p w14:paraId="0B230832" w14:textId="5F95AE53" w:rsidR="007360F7" w:rsidRPr="00A5267C" w:rsidRDefault="007360F7" w:rsidP="007360F7">
      <w:pPr>
        <w:pStyle w:val="BOXBulletedList"/>
      </w:pPr>
      <w:r w:rsidRPr="00A5267C">
        <w:t>meet the Australian Government’s web accessibility requirements</w:t>
      </w:r>
      <w:r>
        <w:t xml:space="preserve">, </w:t>
      </w:r>
      <w:r w:rsidRPr="002F24B1">
        <w:t xml:space="preserve">as outlined under </w:t>
      </w:r>
      <w:r>
        <w:br/>
      </w:r>
      <w:r w:rsidRPr="002F24B1">
        <w:t xml:space="preserve">the </w:t>
      </w:r>
      <w:r>
        <w:t xml:space="preserve">Australian Government’s </w:t>
      </w:r>
      <w:hyperlink r:id="rId36" w:history="1">
        <w:r w:rsidRPr="002F24B1">
          <w:rPr>
            <w:rStyle w:val="Hyperlink"/>
          </w:rPr>
          <w:t>Digital Service Standard</w:t>
        </w:r>
      </w:hyperlink>
      <w:r w:rsidRPr="002F24B1">
        <w:t>.</w:t>
      </w:r>
    </w:p>
    <w:p w14:paraId="59FE2BEC" w14:textId="775DA9B2" w:rsidR="007360F7" w:rsidRDefault="007360F7" w:rsidP="007360F7">
      <w:r w:rsidRPr="00A5267C">
        <w:t xml:space="preserve">Agencies are responsible for ensuring that IA documents are accessibility compliant before they </w:t>
      </w:r>
      <w:r>
        <w:br/>
      </w:r>
      <w:r w:rsidRPr="00A5267C">
        <w:t xml:space="preserve">are provided to the OIA. This includes ensuring that documents are suitable for online publication </w:t>
      </w:r>
      <w:r>
        <w:br/>
      </w:r>
      <w:r w:rsidRPr="00A5267C">
        <w:t>and can be accessed by a broad range of users, including those using assistive technologies.</w:t>
      </w:r>
      <w:r>
        <w:t xml:space="preserve"> </w:t>
      </w:r>
    </w:p>
    <w:p w14:paraId="286D0ABC" w14:textId="77777777" w:rsidR="0019703B" w:rsidRPr="00A5267C" w:rsidRDefault="0019703B" w:rsidP="0019703B">
      <w:r>
        <w:t>For IAs, any PDF documents must be published in at least one alternative format, such as rich-text format. Agencies also need to ensure all charts and tables meet accessibility requirements.</w:t>
      </w:r>
    </w:p>
    <w:p w14:paraId="07BDAFF7" w14:textId="77777777" w:rsidR="007360F7" w:rsidRDefault="007360F7" w:rsidP="007360F7">
      <w:r w:rsidRPr="00A5267C">
        <w:t>Agencies should also ensure that documents provided for publication are final, complete and compliant with accessibility requirements, including that confidential or sensitive material has been appropriately removed</w:t>
      </w:r>
      <w:r w:rsidRPr="00A5267C">
        <w:rPr>
          <w:rFonts w:eastAsia="Times New Roman"/>
        </w:rPr>
        <w:t>.</w:t>
      </w:r>
      <w:r w:rsidRPr="00CF130F">
        <w:t xml:space="preserve"> </w:t>
      </w:r>
    </w:p>
    <w:p w14:paraId="5F1F9085" w14:textId="17D090CF" w:rsidR="00890EFB" w:rsidRPr="002F24B1" w:rsidRDefault="007360F7" w:rsidP="007360F7">
      <w:r>
        <w:t>T</w:t>
      </w:r>
      <w:r w:rsidRPr="004E4E46">
        <w:t xml:space="preserve">he OIA will </w:t>
      </w:r>
      <w:r>
        <w:t xml:space="preserve">include a </w:t>
      </w:r>
      <w:r w:rsidRPr="004E4E46">
        <w:t xml:space="preserve">note on its website </w:t>
      </w:r>
      <w:r>
        <w:t>if</w:t>
      </w:r>
      <w:r w:rsidRPr="004E4E46">
        <w:t xml:space="preserve"> the agency has not provided web accessible documents, </w:t>
      </w:r>
      <w:r>
        <w:t>until accessible versions are provided.</w:t>
      </w:r>
      <w:r w:rsidR="00890EFB" w:rsidRPr="00A5267C">
        <w:rPr>
          <w:rFonts w:eastAsia="Times New Roman"/>
        </w:rPr>
        <w:br w:type="page"/>
      </w:r>
    </w:p>
    <w:p w14:paraId="049078F6" w14:textId="60C1FD65" w:rsidR="006732CB" w:rsidRPr="00A5267C" w:rsidRDefault="006732CB" w:rsidP="006732CB">
      <w:pPr>
        <w:pStyle w:val="Heading1"/>
        <w:rPr>
          <w:rFonts w:eastAsia="Times New Roman"/>
          <w:kern w:val="36"/>
        </w:rPr>
      </w:pPr>
      <w:bookmarkStart w:id="64" w:name="_Toc232522204"/>
      <w:r w:rsidRPr="00A5267C">
        <w:rPr>
          <w:rFonts w:eastAsia="Times New Roman"/>
        </w:rPr>
        <w:t>Special cases</w:t>
      </w:r>
      <w:bookmarkEnd w:id="63"/>
      <w:r w:rsidRPr="00A5267C">
        <w:rPr>
          <w:rFonts w:eastAsia="Times New Roman"/>
        </w:rPr>
        <w:t xml:space="preserve"> </w:t>
      </w:r>
      <w:r w:rsidR="0039487B" w:rsidRPr="00A5267C">
        <w:rPr>
          <w:rFonts w:eastAsia="Times New Roman"/>
        </w:rPr>
        <w:t>– additional guidance</w:t>
      </w:r>
      <w:bookmarkEnd w:id="64"/>
    </w:p>
    <w:p w14:paraId="588F06AA" w14:textId="77777777" w:rsidR="0019703B" w:rsidRPr="00A5267C" w:rsidRDefault="00414C12" w:rsidP="0019703B">
      <w:r w:rsidRPr="00A5267C">
        <w:br/>
      </w:r>
      <w:r w:rsidR="0019703B" w:rsidRPr="00A5267C">
        <w:t xml:space="preserve">The following special cases require </w:t>
      </w:r>
      <w:r w:rsidR="0019703B">
        <w:t xml:space="preserve">specific requirements </w:t>
      </w:r>
      <w:r w:rsidR="0019703B" w:rsidRPr="00A5267C">
        <w:t>which agencies need to be aware of:</w:t>
      </w:r>
    </w:p>
    <w:p w14:paraId="01FF8C8A" w14:textId="77777777" w:rsidR="0019703B" w:rsidRPr="00A5267C" w:rsidRDefault="0019703B" w:rsidP="0019703B">
      <w:pPr>
        <w:pStyle w:val="BulletedList-Level1"/>
        <w:ind w:left="425" w:hanging="283"/>
      </w:pPr>
      <w:r>
        <w:t>s</w:t>
      </w:r>
      <w:r w:rsidRPr="00A5267C">
        <w:t>unsetting legislative instruments</w:t>
      </w:r>
    </w:p>
    <w:p w14:paraId="43BF495F" w14:textId="77777777" w:rsidR="0019703B" w:rsidRPr="00A5267C" w:rsidRDefault="0019703B" w:rsidP="0019703B">
      <w:pPr>
        <w:pStyle w:val="BulletedList-Level1"/>
        <w:ind w:left="425" w:hanging="283"/>
      </w:pPr>
      <w:r>
        <w:t>i</w:t>
      </w:r>
      <w:r w:rsidRPr="00100DAE">
        <w:t>nternational treaties and agreements</w:t>
      </w:r>
    </w:p>
    <w:p w14:paraId="1BE92D23" w14:textId="4E767FB4" w:rsidR="00A20197" w:rsidRPr="00A5267C" w:rsidRDefault="0019703B" w:rsidP="0019703B">
      <w:pPr>
        <w:pStyle w:val="BulletedList-Level1"/>
        <w:ind w:left="425" w:hanging="283"/>
      </w:pPr>
      <w:r>
        <w:t>e</w:t>
      </w:r>
      <w:r w:rsidRPr="00A5267C">
        <w:t>valuation</w:t>
      </w:r>
      <w:r>
        <w:t>.</w:t>
      </w:r>
    </w:p>
    <w:p w14:paraId="2E1A60B9" w14:textId="66497D94" w:rsidR="006732CB" w:rsidRPr="00A5267C" w:rsidRDefault="006732CB" w:rsidP="00771650">
      <w:pPr>
        <w:pStyle w:val="Heading2"/>
      </w:pPr>
      <w:bookmarkStart w:id="65" w:name="_Toc226640812"/>
      <w:bookmarkStart w:id="66" w:name="_Toc232522205"/>
      <w:r w:rsidRPr="00A5267C">
        <w:t xml:space="preserve">Sunsetting </w:t>
      </w:r>
      <w:r w:rsidR="004A7965" w:rsidRPr="00A5267C">
        <w:t>legislative</w:t>
      </w:r>
      <w:bookmarkEnd w:id="65"/>
      <w:r w:rsidR="003144FA" w:rsidRPr="00A5267C">
        <w:t xml:space="preserve"> instruments</w:t>
      </w:r>
      <w:bookmarkEnd w:id="66"/>
    </w:p>
    <w:p w14:paraId="473696D1" w14:textId="3BC18CF5" w:rsidR="0019703B" w:rsidRDefault="0019703B" w:rsidP="0019703B">
      <w:pPr>
        <w:pStyle w:val="BOXText"/>
      </w:pPr>
      <w:r w:rsidRPr="0084152F">
        <w:t xml:space="preserve">Where </w:t>
      </w:r>
      <w:r>
        <w:t xml:space="preserve">proposing to remake </w:t>
      </w:r>
      <w:r w:rsidRPr="0084152F">
        <w:t>a sunsetting legislative instrument,</w:t>
      </w:r>
      <w:r>
        <w:t xml:space="preserve"> agencies need to assess </w:t>
      </w:r>
      <w:r>
        <w:br/>
        <w:t xml:space="preserve">the instrument against the IA scope and IA </w:t>
      </w:r>
      <w:r w:rsidRPr="0084152F">
        <w:t xml:space="preserve">threshold, </w:t>
      </w:r>
      <w:r>
        <w:t xml:space="preserve">if required, prepare and publish </w:t>
      </w:r>
      <w:r w:rsidRPr="0084152F">
        <w:t xml:space="preserve">a </w:t>
      </w:r>
      <w:r>
        <w:t xml:space="preserve">Dashboard </w:t>
      </w:r>
      <w:r w:rsidRPr="0084152F">
        <w:t>IA.</w:t>
      </w:r>
    </w:p>
    <w:p w14:paraId="4098AECE" w14:textId="77777777" w:rsidR="00F31569" w:rsidRPr="00C83052" w:rsidRDefault="00F31569" w:rsidP="00F31569">
      <w:pPr>
        <w:pStyle w:val="BOXText"/>
      </w:pPr>
      <w:r w:rsidRPr="00A5267C">
        <w:t>Agencies must notify the OIA where sunsetting legislative instruments are being remade and require a Dashboard IA</w:t>
      </w:r>
      <w:r>
        <w:t>,</w:t>
      </w:r>
      <w:r w:rsidRPr="00A5267C">
        <w:t xml:space="preserve"> and when the Dashboard and Statement of Sufficiency can be published.</w:t>
      </w:r>
    </w:p>
    <w:p w14:paraId="63D1B670" w14:textId="77777777" w:rsidR="0019703B" w:rsidRDefault="0019703B" w:rsidP="0019703B">
      <w:r w:rsidRPr="00A5267C">
        <w:t xml:space="preserve">Under the sunsetting provisions in the </w:t>
      </w:r>
      <w:r w:rsidRPr="00A5267C">
        <w:rPr>
          <w:i/>
          <w:iCs/>
        </w:rPr>
        <w:t>Legislation Act 2003</w:t>
      </w:r>
      <w:r w:rsidRPr="00A5267C">
        <w:t xml:space="preserve">, instruments that are not exempted will </w:t>
      </w:r>
      <w:r>
        <w:br/>
      </w:r>
      <w:r w:rsidRPr="00A5267C">
        <w:t xml:space="preserve">be automatically repealed (sunset) after 10 years, unless action is taken to preserve them. </w:t>
      </w:r>
    </w:p>
    <w:p w14:paraId="7F50CB76" w14:textId="77777777" w:rsidR="0019703B" w:rsidRPr="00A5267C" w:rsidRDefault="0019703B" w:rsidP="0019703B">
      <w:r w:rsidRPr="00A5267C">
        <w:t xml:space="preserve">For this reason, the impact of remaking a sunsetting instrument is assessed relative to the status quo of there being no instrument in place (that is, the instrument sunsetting). </w:t>
      </w:r>
    </w:p>
    <w:p w14:paraId="599A79D5" w14:textId="77777777" w:rsidR="0019703B" w:rsidRPr="00A5267C" w:rsidRDefault="0019703B" w:rsidP="0019703B">
      <w:pPr>
        <w:pStyle w:val="BulletedList-Level1"/>
        <w:ind w:left="425" w:hanging="283"/>
        <w:rPr>
          <w:kern w:val="2"/>
          <w:lang w:eastAsia="ja-JP"/>
          <w14:ligatures w14:val="standardContextual"/>
        </w:rPr>
      </w:pPr>
      <w:r w:rsidRPr="00A5267C">
        <w:t>Where sunsetting legislative instruments are allowed to sunset, there is no IA requirement.</w:t>
      </w:r>
    </w:p>
    <w:p w14:paraId="1640C5E9" w14:textId="77777777" w:rsidR="0019703B" w:rsidRPr="00A5267C" w:rsidRDefault="0019703B" w:rsidP="0019703B">
      <w:pPr>
        <w:pStyle w:val="BulletedList-Level1"/>
        <w:ind w:left="425" w:hanging="283"/>
      </w:pPr>
      <w:r w:rsidRPr="00A5267C">
        <w:t xml:space="preserve">Where sunsetting instruments are remade ‘as is’ or with amendments, agencies must assess </w:t>
      </w:r>
      <w:r>
        <w:br/>
      </w:r>
      <w:r w:rsidRPr="00A5267C">
        <w:t xml:space="preserve">the remaking of the instrument against the IA framework relative to no instrument being </w:t>
      </w:r>
      <w:r>
        <w:br/>
      </w:r>
      <w:r w:rsidRPr="00A5267C">
        <w:t>in place (</w:t>
      </w:r>
      <w:r>
        <w:t>that is,</w:t>
      </w:r>
      <w:r w:rsidRPr="00A5267C">
        <w:t xml:space="preserve"> the status quo)</w:t>
      </w:r>
      <w:r>
        <w:t>.</w:t>
      </w:r>
    </w:p>
    <w:p w14:paraId="4DF533D7" w14:textId="77777777" w:rsidR="0019703B" w:rsidRPr="00A5267C" w:rsidRDefault="0019703B" w:rsidP="0019703B">
      <w:pPr>
        <w:pStyle w:val="BulletedList-Level2"/>
        <w:rPr>
          <w:kern w:val="2"/>
          <w:lang w:eastAsia="ja-JP"/>
          <w14:ligatures w14:val="standardContextual"/>
        </w:rPr>
      </w:pPr>
      <w:r>
        <w:t>L</w:t>
      </w:r>
      <w:r w:rsidRPr="00A5267C">
        <w:t xml:space="preserve">ike any other new proposal, remaking instruments do not require an IA if they are </w:t>
      </w:r>
      <w:r>
        <w:br/>
      </w:r>
      <w:r w:rsidRPr="00A5267C">
        <w:t xml:space="preserve">not captured by the IA framework (that is, not in scope and </w:t>
      </w:r>
      <w:r>
        <w:t>do not meet at least one</w:t>
      </w:r>
      <w:r w:rsidRPr="00A5267C">
        <w:t xml:space="preserve"> IA threshold).</w:t>
      </w:r>
    </w:p>
    <w:p w14:paraId="52D2A1C9" w14:textId="77777777" w:rsidR="0019703B" w:rsidRPr="00A5267C" w:rsidRDefault="0019703B" w:rsidP="0019703B">
      <w:pPr>
        <w:pStyle w:val="BulletedList-Level2"/>
        <w:rPr>
          <w:kern w:val="2"/>
          <w:lang w:eastAsia="ja-JP"/>
          <w14:ligatures w14:val="standardContextual"/>
        </w:rPr>
      </w:pPr>
      <w:r>
        <w:t>R</w:t>
      </w:r>
      <w:r w:rsidRPr="00A5267C">
        <w:t xml:space="preserve">emaking instruments, including those with amendments, that are in scope and meet </w:t>
      </w:r>
      <w:r>
        <w:br/>
        <w:t>at least one</w:t>
      </w:r>
      <w:r w:rsidRPr="00A5267C">
        <w:t xml:space="preserve"> IA threshold require a Dashboard IA to inform the decision to remake the instrument, and to be published along with the Statement of Sufficiency.</w:t>
      </w:r>
    </w:p>
    <w:p w14:paraId="75957E53" w14:textId="77777777" w:rsidR="0019703B" w:rsidRPr="00A5267C" w:rsidRDefault="0019703B" w:rsidP="0019703B">
      <w:r w:rsidRPr="00A5267C">
        <w:rPr>
          <w:rFonts w:eastAsia="Times New Roman"/>
        </w:rPr>
        <w:t>The Dashboard IA for remaking of sunsetting legislative instruments should provide</w:t>
      </w:r>
      <w:r w:rsidRPr="00A5267C">
        <w:t>:</w:t>
      </w:r>
    </w:p>
    <w:p w14:paraId="031C1BFC" w14:textId="77777777" w:rsidR="0019703B" w:rsidRPr="00A5267C" w:rsidRDefault="0019703B" w:rsidP="0019703B">
      <w:pPr>
        <w:pStyle w:val="BulletedList-Level1"/>
        <w:ind w:left="425" w:hanging="283"/>
      </w:pPr>
      <w:r w:rsidRPr="00A5267C">
        <w:t>proportionate analysis of the costs and benefits relative to the status quo of the</w:t>
      </w:r>
      <w:r>
        <w:t>re</w:t>
      </w:r>
      <w:r w:rsidRPr="00A5267C">
        <w:t xml:space="preserve"> being no instrument in place</w:t>
      </w:r>
      <w:r>
        <w:t xml:space="preserve"> </w:t>
      </w:r>
      <w:r w:rsidRPr="00A5267C">
        <w:t>(that is, the instrument sunsetting</w:t>
      </w:r>
      <w:r>
        <w:t>)</w:t>
      </w:r>
      <w:r w:rsidRPr="00A5267C">
        <w:t>. This analysis may draw on:</w:t>
      </w:r>
    </w:p>
    <w:p w14:paraId="686A4053" w14:textId="77777777" w:rsidR="0019703B" w:rsidRPr="00A5267C" w:rsidRDefault="0019703B" w:rsidP="0019703B">
      <w:pPr>
        <w:pStyle w:val="BulletedList-Level2"/>
      </w:pPr>
      <w:r w:rsidRPr="00A5267C">
        <w:t>previous analysis in an</w:t>
      </w:r>
      <w:r>
        <w:t>y</w:t>
      </w:r>
      <w:r w:rsidRPr="00A5267C">
        <w:t xml:space="preserve"> IA developed to support the original </w:t>
      </w:r>
      <w:r>
        <w:t>policy decision</w:t>
      </w:r>
    </w:p>
    <w:p w14:paraId="4F32AFAF" w14:textId="77777777" w:rsidR="0019703B" w:rsidRPr="00A5267C" w:rsidRDefault="0019703B" w:rsidP="0019703B">
      <w:pPr>
        <w:pStyle w:val="BulletedList-Level2"/>
      </w:pPr>
      <w:r w:rsidRPr="00A5267C">
        <w:t>engagement with the regulated community and relevant stakeholders</w:t>
      </w:r>
      <w:r>
        <w:t>.</w:t>
      </w:r>
    </w:p>
    <w:p w14:paraId="79C5F9E9" w14:textId="5A46F020" w:rsidR="006732CB" w:rsidRDefault="0019703B" w:rsidP="0019703B">
      <w:pPr>
        <w:pStyle w:val="BulletedList-Level1"/>
        <w:ind w:left="425" w:hanging="283"/>
      </w:pPr>
      <w:r w:rsidRPr="00A5267C">
        <w:t xml:space="preserve">a regulatory burden estimate of the change in regulatory burden relative to the </w:t>
      </w:r>
      <w:r>
        <w:t xml:space="preserve">status quo </w:t>
      </w:r>
      <w:r w:rsidRPr="00A5267C">
        <w:t>of there being no instrument in place (that is, the instrument sunsetting)</w:t>
      </w:r>
      <w:r>
        <w:t xml:space="preserve">. Any change in regulatory burden for remaking a legislative instrument is not included in the </w:t>
      </w:r>
      <w:r w:rsidRPr="00764A68">
        <w:t>Estimated Annual Impact on Regulatory Burden</w:t>
      </w:r>
      <w:r>
        <w:t>.</w:t>
      </w:r>
    </w:p>
    <w:p w14:paraId="718B37A4" w14:textId="77777777" w:rsidR="00F31569" w:rsidRPr="00A5267C" w:rsidRDefault="00F31569" w:rsidP="00F31569">
      <w:pPr>
        <w:pStyle w:val="Heading2"/>
      </w:pPr>
      <w:bookmarkStart w:id="67" w:name="_Toc231900575"/>
      <w:bookmarkStart w:id="68" w:name="_Toc232522206"/>
      <w:r w:rsidRPr="00A5267C">
        <w:t>International treaties and agreements</w:t>
      </w:r>
      <w:bookmarkEnd w:id="67"/>
      <w:bookmarkEnd w:id="68"/>
    </w:p>
    <w:p w14:paraId="16A67E1E" w14:textId="77777777" w:rsidR="0019703B" w:rsidRPr="00A5267C" w:rsidRDefault="0019703B" w:rsidP="0019703B">
      <w:pPr>
        <w:pStyle w:val="BOXText"/>
        <w:rPr>
          <w:kern w:val="2"/>
          <w:lang w:eastAsia="ja-JP"/>
          <w14:ligatures w14:val="standardContextual"/>
        </w:rPr>
      </w:pPr>
      <w:r w:rsidRPr="00A5267C">
        <w:t xml:space="preserve">Where an international treaty or agreement (including free trade agreements, international economic partnership or cooperation agreements, or global standard setting or economic cooperation through organisations such as the International Monetary Fund </w:t>
      </w:r>
      <w:r>
        <w:t>or</w:t>
      </w:r>
      <w:r w:rsidRPr="00A5267C">
        <w:t xml:space="preserve"> International Maritime Organization) is </w:t>
      </w:r>
      <w:r>
        <w:t xml:space="preserve">considering </w:t>
      </w:r>
      <w:r w:rsidRPr="00A5267C">
        <w:t xml:space="preserve">policy </w:t>
      </w:r>
      <w:r>
        <w:t xml:space="preserve">proposals </w:t>
      </w:r>
      <w:r w:rsidRPr="00A5267C">
        <w:t xml:space="preserve">that </w:t>
      </w:r>
      <w:r>
        <w:t>are</w:t>
      </w:r>
      <w:r w:rsidRPr="00A5267C">
        <w:t xml:space="preserve"> in scope of the framework and meets </w:t>
      </w:r>
      <w:r>
        <w:t>at least one</w:t>
      </w:r>
      <w:r w:rsidRPr="00A5267C">
        <w:t xml:space="preserve"> IA threshold, the decision on the negotiation mandate needs to be supported by a draft IA. The IA needs to be revised and finalised to support the decision to agree to the final negotiated treaty or agreement.</w:t>
      </w:r>
    </w:p>
    <w:p w14:paraId="064E8DAC" w14:textId="2DD6667F" w:rsidR="0019703B" w:rsidRPr="00A5267C" w:rsidRDefault="0019703B" w:rsidP="0019703B">
      <w:r w:rsidRPr="00A5267C">
        <w:rPr>
          <w:b/>
          <w:bCs/>
        </w:rPr>
        <w:t>Mandate to negotiate.</w:t>
      </w:r>
      <w:r w:rsidRPr="00A5267C">
        <w:t xml:space="preserve"> A draft IA must accompany a request to approve the formal commencement of international treaty or agreement negotiations. The </w:t>
      </w:r>
      <w:r>
        <w:t>draft</w:t>
      </w:r>
      <w:r w:rsidRPr="00A5267C">
        <w:t xml:space="preserve"> IA should provide initial analysis of the likely impacts of the </w:t>
      </w:r>
      <w:r>
        <w:t xml:space="preserve">relevant policy proposals that require an IA in the </w:t>
      </w:r>
      <w:r w:rsidRPr="00A5267C">
        <w:t xml:space="preserve">prospective agreement and </w:t>
      </w:r>
      <w:r>
        <w:br/>
      </w:r>
      <w:r w:rsidRPr="00A5267C">
        <w:t xml:space="preserve">be proportionate to the stage of policy development. </w:t>
      </w:r>
    </w:p>
    <w:p w14:paraId="2B834C08" w14:textId="77777777" w:rsidR="001C5D9D" w:rsidRDefault="001C5D9D" w:rsidP="00F31569">
      <w:pPr>
        <w:rPr>
          <w:b/>
          <w:bCs/>
        </w:rPr>
      </w:pPr>
      <w:r w:rsidRPr="001C5D9D">
        <w:rPr>
          <w:b/>
          <w:bCs/>
        </w:rPr>
        <w:t xml:space="preserve">Government Agreement (following conclusion of negotiations). </w:t>
      </w:r>
      <w:r w:rsidRPr="001C5D9D">
        <w:rPr>
          <w:rFonts w:cs="Segoe UI Semilight"/>
        </w:rPr>
        <w:t>After the final text of a treaty or agreement is settled by negotiators, the IA should be revised to assess the impacts of the relevant policy proposals in the final text. The finalised IA should be provided to support decision-maker(s) to consider the policy proposals in the proposed treaty or agreement (decision makers will be Ministers and the Federal Executive Council). The final IA must also be included with the treaty text and National Interest Analysis or Explanatory Statement when it’s being considered by Parliament’s Joint Standing Committee on Treaties.[1] The IA also needs to be published on the OIA website.</w:t>
      </w:r>
    </w:p>
    <w:p w14:paraId="4012AD98" w14:textId="0C9DF811" w:rsidR="00F31569" w:rsidRPr="009F143A" w:rsidRDefault="0019703B" w:rsidP="00F31569">
      <w:r w:rsidRPr="00A5267C">
        <w:rPr>
          <w:b/>
          <w:bCs/>
        </w:rPr>
        <w:t>Implementation of the international treaty or agreement</w:t>
      </w:r>
      <w:r w:rsidRPr="00A5267C">
        <w:t>. Where an IA has been prepared for a treaty or agreement, there is no further IA required to inform domestic legislation</w:t>
      </w:r>
      <w:r>
        <w:t xml:space="preserve"> (but the earlier IA should be attached to </w:t>
      </w:r>
      <w:r w:rsidRPr="0084152F">
        <w:t>any</w:t>
      </w:r>
      <w:r>
        <w:t xml:space="preserve"> relevant </w:t>
      </w:r>
      <w:r w:rsidRPr="0084152F">
        <w:t>Explanatory Memorandum or Explanatory Statement</w:t>
      </w:r>
      <w:r>
        <w:t>)</w:t>
      </w:r>
      <w:r w:rsidRPr="00A5267C">
        <w:t xml:space="preserve"> and reforms to</w:t>
      </w:r>
      <w:r w:rsidR="007327F7">
        <w:t xml:space="preserve"> </w:t>
      </w:r>
      <w:r w:rsidRPr="00A5267C">
        <w:t>implement measures in the treaty</w:t>
      </w:r>
      <w:r>
        <w:t xml:space="preserve"> or agreement</w:t>
      </w:r>
      <w:r w:rsidRPr="00A5267C">
        <w:t>. However, an additional IA may be required where</w:t>
      </w:r>
      <w:r w:rsidR="007327F7">
        <w:t xml:space="preserve"> </w:t>
      </w:r>
      <w:r w:rsidRPr="00A5267C">
        <w:t xml:space="preserve">there is </w:t>
      </w:r>
      <w:r>
        <w:t>a choice between different options</w:t>
      </w:r>
      <w:r w:rsidRPr="00A5267C">
        <w:t xml:space="preserve"> in how the </w:t>
      </w:r>
      <w:r>
        <w:t>relevant policies</w:t>
      </w:r>
      <w:r w:rsidRPr="00A5267C">
        <w:t xml:space="preserve"> in the treaty </w:t>
      </w:r>
      <w:r>
        <w:t>or agreement</w:t>
      </w:r>
      <w:r w:rsidR="007327F7">
        <w:t xml:space="preserve"> </w:t>
      </w:r>
      <w:r w:rsidRPr="00A5267C">
        <w:t>are implemented</w:t>
      </w:r>
      <w:r>
        <w:t>.</w:t>
      </w:r>
    </w:p>
    <w:p w14:paraId="250134B9" w14:textId="0C4A2A0A" w:rsidR="006732CB" w:rsidRPr="00A5267C" w:rsidRDefault="006732CB" w:rsidP="00F31569">
      <w:pPr>
        <w:pStyle w:val="Heading1"/>
        <w:pageBreakBefore/>
      </w:pPr>
      <w:bookmarkStart w:id="69" w:name="_Toc232522207"/>
      <w:bookmarkStart w:id="70" w:name="_Toc222493855"/>
      <w:bookmarkStart w:id="71" w:name="_Toc226640813"/>
      <w:r w:rsidRPr="00A5267C">
        <w:t>Evaluation</w:t>
      </w:r>
      <w:bookmarkEnd w:id="69"/>
    </w:p>
    <w:p w14:paraId="394256D7" w14:textId="5C9AAB2F" w:rsidR="00F31569" w:rsidRPr="00A5267C" w:rsidRDefault="00F31569" w:rsidP="00F31569">
      <w:pPr>
        <w:pStyle w:val="BOXText"/>
      </w:pPr>
      <w:r w:rsidRPr="00A5267C">
        <w:t xml:space="preserve">Agencies are expected to plan for evaluation of policies as part of the impact analysis process. </w:t>
      </w:r>
      <w:r>
        <w:br/>
      </w:r>
      <w:r w:rsidRPr="00A5267C">
        <w:t xml:space="preserve">IA </w:t>
      </w:r>
      <w:r w:rsidR="007327F7" w:rsidRPr="00A5267C">
        <w:t>Framework</w:t>
      </w:r>
      <w:r w:rsidRPr="00A5267C">
        <w:t xml:space="preserve"> </w:t>
      </w:r>
      <w:r w:rsidR="0012331E">
        <w:t>q</w:t>
      </w:r>
      <w:r w:rsidRPr="00A5267C">
        <w:t xml:space="preserve">uestion 7 asks “How will the policy be monitored and evaluated?” </w:t>
      </w:r>
    </w:p>
    <w:p w14:paraId="410A48C0" w14:textId="77777777" w:rsidR="00F31569" w:rsidRDefault="00F31569" w:rsidP="00F31569">
      <w:r w:rsidRPr="00741AF6">
        <w:rPr>
          <w:b/>
          <w:bCs/>
        </w:rPr>
        <w:t>For a Dashboard IA</w:t>
      </w:r>
      <w:r w:rsidRPr="00A5267C">
        <w:t xml:space="preserve">, the IA provided to decision-makers (and then published following the policy announcement) should identify if an evaluation is planned, the timing and type of evaluation. </w:t>
      </w:r>
    </w:p>
    <w:p w14:paraId="504FD19D" w14:textId="77777777" w:rsidR="0019703B" w:rsidRPr="00A5267C" w:rsidRDefault="0019703B" w:rsidP="0019703B">
      <w:r w:rsidRPr="00120472">
        <w:rPr>
          <w:b/>
          <w:bCs/>
        </w:rPr>
        <w:t>For a Detailed IA</w:t>
      </w:r>
      <w:r w:rsidRPr="00120472">
        <w:t>, the IA</w:t>
      </w:r>
      <w:r w:rsidRPr="009147C2">
        <w:t xml:space="preserve"> should</w:t>
      </w:r>
      <w:r w:rsidRPr="00A5267C">
        <w:t xml:space="preserve"> </w:t>
      </w:r>
      <w:r>
        <w:t xml:space="preserve">consider if </w:t>
      </w:r>
      <w:r w:rsidRPr="00B43B87">
        <w:t xml:space="preserve">a formal evaluation should be undertaken. Where a formal evaluation will not be undertaken, the IA should include a clear monitoring plan to ensure successful implementation. Where a formal evaluation will be undertaken, </w:t>
      </w:r>
      <w:r w:rsidRPr="00120472">
        <w:t>the IA</w:t>
      </w:r>
      <w:r w:rsidRPr="009147C2">
        <w:t xml:space="preserve"> should</w:t>
      </w:r>
      <w:r w:rsidRPr="00A5267C">
        <w:t xml:space="preserve"> include a </w:t>
      </w:r>
      <w:r>
        <w:t>draft</w:t>
      </w:r>
      <w:r w:rsidRPr="00A5267C">
        <w:t xml:space="preserve"> evaluation plan that is proportionate to the impacts of the proposal, including the measures that will be monitored and indicative timing for evaluation delivery.</w:t>
      </w:r>
    </w:p>
    <w:p w14:paraId="09194662" w14:textId="77777777" w:rsidR="00F31569" w:rsidRPr="00A5267C" w:rsidRDefault="00F31569" w:rsidP="00F31569">
      <w:r w:rsidRPr="00A5267C">
        <w:t xml:space="preserve">Agencies are expected to implement the evaluation plan at the appropriate time including: </w:t>
      </w:r>
    </w:p>
    <w:p w14:paraId="29ADC7DD" w14:textId="77777777" w:rsidR="00F31569" w:rsidRPr="00A5267C" w:rsidRDefault="00F31569" w:rsidP="00F31569">
      <w:pPr>
        <w:pStyle w:val="ListParagraph"/>
        <w:numPr>
          <w:ilvl w:val="0"/>
          <w:numId w:val="26"/>
        </w:numPr>
      </w:pPr>
      <w:r w:rsidRPr="00A5267C">
        <w:t>finalising the monitoring and evaluation plan where required</w:t>
      </w:r>
    </w:p>
    <w:p w14:paraId="0AD92DD9" w14:textId="77777777" w:rsidR="00F31569" w:rsidRPr="00A5267C" w:rsidRDefault="00F31569" w:rsidP="00F31569">
      <w:pPr>
        <w:pStyle w:val="ListParagraph"/>
        <w:numPr>
          <w:ilvl w:val="0"/>
          <w:numId w:val="26"/>
        </w:numPr>
      </w:pPr>
      <w:r w:rsidRPr="00A5267C">
        <w:t>collecting relevant data</w:t>
      </w:r>
    </w:p>
    <w:p w14:paraId="48C09906" w14:textId="77777777" w:rsidR="00F31569" w:rsidRPr="00A5267C" w:rsidRDefault="00F31569" w:rsidP="00F31569">
      <w:pPr>
        <w:pStyle w:val="ListParagraph"/>
        <w:numPr>
          <w:ilvl w:val="0"/>
          <w:numId w:val="26"/>
        </w:numPr>
      </w:pPr>
      <w:r w:rsidRPr="00A5267C">
        <w:t xml:space="preserve">completing the evaluation by the proposed timeframe. </w:t>
      </w:r>
    </w:p>
    <w:p w14:paraId="36483A57" w14:textId="0AD05814" w:rsidR="006732CB" w:rsidRPr="00A5267C" w:rsidRDefault="00F31569" w:rsidP="00FF46A3">
      <w:r w:rsidRPr="00A5267C">
        <w:t xml:space="preserve">Agencies should refer to the Australian Treasury’s Australian Centre for Evaluation (ACE) resources </w:t>
      </w:r>
      <w:r>
        <w:br/>
      </w:r>
      <w:r w:rsidRPr="00A5267C">
        <w:t>for further detail</w:t>
      </w:r>
      <w:r>
        <w:t xml:space="preserve"> </w:t>
      </w:r>
      <w:r w:rsidRPr="00A5267C">
        <w:t>—</w:t>
      </w:r>
      <w:r>
        <w:t xml:space="preserve"> </w:t>
      </w:r>
      <w:r w:rsidRPr="00A5267C">
        <w:t>particularly the Commonwealth Evaluation Policy, templates, and practical tools (including the evaluation plan tool) available at</w:t>
      </w:r>
      <w:r>
        <w:t xml:space="preserve"> </w:t>
      </w:r>
      <w:hyperlink r:id="rId37" w:history="1">
        <w:r w:rsidRPr="00665386">
          <w:rPr>
            <w:rStyle w:val="Hyperlink"/>
          </w:rPr>
          <w:t>the Australia Centre for Evaluation</w:t>
        </w:r>
      </w:hyperlink>
      <w:r>
        <w:t>.</w:t>
      </w:r>
      <w:r w:rsidR="0040596A" w:rsidRPr="00A5267C">
        <w:t xml:space="preserve"> </w:t>
      </w:r>
    </w:p>
    <w:p w14:paraId="47027311" w14:textId="77777777" w:rsidR="006732CB" w:rsidRPr="00A5267C" w:rsidRDefault="006732CB" w:rsidP="006732CB">
      <w:pPr>
        <w:rPr>
          <w:rFonts w:asciiTheme="majorHAnsi" w:eastAsiaTheme="majorEastAsia" w:hAnsiTheme="majorHAnsi" w:cstheme="majorBidi"/>
          <w:color w:val="062040" w:themeColor="accent1" w:themeShade="BF"/>
          <w:sz w:val="40"/>
          <w:szCs w:val="40"/>
        </w:rPr>
      </w:pPr>
      <w:r w:rsidRPr="00A5267C">
        <w:br w:type="page"/>
      </w:r>
    </w:p>
    <w:p w14:paraId="44053974" w14:textId="77777777" w:rsidR="006732CB" w:rsidRPr="00A5267C" w:rsidRDefault="006732CB" w:rsidP="006732CB">
      <w:pPr>
        <w:pStyle w:val="Heading1"/>
      </w:pPr>
      <w:bookmarkStart w:id="72" w:name="_Toc232522208"/>
      <w:r w:rsidRPr="00A5267C">
        <w:t>Glossary</w:t>
      </w:r>
      <w:bookmarkEnd w:id="70"/>
      <w:bookmarkEnd w:id="71"/>
      <w:bookmarkEnd w:id="72"/>
    </w:p>
    <w:p w14:paraId="4748A90D" w14:textId="12F0AC51" w:rsidR="0019703B" w:rsidRPr="00A5267C" w:rsidRDefault="0019703B" w:rsidP="0019703B">
      <w:pPr>
        <w:rPr>
          <w:rFonts w:eastAsia="Times New Roman"/>
          <w:kern w:val="2"/>
          <w:lang w:eastAsia="ja-JP"/>
          <w14:ligatures w14:val="standardContextual"/>
        </w:rPr>
      </w:pPr>
      <w:r w:rsidRPr="00A5267C">
        <w:rPr>
          <w:rFonts w:eastAsia="Times New Roman"/>
          <w:b/>
        </w:rPr>
        <w:t>Addendum</w:t>
      </w:r>
      <w:r w:rsidRPr="00A5267C">
        <w:rPr>
          <w:rFonts w:eastAsia="Times New Roman"/>
        </w:rPr>
        <w:t xml:space="preserve">: Additional analysis published alongside an </w:t>
      </w:r>
      <w:r>
        <w:rPr>
          <w:rFonts w:eastAsia="Times New Roman"/>
        </w:rPr>
        <w:t>Impact Analysis (</w:t>
      </w:r>
      <w:r w:rsidRPr="00A5267C">
        <w:rPr>
          <w:rFonts w:eastAsia="Times New Roman"/>
        </w:rPr>
        <w:t>IA</w:t>
      </w:r>
      <w:r>
        <w:rPr>
          <w:rFonts w:eastAsia="Times New Roman"/>
        </w:rPr>
        <w:t>)</w:t>
      </w:r>
      <w:r w:rsidRPr="00A5267C">
        <w:rPr>
          <w:rFonts w:eastAsia="Times New Roman"/>
        </w:rPr>
        <w:t xml:space="preserve"> that provides relevant information not available when the IA was finalised ahead of the policy decision. Addenda can be completed at the discretion of the agency.</w:t>
      </w:r>
    </w:p>
    <w:p w14:paraId="498A4531" w14:textId="77777777" w:rsidR="0019703B" w:rsidRPr="00A5267C" w:rsidRDefault="0019703B" w:rsidP="0019703B">
      <w:r w:rsidRPr="00A5267C">
        <w:rPr>
          <w:b/>
          <w:bCs/>
        </w:rPr>
        <w:t>Agency</w:t>
      </w:r>
      <w:r w:rsidRPr="00A5267C">
        <w:t xml:space="preserve">: A Commonwealth department, entity or body that is responsible for developing, advising </w:t>
      </w:r>
      <w:r>
        <w:br/>
      </w:r>
      <w:r w:rsidRPr="00A5267C">
        <w:t xml:space="preserve">on, or implementing a policy proposal, and for meeting the requirements of the framework in relation </w:t>
      </w:r>
      <w:r>
        <w:br/>
      </w:r>
      <w:r w:rsidRPr="00A5267C">
        <w:t xml:space="preserve">to policy proposals. </w:t>
      </w:r>
    </w:p>
    <w:p w14:paraId="588D511A" w14:textId="77777777" w:rsidR="0019703B" w:rsidRPr="00A5267C" w:rsidRDefault="0019703B" w:rsidP="0019703B">
      <w:r w:rsidRPr="00A5267C">
        <w:rPr>
          <w:b/>
          <w:bCs/>
        </w:rPr>
        <w:t>Cohort</w:t>
      </w:r>
      <w:r w:rsidRPr="00A5267C">
        <w:t xml:space="preserve">: A group of people, businesses, communities or community organisations sharing common characteristics or shared experiences. </w:t>
      </w:r>
    </w:p>
    <w:p w14:paraId="406D264A" w14:textId="490D03FD" w:rsidR="0019703B" w:rsidRPr="00A5267C" w:rsidRDefault="0019703B" w:rsidP="0019703B">
      <w:r w:rsidRPr="00A5267C">
        <w:rPr>
          <w:b/>
          <w:bCs/>
        </w:rPr>
        <w:t>Competition impacts</w:t>
      </w:r>
      <w:r w:rsidRPr="00A5267C">
        <w:t xml:space="preserve">: </w:t>
      </w:r>
      <w:r w:rsidR="007327F7">
        <w:t>O</w:t>
      </w:r>
      <w:r w:rsidR="007327F7" w:rsidRPr="00A5267C">
        <w:t>ccur</w:t>
      </w:r>
      <w:r w:rsidRPr="00A5267C">
        <w:t xml:space="preserve"> where a policy changes </w:t>
      </w:r>
      <w:r>
        <w:t xml:space="preserve">barriers to set-up (grow, or exit) for businesses, organisations or workers, </w:t>
      </w:r>
      <w:r w:rsidRPr="00A5267C">
        <w:t xml:space="preserve">alters </w:t>
      </w:r>
      <w:r>
        <w:t>ability or incentives for</w:t>
      </w:r>
      <w:r w:rsidRPr="00A5267C">
        <w:t xml:space="preserve"> businesses</w:t>
      </w:r>
      <w:r w:rsidRPr="00A5267C" w:rsidDel="00717D24">
        <w:t xml:space="preserve"> </w:t>
      </w:r>
      <w:r>
        <w:t xml:space="preserve">to </w:t>
      </w:r>
      <w:r w:rsidRPr="00A5267C">
        <w:t>compete (such as</w:t>
      </w:r>
      <w:r>
        <w:t>,</w:t>
      </w:r>
      <w:r w:rsidRPr="00A5267C">
        <w:t xml:space="preserve"> through pricing, marketing, or product requirements, </w:t>
      </w:r>
      <w:r>
        <w:t xml:space="preserve">or </w:t>
      </w:r>
      <w:r w:rsidRPr="00A5267C">
        <w:t>changes incentives to innovate or improve quality</w:t>
      </w:r>
      <w:r>
        <w:t>)</w:t>
      </w:r>
      <w:r w:rsidRPr="00A5267C">
        <w:t xml:space="preserve">, </w:t>
      </w:r>
      <w:r>
        <w:t>and/or changes to the choices, information, goods or services available to consumers</w:t>
      </w:r>
      <w:r w:rsidRPr="00A5267C">
        <w:t>.</w:t>
      </w:r>
    </w:p>
    <w:p w14:paraId="3662C88A" w14:textId="2A39964B" w:rsidR="0019703B" w:rsidRPr="00A5267C" w:rsidRDefault="0019703B" w:rsidP="0019703B">
      <w:r w:rsidRPr="00A5267C">
        <w:rPr>
          <w:b/>
          <w:bCs/>
        </w:rPr>
        <w:t>Dashboard IA</w:t>
      </w:r>
      <w:r w:rsidRPr="00A5267C">
        <w:t xml:space="preserve">: An </w:t>
      </w:r>
      <w:r>
        <w:t>IA</w:t>
      </w:r>
      <w:r w:rsidRPr="00A5267C">
        <w:t xml:space="preserve"> used to inform decision-makers at key decision points, providing</w:t>
      </w:r>
      <w:r>
        <w:t xml:space="preserve"> </w:t>
      </w:r>
      <w:r w:rsidRPr="00A5267C">
        <w:t xml:space="preserve">a concise </w:t>
      </w:r>
      <w:r>
        <w:br/>
      </w:r>
      <w:r w:rsidRPr="00A5267C">
        <w:t xml:space="preserve">and easily accessible assessment of a proposal </w:t>
      </w:r>
      <w:r>
        <w:t xml:space="preserve">addressing </w:t>
      </w:r>
      <w:r w:rsidRPr="00A5267C">
        <w:t xml:space="preserve">the </w:t>
      </w:r>
      <w:r>
        <w:t>7</w:t>
      </w:r>
      <w:r w:rsidRPr="00A5267C">
        <w:t xml:space="preserve"> IA questions </w:t>
      </w:r>
      <w:r>
        <w:t>—</w:t>
      </w:r>
      <w:r w:rsidRPr="00A5267C">
        <w:t xml:space="preserve"> including the cost, benefits and regulatory burden for policy options. </w:t>
      </w:r>
    </w:p>
    <w:p w14:paraId="06B41FF1" w14:textId="77777777" w:rsidR="0019703B" w:rsidRPr="00A5267C" w:rsidRDefault="0019703B" w:rsidP="0019703B">
      <w:pPr>
        <w:rPr>
          <w:rFonts w:eastAsia="Times New Roman"/>
          <w:kern w:val="2"/>
          <w:lang w:eastAsia="ja-JP"/>
          <w14:ligatures w14:val="standardContextual"/>
        </w:rPr>
      </w:pPr>
      <w:r w:rsidRPr="00A5267C">
        <w:rPr>
          <w:rFonts w:eastAsia="Times New Roman"/>
          <w:b/>
        </w:rPr>
        <w:t>Detailed IA</w:t>
      </w:r>
      <w:r w:rsidRPr="00A5267C">
        <w:rPr>
          <w:rFonts w:eastAsia="Times New Roman"/>
        </w:rPr>
        <w:t xml:space="preserve">: An </w:t>
      </w:r>
      <w:r>
        <w:rPr>
          <w:rFonts w:eastAsia="Times New Roman"/>
        </w:rPr>
        <w:t>IA</w:t>
      </w:r>
      <w:r w:rsidRPr="00A5267C">
        <w:rPr>
          <w:rFonts w:eastAsia="Times New Roman"/>
        </w:rPr>
        <w:t xml:space="preserve"> used to inform decision-makers at key decision points that provides in-depth analysis across the </w:t>
      </w:r>
      <w:r>
        <w:rPr>
          <w:rFonts w:eastAsia="Times New Roman"/>
        </w:rPr>
        <w:t>7</w:t>
      </w:r>
      <w:r w:rsidRPr="00A5267C">
        <w:rPr>
          <w:rFonts w:eastAsia="Times New Roman"/>
        </w:rPr>
        <w:t xml:space="preserve"> IA questions. A Detailed IA is required only when called in by the Prime Minister or Cabinet, or where a </w:t>
      </w:r>
      <w:r>
        <w:rPr>
          <w:rFonts w:eastAsia="Times New Roman"/>
        </w:rPr>
        <w:t xml:space="preserve">policy </w:t>
      </w:r>
      <w:r w:rsidRPr="00A5267C">
        <w:rPr>
          <w:rFonts w:eastAsia="Times New Roman"/>
        </w:rPr>
        <w:t xml:space="preserve">proposal is considering introducing a mandatory standard that deviates from existing </w:t>
      </w:r>
      <w:r>
        <w:rPr>
          <w:rFonts w:eastAsia="Times New Roman"/>
        </w:rPr>
        <w:t>I</w:t>
      </w:r>
      <w:r w:rsidRPr="00A5267C">
        <w:rPr>
          <w:rFonts w:eastAsia="Times New Roman"/>
        </w:rPr>
        <w:t xml:space="preserve">nternational </w:t>
      </w:r>
      <w:r>
        <w:rPr>
          <w:rFonts w:eastAsia="Times New Roman"/>
        </w:rPr>
        <w:t>S</w:t>
      </w:r>
      <w:r w:rsidRPr="00A5267C">
        <w:rPr>
          <w:rFonts w:eastAsia="Times New Roman"/>
        </w:rPr>
        <w:t>tandards.</w:t>
      </w:r>
    </w:p>
    <w:p w14:paraId="473A10CE" w14:textId="77777777" w:rsidR="0019703B" w:rsidRPr="00A5267C" w:rsidRDefault="0019703B" w:rsidP="0019703B">
      <w:pPr>
        <w:rPr>
          <w:b/>
          <w:bCs/>
        </w:rPr>
      </w:pPr>
      <w:r w:rsidRPr="00A5267C">
        <w:rPr>
          <w:b/>
          <w:bCs/>
        </w:rPr>
        <w:t xml:space="preserve">Economic </w:t>
      </w:r>
      <w:r>
        <w:rPr>
          <w:b/>
          <w:bCs/>
        </w:rPr>
        <w:t>and social impacts</w:t>
      </w:r>
      <w:r w:rsidRPr="00A5267C">
        <w:rPr>
          <w:b/>
          <w:bCs/>
        </w:rPr>
        <w:t xml:space="preserve">: </w:t>
      </w:r>
      <w:r w:rsidRPr="00A5267C">
        <w:t xml:space="preserve">Economic </w:t>
      </w:r>
      <w:r>
        <w:t>impacts</w:t>
      </w:r>
      <w:r w:rsidRPr="00A5267C">
        <w:t xml:space="preserve"> are the positive</w:t>
      </w:r>
      <w:r>
        <w:t xml:space="preserve">/negative </w:t>
      </w:r>
      <w:r w:rsidRPr="00A5267C">
        <w:t xml:space="preserve">effects of a policy on the welfare of Australians. </w:t>
      </w:r>
      <w:r>
        <w:t xml:space="preserve">This can include, for example, </w:t>
      </w:r>
      <w:r w:rsidRPr="00A5267C">
        <w:t>improvements in education, health</w:t>
      </w:r>
      <w:r>
        <w:t xml:space="preserve"> </w:t>
      </w:r>
      <w:r w:rsidRPr="00A5267C">
        <w:t>or environmental outcomes. These may</w:t>
      </w:r>
      <w:r>
        <w:t xml:space="preserve"> also</w:t>
      </w:r>
      <w:r w:rsidRPr="00A5267C">
        <w:t xml:space="preserve"> include cost savings</w:t>
      </w:r>
      <w:r>
        <w:t xml:space="preserve"> and efficiencies</w:t>
      </w:r>
      <w:r w:rsidRPr="00A5267C">
        <w:t xml:space="preserve"> (for example</w:t>
      </w:r>
      <w:r>
        <w:t>,</w:t>
      </w:r>
      <w:r w:rsidRPr="00A5267C">
        <w:t xml:space="preserve"> lower energy or water use), productivity gains (time saved, innovation, improved efficiency or technology), growth in </w:t>
      </w:r>
      <w:r>
        <w:t xml:space="preserve">employment and </w:t>
      </w:r>
      <w:r w:rsidRPr="00A5267C">
        <w:t xml:space="preserve">output or purchasing power, </w:t>
      </w:r>
      <w:r>
        <w:t xml:space="preserve">and </w:t>
      </w:r>
      <w:r w:rsidRPr="00A5267C">
        <w:t xml:space="preserve">improvements in service quality. </w:t>
      </w:r>
    </w:p>
    <w:p w14:paraId="19A387C7" w14:textId="66D967EC" w:rsidR="0019703B" w:rsidRPr="0082627A" w:rsidRDefault="0019703B" w:rsidP="0019703B">
      <w:pPr>
        <w:rPr>
          <w:rFonts w:eastAsia="Times New Roman"/>
        </w:rPr>
      </w:pPr>
      <w:r w:rsidRPr="00A5267C">
        <w:rPr>
          <w:rFonts w:eastAsia="Times New Roman"/>
          <w:b/>
        </w:rPr>
        <w:t>Impact Analysis Equivalent</w:t>
      </w:r>
      <w:r w:rsidRPr="00A5267C">
        <w:rPr>
          <w:rFonts w:eastAsia="Times New Roman"/>
        </w:rPr>
        <w:t xml:space="preserve">: </w:t>
      </w:r>
      <w:r w:rsidRPr="00AB1B94">
        <w:rPr>
          <w:rFonts w:eastAsia="Times New Roman"/>
        </w:rPr>
        <w:t>Where a Detailed IA has been required</w:t>
      </w:r>
      <w:r>
        <w:rPr>
          <w:rFonts w:eastAsia="Times New Roman"/>
        </w:rPr>
        <w:t xml:space="preserve">, an </w:t>
      </w:r>
      <w:r w:rsidRPr="00A5267C">
        <w:rPr>
          <w:rFonts w:eastAsia="Times New Roman"/>
        </w:rPr>
        <w:t>Impact Analysis Equivalent refers to</w:t>
      </w:r>
      <w:r>
        <w:rPr>
          <w:rFonts w:eastAsia="Times New Roman"/>
        </w:rPr>
        <w:t xml:space="preserve"> a process where </w:t>
      </w:r>
      <w:r w:rsidRPr="00C145B7">
        <w:rPr>
          <w:rFonts w:eastAsia="Times New Roman"/>
        </w:rPr>
        <w:t>agencies may certify a</w:t>
      </w:r>
      <w:r>
        <w:rPr>
          <w:rFonts w:eastAsia="Times New Roman"/>
        </w:rPr>
        <w:t xml:space="preserve">n </w:t>
      </w:r>
      <w:r w:rsidRPr="00A5267C">
        <w:rPr>
          <w:rFonts w:eastAsia="Times New Roman"/>
        </w:rPr>
        <w:t>existing published (or to</w:t>
      </w:r>
      <w:r>
        <w:rPr>
          <w:rFonts w:eastAsia="Times New Roman"/>
        </w:rPr>
        <w:t xml:space="preserve"> </w:t>
      </w:r>
      <w:r w:rsidRPr="00A5267C">
        <w:rPr>
          <w:rFonts w:eastAsia="Times New Roman"/>
        </w:rPr>
        <w:t xml:space="preserve">be published) review or similar analysis </w:t>
      </w:r>
      <w:r w:rsidRPr="00C145B7">
        <w:rPr>
          <w:rFonts w:eastAsia="Times New Roman"/>
        </w:rPr>
        <w:t>has undertaken an equivalent process to that required by the IA framework and has</w:t>
      </w:r>
      <w:r w:rsidR="007327F7">
        <w:rPr>
          <w:rFonts w:eastAsia="Times New Roman"/>
        </w:rPr>
        <w:t xml:space="preserve"> </w:t>
      </w:r>
      <w:r w:rsidRPr="00C145B7">
        <w:rPr>
          <w:rFonts w:eastAsia="Times New Roman"/>
        </w:rPr>
        <w:t>substantially addressed the 7 IA questions</w:t>
      </w:r>
      <w:r w:rsidRPr="00A5267C">
        <w:rPr>
          <w:rFonts w:eastAsia="Times New Roman"/>
        </w:rPr>
        <w:t xml:space="preserve">. </w:t>
      </w:r>
      <w:r>
        <w:rPr>
          <w:rFonts w:eastAsia="Times New Roman"/>
        </w:rPr>
        <w:t>Agencies need to summarise the analysis and findings in</w:t>
      </w:r>
      <w:r>
        <w:rPr>
          <w:rFonts w:eastAsia="Times New Roman"/>
        </w:rPr>
        <w:br/>
        <w:t>a</w:t>
      </w:r>
      <w:r w:rsidRPr="00A5267C">
        <w:rPr>
          <w:rFonts w:eastAsia="Times New Roman"/>
        </w:rPr>
        <w:t xml:space="preserve"> Dashboard</w:t>
      </w:r>
      <w:r>
        <w:rPr>
          <w:rFonts w:eastAsia="Times New Roman"/>
        </w:rPr>
        <w:t xml:space="preserve"> IA. </w:t>
      </w:r>
      <w:r w:rsidRPr="0035055D">
        <w:rPr>
          <w:rFonts w:eastAsia="Times New Roman"/>
        </w:rPr>
        <w:t>Where a review or similar analysis does not fully address the 7 IA questions, agencies should</w:t>
      </w:r>
      <w:r>
        <w:rPr>
          <w:rFonts w:eastAsia="Times New Roman"/>
        </w:rPr>
        <w:t xml:space="preserve"> </w:t>
      </w:r>
      <w:r w:rsidRPr="000847A8">
        <w:rPr>
          <w:rFonts w:eastAsia="Times New Roman"/>
        </w:rPr>
        <w:t xml:space="preserve">undertake proportionate supplementary analysis to address any gaps </w:t>
      </w:r>
      <w:r>
        <w:rPr>
          <w:rFonts w:eastAsia="Times New Roman"/>
        </w:rPr>
        <w:t>in the Dashboard IA,</w:t>
      </w:r>
      <w:r w:rsidR="007327F7">
        <w:rPr>
          <w:rFonts w:eastAsia="Times New Roman"/>
        </w:rPr>
        <w:t xml:space="preserve"> </w:t>
      </w:r>
      <w:r>
        <w:rPr>
          <w:rFonts w:eastAsia="Times New Roman"/>
        </w:rPr>
        <w:t>including</w:t>
      </w:r>
      <w:r w:rsidRPr="000847A8">
        <w:rPr>
          <w:rFonts w:eastAsia="Times New Roman"/>
        </w:rPr>
        <w:t xml:space="preserve"> providing a regulatory burden estimate</w:t>
      </w:r>
      <w:r w:rsidRPr="00A5267C">
        <w:rPr>
          <w:rFonts w:eastAsia="Times New Roman"/>
        </w:rPr>
        <w:t>.</w:t>
      </w:r>
      <w:r w:rsidRPr="000847A8">
        <w:t xml:space="preserve"> </w:t>
      </w:r>
    </w:p>
    <w:p w14:paraId="319CA813" w14:textId="77777777" w:rsidR="0019703B" w:rsidRPr="00A5267C" w:rsidRDefault="0019703B" w:rsidP="0019703B">
      <w:pPr>
        <w:rPr>
          <w:rFonts w:eastAsia="Times New Roman"/>
          <w:kern w:val="2"/>
          <w:lang w:eastAsia="ja-JP"/>
          <w14:ligatures w14:val="standardContextual"/>
        </w:rPr>
      </w:pPr>
      <w:r w:rsidRPr="00A5267C">
        <w:rPr>
          <w:rFonts w:eastAsia="Times New Roman"/>
          <w:b/>
        </w:rPr>
        <w:t>IA threshold</w:t>
      </w:r>
      <w:r w:rsidRPr="00A5267C">
        <w:rPr>
          <w:rFonts w:eastAsia="Times New Roman"/>
        </w:rPr>
        <w:t xml:space="preserve">: A criterion used to determine whether an in-scope policy proposal is expected </w:t>
      </w:r>
      <w:r>
        <w:rPr>
          <w:rFonts w:eastAsia="Times New Roman"/>
        </w:rPr>
        <w:br/>
      </w:r>
      <w:r w:rsidRPr="00A5267C">
        <w:rPr>
          <w:rFonts w:eastAsia="Times New Roman"/>
        </w:rPr>
        <w:t>to have moderate or major impacts and therefore requires an IA to support a policy decision.</w:t>
      </w:r>
    </w:p>
    <w:p w14:paraId="61E89F04" w14:textId="77777777" w:rsidR="0019703B" w:rsidRPr="00A5267C" w:rsidRDefault="0019703B" w:rsidP="0019703B">
      <w:pPr>
        <w:rPr>
          <w:rFonts w:eastAsia="Times New Roman"/>
          <w:kern w:val="2"/>
          <w:lang w:eastAsia="ja-JP"/>
          <w14:ligatures w14:val="standardContextual"/>
        </w:rPr>
      </w:pPr>
      <w:r w:rsidRPr="00A5267C">
        <w:rPr>
          <w:rFonts w:eastAsia="Times New Roman"/>
          <w:b/>
        </w:rPr>
        <w:t>International Standards</w:t>
      </w:r>
      <w:r w:rsidRPr="00A5267C">
        <w:rPr>
          <w:rFonts w:eastAsia="Times New Roman"/>
        </w:rPr>
        <w:t>: Voluntary standards developed by international, multilateral and consensus</w:t>
      </w:r>
      <w:r>
        <w:rPr>
          <w:rFonts w:eastAsia="Times New Roman"/>
        </w:rPr>
        <w:noBreakHyphen/>
      </w:r>
      <w:r w:rsidRPr="00A5267C">
        <w:rPr>
          <w:rFonts w:eastAsia="Times New Roman"/>
        </w:rPr>
        <w:t xml:space="preserve">based standards organisations that follow the World Trade Organization (WTO) Technical Barriers to Trade (TBT) principles for the development of International Standards, </w:t>
      </w:r>
      <w:r>
        <w:rPr>
          <w:rFonts w:eastAsia="Times New Roman"/>
        </w:rPr>
        <w:t>G</w:t>
      </w:r>
      <w:r w:rsidRPr="00A5267C">
        <w:rPr>
          <w:rFonts w:eastAsia="Times New Roman"/>
        </w:rPr>
        <w:t xml:space="preserve">uides and </w:t>
      </w:r>
      <w:r>
        <w:rPr>
          <w:rFonts w:eastAsia="Times New Roman"/>
        </w:rPr>
        <w:t>R</w:t>
      </w:r>
      <w:r w:rsidRPr="00A5267C">
        <w:rPr>
          <w:rFonts w:eastAsia="Times New Roman"/>
        </w:rPr>
        <w:t xml:space="preserve">ecommendations. See </w:t>
      </w:r>
      <w:hyperlink r:id="rId38" w:history="1">
        <w:r w:rsidRPr="00A5267C">
          <w:rPr>
            <w:rStyle w:val="Hyperlink"/>
            <w:rFonts w:eastAsia="Times New Roman"/>
          </w:rPr>
          <w:t>Best Practice Handbook on Standard and Conformance Policy.</w:t>
        </w:r>
      </w:hyperlink>
    </w:p>
    <w:p w14:paraId="34294C8C" w14:textId="77777777" w:rsidR="0019703B" w:rsidRPr="00A5267C" w:rsidRDefault="0019703B" w:rsidP="0019703B">
      <w:pPr>
        <w:rPr>
          <w:rFonts w:eastAsia="Times New Roman"/>
          <w:kern w:val="2"/>
          <w:lang w:eastAsia="ja-JP"/>
          <w14:ligatures w14:val="standardContextual"/>
        </w:rPr>
      </w:pPr>
      <w:r w:rsidRPr="00A5267C">
        <w:rPr>
          <w:rFonts w:eastAsia="Times New Roman"/>
          <w:b/>
        </w:rPr>
        <w:t>In scope</w:t>
      </w:r>
      <w:r w:rsidRPr="00A5267C">
        <w:rPr>
          <w:rFonts w:eastAsia="Times New Roman"/>
        </w:rPr>
        <w:t xml:space="preserve">: A proposal is in scope of the IA framework if it is a regulatory policy proposal or has material competition impacts. Proposals must </w:t>
      </w:r>
      <w:r>
        <w:rPr>
          <w:rFonts w:eastAsia="Times New Roman"/>
        </w:rPr>
        <w:t>also</w:t>
      </w:r>
      <w:r w:rsidRPr="00A5267C">
        <w:rPr>
          <w:rFonts w:eastAsia="Times New Roman"/>
        </w:rPr>
        <w:t xml:space="preserve"> be assessed against the IA thresholds to determine whether an IA is required.</w:t>
      </w:r>
    </w:p>
    <w:p w14:paraId="2F6A6682" w14:textId="029B0C99" w:rsidR="0019703B" w:rsidRPr="00A5267C" w:rsidRDefault="0019703B" w:rsidP="0019703B">
      <w:pPr>
        <w:rPr>
          <w:rFonts w:eastAsia="Times New Roman"/>
          <w:kern w:val="2"/>
          <w:lang w:eastAsia="ja-JP"/>
          <w14:ligatures w14:val="standardContextual"/>
        </w:rPr>
      </w:pPr>
      <w:r w:rsidRPr="00A5267C">
        <w:rPr>
          <w:rFonts w:eastAsia="Times New Roman"/>
          <w:b/>
        </w:rPr>
        <w:t xml:space="preserve">Key </w:t>
      </w:r>
      <w:r>
        <w:rPr>
          <w:rFonts w:eastAsia="Times New Roman"/>
          <w:b/>
        </w:rPr>
        <w:t>policy</w:t>
      </w:r>
      <w:r w:rsidRPr="00A5267C">
        <w:rPr>
          <w:rFonts w:eastAsia="Times New Roman"/>
          <w:b/>
        </w:rPr>
        <w:t xml:space="preserve"> decision</w:t>
      </w:r>
      <w:r w:rsidRPr="00A5267C">
        <w:rPr>
          <w:rFonts w:eastAsia="Times New Roman"/>
        </w:rPr>
        <w:t>: A decision taken during policy development that is material to selection of policy</w:t>
      </w:r>
      <w:r w:rsidR="007327F7">
        <w:rPr>
          <w:rFonts w:eastAsia="Times New Roman"/>
        </w:rPr>
        <w:t xml:space="preserve"> </w:t>
      </w:r>
      <w:r w:rsidRPr="00A5267C">
        <w:t>parameters</w:t>
      </w:r>
      <w:r>
        <w:t xml:space="preserve"> </w:t>
      </w:r>
      <w:r w:rsidRPr="00A5267C">
        <w:rPr>
          <w:rFonts w:eastAsia="Times New Roman"/>
        </w:rPr>
        <w:t>or the design of key elements of the policy.</w:t>
      </w:r>
      <w:r>
        <w:rPr>
          <w:rFonts w:eastAsia="Times New Roman"/>
        </w:rPr>
        <w:t xml:space="preserve"> The final decision</w:t>
      </w:r>
      <w:r w:rsidRPr="002B4094">
        <w:rPr>
          <w:rFonts w:eastAsia="Times New Roman"/>
        </w:rPr>
        <w:t xml:space="preserve"> </w:t>
      </w:r>
      <w:r>
        <w:rPr>
          <w:rFonts w:eastAsia="Times New Roman"/>
        </w:rPr>
        <w:t xml:space="preserve">before a </w:t>
      </w:r>
      <w:r w:rsidRPr="00A5267C">
        <w:rPr>
          <w:rFonts w:eastAsia="Times New Roman"/>
        </w:rPr>
        <w:t>policy is announced, legislation is introduced to parliament, or the policy is otherwise implemented</w:t>
      </w:r>
      <w:r>
        <w:rPr>
          <w:rFonts w:eastAsia="Times New Roman"/>
        </w:rPr>
        <w:t xml:space="preserve"> is also</w:t>
      </w:r>
      <w:r>
        <w:rPr>
          <w:rFonts w:eastAsia="Times New Roman"/>
        </w:rPr>
        <w:br/>
        <w:t>a key decision.</w:t>
      </w:r>
    </w:p>
    <w:p w14:paraId="1FEB664A" w14:textId="344B8A05" w:rsidR="0019703B" w:rsidRDefault="0019703B" w:rsidP="0019703B">
      <w:pPr>
        <w:rPr>
          <w:rFonts w:eastAsia="Times New Roman"/>
          <w:kern w:val="2"/>
          <w:lang w:eastAsia="ja-JP"/>
          <w14:ligatures w14:val="standardContextual"/>
        </w:rPr>
      </w:pPr>
      <w:r w:rsidRPr="00A5267C">
        <w:rPr>
          <w:rFonts w:eastAsia="Times New Roman"/>
          <w:b/>
        </w:rPr>
        <w:t>Preliminary analysis</w:t>
      </w:r>
      <w:r w:rsidRPr="00A5267C">
        <w:rPr>
          <w:rFonts w:eastAsia="Times New Roman"/>
        </w:rPr>
        <w:t>: Preliminary analysis refers to the initial assessment of whether a proposal</w:t>
      </w:r>
      <w:r>
        <w:rPr>
          <w:rFonts w:eastAsia="Times New Roman"/>
        </w:rPr>
        <w:br/>
      </w:r>
      <w:r w:rsidRPr="00A5267C">
        <w:rPr>
          <w:rFonts w:eastAsia="Times New Roman"/>
        </w:rPr>
        <w:t xml:space="preserve">is in scope and meets </w:t>
      </w:r>
      <w:r>
        <w:rPr>
          <w:rFonts w:eastAsia="Times New Roman"/>
        </w:rPr>
        <w:t>(</w:t>
      </w:r>
      <w:r w:rsidRPr="00A5267C">
        <w:rPr>
          <w:rFonts w:eastAsia="Times New Roman"/>
        </w:rPr>
        <w:t>or exceeds</w:t>
      </w:r>
      <w:r>
        <w:rPr>
          <w:rFonts w:eastAsia="Times New Roman"/>
        </w:rPr>
        <w:t>)</w:t>
      </w:r>
      <w:r w:rsidRPr="00A5267C">
        <w:rPr>
          <w:rFonts w:eastAsia="Times New Roman"/>
        </w:rPr>
        <w:t xml:space="preserve"> at least one of the </w:t>
      </w:r>
      <w:r>
        <w:rPr>
          <w:rFonts w:eastAsia="Times New Roman"/>
        </w:rPr>
        <w:t xml:space="preserve">3 </w:t>
      </w:r>
      <w:r w:rsidRPr="00A5267C">
        <w:rPr>
          <w:rFonts w:eastAsia="Times New Roman"/>
        </w:rPr>
        <w:t>IA thresholds.</w:t>
      </w:r>
    </w:p>
    <w:p w14:paraId="24BFEF4A" w14:textId="0D7C65B2" w:rsidR="0019703B" w:rsidRPr="00A5267C" w:rsidRDefault="0019703B" w:rsidP="0019703B">
      <w:r w:rsidRPr="00A5267C">
        <w:rPr>
          <w:b/>
          <w:bCs/>
        </w:rPr>
        <w:t>Quasi-regulation</w:t>
      </w:r>
      <w:r w:rsidRPr="00A5267C">
        <w:t>: Any rule or requirement that is not established by a legislative process, but which</w:t>
      </w:r>
      <w:r w:rsidR="007327F7">
        <w:t xml:space="preserve"> </w:t>
      </w:r>
      <w:r w:rsidRPr="00A5267C">
        <w:t>can influence the behaviour of people</w:t>
      </w:r>
      <w:r>
        <w:t>, businesses or community organisations</w:t>
      </w:r>
      <w:r w:rsidRPr="00A5267C">
        <w:t>. Examples include</w:t>
      </w:r>
      <w:r w:rsidR="007327F7">
        <w:t xml:space="preserve"> </w:t>
      </w:r>
      <w:r w:rsidRPr="00A5267C">
        <w:t>industry codes of practice, guidance notes, industry–government agreements (co-regulation)</w:t>
      </w:r>
      <w:r>
        <w:br/>
      </w:r>
      <w:r w:rsidRPr="00A5267C">
        <w:t>and accreditation schemes.</w:t>
      </w:r>
    </w:p>
    <w:p w14:paraId="724BAB84" w14:textId="77777777" w:rsidR="0019703B" w:rsidRPr="00A5267C" w:rsidRDefault="0019703B" w:rsidP="0019703B">
      <w:r w:rsidRPr="00A5267C">
        <w:rPr>
          <w:b/>
          <w:bCs/>
        </w:rPr>
        <w:t>Regulatory burden:</w:t>
      </w:r>
      <w:r w:rsidRPr="00A5267C">
        <w:t xml:space="preserve"> </w:t>
      </w:r>
      <w:r>
        <w:t>T</w:t>
      </w:r>
      <w:r w:rsidRPr="00A5267C">
        <w:t>he change in compliance</w:t>
      </w:r>
      <w:r>
        <w:t xml:space="preserve"> (including administrative and substantive compliance costs)</w:t>
      </w:r>
      <w:r w:rsidRPr="00A5267C">
        <w:t xml:space="preserve"> and delay costs imposed</w:t>
      </w:r>
      <w:r>
        <w:t xml:space="preserve"> </w:t>
      </w:r>
      <w:r w:rsidRPr="00A5267C">
        <w:t>by a policy change on people, businesses, and community organisations. Regulatory Burden includes,</w:t>
      </w:r>
      <w:r>
        <w:t xml:space="preserve"> </w:t>
      </w:r>
      <w:r w:rsidRPr="00A5267C">
        <w:t>for example, administrative tasks, reporting, record</w:t>
      </w:r>
      <w:r w:rsidRPr="00A5267C">
        <w:rPr>
          <w:rFonts w:ascii="Cambria Math" w:hAnsi="Cambria Math" w:cs="Cambria Math"/>
        </w:rPr>
        <w:t>‑</w:t>
      </w:r>
      <w:r w:rsidRPr="00A5267C">
        <w:t xml:space="preserve">keeping and any substantive requirements imposed by regulation. Regulatory burden should be estimated </w:t>
      </w:r>
      <w:r>
        <w:t>based on guidance in</w:t>
      </w:r>
      <w:r w:rsidRPr="00A5267C">
        <w:t xml:space="preserve"> the </w:t>
      </w:r>
      <w:hyperlink r:id="rId39" w:history="1">
        <w:r w:rsidRPr="004720AA">
          <w:rPr>
            <w:rStyle w:val="Hyperlink"/>
          </w:rPr>
          <w:t>Regulatory Burden Measurement Framework</w:t>
        </w:r>
      </w:hyperlink>
      <w:r>
        <w:t>.</w:t>
      </w:r>
    </w:p>
    <w:p w14:paraId="5BFFEBA6" w14:textId="77777777" w:rsidR="0019703B" w:rsidRPr="00A5267C" w:rsidRDefault="0019703B" w:rsidP="0019703B">
      <w:pPr>
        <w:rPr>
          <w:rFonts w:eastAsia="Times New Roman"/>
          <w:kern w:val="2"/>
          <w:lang w:eastAsia="ja-JP"/>
          <w14:ligatures w14:val="standardContextual"/>
        </w:rPr>
      </w:pPr>
      <w:r w:rsidRPr="00A5267C">
        <w:rPr>
          <w:rFonts w:eastAsia="Times New Roman"/>
          <w:b/>
        </w:rPr>
        <w:t>Regulatory policy proposal</w:t>
      </w:r>
      <w:r w:rsidRPr="00A5267C">
        <w:rPr>
          <w:rFonts w:eastAsia="Times New Roman"/>
        </w:rPr>
        <w:t>: Regulatory policy proposals are any proposals to establish or reform government rules that set requirements. This includes quasi-regulation.</w:t>
      </w:r>
    </w:p>
    <w:p w14:paraId="73727328" w14:textId="221115A3" w:rsidR="00C52040" w:rsidRPr="0019703B" w:rsidRDefault="0019703B" w:rsidP="0019703B">
      <w:r w:rsidRPr="00A5267C">
        <w:rPr>
          <w:b/>
          <w:bCs/>
        </w:rPr>
        <w:t>Status quo</w:t>
      </w:r>
      <w:r w:rsidRPr="00A5267C">
        <w:t xml:space="preserve">: The status quo is a policy option in which all current policy settings remain as they are </w:t>
      </w:r>
      <w:r>
        <w:br/>
      </w:r>
      <w:r w:rsidRPr="00A5267C">
        <w:t>for the period of analysis. IAs must analyse the impacts of a proposal relative to the status quo.</w:t>
      </w:r>
    </w:p>
    <w:sectPr w:rsidR="00C52040" w:rsidRPr="0019703B" w:rsidSect="00D13AD9">
      <w:headerReference w:type="default" r:id="rId40"/>
      <w:footerReference w:type="default" r:id="rId41"/>
      <w:pgSz w:w="11906" w:h="16838"/>
      <w:pgMar w:top="1985" w:right="1134" w:bottom="1843" w:left="1134"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DEF26" w14:textId="77777777" w:rsidR="00D66412" w:rsidRDefault="00D66412" w:rsidP="00F957C6">
      <w:pPr>
        <w:spacing w:after="0" w:line="240" w:lineRule="auto"/>
      </w:pPr>
      <w:r>
        <w:separator/>
      </w:r>
    </w:p>
  </w:endnote>
  <w:endnote w:type="continuationSeparator" w:id="0">
    <w:p w14:paraId="5CCE1F65" w14:textId="77777777" w:rsidR="00D66412" w:rsidRDefault="00D66412"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ontserrat Semi Bold">
    <w:panose1 w:val="00000700000000000000"/>
    <w:charset w:val="00"/>
    <w:family w:val="modern"/>
    <w:notTrueType/>
    <w:pitch w:val="variable"/>
    <w:sig w:usb0="00000007" w:usb1="00000000"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CCEB" w14:textId="0C4D8BD8" w:rsidR="00F5487F" w:rsidRPr="00F5487F" w:rsidRDefault="00F5487F" w:rsidP="00F5487F">
    <w:pPr>
      <w:pStyle w:val="Header"/>
      <w:rPr>
        <w:rFonts w:ascii="Segoe UI" w:hAnsi="Segoe UI" w:cs="Segoe UI"/>
        <w:color w:val="6E6E6E"/>
        <w:sz w:val="18"/>
      </w:rPr>
    </w:pPr>
    <w:r w:rsidRPr="005C42E0">
      <w:rPr>
        <w:color w:val="6E6E6E"/>
        <w:sz w:val="18"/>
        <w:szCs w:val="18"/>
      </w:rPr>
      <w:t xml:space="preserve">PM&amp;C | </w:t>
    </w:r>
    <w:sdt>
      <w:sdtPr>
        <w:rPr>
          <w:color w:val="6E6E6E"/>
          <w:sz w:val="18"/>
          <w:szCs w:val="18"/>
        </w:rPr>
        <w:alias w:val="Manager"/>
        <w:tag w:val=""/>
        <w:id w:val="-1553076435"/>
        <w:dataBinding w:prefixMappings="xmlns:ns0='http://schemas.openxmlformats.org/officeDocument/2006/extended-properties' " w:xpath="/ns0:Properties[1]/ns0:Manager[1]" w:storeItemID="{6668398D-A668-4E3E-A5EB-62B293D839F1}"/>
        <w:text/>
      </w:sdtPr>
      <w:sdtEndPr/>
      <w:sdtContent>
        <w:r>
          <w:rPr>
            <w:color w:val="6E6E6E"/>
            <w:sz w:val="18"/>
            <w:szCs w:val="18"/>
          </w:rPr>
          <w:t>The Office of Impact Analysis</w:t>
        </w:r>
      </w:sdtContent>
    </w:sdt>
    <w:r w:rsidRPr="005C42E0">
      <w:rPr>
        <w:color w:val="6E6E6E"/>
        <w:sz w:val="18"/>
        <w:szCs w:val="18"/>
      </w:rPr>
      <w:t xml:space="preserve"> | </w:t>
    </w:r>
    <w:sdt>
      <w:sdtPr>
        <w:rPr>
          <w:color w:val="6E6E6E"/>
          <w:sz w:val="18"/>
          <w:szCs w:val="18"/>
        </w:rPr>
        <w:alias w:val="Title"/>
        <w:tag w:val=""/>
        <w:id w:val="24375983"/>
        <w:dataBinding w:prefixMappings="xmlns:ns0='http://purl.org/dc/elements/1.1/' xmlns:ns1='http://schemas.openxmlformats.org/package/2006/metadata/core-properties' " w:xpath="/ns1:coreProperties[1]/ns0:title[1]" w:storeItemID="{6C3C8BC8-F283-45AE-878A-BAB7291924A1}"/>
        <w:text/>
      </w:sdtPr>
      <w:sdtEndPr>
        <w:rPr>
          <w:rFonts w:ascii="Segoe UI" w:hAnsi="Segoe UI" w:cs="Segoe UI"/>
        </w:rPr>
      </w:sdtEndPr>
      <w:sdtContent>
        <w:r w:rsidR="00D43E51">
          <w:rPr>
            <w:color w:val="6E6E6E"/>
            <w:sz w:val="18"/>
            <w:szCs w:val="18"/>
          </w:rPr>
          <w:t>Australian Government Impact Analysis Framework</w:t>
        </w:r>
      </w:sdtContent>
    </w:sdt>
    <w:r w:rsidRPr="00852F35">
      <w:rPr>
        <w:color w:val="6E6E6E"/>
      </w:rPr>
      <w:t xml:space="preserv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Pr>
        <w:rFonts w:ascii="Segoe UI" w:hAnsi="Segoe UI" w:cs="Segoe UI"/>
        <w:color w:val="6E6E6E"/>
        <w:sz w:val="18"/>
      </w:rPr>
      <w:t>9</w:t>
    </w:r>
    <w:r w:rsidRPr="00852F35">
      <w:rPr>
        <w:rFonts w:ascii="Segoe UI" w:hAnsi="Segoe UI" w:cs="Segoe UI"/>
        <w:noProof/>
        <w:color w:val="6E6E6E"/>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3A7A" w14:textId="77777777" w:rsidR="004A3A1A" w:rsidRPr="00303C55" w:rsidRDefault="004A3A1A" w:rsidP="00303C55">
    <w:pPr>
      <w:pStyle w:val="Footer"/>
    </w:pPr>
    <w:r>
      <w:rPr>
        <w:b/>
        <w:bCs/>
        <w:lang w:val="en-US"/>
      </w:rPr>
      <w:t>Error! Not a valid link.</w:t>
    </w:r>
    <w:r>
      <w:ptab w:relativeTo="margin" w:alignment="center" w:leader="none"/>
    </w:r>
    <w:r>
      <w:rPr>
        <w:noProof/>
        <w:lang w:eastAsia="en-AU"/>
      </w:rPr>
      <mc:AlternateContent>
        <mc:Choice Requires="wps">
          <w:drawing>
            <wp:anchor distT="0" distB="0" distL="114300" distR="114300" simplePos="0" relativeHeight="251658240" behindDoc="1" locked="0" layoutInCell="1" allowOverlap="1" wp14:anchorId="723B8DD5" wp14:editId="71BD245B">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0AB9A" id="Straight Connector 106"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" strokecolor="black [3200]" strokeweight=".5pt">
              <v:stroke joinstyle="miter"/>
              <w10:wrap anchory="page"/>
            </v:line>
          </w:pict>
        </mc:Fallback>
      </mc:AlternateContent>
    </w:r>
    <w:sdt>
      <w:sdtPr>
        <w:alias w:val="Classification"/>
        <w:tag w:val="Classification"/>
        <w:id w:val="-810248438"/>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t>Official</w:t>
        </w:r>
      </w:sdtContent>
    </w:sdt>
    <w:r>
      <w:rPr>
        <w:noProof/>
        <w:lang w:eastAsia="en-AU"/>
      </w:rPr>
      <mc:AlternateContent>
        <mc:Choice Requires="wps">
          <w:drawing>
            <wp:anchor distT="0" distB="0" distL="114300" distR="114300" simplePos="0" relativeHeight="251657216" behindDoc="0" locked="0" layoutInCell="1" allowOverlap="1" wp14:anchorId="00289A31" wp14:editId="30B00944">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4CF8DF" id="Straight Connector 10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4E2D" w14:textId="44192FC1" w:rsidR="00D10635" w:rsidRPr="0084152F" w:rsidRDefault="006952DB" w:rsidP="00463531">
    <w:pPr>
      <w:pStyle w:val="Classification"/>
      <w:rPr>
        <w:rFonts w:ascii="Segoe UI Semibold" w:hAnsi="Segoe UI Semibold" w:cs="Segoe UI Semibold"/>
      </w:rPr>
    </w:pPr>
    <w:r w:rsidRPr="0084152F">
      <w:rPr>
        <w:rFonts w:ascii="Segoe UI Semibold" w:hAnsi="Segoe UI Semibold" w:cs="Segoe UI Semibold"/>
      </w:rPr>
      <w:fldChar w:fldCharType="begin"/>
    </w:r>
    <w:r w:rsidRPr="0084152F">
      <w:rPr>
        <w:rFonts w:ascii="Segoe UI Semibold" w:hAnsi="Segoe UI Semibold" w:cs="Segoe UI Semibold"/>
      </w:rPr>
      <w:instrText xml:space="preserve"> STYLEREF  Classification  \* MERGEFORMAT </w:instrText>
    </w:r>
    <w:r w:rsidRPr="0084152F">
      <w:rPr>
        <w:rFonts w:ascii="Segoe UI Semibold" w:hAnsi="Segoe UI Semibold" w:cs="Segoe UI Semibold"/>
        <w:lang w:val="en-US"/>
      </w:rPr>
      <w:fldChar w:fldCharType="end"/>
    </w:r>
  </w:p>
  <w:p w14:paraId="77C5EE8F" w14:textId="71425D56" w:rsidR="00037513" w:rsidRPr="00852F35" w:rsidRDefault="0042029D" w:rsidP="00D10635">
    <w:pPr>
      <w:pStyle w:val="Header"/>
      <w:rPr>
        <w:rFonts w:ascii="Segoe UI" w:hAnsi="Segoe UI" w:cs="Segoe UI"/>
        <w:color w:val="6E6E6E"/>
        <w:sz w:val="18"/>
      </w:rPr>
    </w:pPr>
    <w:r w:rsidRPr="005C42E0">
      <w:rPr>
        <w:color w:val="6E6E6E"/>
        <w:sz w:val="18"/>
        <w:szCs w:val="18"/>
      </w:rPr>
      <w:t xml:space="preserve">PM&amp;C | </w:t>
    </w:r>
    <w:sdt>
      <w:sdtPr>
        <w:rPr>
          <w:color w:val="6E6E6E"/>
          <w:sz w:val="18"/>
          <w:szCs w:val="18"/>
        </w:rPr>
        <w:alias w:val="Manager"/>
        <w:tag w:val=""/>
        <w:id w:val="1689480947"/>
        <w:dataBinding w:prefixMappings="xmlns:ns0='http://schemas.openxmlformats.org/officeDocument/2006/extended-properties' " w:xpath="/ns0:Properties[1]/ns0:Manager[1]" w:storeItemID="{6668398D-A668-4E3E-A5EB-62B293D839F1}"/>
        <w:text/>
      </w:sdtPr>
      <w:sdtEndPr/>
      <w:sdtContent>
        <w:r w:rsidR="002031AF">
          <w:rPr>
            <w:color w:val="6E6E6E"/>
            <w:sz w:val="18"/>
            <w:szCs w:val="18"/>
          </w:rPr>
          <w:t>The Office of Impact Analysis</w:t>
        </w:r>
      </w:sdtContent>
    </w:sdt>
    <w:r w:rsidRPr="005C42E0">
      <w:rPr>
        <w:color w:val="6E6E6E"/>
        <w:sz w:val="18"/>
        <w:szCs w:val="18"/>
      </w:rPr>
      <w:t xml:space="preserve"> |</w:t>
    </w:r>
    <w:r w:rsidR="001C5D9D">
      <w:rPr>
        <w:color w:val="6E6E6E"/>
        <w:sz w:val="18"/>
        <w:szCs w:val="18"/>
      </w:rPr>
      <w:t xml:space="preserve"> </w:t>
    </w:r>
    <w:sdt>
      <w:sdtPr>
        <w:rPr>
          <w:color w:val="6E6E6E"/>
          <w:sz w:val="18"/>
          <w:szCs w:val="18"/>
        </w:rPr>
        <w:alias w:val="Title"/>
        <w:tag w:val=""/>
        <w:id w:val="-854955709"/>
        <w:dataBinding w:prefixMappings="xmlns:ns0='http://purl.org/dc/elements/1.1/' xmlns:ns1='http://schemas.openxmlformats.org/package/2006/metadata/core-properties' " w:xpath="/ns1:coreProperties[1]/ns0:title[1]" w:storeItemID="{6C3C8BC8-F283-45AE-878A-BAB7291924A1}"/>
        <w:text/>
      </w:sdtPr>
      <w:sdtEndPr>
        <w:rPr>
          <w:rFonts w:ascii="Segoe UI" w:hAnsi="Segoe UI" w:cs="Segoe UI"/>
        </w:rPr>
      </w:sdtEndPr>
      <w:sdtContent>
        <w:r w:rsidR="00D43E51">
          <w:rPr>
            <w:color w:val="6E6E6E"/>
            <w:sz w:val="18"/>
            <w:szCs w:val="18"/>
          </w:rPr>
          <w:t>Australian Government Impact Analysis Framework</w:t>
        </w:r>
      </w:sdtContent>
    </w:sdt>
    <w:r w:rsidR="00037513" w:rsidRPr="00852F35">
      <w:rPr>
        <w:color w:val="6E6E6E"/>
      </w:rPr>
      <w:ptab w:relativeTo="margin" w:alignment="right" w:leader="none"/>
    </w:r>
    <w:r w:rsidR="00037513" w:rsidRPr="00852F35">
      <w:rPr>
        <w:rFonts w:ascii="Segoe UI" w:hAnsi="Segoe UI" w:cs="Segoe UI"/>
        <w:color w:val="6E6E6E"/>
        <w:sz w:val="18"/>
      </w:rPr>
      <w:fldChar w:fldCharType="begin"/>
    </w:r>
    <w:r w:rsidR="00037513" w:rsidRPr="00852F35">
      <w:rPr>
        <w:rFonts w:ascii="Segoe UI" w:hAnsi="Segoe UI" w:cs="Segoe UI"/>
        <w:color w:val="6E6E6E"/>
        <w:sz w:val="18"/>
      </w:rPr>
      <w:instrText xml:space="preserve"> PAGE   \* MERGEFORMAT </w:instrText>
    </w:r>
    <w:r w:rsidR="00037513" w:rsidRPr="00852F35">
      <w:rPr>
        <w:rFonts w:ascii="Segoe UI" w:hAnsi="Segoe UI" w:cs="Segoe UI"/>
        <w:color w:val="6E6E6E"/>
        <w:sz w:val="18"/>
      </w:rPr>
      <w:fldChar w:fldCharType="separate"/>
    </w:r>
    <w:r w:rsidR="0067532A">
      <w:rPr>
        <w:rFonts w:ascii="Segoe UI" w:hAnsi="Segoe UI" w:cs="Segoe UI"/>
        <w:noProof/>
        <w:color w:val="6E6E6E"/>
        <w:sz w:val="18"/>
      </w:rPr>
      <w:t>7</w:t>
    </w:r>
    <w:r w:rsidR="00037513" w:rsidRPr="00852F35">
      <w:rPr>
        <w:rFonts w:ascii="Segoe UI" w:hAnsi="Segoe UI" w:cs="Segoe UI"/>
        <w:noProof/>
        <w:color w:val="6E6E6E"/>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47DE" w14:textId="229E05EF" w:rsidR="00D10635" w:rsidRPr="0084152F" w:rsidRDefault="006952DB" w:rsidP="00463531">
    <w:pPr>
      <w:pStyle w:val="Classification"/>
      <w:rPr>
        <w:rFonts w:ascii="Segoe UI Semibold" w:hAnsi="Segoe UI Semibold" w:cs="Segoe UI Semibold"/>
      </w:rPr>
    </w:pPr>
    <w:r w:rsidRPr="0084152F">
      <w:rPr>
        <w:rFonts w:ascii="Segoe UI Semibold" w:hAnsi="Segoe UI Semibold" w:cs="Segoe UI Semibold"/>
      </w:rPr>
      <w:fldChar w:fldCharType="begin"/>
    </w:r>
    <w:r w:rsidRPr="0084152F">
      <w:rPr>
        <w:rFonts w:ascii="Segoe UI Semibold" w:hAnsi="Segoe UI Semibold" w:cs="Segoe UI Semibold"/>
      </w:rPr>
      <w:instrText xml:space="preserve"> STYLEREF  Classification  \* MERGEFORMAT </w:instrText>
    </w:r>
    <w:r w:rsidRPr="0084152F">
      <w:rPr>
        <w:rFonts w:ascii="Segoe UI Semibold" w:hAnsi="Segoe UI Semibold" w:cs="Segoe UI Semibold"/>
        <w:lang w:val="en-US"/>
      </w:rPr>
      <w:fldChar w:fldCharType="end"/>
    </w:r>
  </w:p>
  <w:p w14:paraId="2B91EB36" w14:textId="118E6C75" w:rsidR="00037513" w:rsidRPr="00852F35" w:rsidRDefault="0042029D" w:rsidP="00D10635">
    <w:pPr>
      <w:pStyle w:val="Header"/>
      <w:rPr>
        <w:rFonts w:ascii="Segoe UI" w:hAnsi="Segoe UI" w:cs="Segoe UI"/>
        <w:color w:val="6E6E6E"/>
        <w:sz w:val="18"/>
      </w:rPr>
    </w:pPr>
    <w:r w:rsidRPr="005C42E0">
      <w:rPr>
        <w:color w:val="6E6E6E"/>
        <w:sz w:val="18"/>
        <w:szCs w:val="18"/>
      </w:rPr>
      <w:t xml:space="preserve">PM&amp;C | </w:t>
    </w:r>
    <w:sdt>
      <w:sdtPr>
        <w:rPr>
          <w:color w:val="6E6E6E"/>
          <w:sz w:val="18"/>
          <w:szCs w:val="18"/>
        </w:rPr>
        <w:alias w:val="Manager"/>
        <w:tag w:val=""/>
        <w:id w:val="1310286357"/>
        <w:dataBinding w:prefixMappings="xmlns:ns0='http://schemas.openxmlformats.org/officeDocument/2006/extended-properties' " w:xpath="/ns0:Properties[1]/ns0:Manager[1]" w:storeItemID="{6668398D-A668-4E3E-A5EB-62B293D839F1}"/>
        <w:text/>
      </w:sdtPr>
      <w:sdtEndPr/>
      <w:sdtContent>
        <w:r w:rsidR="002031AF">
          <w:rPr>
            <w:color w:val="6E6E6E"/>
            <w:sz w:val="18"/>
            <w:szCs w:val="18"/>
          </w:rPr>
          <w:t>The Office of Impact Analysis</w:t>
        </w:r>
      </w:sdtContent>
    </w:sdt>
    <w:r w:rsidRPr="005C42E0">
      <w:rPr>
        <w:color w:val="6E6E6E"/>
        <w:sz w:val="18"/>
        <w:szCs w:val="18"/>
      </w:rPr>
      <w:t xml:space="preserve"> | </w:t>
    </w:r>
    <w:sdt>
      <w:sdtPr>
        <w:rPr>
          <w:color w:val="6E6E6E"/>
          <w:sz w:val="18"/>
          <w:szCs w:val="18"/>
        </w:rPr>
        <w:alias w:val="Title"/>
        <w:tag w:val=""/>
        <w:id w:val="549965547"/>
        <w:dataBinding w:prefixMappings="xmlns:ns0='http://purl.org/dc/elements/1.1/' xmlns:ns1='http://schemas.openxmlformats.org/package/2006/metadata/core-properties' " w:xpath="/ns1:coreProperties[1]/ns0:title[1]" w:storeItemID="{6C3C8BC8-F283-45AE-878A-BAB7291924A1}"/>
        <w:text/>
      </w:sdtPr>
      <w:sdtEndPr>
        <w:rPr>
          <w:rFonts w:ascii="Segoe UI" w:hAnsi="Segoe UI" w:cs="Segoe UI"/>
        </w:rPr>
      </w:sdtEndPr>
      <w:sdtContent>
        <w:r w:rsidR="00D43E51">
          <w:rPr>
            <w:color w:val="6E6E6E"/>
            <w:sz w:val="18"/>
            <w:szCs w:val="18"/>
          </w:rPr>
          <w:t>Australian Government Impact Analysis Framework</w:t>
        </w:r>
      </w:sdtContent>
    </w:sdt>
    <w:r w:rsidRPr="00852F35">
      <w:rPr>
        <w:color w:val="6E6E6E"/>
      </w:rPr>
      <w:t xml:space="preserve"> </w:t>
    </w:r>
    <w:r w:rsidR="00037513" w:rsidRPr="00852F35">
      <w:rPr>
        <w:color w:val="6E6E6E"/>
      </w:rPr>
      <w:ptab w:relativeTo="margin" w:alignment="right" w:leader="none"/>
    </w:r>
    <w:r w:rsidR="00037513" w:rsidRPr="00852F35">
      <w:rPr>
        <w:rFonts w:ascii="Segoe UI" w:hAnsi="Segoe UI" w:cs="Segoe UI"/>
        <w:color w:val="6E6E6E"/>
        <w:sz w:val="18"/>
      </w:rPr>
      <w:fldChar w:fldCharType="begin"/>
    </w:r>
    <w:r w:rsidR="00037513" w:rsidRPr="00852F35">
      <w:rPr>
        <w:rFonts w:ascii="Segoe UI" w:hAnsi="Segoe UI" w:cs="Segoe UI"/>
        <w:color w:val="6E6E6E"/>
        <w:sz w:val="18"/>
      </w:rPr>
      <w:instrText xml:space="preserve"> PAGE   \* MERGEFORMAT </w:instrText>
    </w:r>
    <w:r w:rsidR="00037513" w:rsidRPr="00852F35">
      <w:rPr>
        <w:rFonts w:ascii="Segoe UI" w:hAnsi="Segoe UI" w:cs="Segoe UI"/>
        <w:color w:val="6E6E6E"/>
        <w:sz w:val="18"/>
      </w:rPr>
      <w:fldChar w:fldCharType="separate"/>
    </w:r>
    <w:r w:rsidR="0067532A">
      <w:rPr>
        <w:rFonts w:ascii="Segoe UI" w:hAnsi="Segoe UI" w:cs="Segoe UI"/>
        <w:noProof/>
        <w:color w:val="6E6E6E"/>
        <w:sz w:val="18"/>
      </w:rPr>
      <w:t>7</w:t>
    </w:r>
    <w:r w:rsidR="00037513"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F80B6" w14:textId="77777777" w:rsidR="00D66412" w:rsidRDefault="00D66412" w:rsidP="00F957C6">
      <w:pPr>
        <w:spacing w:after="0" w:line="240" w:lineRule="auto"/>
      </w:pPr>
      <w:r>
        <w:separator/>
      </w:r>
    </w:p>
  </w:footnote>
  <w:footnote w:type="continuationSeparator" w:id="0">
    <w:p w14:paraId="0F51042E" w14:textId="77777777" w:rsidR="00D66412" w:rsidRDefault="00D66412" w:rsidP="00F957C6">
      <w:pPr>
        <w:spacing w:after="0" w:line="240" w:lineRule="auto"/>
      </w:pPr>
      <w:r>
        <w:continuationSeparator/>
      </w:r>
    </w:p>
  </w:footnote>
  <w:footnote w:id="1">
    <w:p w14:paraId="1D4E1CB0" w14:textId="77777777" w:rsidR="00601223" w:rsidRDefault="00601223" w:rsidP="00601223">
      <w:pPr>
        <w:pStyle w:val="FootnoteText"/>
      </w:pPr>
      <w:r w:rsidRPr="00E0763C">
        <w:rPr>
          <w:rStyle w:val="FootnoteReference"/>
          <w:sz w:val="18"/>
          <w:szCs w:val="18"/>
        </w:rPr>
        <w:footnoteRef/>
      </w:r>
      <w:r w:rsidRPr="00E0763C">
        <w:rPr>
          <w:sz w:val="18"/>
          <w:szCs w:val="18"/>
        </w:rPr>
        <w:t xml:space="preserve"> Please </w:t>
      </w:r>
      <w:r>
        <w:rPr>
          <w:sz w:val="18"/>
          <w:szCs w:val="18"/>
        </w:rPr>
        <w:t xml:space="preserve">also </w:t>
      </w:r>
      <w:r w:rsidRPr="00E0763C">
        <w:rPr>
          <w:sz w:val="18"/>
          <w:szCs w:val="18"/>
        </w:rPr>
        <w:t xml:space="preserve">review the </w:t>
      </w:r>
      <w:hyperlink r:id="rId1" w:history="1">
        <w:r w:rsidRPr="007A4A3D">
          <w:rPr>
            <w:rStyle w:val="Hyperlink"/>
            <w:sz w:val="18"/>
            <w:szCs w:val="18"/>
          </w:rPr>
          <w:t>Australian Government Charging Policy</w:t>
        </w:r>
      </w:hyperlink>
      <w:r w:rsidRPr="00E0763C">
        <w:rPr>
          <w:sz w:val="18"/>
          <w:szCs w:val="18"/>
        </w:rPr>
        <w:t xml:space="preserve"> when considering a cost-recovery arrangement</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1E44B" w14:textId="77777777" w:rsidR="004A3A1A" w:rsidRDefault="004A3A1A" w:rsidP="00303C55">
    <w:pPr>
      <w:pStyle w:val="Header"/>
      <w:jc w:val="center"/>
    </w:pPr>
    <w:r>
      <w:rPr>
        <w:noProof/>
        <w:lang w:eastAsia="en-AU"/>
      </w:rPr>
      <mc:AlternateContent>
        <mc:Choice Requires="wps">
          <w:drawing>
            <wp:anchor distT="0" distB="0" distL="114300" distR="114300" simplePos="0" relativeHeight="251656192" behindDoc="1" locked="0" layoutInCell="1" allowOverlap="1" wp14:anchorId="30B667F9" wp14:editId="60BF8DA7">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C2C20" id="Straight Connector 102"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" strokecolor="black [3200]" strokeweight=".5pt">
              <v:stroke joinstyle="miter"/>
              <w10:wrap anchory="page"/>
            </v:line>
          </w:pict>
        </mc:Fallback>
      </mc:AlternateContent>
    </w:r>
    <w:sdt>
      <w:sdtPr>
        <w:alias w:val="Classification"/>
        <w:tag w:val="Classification"/>
        <w:id w:val="848293828"/>
        <w:placeholder>
          <w:docPart w:val="A52E90452A5043B1802CAA4AC89F4028"/>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D2A2" w14:textId="7B17A843" w:rsidR="006732CB" w:rsidRDefault="00673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1E644" w14:textId="07215013" w:rsidR="00037513" w:rsidRPr="0084152F" w:rsidRDefault="006952DB" w:rsidP="00463531">
    <w:pPr>
      <w:pStyle w:val="Classification"/>
      <w:rPr>
        <w:rFonts w:ascii="Segoe UI Semibold" w:hAnsi="Segoe UI Semibold" w:cs="Segoe UI Semibold"/>
      </w:rPr>
    </w:pPr>
    <w:r w:rsidRPr="0084152F">
      <w:rPr>
        <w:rFonts w:ascii="Segoe UI Semibold" w:hAnsi="Segoe UI Semibold" w:cs="Segoe UI Semibold"/>
      </w:rPr>
      <w:fldChar w:fldCharType="begin"/>
    </w:r>
    <w:r w:rsidRPr="0084152F">
      <w:rPr>
        <w:rFonts w:ascii="Segoe UI Semibold" w:hAnsi="Segoe UI Semibold" w:cs="Segoe UI Semibold"/>
      </w:rPr>
      <w:instrText xml:space="preserve"> STYLEREF  Classification  \* MERGEFORMAT </w:instrText>
    </w:r>
    <w:r w:rsidRPr="0084152F">
      <w:rPr>
        <w:rFonts w:ascii="Segoe UI Semibold" w:hAnsi="Segoe UI Semibold" w:cs="Segoe UI Semibold"/>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B96"/>
    <w:multiLevelType w:val="hybridMultilevel"/>
    <w:tmpl w:val="A2CE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31839"/>
    <w:multiLevelType w:val="multilevel"/>
    <w:tmpl w:val="E15666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13052"/>
    <w:multiLevelType w:val="hybridMultilevel"/>
    <w:tmpl w:val="E83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72DF8"/>
    <w:multiLevelType w:val="multilevel"/>
    <w:tmpl w:val="85E2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4A94A62"/>
    <w:multiLevelType w:val="multilevel"/>
    <w:tmpl w:val="C6B2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070E0"/>
    <w:multiLevelType w:val="multilevel"/>
    <w:tmpl w:val="297C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33B02539"/>
    <w:multiLevelType w:val="hybridMultilevel"/>
    <w:tmpl w:val="6F9C41D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362A3782"/>
    <w:multiLevelType w:val="hybridMultilevel"/>
    <w:tmpl w:val="78F6E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3D6CED"/>
    <w:multiLevelType w:val="hybridMultilevel"/>
    <w:tmpl w:val="801E8862"/>
    <w:lvl w:ilvl="0" w:tplc="8020E128">
      <w:start w:val="1"/>
      <w:numFmt w:val="decimal"/>
      <w:lvlText w:val="%1."/>
      <w:lvlJc w:val="left"/>
      <w:pPr>
        <w:ind w:left="1420" w:hanging="360"/>
      </w:pPr>
    </w:lvl>
    <w:lvl w:ilvl="1" w:tplc="8C9A6B14">
      <w:start w:val="1"/>
      <w:numFmt w:val="bullet"/>
      <w:lvlText w:val=""/>
      <w:lvlJc w:val="left"/>
      <w:pPr>
        <w:ind w:left="1400" w:hanging="360"/>
      </w:pPr>
      <w:rPr>
        <w:rFonts w:ascii="Symbol" w:hAnsi="Symbol"/>
      </w:rPr>
    </w:lvl>
    <w:lvl w:ilvl="2" w:tplc="590A35AE">
      <w:start w:val="1"/>
      <w:numFmt w:val="decimal"/>
      <w:lvlText w:val="%3."/>
      <w:lvlJc w:val="left"/>
      <w:pPr>
        <w:ind w:left="1420" w:hanging="360"/>
      </w:pPr>
    </w:lvl>
    <w:lvl w:ilvl="3" w:tplc="AEBE319E">
      <w:start w:val="1"/>
      <w:numFmt w:val="decimal"/>
      <w:lvlText w:val="%4."/>
      <w:lvlJc w:val="left"/>
      <w:pPr>
        <w:ind w:left="1420" w:hanging="360"/>
      </w:pPr>
    </w:lvl>
    <w:lvl w:ilvl="4" w:tplc="BFEAE72A">
      <w:start w:val="1"/>
      <w:numFmt w:val="decimal"/>
      <w:lvlText w:val="%5."/>
      <w:lvlJc w:val="left"/>
      <w:pPr>
        <w:ind w:left="1420" w:hanging="360"/>
      </w:pPr>
    </w:lvl>
    <w:lvl w:ilvl="5" w:tplc="CA60621E">
      <w:start w:val="1"/>
      <w:numFmt w:val="decimal"/>
      <w:lvlText w:val="%6."/>
      <w:lvlJc w:val="left"/>
      <w:pPr>
        <w:ind w:left="1420" w:hanging="360"/>
      </w:pPr>
    </w:lvl>
    <w:lvl w:ilvl="6" w:tplc="8BA6C7E8">
      <w:start w:val="1"/>
      <w:numFmt w:val="decimal"/>
      <w:lvlText w:val="%7."/>
      <w:lvlJc w:val="left"/>
      <w:pPr>
        <w:ind w:left="1420" w:hanging="360"/>
      </w:pPr>
    </w:lvl>
    <w:lvl w:ilvl="7" w:tplc="A1723860">
      <w:start w:val="1"/>
      <w:numFmt w:val="decimal"/>
      <w:lvlText w:val="%8."/>
      <w:lvlJc w:val="left"/>
      <w:pPr>
        <w:ind w:left="1420" w:hanging="360"/>
      </w:pPr>
    </w:lvl>
    <w:lvl w:ilvl="8" w:tplc="0B449D12">
      <w:start w:val="1"/>
      <w:numFmt w:val="decimal"/>
      <w:lvlText w:val="%9."/>
      <w:lvlJc w:val="left"/>
      <w:pPr>
        <w:ind w:left="1420" w:hanging="360"/>
      </w:pPr>
    </w:lvl>
  </w:abstractNum>
  <w:abstractNum w:abstractNumId="14"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5" w15:restartNumberingAfterBreak="0">
    <w:nsid w:val="4B2D4084"/>
    <w:multiLevelType w:val="hybridMultilevel"/>
    <w:tmpl w:val="E460C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EC6808"/>
    <w:multiLevelType w:val="multilevel"/>
    <w:tmpl w:val="AAB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54793D"/>
    <w:multiLevelType w:val="multilevel"/>
    <w:tmpl w:val="9D86B6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382EFF"/>
    <w:multiLevelType w:val="hybridMultilevel"/>
    <w:tmpl w:val="3D762B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2C1FF1"/>
    <w:multiLevelType w:val="hybridMultilevel"/>
    <w:tmpl w:val="2C46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035DC7"/>
    <w:multiLevelType w:val="hybridMultilevel"/>
    <w:tmpl w:val="A532E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6D4DEC"/>
    <w:multiLevelType w:val="hybridMultilevel"/>
    <w:tmpl w:val="1A440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E6694E"/>
    <w:multiLevelType w:val="multilevel"/>
    <w:tmpl w:val="4CB2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81499F"/>
    <w:multiLevelType w:val="hybridMultilevel"/>
    <w:tmpl w:val="37D2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906F91"/>
    <w:multiLevelType w:val="multilevel"/>
    <w:tmpl w:val="D20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747BC3"/>
    <w:multiLevelType w:val="hybridMultilevel"/>
    <w:tmpl w:val="9C084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257E9F"/>
    <w:multiLevelType w:val="hybridMultilevel"/>
    <w:tmpl w:val="EBC8F9E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8" w15:restartNumberingAfterBreak="0">
    <w:nsid w:val="75E11944"/>
    <w:multiLevelType w:val="multilevel"/>
    <w:tmpl w:val="032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D00004"/>
    <w:multiLevelType w:val="hybridMultilevel"/>
    <w:tmpl w:val="D046A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9786036">
    <w:abstractNumId w:val="3"/>
  </w:num>
  <w:num w:numId="2" w16cid:durableId="829444174">
    <w:abstractNumId w:val="2"/>
  </w:num>
  <w:num w:numId="3" w16cid:durableId="1983120973">
    <w:abstractNumId w:val="26"/>
  </w:num>
  <w:num w:numId="4" w16cid:durableId="571626678">
    <w:abstractNumId w:val="10"/>
  </w:num>
  <w:num w:numId="5" w16cid:durableId="2081364710">
    <w:abstractNumId w:val="29"/>
  </w:num>
  <w:num w:numId="6" w16cid:durableId="290210749">
    <w:abstractNumId w:val="14"/>
  </w:num>
  <w:num w:numId="7" w16cid:durableId="940137813">
    <w:abstractNumId w:val="9"/>
  </w:num>
  <w:num w:numId="8" w16cid:durableId="1842886605">
    <w:abstractNumId w:val="6"/>
  </w:num>
  <w:num w:numId="9" w16cid:durableId="1448817918">
    <w:abstractNumId w:val="5"/>
  </w:num>
  <w:num w:numId="10" w16cid:durableId="795568995">
    <w:abstractNumId w:val="28"/>
  </w:num>
  <w:num w:numId="11" w16cid:durableId="816217292">
    <w:abstractNumId w:val="24"/>
  </w:num>
  <w:num w:numId="12" w16cid:durableId="1302153440">
    <w:abstractNumId w:val="7"/>
  </w:num>
  <w:num w:numId="13" w16cid:durableId="1380737463">
    <w:abstractNumId w:val="1"/>
  </w:num>
  <w:num w:numId="14" w16cid:durableId="97457982">
    <w:abstractNumId w:val="16"/>
  </w:num>
  <w:num w:numId="15" w16cid:durableId="744106547">
    <w:abstractNumId w:val="8"/>
  </w:num>
  <w:num w:numId="16" w16cid:durableId="730884894">
    <w:abstractNumId w:val="11"/>
  </w:num>
  <w:num w:numId="17" w16cid:durableId="1610965952">
    <w:abstractNumId w:val="4"/>
  </w:num>
  <w:num w:numId="18" w16cid:durableId="122356043">
    <w:abstractNumId w:val="19"/>
  </w:num>
  <w:num w:numId="19" w16cid:durableId="1351369307">
    <w:abstractNumId w:val="21"/>
  </w:num>
  <w:num w:numId="20" w16cid:durableId="780608469">
    <w:abstractNumId w:val="23"/>
  </w:num>
  <w:num w:numId="21" w16cid:durableId="1714842709">
    <w:abstractNumId w:val="17"/>
  </w:num>
  <w:num w:numId="22" w16cid:durableId="1988045325">
    <w:abstractNumId w:val="20"/>
  </w:num>
  <w:num w:numId="23" w16cid:durableId="281159478">
    <w:abstractNumId w:val="0"/>
  </w:num>
  <w:num w:numId="24" w16cid:durableId="1503163995">
    <w:abstractNumId w:val="15"/>
  </w:num>
  <w:num w:numId="25" w16cid:durableId="771823068">
    <w:abstractNumId w:val="18"/>
  </w:num>
  <w:num w:numId="26" w16cid:durableId="1475180960">
    <w:abstractNumId w:val="12"/>
  </w:num>
  <w:num w:numId="27" w16cid:durableId="747652967">
    <w:abstractNumId w:val="30"/>
  </w:num>
  <w:num w:numId="28" w16cid:durableId="857961931">
    <w:abstractNumId w:val="13"/>
  </w:num>
  <w:num w:numId="29" w16cid:durableId="1757749302">
    <w:abstractNumId w:val="27"/>
  </w:num>
  <w:num w:numId="30" w16cid:durableId="969937693">
    <w:abstractNumId w:val="22"/>
  </w:num>
  <w:num w:numId="31" w16cid:durableId="229270803">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D64"/>
    <w:rsid w:val="00000292"/>
    <w:rsid w:val="0000045A"/>
    <w:rsid w:val="00000547"/>
    <w:rsid w:val="0000107B"/>
    <w:rsid w:val="000013A9"/>
    <w:rsid w:val="0000156D"/>
    <w:rsid w:val="00001C7A"/>
    <w:rsid w:val="00001D1B"/>
    <w:rsid w:val="00001D3E"/>
    <w:rsid w:val="00001F1F"/>
    <w:rsid w:val="00002809"/>
    <w:rsid w:val="000034E5"/>
    <w:rsid w:val="00003F1F"/>
    <w:rsid w:val="000046D6"/>
    <w:rsid w:val="00004D20"/>
    <w:rsid w:val="00005249"/>
    <w:rsid w:val="00005300"/>
    <w:rsid w:val="00005BEA"/>
    <w:rsid w:val="000109BF"/>
    <w:rsid w:val="000117C5"/>
    <w:rsid w:val="00012027"/>
    <w:rsid w:val="000120EF"/>
    <w:rsid w:val="000143B2"/>
    <w:rsid w:val="000157F8"/>
    <w:rsid w:val="000169AA"/>
    <w:rsid w:val="00017038"/>
    <w:rsid w:val="000170B7"/>
    <w:rsid w:val="00017260"/>
    <w:rsid w:val="0001751A"/>
    <w:rsid w:val="00017C2E"/>
    <w:rsid w:val="00020DF8"/>
    <w:rsid w:val="00022805"/>
    <w:rsid w:val="00024918"/>
    <w:rsid w:val="00025940"/>
    <w:rsid w:val="00026319"/>
    <w:rsid w:val="00026526"/>
    <w:rsid w:val="00027038"/>
    <w:rsid w:val="000270E7"/>
    <w:rsid w:val="00027424"/>
    <w:rsid w:val="00027881"/>
    <w:rsid w:val="00027EBF"/>
    <w:rsid w:val="0003055E"/>
    <w:rsid w:val="0003154E"/>
    <w:rsid w:val="00031F7F"/>
    <w:rsid w:val="00032D73"/>
    <w:rsid w:val="00032E58"/>
    <w:rsid w:val="00037076"/>
    <w:rsid w:val="00037513"/>
    <w:rsid w:val="0003778C"/>
    <w:rsid w:val="000379F8"/>
    <w:rsid w:val="00040D61"/>
    <w:rsid w:val="0004138D"/>
    <w:rsid w:val="00041672"/>
    <w:rsid w:val="000417E8"/>
    <w:rsid w:val="00041EE0"/>
    <w:rsid w:val="00043080"/>
    <w:rsid w:val="0004316B"/>
    <w:rsid w:val="0004371F"/>
    <w:rsid w:val="000444FB"/>
    <w:rsid w:val="00045130"/>
    <w:rsid w:val="000451D2"/>
    <w:rsid w:val="00045C2D"/>
    <w:rsid w:val="00046A0A"/>
    <w:rsid w:val="00047168"/>
    <w:rsid w:val="000475AF"/>
    <w:rsid w:val="00047A32"/>
    <w:rsid w:val="00050316"/>
    <w:rsid w:val="00050B3D"/>
    <w:rsid w:val="00050E86"/>
    <w:rsid w:val="00050EE9"/>
    <w:rsid w:val="000517F5"/>
    <w:rsid w:val="00051A65"/>
    <w:rsid w:val="0005259D"/>
    <w:rsid w:val="00052E15"/>
    <w:rsid w:val="00053D85"/>
    <w:rsid w:val="00053F0E"/>
    <w:rsid w:val="00054AAB"/>
    <w:rsid w:val="00054D07"/>
    <w:rsid w:val="00054DEB"/>
    <w:rsid w:val="00055908"/>
    <w:rsid w:val="0005748B"/>
    <w:rsid w:val="000575A3"/>
    <w:rsid w:val="00057A3D"/>
    <w:rsid w:val="00057D7E"/>
    <w:rsid w:val="00057EE6"/>
    <w:rsid w:val="000622B0"/>
    <w:rsid w:val="0006257F"/>
    <w:rsid w:val="000630CA"/>
    <w:rsid w:val="00063912"/>
    <w:rsid w:val="00063E0B"/>
    <w:rsid w:val="00064CDC"/>
    <w:rsid w:val="00064FD2"/>
    <w:rsid w:val="00065601"/>
    <w:rsid w:val="0006627F"/>
    <w:rsid w:val="00066C12"/>
    <w:rsid w:val="00066D39"/>
    <w:rsid w:val="000672F0"/>
    <w:rsid w:val="00067643"/>
    <w:rsid w:val="00067A2C"/>
    <w:rsid w:val="00067E23"/>
    <w:rsid w:val="00070D2D"/>
    <w:rsid w:val="00070D62"/>
    <w:rsid w:val="00072626"/>
    <w:rsid w:val="00072699"/>
    <w:rsid w:val="00072B24"/>
    <w:rsid w:val="00073228"/>
    <w:rsid w:val="00075807"/>
    <w:rsid w:val="000761AF"/>
    <w:rsid w:val="00076EDD"/>
    <w:rsid w:val="00076EF0"/>
    <w:rsid w:val="00077236"/>
    <w:rsid w:val="00077CE6"/>
    <w:rsid w:val="00080614"/>
    <w:rsid w:val="0008080A"/>
    <w:rsid w:val="00080BB0"/>
    <w:rsid w:val="0008148A"/>
    <w:rsid w:val="00081F9A"/>
    <w:rsid w:val="00082149"/>
    <w:rsid w:val="00082568"/>
    <w:rsid w:val="00084107"/>
    <w:rsid w:val="000848FE"/>
    <w:rsid w:val="000866E3"/>
    <w:rsid w:val="000878DA"/>
    <w:rsid w:val="00091274"/>
    <w:rsid w:val="00092279"/>
    <w:rsid w:val="00092368"/>
    <w:rsid w:val="00093946"/>
    <w:rsid w:val="00095A97"/>
    <w:rsid w:val="00096465"/>
    <w:rsid w:val="0009720E"/>
    <w:rsid w:val="000974B8"/>
    <w:rsid w:val="000975EF"/>
    <w:rsid w:val="000976D1"/>
    <w:rsid w:val="0009776D"/>
    <w:rsid w:val="000A13B2"/>
    <w:rsid w:val="000A24D2"/>
    <w:rsid w:val="000A40A0"/>
    <w:rsid w:val="000A42B8"/>
    <w:rsid w:val="000A4505"/>
    <w:rsid w:val="000A46F6"/>
    <w:rsid w:val="000A4DAF"/>
    <w:rsid w:val="000A4EDA"/>
    <w:rsid w:val="000A518C"/>
    <w:rsid w:val="000A51D1"/>
    <w:rsid w:val="000A5672"/>
    <w:rsid w:val="000A6079"/>
    <w:rsid w:val="000A61D3"/>
    <w:rsid w:val="000A6606"/>
    <w:rsid w:val="000A721F"/>
    <w:rsid w:val="000A7FC4"/>
    <w:rsid w:val="000B068D"/>
    <w:rsid w:val="000B0834"/>
    <w:rsid w:val="000B0A92"/>
    <w:rsid w:val="000B142F"/>
    <w:rsid w:val="000B2ED8"/>
    <w:rsid w:val="000B3417"/>
    <w:rsid w:val="000B3C87"/>
    <w:rsid w:val="000B3CA6"/>
    <w:rsid w:val="000B442B"/>
    <w:rsid w:val="000B4A75"/>
    <w:rsid w:val="000B53C2"/>
    <w:rsid w:val="000B5A3C"/>
    <w:rsid w:val="000B66DC"/>
    <w:rsid w:val="000B6A28"/>
    <w:rsid w:val="000B6E5C"/>
    <w:rsid w:val="000B7096"/>
    <w:rsid w:val="000B7778"/>
    <w:rsid w:val="000B7FFB"/>
    <w:rsid w:val="000C104A"/>
    <w:rsid w:val="000C1234"/>
    <w:rsid w:val="000C1D79"/>
    <w:rsid w:val="000C3587"/>
    <w:rsid w:val="000C3805"/>
    <w:rsid w:val="000C39FD"/>
    <w:rsid w:val="000C3A04"/>
    <w:rsid w:val="000C3BC3"/>
    <w:rsid w:val="000C45A5"/>
    <w:rsid w:val="000C5646"/>
    <w:rsid w:val="000C5E78"/>
    <w:rsid w:val="000C61A6"/>
    <w:rsid w:val="000C731B"/>
    <w:rsid w:val="000C7719"/>
    <w:rsid w:val="000C77AD"/>
    <w:rsid w:val="000C7D59"/>
    <w:rsid w:val="000D05D3"/>
    <w:rsid w:val="000D0E55"/>
    <w:rsid w:val="000D12F3"/>
    <w:rsid w:val="000D2A0C"/>
    <w:rsid w:val="000D2A45"/>
    <w:rsid w:val="000D2F8D"/>
    <w:rsid w:val="000D3FC6"/>
    <w:rsid w:val="000D5370"/>
    <w:rsid w:val="000D5C3E"/>
    <w:rsid w:val="000D61FB"/>
    <w:rsid w:val="000D6D50"/>
    <w:rsid w:val="000D749D"/>
    <w:rsid w:val="000D7530"/>
    <w:rsid w:val="000E0DD3"/>
    <w:rsid w:val="000E169D"/>
    <w:rsid w:val="000E247D"/>
    <w:rsid w:val="000E2761"/>
    <w:rsid w:val="000E287D"/>
    <w:rsid w:val="000E3970"/>
    <w:rsid w:val="000E3EB1"/>
    <w:rsid w:val="000E46DF"/>
    <w:rsid w:val="000E4FB6"/>
    <w:rsid w:val="000E5859"/>
    <w:rsid w:val="000E686C"/>
    <w:rsid w:val="000E74F3"/>
    <w:rsid w:val="000E7522"/>
    <w:rsid w:val="000E78EC"/>
    <w:rsid w:val="000E7951"/>
    <w:rsid w:val="000F086A"/>
    <w:rsid w:val="000F1249"/>
    <w:rsid w:val="000F1E98"/>
    <w:rsid w:val="000F1F97"/>
    <w:rsid w:val="000F21F1"/>
    <w:rsid w:val="000F2672"/>
    <w:rsid w:val="000F3884"/>
    <w:rsid w:val="000F3FD9"/>
    <w:rsid w:val="000F4513"/>
    <w:rsid w:val="000F55A6"/>
    <w:rsid w:val="000F705D"/>
    <w:rsid w:val="0010088C"/>
    <w:rsid w:val="00100EE5"/>
    <w:rsid w:val="001012F5"/>
    <w:rsid w:val="00101727"/>
    <w:rsid w:val="00103020"/>
    <w:rsid w:val="00103757"/>
    <w:rsid w:val="00104F63"/>
    <w:rsid w:val="00104FC9"/>
    <w:rsid w:val="0010601D"/>
    <w:rsid w:val="00106865"/>
    <w:rsid w:val="00106C3E"/>
    <w:rsid w:val="001076DE"/>
    <w:rsid w:val="00107773"/>
    <w:rsid w:val="00107AFC"/>
    <w:rsid w:val="00110E53"/>
    <w:rsid w:val="001117A1"/>
    <w:rsid w:val="0011196B"/>
    <w:rsid w:val="00111A83"/>
    <w:rsid w:val="00111AF0"/>
    <w:rsid w:val="00111CD8"/>
    <w:rsid w:val="00112257"/>
    <w:rsid w:val="00112D28"/>
    <w:rsid w:val="00113E7E"/>
    <w:rsid w:val="0011449C"/>
    <w:rsid w:val="00115264"/>
    <w:rsid w:val="00115573"/>
    <w:rsid w:val="00116003"/>
    <w:rsid w:val="0011650F"/>
    <w:rsid w:val="001167B7"/>
    <w:rsid w:val="00116B08"/>
    <w:rsid w:val="0011742D"/>
    <w:rsid w:val="00117567"/>
    <w:rsid w:val="00117A77"/>
    <w:rsid w:val="00117F88"/>
    <w:rsid w:val="001200CA"/>
    <w:rsid w:val="00120FC6"/>
    <w:rsid w:val="00121624"/>
    <w:rsid w:val="001219F6"/>
    <w:rsid w:val="0012221D"/>
    <w:rsid w:val="00122466"/>
    <w:rsid w:val="0012248B"/>
    <w:rsid w:val="00122A34"/>
    <w:rsid w:val="0012331E"/>
    <w:rsid w:val="00123332"/>
    <w:rsid w:val="001235D1"/>
    <w:rsid w:val="00123B74"/>
    <w:rsid w:val="00123ED8"/>
    <w:rsid w:val="00124D70"/>
    <w:rsid w:val="00124E89"/>
    <w:rsid w:val="00124F33"/>
    <w:rsid w:val="00124FFE"/>
    <w:rsid w:val="001256AD"/>
    <w:rsid w:val="00125B74"/>
    <w:rsid w:val="00125F38"/>
    <w:rsid w:val="0012658D"/>
    <w:rsid w:val="00126B66"/>
    <w:rsid w:val="001275A1"/>
    <w:rsid w:val="00127619"/>
    <w:rsid w:val="001308E4"/>
    <w:rsid w:val="00130FF1"/>
    <w:rsid w:val="001322F0"/>
    <w:rsid w:val="00133912"/>
    <w:rsid w:val="001346E9"/>
    <w:rsid w:val="00134808"/>
    <w:rsid w:val="001354B3"/>
    <w:rsid w:val="00135546"/>
    <w:rsid w:val="0013586B"/>
    <w:rsid w:val="00135870"/>
    <w:rsid w:val="0013623B"/>
    <w:rsid w:val="00136CCE"/>
    <w:rsid w:val="00137ADA"/>
    <w:rsid w:val="00137D2E"/>
    <w:rsid w:val="00137DE5"/>
    <w:rsid w:val="00137F3A"/>
    <w:rsid w:val="001404C2"/>
    <w:rsid w:val="00140EE9"/>
    <w:rsid w:val="00140FEE"/>
    <w:rsid w:val="00141C72"/>
    <w:rsid w:val="00141F8F"/>
    <w:rsid w:val="00142AF5"/>
    <w:rsid w:val="00142E9F"/>
    <w:rsid w:val="00143325"/>
    <w:rsid w:val="00144665"/>
    <w:rsid w:val="001458AF"/>
    <w:rsid w:val="00146548"/>
    <w:rsid w:val="00147195"/>
    <w:rsid w:val="00150046"/>
    <w:rsid w:val="00150194"/>
    <w:rsid w:val="00152B70"/>
    <w:rsid w:val="00154A6C"/>
    <w:rsid w:val="00154CA1"/>
    <w:rsid w:val="0015535C"/>
    <w:rsid w:val="001559A7"/>
    <w:rsid w:val="001578C3"/>
    <w:rsid w:val="00157C5B"/>
    <w:rsid w:val="00157F7A"/>
    <w:rsid w:val="001611BF"/>
    <w:rsid w:val="00162008"/>
    <w:rsid w:val="001621C3"/>
    <w:rsid w:val="0016221A"/>
    <w:rsid w:val="0016221B"/>
    <w:rsid w:val="00162298"/>
    <w:rsid w:val="00163481"/>
    <w:rsid w:val="001636E8"/>
    <w:rsid w:val="00164076"/>
    <w:rsid w:val="001648F0"/>
    <w:rsid w:val="00165CB9"/>
    <w:rsid w:val="0016620D"/>
    <w:rsid w:val="00166EEB"/>
    <w:rsid w:val="00167100"/>
    <w:rsid w:val="00167722"/>
    <w:rsid w:val="00170BF1"/>
    <w:rsid w:val="001722AB"/>
    <w:rsid w:val="001733BD"/>
    <w:rsid w:val="00173C60"/>
    <w:rsid w:val="001742CF"/>
    <w:rsid w:val="0017436A"/>
    <w:rsid w:val="00174DD4"/>
    <w:rsid w:val="00174FCE"/>
    <w:rsid w:val="001753E2"/>
    <w:rsid w:val="00175AA2"/>
    <w:rsid w:val="001769D5"/>
    <w:rsid w:val="00177478"/>
    <w:rsid w:val="00177933"/>
    <w:rsid w:val="001801FC"/>
    <w:rsid w:val="00180A09"/>
    <w:rsid w:val="00181042"/>
    <w:rsid w:val="001815D4"/>
    <w:rsid w:val="00181AC6"/>
    <w:rsid w:val="0018346E"/>
    <w:rsid w:val="00183C00"/>
    <w:rsid w:val="001844C5"/>
    <w:rsid w:val="00184B8D"/>
    <w:rsid w:val="00185052"/>
    <w:rsid w:val="001862D0"/>
    <w:rsid w:val="00187199"/>
    <w:rsid w:val="00187581"/>
    <w:rsid w:val="00190514"/>
    <w:rsid w:val="00190595"/>
    <w:rsid w:val="001908F0"/>
    <w:rsid w:val="00190954"/>
    <w:rsid w:val="00190BFD"/>
    <w:rsid w:val="00190C97"/>
    <w:rsid w:val="00192966"/>
    <w:rsid w:val="0019318A"/>
    <w:rsid w:val="00193A00"/>
    <w:rsid w:val="0019436F"/>
    <w:rsid w:val="0019521F"/>
    <w:rsid w:val="001954B4"/>
    <w:rsid w:val="001954E4"/>
    <w:rsid w:val="00195F65"/>
    <w:rsid w:val="0019703B"/>
    <w:rsid w:val="00197690"/>
    <w:rsid w:val="001978F0"/>
    <w:rsid w:val="001A02F7"/>
    <w:rsid w:val="001A0EFD"/>
    <w:rsid w:val="001A15B6"/>
    <w:rsid w:val="001A1619"/>
    <w:rsid w:val="001A203C"/>
    <w:rsid w:val="001A2ACE"/>
    <w:rsid w:val="001A372A"/>
    <w:rsid w:val="001A4F92"/>
    <w:rsid w:val="001A6D4B"/>
    <w:rsid w:val="001A7ECF"/>
    <w:rsid w:val="001B0BC1"/>
    <w:rsid w:val="001B10CD"/>
    <w:rsid w:val="001B1EC2"/>
    <w:rsid w:val="001B1ED7"/>
    <w:rsid w:val="001B2D56"/>
    <w:rsid w:val="001B331A"/>
    <w:rsid w:val="001B39ED"/>
    <w:rsid w:val="001B4C2A"/>
    <w:rsid w:val="001B4FA8"/>
    <w:rsid w:val="001B5F15"/>
    <w:rsid w:val="001B6384"/>
    <w:rsid w:val="001B6678"/>
    <w:rsid w:val="001B6688"/>
    <w:rsid w:val="001B74CF"/>
    <w:rsid w:val="001B78CC"/>
    <w:rsid w:val="001B7CF4"/>
    <w:rsid w:val="001C0ED0"/>
    <w:rsid w:val="001C16AC"/>
    <w:rsid w:val="001C3302"/>
    <w:rsid w:val="001C39C1"/>
    <w:rsid w:val="001C574D"/>
    <w:rsid w:val="001C5A4C"/>
    <w:rsid w:val="001C5D9D"/>
    <w:rsid w:val="001C6180"/>
    <w:rsid w:val="001C6656"/>
    <w:rsid w:val="001C68E7"/>
    <w:rsid w:val="001C7621"/>
    <w:rsid w:val="001C7780"/>
    <w:rsid w:val="001C7AC2"/>
    <w:rsid w:val="001C7BD2"/>
    <w:rsid w:val="001C7DCD"/>
    <w:rsid w:val="001D02A8"/>
    <w:rsid w:val="001D0C4C"/>
    <w:rsid w:val="001D1352"/>
    <w:rsid w:val="001D23D1"/>
    <w:rsid w:val="001D2859"/>
    <w:rsid w:val="001D2B50"/>
    <w:rsid w:val="001D35A1"/>
    <w:rsid w:val="001D3C4A"/>
    <w:rsid w:val="001D4711"/>
    <w:rsid w:val="001D4CA5"/>
    <w:rsid w:val="001D53A7"/>
    <w:rsid w:val="001D56A0"/>
    <w:rsid w:val="001D5D2E"/>
    <w:rsid w:val="001D6BD7"/>
    <w:rsid w:val="001E05F6"/>
    <w:rsid w:val="001E11A1"/>
    <w:rsid w:val="001E1462"/>
    <w:rsid w:val="001E38FC"/>
    <w:rsid w:val="001E432D"/>
    <w:rsid w:val="001E434F"/>
    <w:rsid w:val="001E4764"/>
    <w:rsid w:val="001E4CDD"/>
    <w:rsid w:val="001E552E"/>
    <w:rsid w:val="001E55FB"/>
    <w:rsid w:val="001E5BA1"/>
    <w:rsid w:val="001E5D37"/>
    <w:rsid w:val="001E5FDC"/>
    <w:rsid w:val="001E60D8"/>
    <w:rsid w:val="001E612D"/>
    <w:rsid w:val="001E6813"/>
    <w:rsid w:val="001E6A66"/>
    <w:rsid w:val="001E6AB2"/>
    <w:rsid w:val="001E7103"/>
    <w:rsid w:val="001F0269"/>
    <w:rsid w:val="001F06DA"/>
    <w:rsid w:val="001F0B62"/>
    <w:rsid w:val="001F0DD4"/>
    <w:rsid w:val="001F15C1"/>
    <w:rsid w:val="001F1634"/>
    <w:rsid w:val="001F16CD"/>
    <w:rsid w:val="001F1FE3"/>
    <w:rsid w:val="001F31EA"/>
    <w:rsid w:val="001F4839"/>
    <w:rsid w:val="001F483B"/>
    <w:rsid w:val="001F6AD7"/>
    <w:rsid w:val="001F7A00"/>
    <w:rsid w:val="001F7AB5"/>
    <w:rsid w:val="0020090C"/>
    <w:rsid w:val="00202364"/>
    <w:rsid w:val="00202BEC"/>
    <w:rsid w:val="002031AF"/>
    <w:rsid w:val="00203749"/>
    <w:rsid w:val="00203ABE"/>
    <w:rsid w:val="00204AA7"/>
    <w:rsid w:val="00206795"/>
    <w:rsid w:val="00206F89"/>
    <w:rsid w:val="00207DCF"/>
    <w:rsid w:val="002102D3"/>
    <w:rsid w:val="00210582"/>
    <w:rsid w:val="00211230"/>
    <w:rsid w:val="00211D95"/>
    <w:rsid w:val="00212266"/>
    <w:rsid w:val="00212443"/>
    <w:rsid w:val="00213210"/>
    <w:rsid w:val="0021466E"/>
    <w:rsid w:val="00214701"/>
    <w:rsid w:val="002167A2"/>
    <w:rsid w:val="00220DDA"/>
    <w:rsid w:val="00220E70"/>
    <w:rsid w:val="0022216E"/>
    <w:rsid w:val="002221F7"/>
    <w:rsid w:val="00223073"/>
    <w:rsid w:val="002234B2"/>
    <w:rsid w:val="0022388F"/>
    <w:rsid w:val="002266AF"/>
    <w:rsid w:val="002277D2"/>
    <w:rsid w:val="00227DB5"/>
    <w:rsid w:val="00230774"/>
    <w:rsid w:val="00230BC1"/>
    <w:rsid w:val="0023241F"/>
    <w:rsid w:val="00232D05"/>
    <w:rsid w:val="00233552"/>
    <w:rsid w:val="0023465B"/>
    <w:rsid w:val="00234BC3"/>
    <w:rsid w:val="00235795"/>
    <w:rsid w:val="00235C70"/>
    <w:rsid w:val="00235D84"/>
    <w:rsid w:val="002364BF"/>
    <w:rsid w:val="002368A9"/>
    <w:rsid w:val="00237AA8"/>
    <w:rsid w:val="00241F3B"/>
    <w:rsid w:val="0024303F"/>
    <w:rsid w:val="002430F2"/>
    <w:rsid w:val="0024344F"/>
    <w:rsid w:val="002438B5"/>
    <w:rsid w:val="0024417B"/>
    <w:rsid w:val="00247EFF"/>
    <w:rsid w:val="0025027B"/>
    <w:rsid w:val="00250FCB"/>
    <w:rsid w:val="00251C91"/>
    <w:rsid w:val="002525FE"/>
    <w:rsid w:val="00252F95"/>
    <w:rsid w:val="002532D2"/>
    <w:rsid w:val="0025391B"/>
    <w:rsid w:val="00254E21"/>
    <w:rsid w:val="00256752"/>
    <w:rsid w:val="00256759"/>
    <w:rsid w:val="002568B6"/>
    <w:rsid w:val="002573D7"/>
    <w:rsid w:val="00257BD4"/>
    <w:rsid w:val="00257C62"/>
    <w:rsid w:val="0026066D"/>
    <w:rsid w:val="00261928"/>
    <w:rsid w:val="00261AFF"/>
    <w:rsid w:val="00261F92"/>
    <w:rsid w:val="0026351A"/>
    <w:rsid w:val="00263F48"/>
    <w:rsid w:val="00263FEA"/>
    <w:rsid w:val="00266CCC"/>
    <w:rsid w:val="0026727F"/>
    <w:rsid w:val="00267AF9"/>
    <w:rsid w:val="00270316"/>
    <w:rsid w:val="00270572"/>
    <w:rsid w:val="00270A64"/>
    <w:rsid w:val="002710F8"/>
    <w:rsid w:val="00272AB0"/>
    <w:rsid w:val="00272ACD"/>
    <w:rsid w:val="00273F67"/>
    <w:rsid w:val="0027425F"/>
    <w:rsid w:val="002744C8"/>
    <w:rsid w:val="00274B3E"/>
    <w:rsid w:val="00274D42"/>
    <w:rsid w:val="00275B1F"/>
    <w:rsid w:val="0027728B"/>
    <w:rsid w:val="002772DE"/>
    <w:rsid w:val="00277703"/>
    <w:rsid w:val="00280CCD"/>
    <w:rsid w:val="00281AFD"/>
    <w:rsid w:val="0028258B"/>
    <w:rsid w:val="00282ACE"/>
    <w:rsid w:val="00284786"/>
    <w:rsid w:val="00285A61"/>
    <w:rsid w:val="00285CAF"/>
    <w:rsid w:val="002868C7"/>
    <w:rsid w:val="00286C77"/>
    <w:rsid w:val="0029111B"/>
    <w:rsid w:val="002912D2"/>
    <w:rsid w:val="00292B56"/>
    <w:rsid w:val="00295F9A"/>
    <w:rsid w:val="002965B2"/>
    <w:rsid w:val="00296972"/>
    <w:rsid w:val="00297E1D"/>
    <w:rsid w:val="002A0020"/>
    <w:rsid w:val="002A1B7F"/>
    <w:rsid w:val="002A2387"/>
    <w:rsid w:val="002A3723"/>
    <w:rsid w:val="002A399B"/>
    <w:rsid w:val="002A3C98"/>
    <w:rsid w:val="002A4765"/>
    <w:rsid w:val="002A512A"/>
    <w:rsid w:val="002A5868"/>
    <w:rsid w:val="002A5BB3"/>
    <w:rsid w:val="002A6215"/>
    <w:rsid w:val="002A69E6"/>
    <w:rsid w:val="002A6BE1"/>
    <w:rsid w:val="002A6C20"/>
    <w:rsid w:val="002B12EC"/>
    <w:rsid w:val="002B1C31"/>
    <w:rsid w:val="002B1E00"/>
    <w:rsid w:val="002B2077"/>
    <w:rsid w:val="002B2324"/>
    <w:rsid w:val="002B25CA"/>
    <w:rsid w:val="002B27BD"/>
    <w:rsid w:val="002B2F8F"/>
    <w:rsid w:val="002B3082"/>
    <w:rsid w:val="002B32E4"/>
    <w:rsid w:val="002B37F3"/>
    <w:rsid w:val="002B402B"/>
    <w:rsid w:val="002B44BA"/>
    <w:rsid w:val="002B5CFB"/>
    <w:rsid w:val="002B5FE7"/>
    <w:rsid w:val="002B6583"/>
    <w:rsid w:val="002B661A"/>
    <w:rsid w:val="002B6A3E"/>
    <w:rsid w:val="002B6EC2"/>
    <w:rsid w:val="002C05C8"/>
    <w:rsid w:val="002C128A"/>
    <w:rsid w:val="002C1314"/>
    <w:rsid w:val="002C2368"/>
    <w:rsid w:val="002C4294"/>
    <w:rsid w:val="002C4603"/>
    <w:rsid w:val="002C6135"/>
    <w:rsid w:val="002C7015"/>
    <w:rsid w:val="002C7A05"/>
    <w:rsid w:val="002C7B28"/>
    <w:rsid w:val="002D0A99"/>
    <w:rsid w:val="002D0D89"/>
    <w:rsid w:val="002D1308"/>
    <w:rsid w:val="002D136F"/>
    <w:rsid w:val="002D1686"/>
    <w:rsid w:val="002D195F"/>
    <w:rsid w:val="002D1D9B"/>
    <w:rsid w:val="002D203C"/>
    <w:rsid w:val="002D279A"/>
    <w:rsid w:val="002D40E8"/>
    <w:rsid w:val="002D46D3"/>
    <w:rsid w:val="002D480D"/>
    <w:rsid w:val="002D5C15"/>
    <w:rsid w:val="002D6B3D"/>
    <w:rsid w:val="002E01EE"/>
    <w:rsid w:val="002E0497"/>
    <w:rsid w:val="002E075F"/>
    <w:rsid w:val="002E0ABC"/>
    <w:rsid w:val="002E1B43"/>
    <w:rsid w:val="002E27BC"/>
    <w:rsid w:val="002E2CBE"/>
    <w:rsid w:val="002E361B"/>
    <w:rsid w:val="002E47A5"/>
    <w:rsid w:val="002E4C63"/>
    <w:rsid w:val="002E51E2"/>
    <w:rsid w:val="002E5352"/>
    <w:rsid w:val="002E576F"/>
    <w:rsid w:val="002E5916"/>
    <w:rsid w:val="002E5BD8"/>
    <w:rsid w:val="002E5C05"/>
    <w:rsid w:val="002E5FFF"/>
    <w:rsid w:val="002E6E0F"/>
    <w:rsid w:val="002F0FD4"/>
    <w:rsid w:val="002F1285"/>
    <w:rsid w:val="002F1967"/>
    <w:rsid w:val="002F21A7"/>
    <w:rsid w:val="002F24B1"/>
    <w:rsid w:val="002F25DF"/>
    <w:rsid w:val="002F3A27"/>
    <w:rsid w:val="002F43CB"/>
    <w:rsid w:val="002F44A4"/>
    <w:rsid w:val="002F4C0E"/>
    <w:rsid w:val="002F5FDB"/>
    <w:rsid w:val="002F7DE3"/>
    <w:rsid w:val="00300245"/>
    <w:rsid w:val="00300548"/>
    <w:rsid w:val="00300E19"/>
    <w:rsid w:val="00301128"/>
    <w:rsid w:val="00301528"/>
    <w:rsid w:val="0030167E"/>
    <w:rsid w:val="00302076"/>
    <w:rsid w:val="00302659"/>
    <w:rsid w:val="00303008"/>
    <w:rsid w:val="00303792"/>
    <w:rsid w:val="00303A4C"/>
    <w:rsid w:val="00303C55"/>
    <w:rsid w:val="00303D51"/>
    <w:rsid w:val="003042AA"/>
    <w:rsid w:val="003045E7"/>
    <w:rsid w:val="00304D18"/>
    <w:rsid w:val="003055E8"/>
    <w:rsid w:val="003058F0"/>
    <w:rsid w:val="003064CF"/>
    <w:rsid w:val="00306E20"/>
    <w:rsid w:val="00307478"/>
    <w:rsid w:val="00307526"/>
    <w:rsid w:val="00307683"/>
    <w:rsid w:val="003079A4"/>
    <w:rsid w:val="00307C22"/>
    <w:rsid w:val="00307CD5"/>
    <w:rsid w:val="00307D64"/>
    <w:rsid w:val="00311C2D"/>
    <w:rsid w:val="00312784"/>
    <w:rsid w:val="00313441"/>
    <w:rsid w:val="00313988"/>
    <w:rsid w:val="00313EE5"/>
    <w:rsid w:val="003144FA"/>
    <w:rsid w:val="00314C17"/>
    <w:rsid w:val="00315DEC"/>
    <w:rsid w:val="00316381"/>
    <w:rsid w:val="003165FB"/>
    <w:rsid w:val="00316ABE"/>
    <w:rsid w:val="00316F6C"/>
    <w:rsid w:val="00317030"/>
    <w:rsid w:val="00317F0E"/>
    <w:rsid w:val="0032089F"/>
    <w:rsid w:val="00322942"/>
    <w:rsid w:val="00323265"/>
    <w:rsid w:val="003246B1"/>
    <w:rsid w:val="003247EC"/>
    <w:rsid w:val="00324AE4"/>
    <w:rsid w:val="00324D28"/>
    <w:rsid w:val="0032515F"/>
    <w:rsid w:val="0032536F"/>
    <w:rsid w:val="00325C89"/>
    <w:rsid w:val="003264BE"/>
    <w:rsid w:val="0032676D"/>
    <w:rsid w:val="00326949"/>
    <w:rsid w:val="00327133"/>
    <w:rsid w:val="00327BE4"/>
    <w:rsid w:val="00327DE1"/>
    <w:rsid w:val="00327FC2"/>
    <w:rsid w:val="00330752"/>
    <w:rsid w:val="0033134C"/>
    <w:rsid w:val="003319FB"/>
    <w:rsid w:val="0033297F"/>
    <w:rsid w:val="00333C8F"/>
    <w:rsid w:val="00334417"/>
    <w:rsid w:val="00334DA5"/>
    <w:rsid w:val="00334DB3"/>
    <w:rsid w:val="00335010"/>
    <w:rsid w:val="00335039"/>
    <w:rsid w:val="00336328"/>
    <w:rsid w:val="00336F33"/>
    <w:rsid w:val="003378F5"/>
    <w:rsid w:val="00337FCE"/>
    <w:rsid w:val="00340512"/>
    <w:rsid w:val="00340566"/>
    <w:rsid w:val="00340B3F"/>
    <w:rsid w:val="00340FD2"/>
    <w:rsid w:val="00341521"/>
    <w:rsid w:val="00343025"/>
    <w:rsid w:val="0034339D"/>
    <w:rsid w:val="00344641"/>
    <w:rsid w:val="00345971"/>
    <w:rsid w:val="003464D9"/>
    <w:rsid w:val="00346A1D"/>
    <w:rsid w:val="00347657"/>
    <w:rsid w:val="0034768F"/>
    <w:rsid w:val="00350C31"/>
    <w:rsid w:val="0035188B"/>
    <w:rsid w:val="00353E0B"/>
    <w:rsid w:val="00353E5E"/>
    <w:rsid w:val="00355D52"/>
    <w:rsid w:val="00355EE8"/>
    <w:rsid w:val="00356386"/>
    <w:rsid w:val="00356902"/>
    <w:rsid w:val="00356EA3"/>
    <w:rsid w:val="00357176"/>
    <w:rsid w:val="00357304"/>
    <w:rsid w:val="00357CE7"/>
    <w:rsid w:val="003604FC"/>
    <w:rsid w:val="00361020"/>
    <w:rsid w:val="0036176E"/>
    <w:rsid w:val="00361CB2"/>
    <w:rsid w:val="0036205B"/>
    <w:rsid w:val="00362864"/>
    <w:rsid w:val="00363073"/>
    <w:rsid w:val="00363783"/>
    <w:rsid w:val="00364B9A"/>
    <w:rsid w:val="003663CA"/>
    <w:rsid w:val="00367753"/>
    <w:rsid w:val="00367C89"/>
    <w:rsid w:val="003711CB"/>
    <w:rsid w:val="00371A5F"/>
    <w:rsid w:val="00371B2E"/>
    <w:rsid w:val="0037310E"/>
    <w:rsid w:val="003735E3"/>
    <w:rsid w:val="00374681"/>
    <w:rsid w:val="00374D2A"/>
    <w:rsid w:val="00376E02"/>
    <w:rsid w:val="00376FE6"/>
    <w:rsid w:val="0037759C"/>
    <w:rsid w:val="00381A04"/>
    <w:rsid w:val="00382848"/>
    <w:rsid w:val="003830B8"/>
    <w:rsid w:val="003832DF"/>
    <w:rsid w:val="003833B1"/>
    <w:rsid w:val="00383411"/>
    <w:rsid w:val="003836C4"/>
    <w:rsid w:val="00383D35"/>
    <w:rsid w:val="00383FBD"/>
    <w:rsid w:val="00384668"/>
    <w:rsid w:val="00384AC2"/>
    <w:rsid w:val="003853D3"/>
    <w:rsid w:val="00385938"/>
    <w:rsid w:val="00385BD5"/>
    <w:rsid w:val="003861C7"/>
    <w:rsid w:val="00386BFE"/>
    <w:rsid w:val="00390512"/>
    <w:rsid w:val="003914B7"/>
    <w:rsid w:val="00391898"/>
    <w:rsid w:val="00391D22"/>
    <w:rsid w:val="003928E4"/>
    <w:rsid w:val="00392A93"/>
    <w:rsid w:val="00392EF3"/>
    <w:rsid w:val="00393785"/>
    <w:rsid w:val="00393A48"/>
    <w:rsid w:val="00393BFE"/>
    <w:rsid w:val="0039487B"/>
    <w:rsid w:val="00394F8C"/>
    <w:rsid w:val="00395121"/>
    <w:rsid w:val="00395A85"/>
    <w:rsid w:val="00396C60"/>
    <w:rsid w:val="003972B3"/>
    <w:rsid w:val="003976C7"/>
    <w:rsid w:val="003A0B99"/>
    <w:rsid w:val="003A114B"/>
    <w:rsid w:val="003A3068"/>
    <w:rsid w:val="003A38B3"/>
    <w:rsid w:val="003A4A7B"/>
    <w:rsid w:val="003A4F59"/>
    <w:rsid w:val="003A5142"/>
    <w:rsid w:val="003A5369"/>
    <w:rsid w:val="003A56AE"/>
    <w:rsid w:val="003A5AA3"/>
    <w:rsid w:val="003A5CB9"/>
    <w:rsid w:val="003A61FC"/>
    <w:rsid w:val="003A7A29"/>
    <w:rsid w:val="003B06CE"/>
    <w:rsid w:val="003B0785"/>
    <w:rsid w:val="003B15B1"/>
    <w:rsid w:val="003B2679"/>
    <w:rsid w:val="003B4CFA"/>
    <w:rsid w:val="003B5063"/>
    <w:rsid w:val="003B555C"/>
    <w:rsid w:val="003B5571"/>
    <w:rsid w:val="003B57B8"/>
    <w:rsid w:val="003B606F"/>
    <w:rsid w:val="003B691C"/>
    <w:rsid w:val="003B7192"/>
    <w:rsid w:val="003C0930"/>
    <w:rsid w:val="003C09AE"/>
    <w:rsid w:val="003C10B2"/>
    <w:rsid w:val="003C1520"/>
    <w:rsid w:val="003C181D"/>
    <w:rsid w:val="003C19DD"/>
    <w:rsid w:val="003C24BA"/>
    <w:rsid w:val="003C280B"/>
    <w:rsid w:val="003C2A07"/>
    <w:rsid w:val="003C308A"/>
    <w:rsid w:val="003C327F"/>
    <w:rsid w:val="003C3322"/>
    <w:rsid w:val="003C37D8"/>
    <w:rsid w:val="003C3A33"/>
    <w:rsid w:val="003C43A1"/>
    <w:rsid w:val="003C53F0"/>
    <w:rsid w:val="003C5893"/>
    <w:rsid w:val="003C5A49"/>
    <w:rsid w:val="003C6418"/>
    <w:rsid w:val="003C64E8"/>
    <w:rsid w:val="003C7742"/>
    <w:rsid w:val="003C79BE"/>
    <w:rsid w:val="003C7F6E"/>
    <w:rsid w:val="003D0DB2"/>
    <w:rsid w:val="003D1352"/>
    <w:rsid w:val="003D154B"/>
    <w:rsid w:val="003D204A"/>
    <w:rsid w:val="003D2D18"/>
    <w:rsid w:val="003D2FA4"/>
    <w:rsid w:val="003D4A06"/>
    <w:rsid w:val="003D4D94"/>
    <w:rsid w:val="003D6331"/>
    <w:rsid w:val="003D6402"/>
    <w:rsid w:val="003D676D"/>
    <w:rsid w:val="003D709C"/>
    <w:rsid w:val="003D7599"/>
    <w:rsid w:val="003E0096"/>
    <w:rsid w:val="003E083F"/>
    <w:rsid w:val="003E0D32"/>
    <w:rsid w:val="003E1383"/>
    <w:rsid w:val="003E1ACA"/>
    <w:rsid w:val="003E2C65"/>
    <w:rsid w:val="003E442C"/>
    <w:rsid w:val="003E50B7"/>
    <w:rsid w:val="003E5254"/>
    <w:rsid w:val="003E570B"/>
    <w:rsid w:val="003E5746"/>
    <w:rsid w:val="003E5AFE"/>
    <w:rsid w:val="003E61EF"/>
    <w:rsid w:val="003E6843"/>
    <w:rsid w:val="003E7136"/>
    <w:rsid w:val="003E77BF"/>
    <w:rsid w:val="003E7BA3"/>
    <w:rsid w:val="003E7C88"/>
    <w:rsid w:val="003E7CF1"/>
    <w:rsid w:val="003F035A"/>
    <w:rsid w:val="003F04B6"/>
    <w:rsid w:val="003F0955"/>
    <w:rsid w:val="003F15D7"/>
    <w:rsid w:val="003F1A53"/>
    <w:rsid w:val="003F20E8"/>
    <w:rsid w:val="003F2357"/>
    <w:rsid w:val="003F23E9"/>
    <w:rsid w:val="003F3D6A"/>
    <w:rsid w:val="003F419B"/>
    <w:rsid w:val="003F56F2"/>
    <w:rsid w:val="003F576E"/>
    <w:rsid w:val="003F5AB3"/>
    <w:rsid w:val="003F663E"/>
    <w:rsid w:val="003F7FDC"/>
    <w:rsid w:val="0040060E"/>
    <w:rsid w:val="004015E8"/>
    <w:rsid w:val="00401643"/>
    <w:rsid w:val="004016B5"/>
    <w:rsid w:val="004029B8"/>
    <w:rsid w:val="004033E8"/>
    <w:rsid w:val="004041A5"/>
    <w:rsid w:val="004051F5"/>
    <w:rsid w:val="0040596A"/>
    <w:rsid w:val="00406204"/>
    <w:rsid w:val="004069C4"/>
    <w:rsid w:val="00410011"/>
    <w:rsid w:val="004107E5"/>
    <w:rsid w:val="00411642"/>
    <w:rsid w:val="00412C7F"/>
    <w:rsid w:val="004139B6"/>
    <w:rsid w:val="00414C12"/>
    <w:rsid w:val="0041508C"/>
    <w:rsid w:val="0041578B"/>
    <w:rsid w:val="00415B38"/>
    <w:rsid w:val="004169AD"/>
    <w:rsid w:val="004170C6"/>
    <w:rsid w:val="00417A55"/>
    <w:rsid w:val="00417C6E"/>
    <w:rsid w:val="004200A4"/>
    <w:rsid w:val="0042029D"/>
    <w:rsid w:val="00420463"/>
    <w:rsid w:val="0042077C"/>
    <w:rsid w:val="00420860"/>
    <w:rsid w:val="00421992"/>
    <w:rsid w:val="00421EBA"/>
    <w:rsid w:val="00421FD8"/>
    <w:rsid w:val="0042263B"/>
    <w:rsid w:val="00422701"/>
    <w:rsid w:val="00423393"/>
    <w:rsid w:val="00423687"/>
    <w:rsid w:val="00423B90"/>
    <w:rsid w:val="004243ED"/>
    <w:rsid w:val="00424F8B"/>
    <w:rsid w:val="004252A6"/>
    <w:rsid w:val="00425C9D"/>
    <w:rsid w:val="004262F5"/>
    <w:rsid w:val="0042648D"/>
    <w:rsid w:val="00427774"/>
    <w:rsid w:val="0043061E"/>
    <w:rsid w:val="0043163D"/>
    <w:rsid w:val="004316B8"/>
    <w:rsid w:val="0043189E"/>
    <w:rsid w:val="00431E20"/>
    <w:rsid w:val="00432A8A"/>
    <w:rsid w:val="0043487F"/>
    <w:rsid w:val="00434DFC"/>
    <w:rsid w:val="00436FE8"/>
    <w:rsid w:val="0044046F"/>
    <w:rsid w:val="004407D8"/>
    <w:rsid w:val="00442B22"/>
    <w:rsid w:val="004436E1"/>
    <w:rsid w:val="00443F8F"/>
    <w:rsid w:val="00443F97"/>
    <w:rsid w:val="0044439E"/>
    <w:rsid w:val="0044667A"/>
    <w:rsid w:val="00446CA9"/>
    <w:rsid w:val="00450B8F"/>
    <w:rsid w:val="00450B9F"/>
    <w:rsid w:val="00450EFA"/>
    <w:rsid w:val="00451150"/>
    <w:rsid w:val="004527CA"/>
    <w:rsid w:val="00452AB3"/>
    <w:rsid w:val="00453157"/>
    <w:rsid w:val="00453425"/>
    <w:rsid w:val="004541FE"/>
    <w:rsid w:val="004552EA"/>
    <w:rsid w:val="004554EC"/>
    <w:rsid w:val="0045704E"/>
    <w:rsid w:val="004578D3"/>
    <w:rsid w:val="004578E3"/>
    <w:rsid w:val="0046071E"/>
    <w:rsid w:val="00460A33"/>
    <w:rsid w:val="00460D2A"/>
    <w:rsid w:val="0046137F"/>
    <w:rsid w:val="00461D1F"/>
    <w:rsid w:val="004626AC"/>
    <w:rsid w:val="00462C29"/>
    <w:rsid w:val="00463531"/>
    <w:rsid w:val="0046356E"/>
    <w:rsid w:val="0046359D"/>
    <w:rsid w:val="00464110"/>
    <w:rsid w:val="004641ED"/>
    <w:rsid w:val="00464D89"/>
    <w:rsid w:val="00465045"/>
    <w:rsid w:val="004660B6"/>
    <w:rsid w:val="00466481"/>
    <w:rsid w:val="00467606"/>
    <w:rsid w:val="00467EBE"/>
    <w:rsid w:val="004702D0"/>
    <w:rsid w:val="00470E29"/>
    <w:rsid w:val="004719F5"/>
    <w:rsid w:val="00471A81"/>
    <w:rsid w:val="0047290F"/>
    <w:rsid w:val="00472E4E"/>
    <w:rsid w:val="00473E9D"/>
    <w:rsid w:val="004740AD"/>
    <w:rsid w:val="00474F70"/>
    <w:rsid w:val="004753B7"/>
    <w:rsid w:val="00475791"/>
    <w:rsid w:val="00475ACF"/>
    <w:rsid w:val="004760E2"/>
    <w:rsid w:val="004766D8"/>
    <w:rsid w:val="00476A3E"/>
    <w:rsid w:val="00476E91"/>
    <w:rsid w:val="00477834"/>
    <w:rsid w:val="0048033E"/>
    <w:rsid w:val="00480571"/>
    <w:rsid w:val="00481967"/>
    <w:rsid w:val="004820F7"/>
    <w:rsid w:val="00482807"/>
    <w:rsid w:val="004832C0"/>
    <w:rsid w:val="00484203"/>
    <w:rsid w:val="00484B63"/>
    <w:rsid w:val="00484D03"/>
    <w:rsid w:val="00485987"/>
    <w:rsid w:val="00485C25"/>
    <w:rsid w:val="00486CE3"/>
    <w:rsid w:val="00487583"/>
    <w:rsid w:val="00487A53"/>
    <w:rsid w:val="00487E93"/>
    <w:rsid w:val="00490A0D"/>
    <w:rsid w:val="00490B90"/>
    <w:rsid w:val="00490C70"/>
    <w:rsid w:val="004927B3"/>
    <w:rsid w:val="00492A15"/>
    <w:rsid w:val="00493A52"/>
    <w:rsid w:val="00493E7F"/>
    <w:rsid w:val="0049437D"/>
    <w:rsid w:val="00494504"/>
    <w:rsid w:val="0049475A"/>
    <w:rsid w:val="004947F5"/>
    <w:rsid w:val="0049497C"/>
    <w:rsid w:val="00495C17"/>
    <w:rsid w:val="00495F32"/>
    <w:rsid w:val="00496387"/>
    <w:rsid w:val="00497101"/>
    <w:rsid w:val="004974A2"/>
    <w:rsid w:val="004979BD"/>
    <w:rsid w:val="004A0161"/>
    <w:rsid w:val="004A076F"/>
    <w:rsid w:val="004A0FCD"/>
    <w:rsid w:val="004A2C6C"/>
    <w:rsid w:val="004A33DB"/>
    <w:rsid w:val="004A3A1A"/>
    <w:rsid w:val="004A3C49"/>
    <w:rsid w:val="004A3F07"/>
    <w:rsid w:val="004A4125"/>
    <w:rsid w:val="004A49A3"/>
    <w:rsid w:val="004A55A6"/>
    <w:rsid w:val="004A576C"/>
    <w:rsid w:val="004A6BC7"/>
    <w:rsid w:val="004A6CE6"/>
    <w:rsid w:val="004A7625"/>
    <w:rsid w:val="004A77D5"/>
    <w:rsid w:val="004A7965"/>
    <w:rsid w:val="004A7F01"/>
    <w:rsid w:val="004A7F1D"/>
    <w:rsid w:val="004B046F"/>
    <w:rsid w:val="004B059C"/>
    <w:rsid w:val="004B0A1A"/>
    <w:rsid w:val="004B0DBE"/>
    <w:rsid w:val="004B171F"/>
    <w:rsid w:val="004B1983"/>
    <w:rsid w:val="004B2813"/>
    <w:rsid w:val="004B2C90"/>
    <w:rsid w:val="004B310A"/>
    <w:rsid w:val="004B478D"/>
    <w:rsid w:val="004B4C86"/>
    <w:rsid w:val="004B6015"/>
    <w:rsid w:val="004B63E1"/>
    <w:rsid w:val="004B676B"/>
    <w:rsid w:val="004B6DF0"/>
    <w:rsid w:val="004C034D"/>
    <w:rsid w:val="004C0C10"/>
    <w:rsid w:val="004C0C90"/>
    <w:rsid w:val="004C15F3"/>
    <w:rsid w:val="004C17DE"/>
    <w:rsid w:val="004C17EF"/>
    <w:rsid w:val="004C2F3A"/>
    <w:rsid w:val="004C2FB8"/>
    <w:rsid w:val="004C3D62"/>
    <w:rsid w:val="004C3ED8"/>
    <w:rsid w:val="004C46EA"/>
    <w:rsid w:val="004C5F5E"/>
    <w:rsid w:val="004C6152"/>
    <w:rsid w:val="004C632F"/>
    <w:rsid w:val="004C6382"/>
    <w:rsid w:val="004C66FA"/>
    <w:rsid w:val="004C72D1"/>
    <w:rsid w:val="004D06DE"/>
    <w:rsid w:val="004D0CAA"/>
    <w:rsid w:val="004D0ECE"/>
    <w:rsid w:val="004D165B"/>
    <w:rsid w:val="004D2393"/>
    <w:rsid w:val="004D2762"/>
    <w:rsid w:val="004D3423"/>
    <w:rsid w:val="004D4233"/>
    <w:rsid w:val="004D4854"/>
    <w:rsid w:val="004D4C44"/>
    <w:rsid w:val="004D5E27"/>
    <w:rsid w:val="004D7A93"/>
    <w:rsid w:val="004D7F6C"/>
    <w:rsid w:val="004E1689"/>
    <w:rsid w:val="004E2C0D"/>
    <w:rsid w:val="004E3C20"/>
    <w:rsid w:val="004E4318"/>
    <w:rsid w:val="004E5303"/>
    <w:rsid w:val="004E632E"/>
    <w:rsid w:val="004E651A"/>
    <w:rsid w:val="004E6523"/>
    <w:rsid w:val="004E690A"/>
    <w:rsid w:val="004F0047"/>
    <w:rsid w:val="004F05A2"/>
    <w:rsid w:val="004F0610"/>
    <w:rsid w:val="004F0BAF"/>
    <w:rsid w:val="004F0E4C"/>
    <w:rsid w:val="004F1CC0"/>
    <w:rsid w:val="004F2035"/>
    <w:rsid w:val="004F24F2"/>
    <w:rsid w:val="004F3A1C"/>
    <w:rsid w:val="004F3C3D"/>
    <w:rsid w:val="004F3C54"/>
    <w:rsid w:val="004F43AC"/>
    <w:rsid w:val="004F43F9"/>
    <w:rsid w:val="004F47B5"/>
    <w:rsid w:val="004F48FF"/>
    <w:rsid w:val="004F4C4F"/>
    <w:rsid w:val="004F4FD0"/>
    <w:rsid w:val="004F5D58"/>
    <w:rsid w:val="004F667E"/>
    <w:rsid w:val="004F66C1"/>
    <w:rsid w:val="004F6BDE"/>
    <w:rsid w:val="004F76D6"/>
    <w:rsid w:val="004F7EC7"/>
    <w:rsid w:val="00500456"/>
    <w:rsid w:val="0050092E"/>
    <w:rsid w:val="005012C9"/>
    <w:rsid w:val="00501C61"/>
    <w:rsid w:val="00501E07"/>
    <w:rsid w:val="00502A4E"/>
    <w:rsid w:val="0050302A"/>
    <w:rsid w:val="0050331C"/>
    <w:rsid w:val="00503835"/>
    <w:rsid w:val="00503F82"/>
    <w:rsid w:val="00504527"/>
    <w:rsid w:val="00505E90"/>
    <w:rsid w:val="00506BB4"/>
    <w:rsid w:val="00507508"/>
    <w:rsid w:val="005077C3"/>
    <w:rsid w:val="00507B7E"/>
    <w:rsid w:val="0051057B"/>
    <w:rsid w:val="0051238E"/>
    <w:rsid w:val="00512FCA"/>
    <w:rsid w:val="00513706"/>
    <w:rsid w:val="00513906"/>
    <w:rsid w:val="00515048"/>
    <w:rsid w:val="00515D6C"/>
    <w:rsid w:val="00515FF1"/>
    <w:rsid w:val="00516426"/>
    <w:rsid w:val="00516721"/>
    <w:rsid w:val="00520826"/>
    <w:rsid w:val="0052114E"/>
    <w:rsid w:val="00521EE8"/>
    <w:rsid w:val="00521F81"/>
    <w:rsid w:val="00522436"/>
    <w:rsid w:val="005226B9"/>
    <w:rsid w:val="005228A2"/>
    <w:rsid w:val="00523288"/>
    <w:rsid w:val="005242C4"/>
    <w:rsid w:val="00524862"/>
    <w:rsid w:val="005255A9"/>
    <w:rsid w:val="00525DFB"/>
    <w:rsid w:val="00527C1C"/>
    <w:rsid w:val="00527E74"/>
    <w:rsid w:val="005317B8"/>
    <w:rsid w:val="0053191A"/>
    <w:rsid w:val="00532F08"/>
    <w:rsid w:val="0053322D"/>
    <w:rsid w:val="005336DD"/>
    <w:rsid w:val="00533CC1"/>
    <w:rsid w:val="005348EE"/>
    <w:rsid w:val="00534BBA"/>
    <w:rsid w:val="00535AF9"/>
    <w:rsid w:val="00536033"/>
    <w:rsid w:val="00536069"/>
    <w:rsid w:val="0053606A"/>
    <w:rsid w:val="00536489"/>
    <w:rsid w:val="00537328"/>
    <w:rsid w:val="005378EF"/>
    <w:rsid w:val="00537C09"/>
    <w:rsid w:val="005411F5"/>
    <w:rsid w:val="0054167F"/>
    <w:rsid w:val="00541CC1"/>
    <w:rsid w:val="005429DE"/>
    <w:rsid w:val="00542B35"/>
    <w:rsid w:val="00542BC8"/>
    <w:rsid w:val="005441D1"/>
    <w:rsid w:val="00544474"/>
    <w:rsid w:val="00546043"/>
    <w:rsid w:val="005460FE"/>
    <w:rsid w:val="00546152"/>
    <w:rsid w:val="00547AB2"/>
    <w:rsid w:val="00547C02"/>
    <w:rsid w:val="0055010F"/>
    <w:rsid w:val="00550B7E"/>
    <w:rsid w:val="00551B0B"/>
    <w:rsid w:val="005530D1"/>
    <w:rsid w:val="005535A8"/>
    <w:rsid w:val="005535B5"/>
    <w:rsid w:val="005543A2"/>
    <w:rsid w:val="00555974"/>
    <w:rsid w:val="005568B7"/>
    <w:rsid w:val="005572F7"/>
    <w:rsid w:val="00557FB8"/>
    <w:rsid w:val="00560498"/>
    <w:rsid w:val="005604D0"/>
    <w:rsid w:val="00561584"/>
    <w:rsid w:val="00561A11"/>
    <w:rsid w:val="00561FB9"/>
    <w:rsid w:val="00562188"/>
    <w:rsid w:val="00562E37"/>
    <w:rsid w:val="00563399"/>
    <w:rsid w:val="005638B7"/>
    <w:rsid w:val="00564AE8"/>
    <w:rsid w:val="00565508"/>
    <w:rsid w:val="00565671"/>
    <w:rsid w:val="0056575E"/>
    <w:rsid w:val="00566383"/>
    <w:rsid w:val="00567A8D"/>
    <w:rsid w:val="00567C67"/>
    <w:rsid w:val="0057018B"/>
    <w:rsid w:val="00570AF0"/>
    <w:rsid w:val="00570C0B"/>
    <w:rsid w:val="005726AD"/>
    <w:rsid w:val="00572771"/>
    <w:rsid w:val="00572BE0"/>
    <w:rsid w:val="00572D0B"/>
    <w:rsid w:val="00573803"/>
    <w:rsid w:val="00575215"/>
    <w:rsid w:val="005760B0"/>
    <w:rsid w:val="005766DF"/>
    <w:rsid w:val="00576B1E"/>
    <w:rsid w:val="0057727F"/>
    <w:rsid w:val="00577514"/>
    <w:rsid w:val="00577F30"/>
    <w:rsid w:val="005802AE"/>
    <w:rsid w:val="0058050A"/>
    <w:rsid w:val="00580DC7"/>
    <w:rsid w:val="00582F6B"/>
    <w:rsid w:val="00582FE0"/>
    <w:rsid w:val="00583E05"/>
    <w:rsid w:val="00584366"/>
    <w:rsid w:val="00584C3D"/>
    <w:rsid w:val="00584E3B"/>
    <w:rsid w:val="00584E3F"/>
    <w:rsid w:val="005851EE"/>
    <w:rsid w:val="0058554F"/>
    <w:rsid w:val="00585E31"/>
    <w:rsid w:val="00586535"/>
    <w:rsid w:val="005871E0"/>
    <w:rsid w:val="005875B0"/>
    <w:rsid w:val="00590057"/>
    <w:rsid w:val="005910EF"/>
    <w:rsid w:val="0059111A"/>
    <w:rsid w:val="00591288"/>
    <w:rsid w:val="005917FD"/>
    <w:rsid w:val="00592992"/>
    <w:rsid w:val="00593486"/>
    <w:rsid w:val="00594E16"/>
    <w:rsid w:val="00596540"/>
    <w:rsid w:val="00597888"/>
    <w:rsid w:val="005A034C"/>
    <w:rsid w:val="005A172D"/>
    <w:rsid w:val="005A1A10"/>
    <w:rsid w:val="005A1E92"/>
    <w:rsid w:val="005A2525"/>
    <w:rsid w:val="005A3BCF"/>
    <w:rsid w:val="005A475E"/>
    <w:rsid w:val="005A4AA1"/>
    <w:rsid w:val="005A55A3"/>
    <w:rsid w:val="005A5A1C"/>
    <w:rsid w:val="005A6028"/>
    <w:rsid w:val="005B0CBD"/>
    <w:rsid w:val="005B10A6"/>
    <w:rsid w:val="005B3358"/>
    <w:rsid w:val="005B3BFF"/>
    <w:rsid w:val="005B3D17"/>
    <w:rsid w:val="005B400E"/>
    <w:rsid w:val="005B4F10"/>
    <w:rsid w:val="005B65DC"/>
    <w:rsid w:val="005B735D"/>
    <w:rsid w:val="005B7393"/>
    <w:rsid w:val="005B777A"/>
    <w:rsid w:val="005C0407"/>
    <w:rsid w:val="005C0778"/>
    <w:rsid w:val="005C0F15"/>
    <w:rsid w:val="005C1329"/>
    <w:rsid w:val="005C145F"/>
    <w:rsid w:val="005C1CD1"/>
    <w:rsid w:val="005C1DC0"/>
    <w:rsid w:val="005C2374"/>
    <w:rsid w:val="005C3C13"/>
    <w:rsid w:val="005C42E0"/>
    <w:rsid w:val="005C4C2D"/>
    <w:rsid w:val="005C649D"/>
    <w:rsid w:val="005C6A8A"/>
    <w:rsid w:val="005D018D"/>
    <w:rsid w:val="005D032F"/>
    <w:rsid w:val="005D0D5C"/>
    <w:rsid w:val="005D194A"/>
    <w:rsid w:val="005D1B65"/>
    <w:rsid w:val="005D3721"/>
    <w:rsid w:val="005D392E"/>
    <w:rsid w:val="005D4415"/>
    <w:rsid w:val="005D4706"/>
    <w:rsid w:val="005D4D0F"/>
    <w:rsid w:val="005D53F3"/>
    <w:rsid w:val="005D57E1"/>
    <w:rsid w:val="005D659C"/>
    <w:rsid w:val="005D69E9"/>
    <w:rsid w:val="005D6F77"/>
    <w:rsid w:val="005D7D2D"/>
    <w:rsid w:val="005D7FA9"/>
    <w:rsid w:val="005E0244"/>
    <w:rsid w:val="005E08E7"/>
    <w:rsid w:val="005E09C7"/>
    <w:rsid w:val="005E1DF7"/>
    <w:rsid w:val="005E4048"/>
    <w:rsid w:val="005E494B"/>
    <w:rsid w:val="005E52F2"/>
    <w:rsid w:val="005E6251"/>
    <w:rsid w:val="005E6890"/>
    <w:rsid w:val="005E761F"/>
    <w:rsid w:val="005F0488"/>
    <w:rsid w:val="005F0533"/>
    <w:rsid w:val="005F1216"/>
    <w:rsid w:val="005F2BD9"/>
    <w:rsid w:val="005F3343"/>
    <w:rsid w:val="005F40EA"/>
    <w:rsid w:val="005F493A"/>
    <w:rsid w:val="005F5291"/>
    <w:rsid w:val="005F6633"/>
    <w:rsid w:val="005F7857"/>
    <w:rsid w:val="00601223"/>
    <w:rsid w:val="00601CB3"/>
    <w:rsid w:val="00602257"/>
    <w:rsid w:val="006029DF"/>
    <w:rsid w:val="00602E98"/>
    <w:rsid w:val="0060308C"/>
    <w:rsid w:val="00603421"/>
    <w:rsid w:val="006036D2"/>
    <w:rsid w:val="00603CC7"/>
    <w:rsid w:val="00603E87"/>
    <w:rsid w:val="00604132"/>
    <w:rsid w:val="006042EF"/>
    <w:rsid w:val="00604DF3"/>
    <w:rsid w:val="00605B8B"/>
    <w:rsid w:val="00605CE6"/>
    <w:rsid w:val="00605FD8"/>
    <w:rsid w:val="00610AEB"/>
    <w:rsid w:val="006115F4"/>
    <w:rsid w:val="0061174C"/>
    <w:rsid w:val="006119F8"/>
    <w:rsid w:val="00611B46"/>
    <w:rsid w:val="00611FE3"/>
    <w:rsid w:val="0061212E"/>
    <w:rsid w:val="0061256A"/>
    <w:rsid w:val="0061337C"/>
    <w:rsid w:val="00613F0B"/>
    <w:rsid w:val="006147EB"/>
    <w:rsid w:val="00614B76"/>
    <w:rsid w:val="00614E49"/>
    <w:rsid w:val="0061546A"/>
    <w:rsid w:val="0061585C"/>
    <w:rsid w:val="00615D66"/>
    <w:rsid w:val="00616099"/>
    <w:rsid w:val="00616E98"/>
    <w:rsid w:val="00617360"/>
    <w:rsid w:val="006177A8"/>
    <w:rsid w:val="00617A5F"/>
    <w:rsid w:val="00617C65"/>
    <w:rsid w:val="00617E16"/>
    <w:rsid w:val="006200EB"/>
    <w:rsid w:val="00620EC1"/>
    <w:rsid w:val="00621EA3"/>
    <w:rsid w:val="00621EFA"/>
    <w:rsid w:val="00623F75"/>
    <w:rsid w:val="006240C0"/>
    <w:rsid w:val="00624157"/>
    <w:rsid w:val="0062443A"/>
    <w:rsid w:val="00624DE3"/>
    <w:rsid w:val="00624EF7"/>
    <w:rsid w:val="00625DA4"/>
    <w:rsid w:val="0062612C"/>
    <w:rsid w:val="00626ABC"/>
    <w:rsid w:val="006302BF"/>
    <w:rsid w:val="00630492"/>
    <w:rsid w:val="006306B6"/>
    <w:rsid w:val="00630B51"/>
    <w:rsid w:val="00630DD8"/>
    <w:rsid w:val="00630DE4"/>
    <w:rsid w:val="00630E5A"/>
    <w:rsid w:val="0063134A"/>
    <w:rsid w:val="006313BF"/>
    <w:rsid w:val="006315A5"/>
    <w:rsid w:val="00631C44"/>
    <w:rsid w:val="00632D75"/>
    <w:rsid w:val="00632EE5"/>
    <w:rsid w:val="006344E0"/>
    <w:rsid w:val="006346A0"/>
    <w:rsid w:val="00634E2C"/>
    <w:rsid w:val="00635683"/>
    <w:rsid w:val="00636604"/>
    <w:rsid w:val="00636D4C"/>
    <w:rsid w:val="00637810"/>
    <w:rsid w:val="00637859"/>
    <w:rsid w:val="00637E77"/>
    <w:rsid w:val="00637F8D"/>
    <w:rsid w:val="00640234"/>
    <w:rsid w:val="00640289"/>
    <w:rsid w:val="00640313"/>
    <w:rsid w:val="006403F5"/>
    <w:rsid w:val="00641767"/>
    <w:rsid w:val="00641E1C"/>
    <w:rsid w:val="0064227D"/>
    <w:rsid w:val="00642D47"/>
    <w:rsid w:val="0064343A"/>
    <w:rsid w:val="00643FC4"/>
    <w:rsid w:val="00644546"/>
    <w:rsid w:val="00645189"/>
    <w:rsid w:val="00646EA6"/>
    <w:rsid w:val="00647684"/>
    <w:rsid w:val="00647A20"/>
    <w:rsid w:val="00647AEA"/>
    <w:rsid w:val="006506BA"/>
    <w:rsid w:val="00650CC6"/>
    <w:rsid w:val="00651192"/>
    <w:rsid w:val="006515CB"/>
    <w:rsid w:val="00651A8F"/>
    <w:rsid w:val="00652737"/>
    <w:rsid w:val="006527A7"/>
    <w:rsid w:val="00653506"/>
    <w:rsid w:val="0065355E"/>
    <w:rsid w:val="00653B37"/>
    <w:rsid w:val="00653B3C"/>
    <w:rsid w:val="006554B7"/>
    <w:rsid w:val="006555C9"/>
    <w:rsid w:val="0065604E"/>
    <w:rsid w:val="0065653D"/>
    <w:rsid w:val="00657745"/>
    <w:rsid w:val="00657749"/>
    <w:rsid w:val="0066007F"/>
    <w:rsid w:val="00660102"/>
    <w:rsid w:val="00662374"/>
    <w:rsid w:val="00662B13"/>
    <w:rsid w:val="00662CF4"/>
    <w:rsid w:val="00663BD7"/>
    <w:rsid w:val="0066572D"/>
    <w:rsid w:val="00665821"/>
    <w:rsid w:val="00665FB6"/>
    <w:rsid w:val="0066659A"/>
    <w:rsid w:val="00666948"/>
    <w:rsid w:val="00666F69"/>
    <w:rsid w:val="006673E9"/>
    <w:rsid w:val="00667F34"/>
    <w:rsid w:val="00670A3A"/>
    <w:rsid w:val="00672EEB"/>
    <w:rsid w:val="006732CB"/>
    <w:rsid w:val="0067343C"/>
    <w:rsid w:val="006736C1"/>
    <w:rsid w:val="00673F51"/>
    <w:rsid w:val="00674756"/>
    <w:rsid w:val="0067532A"/>
    <w:rsid w:val="00675B0B"/>
    <w:rsid w:val="00675C15"/>
    <w:rsid w:val="00676304"/>
    <w:rsid w:val="00676828"/>
    <w:rsid w:val="0068121B"/>
    <w:rsid w:val="006820D7"/>
    <w:rsid w:val="006829B4"/>
    <w:rsid w:val="00683426"/>
    <w:rsid w:val="00684DC0"/>
    <w:rsid w:val="0068606D"/>
    <w:rsid w:val="006867BF"/>
    <w:rsid w:val="00687758"/>
    <w:rsid w:val="00687C03"/>
    <w:rsid w:val="006906B7"/>
    <w:rsid w:val="00691231"/>
    <w:rsid w:val="006912A5"/>
    <w:rsid w:val="006913B9"/>
    <w:rsid w:val="00691961"/>
    <w:rsid w:val="00692DF1"/>
    <w:rsid w:val="00692E3F"/>
    <w:rsid w:val="00692EFF"/>
    <w:rsid w:val="00693400"/>
    <w:rsid w:val="0069366E"/>
    <w:rsid w:val="006952DB"/>
    <w:rsid w:val="00696348"/>
    <w:rsid w:val="00696920"/>
    <w:rsid w:val="006A008F"/>
    <w:rsid w:val="006A0279"/>
    <w:rsid w:val="006A0B43"/>
    <w:rsid w:val="006A15B8"/>
    <w:rsid w:val="006A2A35"/>
    <w:rsid w:val="006A2BD8"/>
    <w:rsid w:val="006A2D29"/>
    <w:rsid w:val="006A44B9"/>
    <w:rsid w:val="006A53DC"/>
    <w:rsid w:val="006A5AA6"/>
    <w:rsid w:val="006A5EBE"/>
    <w:rsid w:val="006A62E1"/>
    <w:rsid w:val="006A67E7"/>
    <w:rsid w:val="006A6BB2"/>
    <w:rsid w:val="006A79D6"/>
    <w:rsid w:val="006B13B9"/>
    <w:rsid w:val="006B156B"/>
    <w:rsid w:val="006B17B1"/>
    <w:rsid w:val="006B1DE6"/>
    <w:rsid w:val="006B23CF"/>
    <w:rsid w:val="006B2F65"/>
    <w:rsid w:val="006B3B67"/>
    <w:rsid w:val="006B57DC"/>
    <w:rsid w:val="006B5E25"/>
    <w:rsid w:val="006B7BB9"/>
    <w:rsid w:val="006C0190"/>
    <w:rsid w:val="006C0288"/>
    <w:rsid w:val="006C0441"/>
    <w:rsid w:val="006C1010"/>
    <w:rsid w:val="006C1653"/>
    <w:rsid w:val="006C1794"/>
    <w:rsid w:val="006C20BF"/>
    <w:rsid w:val="006C276A"/>
    <w:rsid w:val="006C2BEC"/>
    <w:rsid w:val="006C4026"/>
    <w:rsid w:val="006C4F6D"/>
    <w:rsid w:val="006C622A"/>
    <w:rsid w:val="006C6D06"/>
    <w:rsid w:val="006D0ADE"/>
    <w:rsid w:val="006D14EA"/>
    <w:rsid w:val="006D2818"/>
    <w:rsid w:val="006D28C7"/>
    <w:rsid w:val="006D2C08"/>
    <w:rsid w:val="006D2E80"/>
    <w:rsid w:val="006D3329"/>
    <w:rsid w:val="006D3A6D"/>
    <w:rsid w:val="006D3EA9"/>
    <w:rsid w:val="006D3ED7"/>
    <w:rsid w:val="006D446E"/>
    <w:rsid w:val="006D46A2"/>
    <w:rsid w:val="006D51E6"/>
    <w:rsid w:val="006D53AD"/>
    <w:rsid w:val="006D5701"/>
    <w:rsid w:val="006D5EA6"/>
    <w:rsid w:val="006D6FF8"/>
    <w:rsid w:val="006D70F6"/>
    <w:rsid w:val="006E170D"/>
    <w:rsid w:val="006E1B0A"/>
    <w:rsid w:val="006E2CB2"/>
    <w:rsid w:val="006E2DF3"/>
    <w:rsid w:val="006E4F97"/>
    <w:rsid w:val="006E6831"/>
    <w:rsid w:val="006E698B"/>
    <w:rsid w:val="006E78A0"/>
    <w:rsid w:val="006E7AF2"/>
    <w:rsid w:val="006F077B"/>
    <w:rsid w:val="006F0A30"/>
    <w:rsid w:val="006F2B31"/>
    <w:rsid w:val="006F2EF3"/>
    <w:rsid w:val="006F351D"/>
    <w:rsid w:val="006F3E39"/>
    <w:rsid w:val="006F41B8"/>
    <w:rsid w:val="006F4571"/>
    <w:rsid w:val="006F471B"/>
    <w:rsid w:val="006F4FF5"/>
    <w:rsid w:val="006F5307"/>
    <w:rsid w:val="006F721B"/>
    <w:rsid w:val="006F7451"/>
    <w:rsid w:val="006F7952"/>
    <w:rsid w:val="007002F2"/>
    <w:rsid w:val="00700694"/>
    <w:rsid w:val="00700A8A"/>
    <w:rsid w:val="0070140A"/>
    <w:rsid w:val="00701BD3"/>
    <w:rsid w:val="0070240C"/>
    <w:rsid w:val="00702989"/>
    <w:rsid w:val="00703102"/>
    <w:rsid w:val="0070317A"/>
    <w:rsid w:val="00704EC8"/>
    <w:rsid w:val="00705067"/>
    <w:rsid w:val="00705226"/>
    <w:rsid w:val="00706725"/>
    <w:rsid w:val="00706B5B"/>
    <w:rsid w:val="0071050F"/>
    <w:rsid w:val="00711059"/>
    <w:rsid w:val="0071117D"/>
    <w:rsid w:val="007113E6"/>
    <w:rsid w:val="007116F9"/>
    <w:rsid w:val="0071201D"/>
    <w:rsid w:val="007124C8"/>
    <w:rsid w:val="00713AB7"/>
    <w:rsid w:val="00714350"/>
    <w:rsid w:val="00714B6C"/>
    <w:rsid w:val="0071532E"/>
    <w:rsid w:val="0071548B"/>
    <w:rsid w:val="007158DC"/>
    <w:rsid w:val="0071626E"/>
    <w:rsid w:val="00716592"/>
    <w:rsid w:val="00716968"/>
    <w:rsid w:val="00717506"/>
    <w:rsid w:val="007203E4"/>
    <w:rsid w:val="007204A9"/>
    <w:rsid w:val="007211C5"/>
    <w:rsid w:val="00724B2A"/>
    <w:rsid w:val="007273EA"/>
    <w:rsid w:val="00727D52"/>
    <w:rsid w:val="00730628"/>
    <w:rsid w:val="007314AF"/>
    <w:rsid w:val="007315F7"/>
    <w:rsid w:val="0073191F"/>
    <w:rsid w:val="00732130"/>
    <w:rsid w:val="00732433"/>
    <w:rsid w:val="007327F7"/>
    <w:rsid w:val="00732C79"/>
    <w:rsid w:val="00732E14"/>
    <w:rsid w:val="00734A53"/>
    <w:rsid w:val="00735BBE"/>
    <w:rsid w:val="00735BF6"/>
    <w:rsid w:val="007360F7"/>
    <w:rsid w:val="00736963"/>
    <w:rsid w:val="007373A4"/>
    <w:rsid w:val="00737BC8"/>
    <w:rsid w:val="007412D3"/>
    <w:rsid w:val="00741868"/>
    <w:rsid w:val="0074227D"/>
    <w:rsid w:val="00743A9D"/>
    <w:rsid w:val="00743D87"/>
    <w:rsid w:val="00743F96"/>
    <w:rsid w:val="00745B97"/>
    <w:rsid w:val="007460AE"/>
    <w:rsid w:val="00746116"/>
    <w:rsid w:val="00746CC5"/>
    <w:rsid w:val="00750675"/>
    <w:rsid w:val="00750B00"/>
    <w:rsid w:val="00750DC4"/>
    <w:rsid w:val="00750F8F"/>
    <w:rsid w:val="00750F9A"/>
    <w:rsid w:val="007516BC"/>
    <w:rsid w:val="007516E3"/>
    <w:rsid w:val="0075185E"/>
    <w:rsid w:val="00753228"/>
    <w:rsid w:val="007535EC"/>
    <w:rsid w:val="00753D6A"/>
    <w:rsid w:val="00754362"/>
    <w:rsid w:val="00754F30"/>
    <w:rsid w:val="0075576F"/>
    <w:rsid w:val="0075630A"/>
    <w:rsid w:val="0075647D"/>
    <w:rsid w:val="007564EB"/>
    <w:rsid w:val="00756929"/>
    <w:rsid w:val="00756AE3"/>
    <w:rsid w:val="00756CB5"/>
    <w:rsid w:val="0075701D"/>
    <w:rsid w:val="0075704A"/>
    <w:rsid w:val="00757235"/>
    <w:rsid w:val="00757910"/>
    <w:rsid w:val="00757AAE"/>
    <w:rsid w:val="00757D45"/>
    <w:rsid w:val="00757EFA"/>
    <w:rsid w:val="007601B4"/>
    <w:rsid w:val="007603E4"/>
    <w:rsid w:val="00760AC9"/>
    <w:rsid w:val="0076182B"/>
    <w:rsid w:val="007618FB"/>
    <w:rsid w:val="007625BC"/>
    <w:rsid w:val="00762627"/>
    <w:rsid w:val="007636ED"/>
    <w:rsid w:val="007643E2"/>
    <w:rsid w:val="00764E54"/>
    <w:rsid w:val="00766B88"/>
    <w:rsid w:val="00767495"/>
    <w:rsid w:val="00767DBB"/>
    <w:rsid w:val="00770148"/>
    <w:rsid w:val="007703E0"/>
    <w:rsid w:val="00770459"/>
    <w:rsid w:val="00771650"/>
    <w:rsid w:val="007721FD"/>
    <w:rsid w:val="00774646"/>
    <w:rsid w:val="00774D76"/>
    <w:rsid w:val="00775B31"/>
    <w:rsid w:val="00775E50"/>
    <w:rsid w:val="0077604C"/>
    <w:rsid w:val="00776090"/>
    <w:rsid w:val="00776417"/>
    <w:rsid w:val="00776CB2"/>
    <w:rsid w:val="0077761C"/>
    <w:rsid w:val="00777D6F"/>
    <w:rsid w:val="00777DB7"/>
    <w:rsid w:val="007804FC"/>
    <w:rsid w:val="007812D4"/>
    <w:rsid w:val="007812E7"/>
    <w:rsid w:val="007815F0"/>
    <w:rsid w:val="00781695"/>
    <w:rsid w:val="00781EF0"/>
    <w:rsid w:val="007823DC"/>
    <w:rsid w:val="00783448"/>
    <w:rsid w:val="00783939"/>
    <w:rsid w:val="00783E34"/>
    <w:rsid w:val="0078461A"/>
    <w:rsid w:val="00784935"/>
    <w:rsid w:val="00785F97"/>
    <w:rsid w:val="0078663A"/>
    <w:rsid w:val="00790085"/>
    <w:rsid w:val="0079085C"/>
    <w:rsid w:val="00790A59"/>
    <w:rsid w:val="00790ECB"/>
    <w:rsid w:val="00790FCC"/>
    <w:rsid w:val="00795E72"/>
    <w:rsid w:val="007960BD"/>
    <w:rsid w:val="007967AA"/>
    <w:rsid w:val="00796AD0"/>
    <w:rsid w:val="00797ACB"/>
    <w:rsid w:val="00797C3A"/>
    <w:rsid w:val="007A02A7"/>
    <w:rsid w:val="007A0F57"/>
    <w:rsid w:val="007A1630"/>
    <w:rsid w:val="007A28E3"/>
    <w:rsid w:val="007A2CE4"/>
    <w:rsid w:val="007A2FE0"/>
    <w:rsid w:val="007A440C"/>
    <w:rsid w:val="007A4440"/>
    <w:rsid w:val="007A45F7"/>
    <w:rsid w:val="007A4F42"/>
    <w:rsid w:val="007A509E"/>
    <w:rsid w:val="007A52AA"/>
    <w:rsid w:val="007A57B4"/>
    <w:rsid w:val="007A6336"/>
    <w:rsid w:val="007A6CCE"/>
    <w:rsid w:val="007A6D4A"/>
    <w:rsid w:val="007A7DAE"/>
    <w:rsid w:val="007A7E59"/>
    <w:rsid w:val="007A7F27"/>
    <w:rsid w:val="007B11DE"/>
    <w:rsid w:val="007B18D3"/>
    <w:rsid w:val="007B1B9C"/>
    <w:rsid w:val="007B1D4B"/>
    <w:rsid w:val="007B26CD"/>
    <w:rsid w:val="007B383C"/>
    <w:rsid w:val="007B526B"/>
    <w:rsid w:val="007B59B9"/>
    <w:rsid w:val="007B63E9"/>
    <w:rsid w:val="007C071A"/>
    <w:rsid w:val="007C07FB"/>
    <w:rsid w:val="007C0935"/>
    <w:rsid w:val="007C0F36"/>
    <w:rsid w:val="007C25A9"/>
    <w:rsid w:val="007C2E1C"/>
    <w:rsid w:val="007C30CD"/>
    <w:rsid w:val="007C35E1"/>
    <w:rsid w:val="007C3A50"/>
    <w:rsid w:val="007C3D61"/>
    <w:rsid w:val="007C40F7"/>
    <w:rsid w:val="007C4B60"/>
    <w:rsid w:val="007C585E"/>
    <w:rsid w:val="007C5D5D"/>
    <w:rsid w:val="007C6563"/>
    <w:rsid w:val="007C6C05"/>
    <w:rsid w:val="007C6D4C"/>
    <w:rsid w:val="007C6FDF"/>
    <w:rsid w:val="007C6FFE"/>
    <w:rsid w:val="007C713E"/>
    <w:rsid w:val="007C75A1"/>
    <w:rsid w:val="007D00FD"/>
    <w:rsid w:val="007D0ED9"/>
    <w:rsid w:val="007D1319"/>
    <w:rsid w:val="007D23AF"/>
    <w:rsid w:val="007D3607"/>
    <w:rsid w:val="007D3BD3"/>
    <w:rsid w:val="007D3E3F"/>
    <w:rsid w:val="007D49BF"/>
    <w:rsid w:val="007D5058"/>
    <w:rsid w:val="007D53DA"/>
    <w:rsid w:val="007D6718"/>
    <w:rsid w:val="007D71AD"/>
    <w:rsid w:val="007E07F4"/>
    <w:rsid w:val="007E0EB8"/>
    <w:rsid w:val="007E0F92"/>
    <w:rsid w:val="007E12DC"/>
    <w:rsid w:val="007E1792"/>
    <w:rsid w:val="007E1DD0"/>
    <w:rsid w:val="007E2055"/>
    <w:rsid w:val="007E34F2"/>
    <w:rsid w:val="007E5159"/>
    <w:rsid w:val="007E5613"/>
    <w:rsid w:val="007E56A7"/>
    <w:rsid w:val="007E6678"/>
    <w:rsid w:val="007E6982"/>
    <w:rsid w:val="007E7B93"/>
    <w:rsid w:val="007E7C9A"/>
    <w:rsid w:val="007F11C7"/>
    <w:rsid w:val="007F11D5"/>
    <w:rsid w:val="007F124B"/>
    <w:rsid w:val="007F1926"/>
    <w:rsid w:val="007F1968"/>
    <w:rsid w:val="007F2DCA"/>
    <w:rsid w:val="007F342F"/>
    <w:rsid w:val="007F34DE"/>
    <w:rsid w:val="007F3553"/>
    <w:rsid w:val="007F4E93"/>
    <w:rsid w:val="007F5D05"/>
    <w:rsid w:val="007F5E0D"/>
    <w:rsid w:val="007F7048"/>
    <w:rsid w:val="008001CA"/>
    <w:rsid w:val="00800E8F"/>
    <w:rsid w:val="008010A3"/>
    <w:rsid w:val="008015DD"/>
    <w:rsid w:val="0080165A"/>
    <w:rsid w:val="00801B14"/>
    <w:rsid w:val="0080288B"/>
    <w:rsid w:val="00802A04"/>
    <w:rsid w:val="00802DBD"/>
    <w:rsid w:val="00803AED"/>
    <w:rsid w:val="008046D4"/>
    <w:rsid w:val="0080476E"/>
    <w:rsid w:val="008052F4"/>
    <w:rsid w:val="00805EDA"/>
    <w:rsid w:val="0080663F"/>
    <w:rsid w:val="00806EB4"/>
    <w:rsid w:val="008070C7"/>
    <w:rsid w:val="00807705"/>
    <w:rsid w:val="008104CA"/>
    <w:rsid w:val="00810E5D"/>
    <w:rsid w:val="0081126B"/>
    <w:rsid w:val="008115A7"/>
    <w:rsid w:val="00811812"/>
    <w:rsid w:val="00812C89"/>
    <w:rsid w:val="00814118"/>
    <w:rsid w:val="008148A5"/>
    <w:rsid w:val="00814D34"/>
    <w:rsid w:val="00815115"/>
    <w:rsid w:val="00815BC0"/>
    <w:rsid w:val="00816D8B"/>
    <w:rsid w:val="0081746A"/>
    <w:rsid w:val="00817598"/>
    <w:rsid w:val="0082045A"/>
    <w:rsid w:val="00820A4F"/>
    <w:rsid w:val="008225E3"/>
    <w:rsid w:val="008231A3"/>
    <w:rsid w:val="0082337F"/>
    <w:rsid w:val="00823431"/>
    <w:rsid w:val="0082537E"/>
    <w:rsid w:val="00825785"/>
    <w:rsid w:val="0082610C"/>
    <w:rsid w:val="008272C4"/>
    <w:rsid w:val="00827679"/>
    <w:rsid w:val="008278A8"/>
    <w:rsid w:val="0083003E"/>
    <w:rsid w:val="008304F8"/>
    <w:rsid w:val="008306C7"/>
    <w:rsid w:val="00830A69"/>
    <w:rsid w:val="00830DCC"/>
    <w:rsid w:val="0083113E"/>
    <w:rsid w:val="00831535"/>
    <w:rsid w:val="0083154C"/>
    <w:rsid w:val="0083198F"/>
    <w:rsid w:val="00831A08"/>
    <w:rsid w:val="00831F89"/>
    <w:rsid w:val="0083262E"/>
    <w:rsid w:val="00832F9D"/>
    <w:rsid w:val="008333E2"/>
    <w:rsid w:val="00833792"/>
    <w:rsid w:val="008338E2"/>
    <w:rsid w:val="0083498B"/>
    <w:rsid w:val="00834D1D"/>
    <w:rsid w:val="00835363"/>
    <w:rsid w:val="00837B33"/>
    <w:rsid w:val="008412D0"/>
    <w:rsid w:val="0084152F"/>
    <w:rsid w:val="00841E8A"/>
    <w:rsid w:val="0084245F"/>
    <w:rsid w:val="00842535"/>
    <w:rsid w:val="008433F4"/>
    <w:rsid w:val="0084347C"/>
    <w:rsid w:val="0084478A"/>
    <w:rsid w:val="0084535F"/>
    <w:rsid w:val="00845C93"/>
    <w:rsid w:val="0084622E"/>
    <w:rsid w:val="008464C9"/>
    <w:rsid w:val="00846710"/>
    <w:rsid w:val="00846836"/>
    <w:rsid w:val="00846B6E"/>
    <w:rsid w:val="00846C1B"/>
    <w:rsid w:val="00846F87"/>
    <w:rsid w:val="00846FF2"/>
    <w:rsid w:val="0084750F"/>
    <w:rsid w:val="00850729"/>
    <w:rsid w:val="00850DEC"/>
    <w:rsid w:val="00850F9A"/>
    <w:rsid w:val="00852F35"/>
    <w:rsid w:val="00853980"/>
    <w:rsid w:val="0085429A"/>
    <w:rsid w:val="00854311"/>
    <w:rsid w:val="00854584"/>
    <w:rsid w:val="00856091"/>
    <w:rsid w:val="008568F3"/>
    <w:rsid w:val="00857363"/>
    <w:rsid w:val="0085766E"/>
    <w:rsid w:val="008602F8"/>
    <w:rsid w:val="00860F75"/>
    <w:rsid w:val="00860FF3"/>
    <w:rsid w:val="0086138D"/>
    <w:rsid w:val="00862812"/>
    <w:rsid w:val="00862AAD"/>
    <w:rsid w:val="0086395B"/>
    <w:rsid w:val="0086436B"/>
    <w:rsid w:val="008648AF"/>
    <w:rsid w:val="00864D28"/>
    <w:rsid w:val="008651A3"/>
    <w:rsid w:val="00865BB0"/>
    <w:rsid w:val="008665FC"/>
    <w:rsid w:val="00866BB0"/>
    <w:rsid w:val="008704BC"/>
    <w:rsid w:val="008709BB"/>
    <w:rsid w:val="00870A0F"/>
    <w:rsid w:val="00872682"/>
    <w:rsid w:val="00872738"/>
    <w:rsid w:val="00872CB0"/>
    <w:rsid w:val="00872E8F"/>
    <w:rsid w:val="00872EDE"/>
    <w:rsid w:val="008752C2"/>
    <w:rsid w:val="00875A54"/>
    <w:rsid w:val="00875C1F"/>
    <w:rsid w:val="00875C5B"/>
    <w:rsid w:val="00876542"/>
    <w:rsid w:val="0087654B"/>
    <w:rsid w:val="00876903"/>
    <w:rsid w:val="00876BEC"/>
    <w:rsid w:val="00876F0A"/>
    <w:rsid w:val="00877CAE"/>
    <w:rsid w:val="00880485"/>
    <w:rsid w:val="0088195C"/>
    <w:rsid w:val="00883248"/>
    <w:rsid w:val="0088399B"/>
    <w:rsid w:val="00884618"/>
    <w:rsid w:val="00884A23"/>
    <w:rsid w:val="00885055"/>
    <w:rsid w:val="008857AC"/>
    <w:rsid w:val="008860C2"/>
    <w:rsid w:val="0088626F"/>
    <w:rsid w:val="0088654B"/>
    <w:rsid w:val="0088784C"/>
    <w:rsid w:val="00890405"/>
    <w:rsid w:val="00890543"/>
    <w:rsid w:val="00890E30"/>
    <w:rsid w:val="00890EFB"/>
    <w:rsid w:val="00891043"/>
    <w:rsid w:val="0089509A"/>
    <w:rsid w:val="0089511E"/>
    <w:rsid w:val="00896467"/>
    <w:rsid w:val="00896FB0"/>
    <w:rsid w:val="008977DB"/>
    <w:rsid w:val="00897B1E"/>
    <w:rsid w:val="00897EA3"/>
    <w:rsid w:val="008A0235"/>
    <w:rsid w:val="008A0267"/>
    <w:rsid w:val="008A054F"/>
    <w:rsid w:val="008A0614"/>
    <w:rsid w:val="008A0675"/>
    <w:rsid w:val="008A0B16"/>
    <w:rsid w:val="008A1505"/>
    <w:rsid w:val="008A18F5"/>
    <w:rsid w:val="008A1F79"/>
    <w:rsid w:val="008A2518"/>
    <w:rsid w:val="008A2E8D"/>
    <w:rsid w:val="008A3A88"/>
    <w:rsid w:val="008A3A9A"/>
    <w:rsid w:val="008A4763"/>
    <w:rsid w:val="008A49EB"/>
    <w:rsid w:val="008A5797"/>
    <w:rsid w:val="008A5AA6"/>
    <w:rsid w:val="008A7D87"/>
    <w:rsid w:val="008B032A"/>
    <w:rsid w:val="008B0DEB"/>
    <w:rsid w:val="008B103B"/>
    <w:rsid w:val="008B15C9"/>
    <w:rsid w:val="008B3436"/>
    <w:rsid w:val="008B3BCF"/>
    <w:rsid w:val="008B3BED"/>
    <w:rsid w:val="008B44F5"/>
    <w:rsid w:val="008B4A37"/>
    <w:rsid w:val="008B5042"/>
    <w:rsid w:val="008B654A"/>
    <w:rsid w:val="008B78D1"/>
    <w:rsid w:val="008C0956"/>
    <w:rsid w:val="008C09BD"/>
    <w:rsid w:val="008C0B56"/>
    <w:rsid w:val="008C0E49"/>
    <w:rsid w:val="008C15D8"/>
    <w:rsid w:val="008C20CB"/>
    <w:rsid w:val="008C22E9"/>
    <w:rsid w:val="008C2C1A"/>
    <w:rsid w:val="008C30BC"/>
    <w:rsid w:val="008C478E"/>
    <w:rsid w:val="008C47A1"/>
    <w:rsid w:val="008C47BA"/>
    <w:rsid w:val="008C47E3"/>
    <w:rsid w:val="008C685F"/>
    <w:rsid w:val="008C738F"/>
    <w:rsid w:val="008C7A0F"/>
    <w:rsid w:val="008D023B"/>
    <w:rsid w:val="008D05CA"/>
    <w:rsid w:val="008D18A3"/>
    <w:rsid w:val="008D1907"/>
    <w:rsid w:val="008D1EC0"/>
    <w:rsid w:val="008D26B6"/>
    <w:rsid w:val="008D286C"/>
    <w:rsid w:val="008D2FDB"/>
    <w:rsid w:val="008D32AD"/>
    <w:rsid w:val="008D4156"/>
    <w:rsid w:val="008D588F"/>
    <w:rsid w:val="008D599E"/>
    <w:rsid w:val="008D5B00"/>
    <w:rsid w:val="008D64FC"/>
    <w:rsid w:val="008D6B9E"/>
    <w:rsid w:val="008D7C81"/>
    <w:rsid w:val="008D7E17"/>
    <w:rsid w:val="008D7FEC"/>
    <w:rsid w:val="008E0095"/>
    <w:rsid w:val="008E00E4"/>
    <w:rsid w:val="008E1024"/>
    <w:rsid w:val="008E13FD"/>
    <w:rsid w:val="008E27D4"/>
    <w:rsid w:val="008E28EB"/>
    <w:rsid w:val="008E29F5"/>
    <w:rsid w:val="008E43C5"/>
    <w:rsid w:val="008E4A05"/>
    <w:rsid w:val="008E4DED"/>
    <w:rsid w:val="008E55CC"/>
    <w:rsid w:val="008E5AAF"/>
    <w:rsid w:val="008E60C6"/>
    <w:rsid w:val="008E64F0"/>
    <w:rsid w:val="008E68A2"/>
    <w:rsid w:val="008F001F"/>
    <w:rsid w:val="008F00F3"/>
    <w:rsid w:val="008F28A7"/>
    <w:rsid w:val="008F2CF9"/>
    <w:rsid w:val="008F3EA1"/>
    <w:rsid w:val="008F4AF8"/>
    <w:rsid w:val="008F4D64"/>
    <w:rsid w:val="008F4F47"/>
    <w:rsid w:val="008F5136"/>
    <w:rsid w:val="008F56A9"/>
    <w:rsid w:val="008F5BD3"/>
    <w:rsid w:val="008F6CD2"/>
    <w:rsid w:val="008F7265"/>
    <w:rsid w:val="008F7849"/>
    <w:rsid w:val="008F7975"/>
    <w:rsid w:val="008F7D32"/>
    <w:rsid w:val="00900213"/>
    <w:rsid w:val="0090041B"/>
    <w:rsid w:val="0090052E"/>
    <w:rsid w:val="00900C1A"/>
    <w:rsid w:val="00902A9D"/>
    <w:rsid w:val="00902F1E"/>
    <w:rsid w:val="00903048"/>
    <w:rsid w:val="00903328"/>
    <w:rsid w:val="00903BE9"/>
    <w:rsid w:val="0090410D"/>
    <w:rsid w:val="009044D9"/>
    <w:rsid w:val="0090512E"/>
    <w:rsid w:val="0090523D"/>
    <w:rsid w:val="0090528C"/>
    <w:rsid w:val="009059DC"/>
    <w:rsid w:val="00905E11"/>
    <w:rsid w:val="00905E81"/>
    <w:rsid w:val="00905F24"/>
    <w:rsid w:val="0090665F"/>
    <w:rsid w:val="009069E2"/>
    <w:rsid w:val="009076C2"/>
    <w:rsid w:val="00907C42"/>
    <w:rsid w:val="00910CAA"/>
    <w:rsid w:val="0091118A"/>
    <w:rsid w:val="00912290"/>
    <w:rsid w:val="00913656"/>
    <w:rsid w:val="00913ED0"/>
    <w:rsid w:val="00913FDC"/>
    <w:rsid w:val="00914677"/>
    <w:rsid w:val="00915BC6"/>
    <w:rsid w:val="00915D10"/>
    <w:rsid w:val="00915DFE"/>
    <w:rsid w:val="009168FE"/>
    <w:rsid w:val="00916D6A"/>
    <w:rsid w:val="00917276"/>
    <w:rsid w:val="00917367"/>
    <w:rsid w:val="0091781F"/>
    <w:rsid w:val="00917A87"/>
    <w:rsid w:val="00920970"/>
    <w:rsid w:val="00920B55"/>
    <w:rsid w:val="00920CC0"/>
    <w:rsid w:val="0092107E"/>
    <w:rsid w:val="0092137D"/>
    <w:rsid w:val="00923CF3"/>
    <w:rsid w:val="009245EA"/>
    <w:rsid w:val="00925CFB"/>
    <w:rsid w:val="00926482"/>
    <w:rsid w:val="00926C48"/>
    <w:rsid w:val="00927650"/>
    <w:rsid w:val="009277B3"/>
    <w:rsid w:val="00927849"/>
    <w:rsid w:val="00930486"/>
    <w:rsid w:val="00930EAE"/>
    <w:rsid w:val="009312A8"/>
    <w:rsid w:val="009313BF"/>
    <w:rsid w:val="00931F1B"/>
    <w:rsid w:val="0093298A"/>
    <w:rsid w:val="00932D08"/>
    <w:rsid w:val="009336F3"/>
    <w:rsid w:val="00933CBA"/>
    <w:rsid w:val="00934B69"/>
    <w:rsid w:val="00934FBD"/>
    <w:rsid w:val="009363DD"/>
    <w:rsid w:val="00936CC6"/>
    <w:rsid w:val="00936EE8"/>
    <w:rsid w:val="00940306"/>
    <w:rsid w:val="00940768"/>
    <w:rsid w:val="00940783"/>
    <w:rsid w:val="00940ACD"/>
    <w:rsid w:val="00940BAA"/>
    <w:rsid w:val="00940F1D"/>
    <w:rsid w:val="009417CF"/>
    <w:rsid w:val="00942A7E"/>
    <w:rsid w:val="00942CB6"/>
    <w:rsid w:val="00942CE9"/>
    <w:rsid w:val="009430C9"/>
    <w:rsid w:val="00943503"/>
    <w:rsid w:val="00943B09"/>
    <w:rsid w:val="009454DE"/>
    <w:rsid w:val="009456AD"/>
    <w:rsid w:val="009458D1"/>
    <w:rsid w:val="00946FA3"/>
    <w:rsid w:val="00947C71"/>
    <w:rsid w:val="00950265"/>
    <w:rsid w:val="00950774"/>
    <w:rsid w:val="00950A1B"/>
    <w:rsid w:val="009513F0"/>
    <w:rsid w:val="009525B6"/>
    <w:rsid w:val="009529B7"/>
    <w:rsid w:val="00952B07"/>
    <w:rsid w:val="00952E5D"/>
    <w:rsid w:val="009540A3"/>
    <w:rsid w:val="0095476A"/>
    <w:rsid w:val="00954E51"/>
    <w:rsid w:val="00954FF2"/>
    <w:rsid w:val="0095554B"/>
    <w:rsid w:val="009555FB"/>
    <w:rsid w:val="00955848"/>
    <w:rsid w:val="009561DE"/>
    <w:rsid w:val="00957714"/>
    <w:rsid w:val="009578D1"/>
    <w:rsid w:val="00957D70"/>
    <w:rsid w:val="00957D97"/>
    <w:rsid w:val="00960781"/>
    <w:rsid w:val="009615D2"/>
    <w:rsid w:val="009622F0"/>
    <w:rsid w:val="00962EE8"/>
    <w:rsid w:val="009631F9"/>
    <w:rsid w:val="00965C4F"/>
    <w:rsid w:val="009666FB"/>
    <w:rsid w:val="0096723E"/>
    <w:rsid w:val="00967629"/>
    <w:rsid w:val="0096763E"/>
    <w:rsid w:val="0097031F"/>
    <w:rsid w:val="00970337"/>
    <w:rsid w:val="00970376"/>
    <w:rsid w:val="00972098"/>
    <w:rsid w:val="00972AC0"/>
    <w:rsid w:val="009731C5"/>
    <w:rsid w:val="009750C1"/>
    <w:rsid w:val="009750C2"/>
    <w:rsid w:val="00975795"/>
    <w:rsid w:val="00976754"/>
    <w:rsid w:val="00976EE9"/>
    <w:rsid w:val="00977334"/>
    <w:rsid w:val="00977A8E"/>
    <w:rsid w:val="00977FED"/>
    <w:rsid w:val="00981531"/>
    <w:rsid w:val="00982684"/>
    <w:rsid w:val="00982D11"/>
    <w:rsid w:val="00984376"/>
    <w:rsid w:val="00984EE7"/>
    <w:rsid w:val="00984F08"/>
    <w:rsid w:val="0098504A"/>
    <w:rsid w:val="00985FCD"/>
    <w:rsid w:val="00990197"/>
    <w:rsid w:val="00990D58"/>
    <w:rsid w:val="0099126E"/>
    <w:rsid w:val="0099143C"/>
    <w:rsid w:val="0099156F"/>
    <w:rsid w:val="009918E7"/>
    <w:rsid w:val="00991D39"/>
    <w:rsid w:val="00992E78"/>
    <w:rsid w:val="00993661"/>
    <w:rsid w:val="00994762"/>
    <w:rsid w:val="00994AA8"/>
    <w:rsid w:val="009951CB"/>
    <w:rsid w:val="0099529B"/>
    <w:rsid w:val="00996551"/>
    <w:rsid w:val="00996826"/>
    <w:rsid w:val="009A0FBB"/>
    <w:rsid w:val="009A11C8"/>
    <w:rsid w:val="009A14E9"/>
    <w:rsid w:val="009A1757"/>
    <w:rsid w:val="009A1B46"/>
    <w:rsid w:val="009A202F"/>
    <w:rsid w:val="009A28E0"/>
    <w:rsid w:val="009A2B5D"/>
    <w:rsid w:val="009A38F4"/>
    <w:rsid w:val="009A439D"/>
    <w:rsid w:val="009A442C"/>
    <w:rsid w:val="009A46CD"/>
    <w:rsid w:val="009A4880"/>
    <w:rsid w:val="009A48D5"/>
    <w:rsid w:val="009A5B90"/>
    <w:rsid w:val="009A6D9C"/>
    <w:rsid w:val="009A6F6D"/>
    <w:rsid w:val="009B0242"/>
    <w:rsid w:val="009B0304"/>
    <w:rsid w:val="009B057B"/>
    <w:rsid w:val="009B0693"/>
    <w:rsid w:val="009B08F0"/>
    <w:rsid w:val="009B0DF7"/>
    <w:rsid w:val="009B1140"/>
    <w:rsid w:val="009B11E9"/>
    <w:rsid w:val="009B1AF6"/>
    <w:rsid w:val="009B24AF"/>
    <w:rsid w:val="009B390C"/>
    <w:rsid w:val="009B40A6"/>
    <w:rsid w:val="009B43EB"/>
    <w:rsid w:val="009B46D2"/>
    <w:rsid w:val="009B4A92"/>
    <w:rsid w:val="009B4FBA"/>
    <w:rsid w:val="009B5CAB"/>
    <w:rsid w:val="009B62B2"/>
    <w:rsid w:val="009C0D71"/>
    <w:rsid w:val="009C2F91"/>
    <w:rsid w:val="009C3457"/>
    <w:rsid w:val="009C3802"/>
    <w:rsid w:val="009C4BCD"/>
    <w:rsid w:val="009C60F6"/>
    <w:rsid w:val="009C6962"/>
    <w:rsid w:val="009C6A7D"/>
    <w:rsid w:val="009D1420"/>
    <w:rsid w:val="009D1E9F"/>
    <w:rsid w:val="009D49A8"/>
    <w:rsid w:val="009D7580"/>
    <w:rsid w:val="009E005A"/>
    <w:rsid w:val="009E12F3"/>
    <w:rsid w:val="009E22A9"/>
    <w:rsid w:val="009E2467"/>
    <w:rsid w:val="009E3390"/>
    <w:rsid w:val="009E5F6A"/>
    <w:rsid w:val="009E6A62"/>
    <w:rsid w:val="009E714B"/>
    <w:rsid w:val="009E7781"/>
    <w:rsid w:val="009E7F4E"/>
    <w:rsid w:val="009F0889"/>
    <w:rsid w:val="009F08B3"/>
    <w:rsid w:val="009F0DDF"/>
    <w:rsid w:val="009F1202"/>
    <w:rsid w:val="009F12E6"/>
    <w:rsid w:val="009F143A"/>
    <w:rsid w:val="009F3AD4"/>
    <w:rsid w:val="009F3ECF"/>
    <w:rsid w:val="009F4132"/>
    <w:rsid w:val="009F4B81"/>
    <w:rsid w:val="009F4BB4"/>
    <w:rsid w:val="009F5478"/>
    <w:rsid w:val="009F554F"/>
    <w:rsid w:val="009F598E"/>
    <w:rsid w:val="009F6139"/>
    <w:rsid w:val="009F6536"/>
    <w:rsid w:val="009F6A0F"/>
    <w:rsid w:val="009F7546"/>
    <w:rsid w:val="00A0012B"/>
    <w:rsid w:val="00A008E6"/>
    <w:rsid w:val="00A00A81"/>
    <w:rsid w:val="00A010F3"/>
    <w:rsid w:val="00A0127F"/>
    <w:rsid w:val="00A0171B"/>
    <w:rsid w:val="00A0235A"/>
    <w:rsid w:val="00A026EC"/>
    <w:rsid w:val="00A02939"/>
    <w:rsid w:val="00A0380C"/>
    <w:rsid w:val="00A0411E"/>
    <w:rsid w:val="00A04E30"/>
    <w:rsid w:val="00A0570C"/>
    <w:rsid w:val="00A05715"/>
    <w:rsid w:val="00A0605D"/>
    <w:rsid w:val="00A060C7"/>
    <w:rsid w:val="00A071C3"/>
    <w:rsid w:val="00A072DA"/>
    <w:rsid w:val="00A0755B"/>
    <w:rsid w:val="00A07A5C"/>
    <w:rsid w:val="00A100B6"/>
    <w:rsid w:val="00A106B0"/>
    <w:rsid w:val="00A12196"/>
    <w:rsid w:val="00A12C83"/>
    <w:rsid w:val="00A133C3"/>
    <w:rsid w:val="00A14757"/>
    <w:rsid w:val="00A1529B"/>
    <w:rsid w:val="00A160D0"/>
    <w:rsid w:val="00A1610A"/>
    <w:rsid w:val="00A16994"/>
    <w:rsid w:val="00A173C2"/>
    <w:rsid w:val="00A20197"/>
    <w:rsid w:val="00A2170F"/>
    <w:rsid w:val="00A22BDD"/>
    <w:rsid w:val="00A22CB4"/>
    <w:rsid w:val="00A22CFA"/>
    <w:rsid w:val="00A2320A"/>
    <w:rsid w:val="00A2346F"/>
    <w:rsid w:val="00A236A1"/>
    <w:rsid w:val="00A23885"/>
    <w:rsid w:val="00A23EBF"/>
    <w:rsid w:val="00A2404C"/>
    <w:rsid w:val="00A2756F"/>
    <w:rsid w:val="00A27A59"/>
    <w:rsid w:val="00A27AD5"/>
    <w:rsid w:val="00A27ED8"/>
    <w:rsid w:val="00A3038E"/>
    <w:rsid w:val="00A30D40"/>
    <w:rsid w:val="00A31314"/>
    <w:rsid w:val="00A313D8"/>
    <w:rsid w:val="00A315E0"/>
    <w:rsid w:val="00A31A81"/>
    <w:rsid w:val="00A32150"/>
    <w:rsid w:val="00A32BBA"/>
    <w:rsid w:val="00A32E8D"/>
    <w:rsid w:val="00A33663"/>
    <w:rsid w:val="00A33E07"/>
    <w:rsid w:val="00A34255"/>
    <w:rsid w:val="00A34B4F"/>
    <w:rsid w:val="00A3603A"/>
    <w:rsid w:val="00A37BA5"/>
    <w:rsid w:val="00A4008B"/>
    <w:rsid w:val="00A4440E"/>
    <w:rsid w:val="00A4655E"/>
    <w:rsid w:val="00A467FF"/>
    <w:rsid w:val="00A471ED"/>
    <w:rsid w:val="00A47A5C"/>
    <w:rsid w:val="00A50320"/>
    <w:rsid w:val="00A503BB"/>
    <w:rsid w:val="00A5066C"/>
    <w:rsid w:val="00A508EE"/>
    <w:rsid w:val="00A50B49"/>
    <w:rsid w:val="00A517BF"/>
    <w:rsid w:val="00A5267C"/>
    <w:rsid w:val="00A5294F"/>
    <w:rsid w:val="00A5310E"/>
    <w:rsid w:val="00A535B9"/>
    <w:rsid w:val="00A53A59"/>
    <w:rsid w:val="00A55092"/>
    <w:rsid w:val="00A56316"/>
    <w:rsid w:val="00A563ED"/>
    <w:rsid w:val="00A57D2D"/>
    <w:rsid w:val="00A57FDC"/>
    <w:rsid w:val="00A60512"/>
    <w:rsid w:val="00A60521"/>
    <w:rsid w:val="00A60BF0"/>
    <w:rsid w:val="00A61081"/>
    <w:rsid w:val="00A611E8"/>
    <w:rsid w:val="00A619DA"/>
    <w:rsid w:val="00A62DDE"/>
    <w:rsid w:val="00A62EF3"/>
    <w:rsid w:val="00A62EF6"/>
    <w:rsid w:val="00A64144"/>
    <w:rsid w:val="00A653F9"/>
    <w:rsid w:val="00A65F8A"/>
    <w:rsid w:val="00A66024"/>
    <w:rsid w:val="00A6613C"/>
    <w:rsid w:val="00A663F0"/>
    <w:rsid w:val="00A66815"/>
    <w:rsid w:val="00A6723D"/>
    <w:rsid w:val="00A67391"/>
    <w:rsid w:val="00A7119A"/>
    <w:rsid w:val="00A73719"/>
    <w:rsid w:val="00A738FD"/>
    <w:rsid w:val="00A73B3B"/>
    <w:rsid w:val="00A73C6D"/>
    <w:rsid w:val="00A76732"/>
    <w:rsid w:val="00A772B0"/>
    <w:rsid w:val="00A77BD3"/>
    <w:rsid w:val="00A823FC"/>
    <w:rsid w:val="00A8288D"/>
    <w:rsid w:val="00A82D97"/>
    <w:rsid w:val="00A83E10"/>
    <w:rsid w:val="00A84A4B"/>
    <w:rsid w:val="00A8504E"/>
    <w:rsid w:val="00A85946"/>
    <w:rsid w:val="00A87355"/>
    <w:rsid w:val="00A87DDB"/>
    <w:rsid w:val="00A90B8B"/>
    <w:rsid w:val="00A918A7"/>
    <w:rsid w:val="00A92538"/>
    <w:rsid w:val="00A92A99"/>
    <w:rsid w:val="00A93D8A"/>
    <w:rsid w:val="00A95BD1"/>
    <w:rsid w:val="00A95EED"/>
    <w:rsid w:val="00A96781"/>
    <w:rsid w:val="00A97572"/>
    <w:rsid w:val="00AA0189"/>
    <w:rsid w:val="00AA02DD"/>
    <w:rsid w:val="00AA063B"/>
    <w:rsid w:val="00AA06BF"/>
    <w:rsid w:val="00AA0A17"/>
    <w:rsid w:val="00AA0E20"/>
    <w:rsid w:val="00AA1948"/>
    <w:rsid w:val="00AA295C"/>
    <w:rsid w:val="00AA2ABD"/>
    <w:rsid w:val="00AA469C"/>
    <w:rsid w:val="00AA5490"/>
    <w:rsid w:val="00AA705F"/>
    <w:rsid w:val="00AA715E"/>
    <w:rsid w:val="00AA71BD"/>
    <w:rsid w:val="00AA71FB"/>
    <w:rsid w:val="00AB1B7B"/>
    <w:rsid w:val="00AB209E"/>
    <w:rsid w:val="00AB2BB9"/>
    <w:rsid w:val="00AB2F32"/>
    <w:rsid w:val="00AB2FDE"/>
    <w:rsid w:val="00AB3A69"/>
    <w:rsid w:val="00AB3D19"/>
    <w:rsid w:val="00AB3E72"/>
    <w:rsid w:val="00AB4B74"/>
    <w:rsid w:val="00AB4F6A"/>
    <w:rsid w:val="00AB4FC7"/>
    <w:rsid w:val="00AB51D7"/>
    <w:rsid w:val="00AB53BA"/>
    <w:rsid w:val="00AB6456"/>
    <w:rsid w:val="00AB6ABD"/>
    <w:rsid w:val="00AB6E02"/>
    <w:rsid w:val="00AB71C1"/>
    <w:rsid w:val="00AC2017"/>
    <w:rsid w:val="00AC2566"/>
    <w:rsid w:val="00AC2CDC"/>
    <w:rsid w:val="00AC4270"/>
    <w:rsid w:val="00AC4477"/>
    <w:rsid w:val="00AC4EC1"/>
    <w:rsid w:val="00AC54FD"/>
    <w:rsid w:val="00AC6CBD"/>
    <w:rsid w:val="00AD0AB9"/>
    <w:rsid w:val="00AD0D43"/>
    <w:rsid w:val="00AD21B3"/>
    <w:rsid w:val="00AD232C"/>
    <w:rsid w:val="00AD37A6"/>
    <w:rsid w:val="00AD4467"/>
    <w:rsid w:val="00AD4B7F"/>
    <w:rsid w:val="00AD4F72"/>
    <w:rsid w:val="00AD54FA"/>
    <w:rsid w:val="00AD5DB7"/>
    <w:rsid w:val="00AD639E"/>
    <w:rsid w:val="00AD6624"/>
    <w:rsid w:val="00AD6903"/>
    <w:rsid w:val="00AD69EA"/>
    <w:rsid w:val="00AD7805"/>
    <w:rsid w:val="00AE0770"/>
    <w:rsid w:val="00AE0BE2"/>
    <w:rsid w:val="00AE1BF0"/>
    <w:rsid w:val="00AE26B6"/>
    <w:rsid w:val="00AE3DA3"/>
    <w:rsid w:val="00AE41C4"/>
    <w:rsid w:val="00AE5409"/>
    <w:rsid w:val="00AE54F4"/>
    <w:rsid w:val="00AE5825"/>
    <w:rsid w:val="00AE6129"/>
    <w:rsid w:val="00AE6BBF"/>
    <w:rsid w:val="00AE7649"/>
    <w:rsid w:val="00AF03B5"/>
    <w:rsid w:val="00AF0AD9"/>
    <w:rsid w:val="00AF1AEA"/>
    <w:rsid w:val="00AF2371"/>
    <w:rsid w:val="00AF34CC"/>
    <w:rsid w:val="00AF42F5"/>
    <w:rsid w:val="00AF46DE"/>
    <w:rsid w:val="00AF4E9E"/>
    <w:rsid w:val="00AF52EA"/>
    <w:rsid w:val="00AF53A9"/>
    <w:rsid w:val="00AF58C3"/>
    <w:rsid w:val="00AF6A13"/>
    <w:rsid w:val="00AF6C3C"/>
    <w:rsid w:val="00B006B2"/>
    <w:rsid w:val="00B00CA8"/>
    <w:rsid w:val="00B01117"/>
    <w:rsid w:val="00B020C1"/>
    <w:rsid w:val="00B02950"/>
    <w:rsid w:val="00B032DF"/>
    <w:rsid w:val="00B03EB8"/>
    <w:rsid w:val="00B04E5A"/>
    <w:rsid w:val="00B04F2B"/>
    <w:rsid w:val="00B050FE"/>
    <w:rsid w:val="00B056FC"/>
    <w:rsid w:val="00B0772A"/>
    <w:rsid w:val="00B10671"/>
    <w:rsid w:val="00B12107"/>
    <w:rsid w:val="00B12FA1"/>
    <w:rsid w:val="00B13A79"/>
    <w:rsid w:val="00B13AC7"/>
    <w:rsid w:val="00B151C9"/>
    <w:rsid w:val="00B153D5"/>
    <w:rsid w:val="00B15831"/>
    <w:rsid w:val="00B15B7A"/>
    <w:rsid w:val="00B15BD7"/>
    <w:rsid w:val="00B16C7E"/>
    <w:rsid w:val="00B16F61"/>
    <w:rsid w:val="00B20452"/>
    <w:rsid w:val="00B209F4"/>
    <w:rsid w:val="00B21CB9"/>
    <w:rsid w:val="00B22584"/>
    <w:rsid w:val="00B22D05"/>
    <w:rsid w:val="00B24037"/>
    <w:rsid w:val="00B24A01"/>
    <w:rsid w:val="00B2585F"/>
    <w:rsid w:val="00B25A3A"/>
    <w:rsid w:val="00B25FCD"/>
    <w:rsid w:val="00B263E8"/>
    <w:rsid w:val="00B27B51"/>
    <w:rsid w:val="00B303DA"/>
    <w:rsid w:val="00B308FD"/>
    <w:rsid w:val="00B3095C"/>
    <w:rsid w:val="00B31FF4"/>
    <w:rsid w:val="00B328F4"/>
    <w:rsid w:val="00B32D27"/>
    <w:rsid w:val="00B331F3"/>
    <w:rsid w:val="00B33435"/>
    <w:rsid w:val="00B33B91"/>
    <w:rsid w:val="00B33F6A"/>
    <w:rsid w:val="00B349E5"/>
    <w:rsid w:val="00B34CC5"/>
    <w:rsid w:val="00B34F5B"/>
    <w:rsid w:val="00B3551A"/>
    <w:rsid w:val="00B35D73"/>
    <w:rsid w:val="00B372CE"/>
    <w:rsid w:val="00B40055"/>
    <w:rsid w:val="00B407A9"/>
    <w:rsid w:val="00B409A5"/>
    <w:rsid w:val="00B409FA"/>
    <w:rsid w:val="00B416FA"/>
    <w:rsid w:val="00B41A4B"/>
    <w:rsid w:val="00B428A6"/>
    <w:rsid w:val="00B43941"/>
    <w:rsid w:val="00B43DEB"/>
    <w:rsid w:val="00B4507C"/>
    <w:rsid w:val="00B45259"/>
    <w:rsid w:val="00B455DB"/>
    <w:rsid w:val="00B46172"/>
    <w:rsid w:val="00B5108A"/>
    <w:rsid w:val="00B5131D"/>
    <w:rsid w:val="00B51B4F"/>
    <w:rsid w:val="00B5312E"/>
    <w:rsid w:val="00B535E4"/>
    <w:rsid w:val="00B53613"/>
    <w:rsid w:val="00B53E95"/>
    <w:rsid w:val="00B550F9"/>
    <w:rsid w:val="00B55B49"/>
    <w:rsid w:val="00B56736"/>
    <w:rsid w:val="00B567B1"/>
    <w:rsid w:val="00B56ACD"/>
    <w:rsid w:val="00B575EF"/>
    <w:rsid w:val="00B57B47"/>
    <w:rsid w:val="00B57B5C"/>
    <w:rsid w:val="00B60716"/>
    <w:rsid w:val="00B61666"/>
    <w:rsid w:val="00B617C2"/>
    <w:rsid w:val="00B62B41"/>
    <w:rsid w:val="00B62B78"/>
    <w:rsid w:val="00B62CF5"/>
    <w:rsid w:val="00B633A9"/>
    <w:rsid w:val="00B63410"/>
    <w:rsid w:val="00B640A4"/>
    <w:rsid w:val="00B640CD"/>
    <w:rsid w:val="00B64339"/>
    <w:rsid w:val="00B643AF"/>
    <w:rsid w:val="00B64985"/>
    <w:rsid w:val="00B6527B"/>
    <w:rsid w:val="00B654CE"/>
    <w:rsid w:val="00B6560D"/>
    <w:rsid w:val="00B6596F"/>
    <w:rsid w:val="00B65B08"/>
    <w:rsid w:val="00B65B59"/>
    <w:rsid w:val="00B663ED"/>
    <w:rsid w:val="00B66911"/>
    <w:rsid w:val="00B66CD7"/>
    <w:rsid w:val="00B674FA"/>
    <w:rsid w:val="00B67E13"/>
    <w:rsid w:val="00B719D4"/>
    <w:rsid w:val="00B729D3"/>
    <w:rsid w:val="00B72C79"/>
    <w:rsid w:val="00B72E1B"/>
    <w:rsid w:val="00B735F3"/>
    <w:rsid w:val="00B73E12"/>
    <w:rsid w:val="00B74273"/>
    <w:rsid w:val="00B7428C"/>
    <w:rsid w:val="00B7554D"/>
    <w:rsid w:val="00B77380"/>
    <w:rsid w:val="00B8063E"/>
    <w:rsid w:val="00B8074C"/>
    <w:rsid w:val="00B80787"/>
    <w:rsid w:val="00B80E12"/>
    <w:rsid w:val="00B81139"/>
    <w:rsid w:val="00B82175"/>
    <w:rsid w:val="00B8270A"/>
    <w:rsid w:val="00B83593"/>
    <w:rsid w:val="00B8362F"/>
    <w:rsid w:val="00B8445F"/>
    <w:rsid w:val="00B84AF7"/>
    <w:rsid w:val="00B8501F"/>
    <w:rsid w:val="00B855E5"/>
    <w:rsid w:val="00B874FE"/>
    <w:rsid w:val="00B908E9"/>
    <w:rsid w:val="00B91DCE"/>
    <w:rsid w:val="00B93112"/>
    <w:rsid w:val="00B93207"/>
    <w:rsid w:val="00B95B7E"/>
    <w:rsid w:val="00B9620D"/>
    <w:rsid w:val="00B962B6"/>
    <w:rsid w:val="00B9641A"/>
    <w:rsid w:val="00B96448"/>
    <w:rsid w:val="00B965F5"/>
    <w:rsid w:val="00B96E22"/>
    <w:rsid w:val="00B971D1"/>
    <w:rsid w:val="00B9752B"/>
    <w:rsid w:val="00B97F22"/>
    <w:rsid w:val="00BA010A"/>
    <w:rsid w:val="00BA08AA"/>
    <w:rsid w:val="00BA0F87"/>
    <w:rsid w:val="00BA1C69"/>
    <w:rsid w:val="00BA21D8"/>
    <w:rsid w:val="00BA4C7F"/>
    <w:rsid w:val="00BA4EE8"/>
    <w:rsid w:val="00BA5771"/>
    <w:rsid w:val="00BA5AB3"/>
    <w:rsid w:val="00BA6E3B"/>
    <w:rsid w:val="00BB0141"/>
    <w:rsid w:val="00BB04DE"/>
    <w:rsid w:val="00BB0AC3"/>
    <w:rsid w:val="00BB122F"/>
    <w:rsid w:val="00BB1526"/>
    <w:rsid w:val="00BB19D0"/>
    <w:rsid w:val="00BB2669"/>
    <w:rsid w:val="00BB2A9D"/>
    <w:rsid w:val="00BB312E"/>
    <w:rsid w:val="00BB339F"/>
    <w:rsid w:val="00BB4776"/>
    <w:rsid w:val="00BB4804"/>
    <w:rsid w:val="00BB4DE6"/>
    <w:rsid w:val="00BB5F33"/>
    <w:rsid w:val="00BB648A"/>
    <w:rsid w:val="00BB66D6"/>
    <w:rsid w:val="00BB6BB3"/>
    <w:rsid w:val="00BB6EC8"/>
    <w:rsid w:val="00BB6FF8"/>
    <w:rsid w:val="00BB7DC5"/>
    <w:rsid w:val="00BC1CFE"/>
    <w:rsid w:val="00BC1EB4"/>
    <w:rsid w:val="00BC1ED6"/>
    <w:rsid w:val="00BC2070"/>
    <w:rsid w:val="00BC2741"/>
    <w:rsid w:val="00BC3570"/>
    <w:rsid w:val="00BC5BC5"/>
    <w:rsid w:val="00BC6F1E"/>
    <w:rsid w:val="00BC72CA"/>
    <w:rsid w:val="00BC7A85"/>
    <w:rsid w:val="00BC7B44"/>
    <w:rsid w:val="00BD171D"/>
    <w:rsid w:val="00BD1746"/>
    <w:rsid w:val="00BD179F"/>
    <w:rsid w:val="00BD3B0A"/>
    <w:rsid w:val="00BD4203"/>
    <w:rsid w:val="00BD55E7"/>
    <w:rsid w:val="00BD57F5"/>
    <w:rsid w:val="00BD5A76"/>
    <w:rsid w:val="00BD5C8D"/>
    <w:rsid w:val="00BD63E1"/>
    <w:rsid w:val="00BD7081"/>
    <w:rsid w:val="00BD73E9"/>
    <w:rsid w:val="00BE06DF"/>
    <w:rsid w:val="00BE10F0"/>
    <w:rsid w:val="00BE130F"/>
    <w:rsid w:val="00BE17D5"/>
    <w:rsid w:val="00BE18E6"/>
    <w:rsid w:val="00BE1D1D"/>
    <w:rsid w:val="00BE2829"/>
    <w:rsid w:val="00BE3852"/>
    <w:rsid w:val="00BE3F77"/>
    <w:rsid w:val="00BE48A4"/>
    <w:rsid w:val="00BE544A"/>
    <w:rsid w:val="00BE56F0"/>
    <w:rsid w:val="00BE5881"/>
    <w:rsid w:val="00BE619A"/>
    <w:rsid w:val="00BE6785"/>
    <w:rsid w:val="00BE75E1"/>
    <w:rsid w:val="00BE7A0F"/>
    <w:rsid w:val="00BE7AA0"/>
    <w:rsid w:val="00BF0F37"/>
    <w:rsid w:val="00BF157C"/>
    <w:rsid w:val="00BF1FD8"/>
    <w:rsid w:val="00BF2AA5"/>
    <w:rsid w:val="00BF2F68"/>
    <w:rsid w:val="00BF3898"/>
    <w:rsid w:val="00BF4198"/>
    <w:rsid w:val="00BF557B"/>
    <w:rsid w:val="00BF64E7"/>
    <w:rsid w:val="00BF654F"/>
    <w:rsid w:val="00BF72B2"/>
    <w:rsid w:val="00C001D4"/>
    <w:rsid w:val="00C00C89"/>
    <w:rsid w:val="00C01078"/>
    <w:rsid w:val="00C02AFB"/>
    <w:rsid w:val="00C03BFB"/>
    <w:rsid w:val="00C03C6D"/>
    <w:rsid w:val="00C03CDD"/>
    <w:rsid w:val="00C03D4B"/>
    <w:rsid w:val="00C0540C"/>
    <w:rsid w:val="00C05464"/>
    <w:rsid w:val="00C05A2C"/>
    <w:rsid w:val="00C05EAC"/>
    <w:rsid w:val="00C065DC"/>
    <w:rsid w:val="00C070CE"/>
    <w:rsid w:val="00C0717C"/>
    <w:rsid w:val="00C07CFB"/>
    <w:rsid w:val="00C103F7"/>
    <w:rsid w:val="00C10E7E"/>
    <w:rsid w:val="00C11328"/>
    <w:rsid w:val="00C119DE"/>
    <w:rsid w:val="00C12D35"/>
    <w:rsid w:val="00C12DEA"/>
    <w:rsid w:val="00C1330B"/>
    <w:rsid w:val="00C13EC7"/>
    <w:rsid w:val="00C1406D"/>
    <w:rsid w:val="00C14816"/>
    <w:rsid w:val="00C15981"/>
    <w:rsid w:val="00C15EEE"/>
    <w:rsid w:val="00C16015"/>
    <w:rsid w:val="00C1620C"/>
    <w:rsid w:val="00C164FC"/>
    <w:rsid w:val="00C16701"/>
    <w:rsid w:val="00C16856"/>
    <w:rsid w:val="00C17EB6"/>
    <w:rsid w:val="00C210BE"/>
    <w:rsid w:val="00C21FE6"/>
    <w:rsid w:val="00C22156"/>
    <w:rsid w:val="00C22316"/>
    <w:rsid w:val="00C2393B"/>
    <w:rsid w:val="00C24186"/>
    <w:rsid w:val="00C247B3"/>
    <w:rsid w:val="00C24825"/>
    <w:rsid w:val="00C2543D"/>
    <w:rsid w:val="00C2592A"/>
    <w:rsid w:val="00C26768"/>
    <w:rsid w:val="00C26DD9"/>
    <w:rsid w:val="00C27074"/>
    <w:rsid w:val="00C27DF1"/>
    <w:rsid w:val="00C30347"/>
    <w:rsid w:val="00C311C5"/>
    <w:rsid w:val="00C314D6"/>
    <w:rsid w:val="00C314F4"/>
    <w:rsid w:val="00C317CC"/>
    <w:rsid w:val="00C32CB0"/>
    <w:rsid w:val="00C338EE"/>
    <w:rsid w:val="00C34171"/>
    <w:rsid w:val="00C345E4"/>
    <w:rsid w:val="00C3508F"/>
    <w:rsid w:val="00C35EED"/>
    <w:rsid w:val="00C366FB"/>
    <w:rsid w:val="00C36E1F"/>
    <w:rsid w:val="00C37160"/>
    <w:rsid w:val="00C3718E"/>
    <w:rsid w:val="00C37AC2"/>
    <w:rsid w:val="00C404A2"/>
    <w:rsid w:val="00C4113B"/>
    <w:rsid w:val="00C41943"/>
    <w:rsid w:val="00C42476"/>
    <w:rsid w:val="00C42EFC"/>
    <w:rsid w:val="00C435BD"/>
    <w:rsid w:val="00C43D96"/>
    <w:rsid w:val="00C43DAD"/>
    <w:rsid w:val="00C452DE"/>
    <w:rsid w:val="00C4650A"/>
    <w:rsid w:val="00C4651B"/>
    <w:rsid w:val="00C468C6"/>
    <w:rsid w:val="00C46A8E"/>
    <w:rsid w:val="00C47620"/>
    <w:rsid w:val="00C478B1"/>
    <w:rsid w:val="00C51298"/>
    <w:rsid w:val="00C52040"/>
    <w:rsid w:val="00C52A07"/>
    <w:rsid w:val="00C52AF3"/>
    <w:rsid w:val="00C52C55"/>
    <w:rsid w:val="00C52EF1"/>
    <w:rsid w:val="00C52F7A"/>
    <w:rsid w:val="00C531B7"/>
    <w:rsid w:val="00C53E1B"/>
    <w:rsid w:val="00C543EA"/>
    <w:rsid w:val="00C559F5"/>
    <w:rsid w:val="00C55F73"/>
    <w:rsid w:val="00C56802"/>
    <w:rsid w:val="00C57761"/>
    <w:rsid w:val="00C57DC3"/>
    <w:rsid w:val="00C609D0"/>
    <w:rsid w:val="00C60D6D"/>
    <w:rsid w:val="00C614C1"/>
    <w:rsid w:val="00C618AF"/>
    <w:rsid w:val="00C63752"/>
    <w:rsid w:val="00C639B4"/>
    <w:rsid w:val="00C639F9"/>
    <w:rsid w:val="00C63E02"/>
    <w:rsid w:val="00C655CC"/>
    <w:rsid w:val="00C65769"/>
    <w:rsid w:val="00C67051"/>
    <w:rsid w:val="00C6715B"/>
    <w:rsid w:val="00C67859"/>
    <w:rsid w:val="00C70373"/>
    <w:rsid w:val="00C70430"/>
    <w:rsid w:val="00C70947"/>
    <w:rsid w:val="00C7268E"/>
    <w:rsid w:val="00C737E6"/>
    <w:rsid w:val="00C738F8"/>
    <w:rsid w:val="00C762E7"/>
    <w:rsid w:val="00C7647E"/>
    <w:rsid w:val="00C76B42"/>
    <w:rsid w:val="00C77BF0"/>
    <w:rsid w:val="00C80119"/>
    <w:rsid w:val="00C81638"/>
    <w:rsid w:val="00C84169"/>
    <w:rsid w:val="00C843B9"/>
    <w:rsid w:val="00C84E2A"/>
    <w:rsid w:val="00C8516D"/>
    <w:rsid w:val="00C857EB"/>
    <w:rsid w:val="00C85F8C"/>
    <w:rsid w:val="00C866FB"/>
    <w:rsid w:val="00C87076"/>
    <w:rsid w:val="00C90079"/>
    <w:rsid w:val="00C9056E"/>
    <w:rsid w:val="00C90E80"/>
    <w:rsid w:val="00C91B88"/>
    <w:rsid w:val="00C91F48"/>
    <w:rsid w:val="00C925DF"/>
    <w:rsid w:val="00C926E4"/>
    <w:rsid w:val="00C933D9"/>
    <w:rsid w:val="00C938A0"/>
    <w:rsid w:val="00C93AA2"/>
    <w:rsid w:val="00C94FBC"/>
    <w:rsid w:val="00C96A07"/>
    <w:rsid w:val="00C974ED"/>
    <w:rsid w:val="00C978CF"/>
    <w:rsid w:val="00CA0980"/>
    <w:rsid w:val="00CA1411"/>
    <w:rsid w:val="00CA1A19"/>
    <w:rsid w:val="00CA36A5"/>
    <w:rsid w:val="00CA4BF5"/>
    <w:rsid w:val="00CA5CE2"/>
    <w:rsid w:val="00CA6826"/>
    <w:rsid w:val="00CA7455"/>
    <w:rsid w:val="00CA7E25"/>
    <w:rsid w:val="00CB0C74"/>
    <w:rsid w:val="00CB0D86"/>
    <w:rsid w:val="00CB0ECA"/>
    <w:rsid w:val="00CB0F6E"/>
    <w:rsid w:val="00CB105D"/>
    <w:rsid w:val="00CB126C"/>
    <w:rsid w:val="00CB2C4C"/>
    <w:rsid w:val="00CB33DF"/>
    <w:rsid w:val="00CB35FD"/>
    <w:rsid w:val="00CB3C21"/>
    <w:rsid w:val="00CB3D6D"/>
    <w:rsid w:val="00CB3FD5"/>
    <w:rsid w:val="00CB5E53"/>
    <w:rsid w:val="00CB5F8D"/>
    <w:rsid w:val="00CB6635"/>
    <w:rsid w:val="00CB6983"/>
    <w:rsid w:val="00CB71A7"/>
    <w:rsid w:val="00CC0AEB"/>
    <w:rsid w:val="00CC1522"/>
    <w:rsid w:val="00CC363C"/>
    <w:rsid w:val="00CC37B4"/>
    <w:rsid w:val="00CC3882"/>
    <w:rsid w:val="00CC39F0"/>
    <w:rsid w:val="00CC5448"/>
    <w:rsid w:val="00CC5657"/>
    <w:rsid w:val="00CC6110"/>
    <w:rsid w:val="00CC6D92"/>
    <w:rsid w:val="00CC7236"/>
    <w:rsid w:val="00CC72CD"/>
    <w:rsid w:val="00CC72ED"/>
    <w:rsid w:val="00CC79CB"/>
    <w:rsid w:val="00CC7F0B"/>
    <w:rsid w:val="00CD0079"/>
    <w:rsid w:val="00CD00B3"/>
    <w:rsid w:val="00CD0463"/>
    <w:rsid w:val="00CD0960"/>
    <w:rsid w:val="00CD096B"/>
    <w:rsid w:val="00CD3B3D"/>
    <w:rsid w:val="00CD4294"/>
    <w:rsid w:val="00CD43F0"/>
    <w:rsid w:val="00CD6149"/>
    <w:rsid w:val="00CD63DC"/>
    <w:rsid w:val="00CD75DA"/>
    <w:rsid w:val="00CE180B"/>
    <w:rsid w:val="00CE1A57"/>
    <w:rsid w:val="00CE1BB5"/>
    <w:rsid w:val="00CE2B2F"/>
    <w:rsid w:val="00CE30D2"/>
    <w:rsid w:val="00CE3D1C"/>
    <w:rsid w:val="00CE3D46"/>
    <w:rsid w:val="00CE4E08"/>
    <w:rsid w:val="00CE587C"/>
    <w:rsid w:val="00CE633A"/>
    <w:rsid w:val="00CE6356"/>
    <w:rsid w:val="00CE675D"/>
    <w:rsid w:val="00CE6C36"/>
    <w:rsid w:val="00CE6D3C"/>
    <w:rsid w:val="00CE78C1"/>
    <w:rsid w:val="00CE7C2E"/>
    <w:rsid w:val="00CF00C2"/>
    <w:rsid w:val="00CF01EF"/>
    <w:rsid w:val="00CF037C"/>
    <w:rsid w:val="00CF14AF"/>
    <w:rsid w:val="00CF1F5B"/>
    <w:rsid w:val="00CF1F89"/>
    <w:rsid w:val="00CF21F3"/>
    <w:rsid w:val="00CF26A3"/>
    <w:rsid w:val="00CF299B"/>
    <w:rsid w:val="00CF2CE4"/>
    <w:rsid w:val="00CF39C7"/>
    <w:rsid w:val="00CF565F"/>
    <w:rsid w:val="00CF6E68"/>
    <w:rsid w:val="00CF76C9"/>
    <w:rsid w:val="00CF79E3"/>
    <w:rsid w:val="00D006CA"/>
    <w:rsid w:val="00D0176D"/>
    <w:rsid w:val="00D0284C"/>
    <w:rsid w:val="00D02CE9"/>
    <w:rsid w:val="00D03799"/>
    <w:rsid w:val="00D04539"/>
    <w:rsid w:val="00D04E61"/>
    <w:rsid w:val="00D05EF1"/>
    <w:rsid w:val="00D10552"/>
    <w:rsid w:val="00D10635"/>
    <w:rsid w:val="00D109AE"/>
    <w:rsid w:val="00D1186D"/>
    <w:rsid w:val="00D11BDB"/>
    <w:rsid w:val="00D12BF8"/>
    <w:rsid w:val="00D12DFA"/>
    <w:rsid w:val="00D136F8"/>
    <w:rsid w:val="00D13AD9"/>
    <w:rsid w:val="00D14C69"/>
    <w:rsid w:val="00D15367"/>
    <w:rsid w:val="00D15428"/>
    <w:rsid w:val="00D16857"/>
    <w:rsid w:val="00D16C99"/>
    <w:rsid w:val="00D16CF8"/>
    <w:rsid w:val="00D16F4A"/>
    <w:rsid w:val="00D17074"/>
    <w:rsid w:val="00D1710E"/>
    <w:rsid w:val="00D179F7"/>
    <w:rsid w:val="00D17E41"/>
    <w:rsid w:val="00D2285E"/>
    <w:rsid w:val="00D22D04"/>
    <w:rsid w:val="00D24509"/>
    <w:rsid w:val="00D25278"/>
    <w:rsid w:val="00D255A1"/>
    <w:rsid w:val="00D261B7"/>
    <w:rsid w:val="00D274B6"/>
    <w:rsid w:val="00D320C7"/>
    <w:rsid w:val="00D32B9F"/>
    <w:rsid w:val="00D335C0"/>
    <w:rsid w:val="00D338B2"/>
    <w:rsid w:val="00D338F5"/>
    <w:rsid w:val="00D33DF8"/>
    <w:rsid w:val="00D346D7"/>
    <w:rsid w:val="00D34C2F"/>
    <w:rsid w:val="00D34F83"/>
    <w:rsid w:val="00D35956"/>
    <w:rsid w:val="00D36617"/>
    <w:rsid w:val="00D37094"/>
    <w:rsid w:val="00D3721A"/>
    <w:rsid w:val="00D373E3"/>
    <w:rsid w:val="00D40646"/>
    <w:rsid w:val="00D40BD6"/>
    <w:rsid w:val="00D41CFA"/>
    <w:rsid w:val="00D42202"/>
    <w:rsid w:val="00D42385"/>
    <w:rsid w:val="00D42D5A"/>
    <w:rsid w:val="00D43275"/>
    <w:rsid w:val="00D4327A"/>
    <w:rsid w:val="00D43E51"/>
    <w:rsid w:val="00D4455B"/>
    <w:rsid w:val="00D44F71"/>
    <w:rsid w:val="00D450B3"/>
    <w:rsid w:val="00D468AB"/>
    <w:rsid w:val="00D4735F"/>
    <w:rsid w:val="00D47EB9"/>
    <w:rsid w:val="00D500C1"/>
    <w:rsid w:val="00D5056B"/>
    <w:rsid w:val="00D5085E"/>
    <w:rsid w:val="00D50D1F"/>
    <w:rsid w:val="00D50F4B"/>
    <w:rsid w:val="00D511B3"/>
    <w:rsid w:val="00D51B7B"/>
    <w:rsid w:val="00D52584"/>
    <w:rsid w:val="00D525B8"/>
    <w:rsid w:val="00D53482"/>
    <w:rsid w:val="00D53C52"/>
    <w:rsid w:val="00D56170"/>
    <w:rsid w:val="00D56F8E"/>
    <w:rsid w:val="00D57EFA"/>
    <w:rsid w:val="00D6032F"/>
    <w:rsid w:val="00D6122C"/>
    <w:rsid w:val="00D613DB"/>
    <w:rsid w:val="00D613E2"/>
    <w:rsid w:val="00D61A9F"/>
    <w:rsid w:val="00D6212D"/>
    <w:rsid w:val="00D64C9F"/>
    <w:rsid w:val="00D6537A"/>
    <w:rsid w:val="00D65679"/>
    <w:rsid w:val="00D659C3"/>
    <w:rsid w:val="00D66184"/>
    <w:rsid w:val="00D66283"/>
    <w:rsid w:val="00D66412"/>
    <w:rsid w:val="00D667D0"/>
    <w:rsid w:val="00D6704D"/>
    <w:rsid w:val="00D715BD"/>
    <w:rsid w:val="00D718AB"/>
    <w:rsid w:val="00D728A4"/>
    <w:rsid w:val="00D72D2F"/>
    <w:rsid w:val="00D7368B"/>
    <w:rsid w:val="00D74537"/>
    <w:rsid w:val="00D74A63"/>
    <w:rsid w:val="00D74A83"/>
    <w:rsid w:val="00D74F7E"/>
    <w:rsid w:val="00D763D4"/>
    <w:rsid w:val="00D7684E"/>
    <w:rsid w:val="00D76E45"/>
    <w:rsid w:val="00D77A25"/>
    <w:rsid w:val="00D77EE9"/>
    <w:rsid w:val="00D8103C"/>
    <w:rsid w:val="00D81D92"/>
    <w:rsid w:val="00D81D95"/>
    <w:rsid w:val="00D81DF2"/>
    <w:rsid w:val="00D82736"/>
    <w:rsid w:val="00D835DA"/>
    <w:rsid w:val="00D84275"/>
    <w:rsid w:val="00D8470E"/>
    <w:rsid w:val="00D848EA"/>
    <w:rsid w:val="00D869D4"/>
    <w:rsid w:val="00D86EDA"/>
    <w:rsid w:val="00D87C44"/>
    <w:rsid w:val="00D87D2D"/>
    <w:rsid w:val="00D903DF"/>
    <w:rsid w:val="00D907C9"/>
    <w:rsid w:val="00D90918"/>
    <w:rsid w:val="00D90F74"/>
    <w:rsid w:val="00D91485"/>
    <w:rsid w:val="00D91BCB"/>
    <w:rsid w:val="00D91EC4"/>
    <w:rsid w:val="00D92C6D"/>
    <w:rsid w:val="00D935E7"/>
    <w:rsid w:val="00D9483D"/>
    <w:rsid w:val="00D948D8"/>
    <w:rsid w:val="00D9605A"/>
    <w:rsid w:val="00D96C52"/>
    <w:rsid w:val="00D96C64"/>
    <w:rsid w:val="00D96F60"/>
    <w:rsid w:val="00D973FF"/>
    <w:rsid w:val="00D97691"/>
    <w:rsid w:val="00D978CA"/>
    <w:rsid w:val="00D97A34"/>
    <w:rsid w:val="00DA007F"/>
    <w:rsid w:val="00DA0AF9"/>
    <w:rsid w:val="00DA1383"/>
    <w:rsid w:val="00DA17E3"/>
    <w:rsid w:val="00DA18A2"/>
    <w:rsid w:val="00DA1B13"/>
    <w:rsid w:val="00DA1EE8"/>
    <w:rsid w:val="00DA322D"/>
    <w:rsid w:val="00DA35DE"/>
    <w:rsid w:val="00DA38EA"/>
    <w:rsid w:val="00DA392F"/>
    <w:rsid w:val="00DA3FC4"/>
    <w:rsid w:val="00DA4772"/>
    <w:rsid w:val="00DA48A2"/>
    <w:rsid w:val="00DA4E97"/>
    <w:rsid w:val="00DA546D"/>
    <w:rsid w:val="00DA58DB"/>
    <w:rsid w:val="00DA5EEF"/>
    <w:rsid w:val="00DA65EE"/>
    <w:rsid w:val="00DB0179"/>
    <w:rsid w:val="00DB25B1"/>
    <w:rsid w:val="00DB2863"/>
    <w:rsid w:val="00DB2A71"/>
    <w:rsid w:val="00DB3028"/>
    <w:rsid w:val="00DB4099"/>
    <w:rsid w:val="00DB4142"/>
    <w:rsid w:val="00DB43A3"/>
    <w:rsid w:val="00DB69FF"/>
    <w:rsid w:val="00DB6DA5"/>
    <w:rsid w:val="00DB6E10"/>
    <w:rsid w:val="00DC0EE2"/>
    <w:rsid w:val="00DC0F00"/>
    <w:rsid w:val="00DC0F3A"/>
    <w:rsid w:val="00DC28CA"/>
    <w:rsid w:val="00DC2A86"/>
    <w:rsid w:val="00DC31C0"/>
    <w:rsid w:val="00DC3B48"/>
    <w:rsid w:val="00DC3E81"/>
    <w:rsid w:val="00DC4C0D"/>
    <w:rsid w:val="00DC5859"/>
    <w:rsid w:val="00DC5AE9"/>
    <w:rsid w:val="00DC5E63"/>
    <w:rsid w:val="00DC6FB3"/>
    <w:rsid w:val="00DD062A"/>
    <w:rsid w:val="00DD1301"/>
    <w:rsid w:val="00DD2505"/>
    <w:rsid w:val="00DD255D"/>
    <w:rsid w:val="00DD2CF3"/>
    <w:rsid w:val="00DD5002"/>
    <w:rsid w:val="00DD67F2"/>
    <w:rsid w:val="00DD7C3B"/>
    <w:rsid w:val="00DE025C"/>
    <w:rsid w:val="00DE08CF"/>
    <w:rsid w:val="00DE0CB2"/>
    <w:rsid w:val="00DE0F88"/>
    <w:rsid w:val="00DE1158"/>
    <w:rsid w:val="00DE171E"/>
    <w:rsid w:val="00DE17EF"/>
    <w:rsid w:val="00DE26AA"/>
    <w:rsid w:val="00DE397C"/>
    <w:rsid w:val="00DE470C"/>
    <w:rsid w:val="00DE5058"/>
    <w:rsid w:val="00DE5650"/>
    <w:rsid w:val="00DE57DE"/>
    <w:rsid w:val="00DE58FD"/>
    <w:rsid w:val="00DE6A9E"/>
    <w:rsid w:val="00DE6EDA"/>
    <w:rsid w:val="00DE72CF"/>
    <w:rsid w:val="00DE790D"/>
    <w:rsid w:val="00DF0BA8"/>
    <w:rsid w:val="00DF1081"/>
    <w:rsid w:val="00DF1743"/>
    <w:rsid w:val="00DF19FC"/>
    <w:rsid w:val="00DF1B96"/>
    <w:rsid w:val="00DF2F8D"/>
    <w:rsid w:val="00DF410C"/>
    <w:rsid w:val="00DF50F8"/>
    <w:rsid w:val="00DF5791"/>
    <w:rsid w:val="00DF5A95"/>
    <w:rsid w:val="00DF6EBA"/>
    <w:rsid w:val="00DF797F"/>
    <w:rsid w:val="00DF7A60"/>
    <w:rsid w:val="00DF7D9A"/>
    <w:rsid w:val="00E00246"/>
    <w:rsid w:val="00E00353"/>
    <w:rsid w:val="00E013F6"/>
    <w:rsid w:val="00E01645"/>
    <w:rsid w:val="00E01650"/>
    <w:rsid w:val="00E02D63"/>
    <w:rsid w:val="00E037DC"/>
    <w:rsid w:val="00E038D4"/>
    <w:rsid w:val="00E03CE6"/>
    <w:rsid w:val="00E047DD"/>
    <w:rsid w:val="00E04E06"/>
    <w:rsid w:val="00E05071"/>
    <w:rsid w:val="00E05B5B"/>
    <w:rsid w:val="00E05C41"/>
    <w:rsid w:val="00E05FA4"/>
    <w:rsid w:val="00E06397"/>
    <w:rsid w:val="00E06817"/>
    <w:rsid w:val="00E06AD7"/>
    <w:rsid w:val="00E07183"/>
    <w:rsid w:val="00E074BE"/>
    <w:rsid w:val="00E11E02"/>
    <w:rsid w:val="00E120AF"/>
    <w:rsid w:val="00E13689"/>
    <w:rsid w:val="00E13FC1"/>
    <w:rsid w:val="00E14847"/>
    <w:rsid w:val="00E15663"/>
    <w:rsid w:val="00E156A5"/>
    <w:rsid w:val="00E156CA"/>
    <w:rsid w:val="00E15A83"/>
    <w:rsid w:val="00E16142"/>
    <w:rsid w:val="00E16BB2"/>
    <w:rsid w:val="00E17981"/>
    <w:rsid w:val="00E20054"/>
    <w:rsid w:val="00E201E4"/>
    <w:rsid w:val="00E224F4"/>
    <w:rsid w:val="00E226D1"/>
    <w:rsid w:val="00E229A5"/>
    <w:rsid w:val="00E23DAF"/>
    <w:rsid w:val="00E2436F"/>
    <w:rsid w:val="00E24601"/>
    <w:rsid w:val="00E24BCB"/>
    <w:rsid w:val="00E250E4"/>
    <w:rsid w:val="00E25263"/>
    <w:rsid w:val="00E256E7"/>
    <w:rsid w:val="00E266BA"/>
    <w:rsid w:val="00E26BFC"/>
    <w:rsid w:val="00E27283"/>
    <w:rsid w:val="00E27374"/>
    <w:rsid w:val="00E2753F"/>
    <w:rsid w:val="00E2770D"/>
    <w:rsid w:val="00E3011C"/>
    <w:rsid w:val="00E3161C"/>
    <w:rsid w:val="00E316C8"/>
    <w:rsid w:val="00E31962"/>
    <w:rsid w:val="00E31C4D"/>
    <w:rsid w:val="00E31D86"/>
    <w:rsid w:val="00E34085"/>
    <w:rsid w:val="00E34C2A"/>
    <w:rsid w:val="00E34C2F"/>
    <w:rsid w:val="00E35B63"/>
    <w:rsid w:val="00E36108"/>
    <w:rsid w:val="00E3631B"/>
    <w:rsid w:val="00E365EA"/>
    <w:rsid w:val="00E36DB6"/>
    <w:rsid w:val="00E36EF2"/>
    <w:rsid w:val="00E37263"/>
    <w:rsid w:val="00E37F7A"/>
    <w:rsid w:val="00E401DB"/>
    <w:rsid w:val="00E417ED"/>
    <w:rsid w:val="00E41AC6"/>
    <w:rsid w:val="00E4313A"/>
    <w:rsid w:val="00E45463"/>
    <w:rsid w:val="00E46A7F"/>
    <w:rsid w:val="00E46E52"/>
    <w:rsid w:val="00E47561"/>
    <w:rsid w:val="00E47955"/>
    <w:rsid w:val="00E50236"/>
    <w:rsid w:val="00E50F3D"/>
    <w:rsid w:val="00E51321"/>
    <w:rsid w:val="00E51EB8"/>
    <w:rsid w:val="00E522E6"/>
    <w:rsid w:val="00E531F6"/>
    <w:rsid w:val="00E53305"/>
    <w:rsid w:val="00E54AA1"/>
    <w:rsid w:val="00E554F1"/>
    <w:rsid w:val="00E5595C"/>
    <w:rsid w:val="00E55B71"/>
    <w:rsid w:val="00E577A7"/>
    <w:rsid w:val="00E57B29"/>
    <w:rsid w:val="00E60568"/>
    <w:rsid w:val="00E61BBD"/>
    <w:rsid w:val="00E62C20"/>
    <w:rsid w:val="00E633E1"/>
    <w:rsid w:val="00E634F5"/>
    <w:rsid w:val="00E64279"/>
    <w:rsid w:val="00E6473C"/>
    <w:rsid w:val="00E64994"/>
    <w:rsid w:val="00E64B9E"/>
    <w:rsid w:val="00E67039"/>
    <w:rsid w:val="00E67A14"/>
    <w:rsid w:val="00E67D80"/>
    <w:rsid w:val="00E70657"/>
    <w:rsid w:val="00E70EF9"/>
    <w:rsid w:val="00E71B40"/>
    <w:rsid w:val="00E71C4A"/>
    <w:rsid w:val="00E7241F"/>
    <w:rsid w:val="00E727B3"/>
    <w:rsid w:val="00E72836"/>
    <w:rsid w:val="00E747B6"/>
    <w:rsid w:val="00E74847"/>
    <w:rsid w:val="00E749D5"/>
    <w:rsid w:val="00E752EE"/>
    <w:rsid w:val="00E7531D"/>
    <w:rsid w:val="00E76FAA"/>
    <w:rsid w:val="00E7705F"/>
    <w:rsid w:val="00E77273"/>
    <w:rsid w:val="00E81513"/>
    <w:rsid w:val="00E83033"/>
    <w:rsid w:val="00E834F0"/>
    <w:rsid w:val="00E849B0"/>
    <w:rsid w:val="00E84F06"/>
    <w:rsid w:val="00E85B55"/>
    <w:rsid w:val="00E8629E"/>
    <w:rsid w:val="00E867BA"/>
    <w:rsid w:val="00E87950"/>
    <w:rsid w:val="00E90F0D"/>
    <w:rsid w:val="00E91213"/>
    <w:rsid w:val="00E918A0"/>
    <w:rsid w:val="00E91991"/>
    <w:rsid w:val="00E92326"/>
    <w:rsid w:val="00E92551"/>
    <w:rsid w:val="00E93027"/>
    <w:rsid w:val="00E9330B"/>
    <w:rsid w:val="00E93CB5"/>
    <w:rsid w:val="00E942CC"/>
    <w:rsid w:val="00E94A25"/>
    <w:rsid w:val="00E9646E"/>
    <w:rsid w:val="00E96951"/>
    <w:rsid w:val="00E96F22"/>
    <w:rsid w:val="00E9703C"/>
    <w:rsid w:val="00EA29AF"/>
    <w:rsid w:val="00EA32CA"/>
    <w:rsid w:val="00EA333E"/>
    <w:rsid w:val="00EA3492"/>
    <w:rsid w:val="00EA3A40"/>
    <w:rsid w:val="00EA4809"/>
    <w:rsid w:val="00EA4C80"/>
    <w:rsid w:val="00EA4DD3"/>
    <w:rsid w:val="00EA60E4"/>
    <w:rsid w:val="00EA683C"/>
    <w:rsid w:val="00EA6BB0"/>
    <w:rsid w:val="00EA7582"/>
    <w:rsid w:val="00EB061F"/>
    <w:rsid w:val="00EB37F7"/>
    <w:rsid w:val="00EB3A42"/>
    <w:rsid w:val="00EB429E"/>
    <w:rsid w:val="00EB503B"/>
    <w:rsid w:val="00EB5885"/>
    <w:rsid w:val="00EB5940"/>
    <w:rsid w:val="00EB5D8F"/>
    <w:rsid w:val="00EB6403"/>
    <w:rsid w:val="00EB6ACF"/>
    <w:rsid w:val="00EB7248"/>
    <w:rsid w:val="00EB78D1"/>
    <w:rsid w:val="00EB7C47"/>
    <w:rsid w:val="00EC120B"/>
    <w:rsid w:val="00EC1273"/>
    <w:rsid w:val="00EC1A40"/>
    <w:rsid w:val="00EC1BAC"/>
    <w:rsid w:val="00EC2431"/>
    <w:rsid w:val="00EC3E87"/>
    <w:rsid w:val="00EC417F"/>
    <w:rsid w:val="00EC4311"/>
    <w:rsid w:val="00EC4F6F"/>
    <w:rsid w:val="00EC531B"/>
    <w:rsid w:val="00EC5574"/>
    <w:rsid w:val="00EC5683"/>
    <w:rsid w:val="00EC6762"/>
    <w:rsid w:val="00EC6ECB"/>
    <w:rsid w:val="00EC6F8F"/>
    <w:rsid w:val="00EC79E8"/>
    <w:rsid w:val="00ED0697"/>
    <w:rsid w:val="00ED203A"/>
    <w:rsid w:val="00ED2D18"/>
    <w:rsid w:val="00ED39E6"/>
    <w:rsid w:val="00ED3D55"/>
    <w:rsid w:val="00ED46B9"/>
    <w:rsid w:val="00ED4900"/>
    <w:rsid w:val="00ED57C1"/>
    <w:rsid w:val="00ED5BDC"/>
    <w:rsid w:val="00ED6358"/>
    <w:rsid w:val="00ED6B6C"/>
    <w:rsid w:val="00ED6DB3"/>
    <w:rsid w:val="00ED7B36"/>
    <w:rsid w:val="00EE1444"/>
    <w:rsid w:val="00EE2350"/>
    <w:rsid w:val="00EE278A"/>
    <w:rsid w:val="00EE45C5"/>
    <w:rsid w:val="00EE4A9A"/>
    <w:rsid w:val="00EE53EE"/>
    <w:rsid w:val="00EE6008"/>
    <w:rsid w:val="00EE6DFA"/>
    <w:rsid w:val="00EE7A3D"/>
    <w:rsid w:val="00EE7E28"/>
    <w:rsid w:val="00EF0660"/>
    <w:rsid w:val="00EF0D5B"/>
    <w:rsid w:val="00EF0FD4"/>
    <w:rsid w:val="00EF1F6F"/>
    <w:rsid w:val="00EF343F"/>
    <w:rsid w:val="00EF3EE4"/>
    <w:rsid w:val="00EF57BA"/>
    <w:rsid w:val="00EF5C5D"/>
    <w:rsid w:val="00EF6600"/>
    <w:rsid w:val="00EF6C03"/>
    <w:rsid w:val="00EF7330"/>
    <w:rsid w:val="00F00451"/>
    <w:rsid w:val="00F009E8"/>
    <w:rsid w:val="00F0154F"/>
    <w:rsid w:val="00F01F54"/>
    <w:rsid w:val="00F03073"/>
    <w:rsid w:val="00F03D21"/>
    <w:rsid w:val="00F1027C"/>
    <w:rsid w:val="00F108DE"/>
    <w:rsid w:val="00F10C8C"/>
    <w:rsid w:val="00F12030"/>
    <w:rsid w:val="00F12ABA"/>
    <w:rsid w:val="00F1354C"/>
    <w:rsid w:val="00F13619"/>
    <w:rsid w:val="00F14074"/>
    <w:rsid w:val="00F142C5"/>
    <w:rsid w:val="00F14F41"/>
    <w:rsid w:val="00F15056"/>
    <w:rsid w:val="00F152D1"/>
    <w:rsid w:val="00F15F08"/>
    <w:rsid w:val="00F174F8"/>
    <w:rsid w:val="00F1761A"/>
    <w:rsid w:val="00F177D7"/>
    <w:rsid w:val="00F17A77"/>
    <w:rsid w:val="00F17BBC"/>
    <w:rsid w:val="00F17C92"/>
    <w:rsid w:val="00F17F05"/>
    <w:rsid w:val="00F20557"/>
    <w:rsid w:val="00F20D08"/>
    <w:rsid w:val="00F2190F"/>
    <w:rsid w:val="00F21C09"/>
    <w:rsid w:val="00F21D3B"/>
    <w:rsid w:val="00F21EEE"/>
    <w:rsid w:val="00F229A3"/>
    <w:rsid w:val="00F23098"/>
    <w:rsid w:val="00F23213"/>
    <w:rsid w:val="00F23A75"/>
    <w:rsid w:val="00F23AFF"/>
    <w:rsid w:val="00F23D6D"/>
    <w:rsid w:val="00F2411C"/>
    <w:rsid w:val="00F24172"/>
    <w:rsid w:val="00F24198"/>
    <w:rsid w:val="00F254D9"/>
    <w:rsid w:val="00F2610C"/>
    <w:rsid w:val="00F261F0"/>
    <w:rsid w:val="00F2633E"/>
    <w:rsid w:val="00F308C1"/>
    <w:rsid w:val="00F30E0B"/>
    <w:rsid w:val="00F313D5"/>
    <w:rsid w:val="00F31569"/>
    <w:rsid w:val="00F31A14"/>
    <w:rsid w:val="00F31CDC"/>
    <w:rsid w:val="00F3211D"/>
    <w:rsid w:val="00F323F5"/>
    <w:rsid w:val="00F329B2"/>
    <w:rsid w:val="00F33956"/>
    <w:rsid w:val="00F33D7B"/>
    <w:rsid w:val="00F349EA"/>
    <w:rsid w:val="00F34CF3"/>
    <w:rsid w:val="00F34EE4"/>
    <w:rsid w:val="00F35255"/>
    <w:rsid w:val="00F3684B"/>
    <w:rsid w:val="00F36A94"/>
    <w:rsid w:val="00F36C39"/>
    <w:rsid w:val="00F3701A"/>
    <w:rsid w:val="00F4042F"/>
    <w:rsid w:val="00F409A8"/>
    <w:rsid w:val="00F40F60"/>
    <w:rsid w:val="00F416AF"/>
    <w:rsid w:val="00F418D4"/>
    <w:rsid w:val="00F42250"/>
    <w:rsid w:val="00F4360B"/>
    <w:rsid w:val="00F43E02"/>
    <w:rsid w:val="00F4434F"/>
    <w:rsid w:val="00F4464D"/>
    <w:rsid w:val="00F44A99"/>
    <w:rsid w:val="00F4601C"/>
    <w:rsid w:val="00F4796D"/>
    <w:rsid w:val="00F47AB1"/>
    <w:rsid w:val="00F47E8E"/>
    <w:rsid w:val="00F500F9"/>
    <w:rsid w:val="00F50FD4"/>
    <w:rsid w:val="00F5119C"/>
    <w:rsid w:val="00F517AC"/>
    <w:rsid w:val="00F518BA"/>
    <w:rsid w:val="00F51ADD"/>
    <w:rsid w:val="00F51B98"/>
    <w:rsid w:val="00F51DCF"/>
    <w:rsid w:val="00F51EF5"/>
    <w:rsid w:val="00F5271A"/>
    <w:rsid w:val="00F53013"/>
    <w:rsid w:val="00F54155"/>
    <w:rsid w:val="00F543C5"/>
    <w:rsid w:val="00F5487F"/>
    <w:rsid w:val="00F548F1"/>
    <w:rsid w:val="00F54F45"/>
    <w:rsid w:val="00F5528F"/>
    <w:rsid w:val="00F563EF"/>
    <w:rsid w:val="00F5654E"/>
    <w:rsid w:val="00F571D3"/>
    <w:rsid w:val="00F57321"/>
    <w:rsid w:val="00F57951"/>
    <w:rsid w:val="00F60300"/>
    <w:rsid w:val="00F60416"/>
    <w:rsid w:val="00F604E3"/>
    <w:rsid w:val="00F60DDA"/>
    <w:rsid w:val="00F613B0"/>
    <w:rsid w:val="00F6242A"/>
    <w:rsid w:val="00F6279F"/>
    <w:rsid w:val="00F62AFD"/>
    <w:rsid w:val="00F632C5"/>
    <w:rsid w:val="00F63894"/>
    <w:rsid w:val="00F64478"/>
    <w:rsid w:val="00F64B74"/>
    <w:rsid w:val="00F66078"/>
    <w:rsid w:val="00F663D2"/>
    <w:rsid w:val="00F667AC"/>
    <w:rsid w:val="00F6775E"/>
    <w:rsid w:val="00F709F8"/>
    <w:rsid w:val="00F70F50"/>
    <w:rsid w:val="00F71057"/>
    <w:rsid w:val="00F715D9"/>
    <w:rsid w:val="00F716B1"/>
    <w:rsid w:val="00F72CFD"/>
    <w:rsid w:val="00F72EFC"/>
    <w:rsid w:val="00F72F1C"/>
    <w:rsid w:val="00F73331"/>
    <w:rsid w:val="00F745CC"/>
    <w:rsid w:val="00F74A9F"/>
    <w:rsid w:val="00F74DCB"/>
    <w:rsid w:val="00F7515F"/>
    <w:rsid w:val="00F76DCB"/>
    <w:rsid w:val="00F76E03"/>
    <w:rsid w:val="00F776A5"/>
    <w:rsid w:val="00F814E4"/>
    <w:rsid w:val="00F81550"/>
    <w:rsid w:val="00F81987"/>
    <w:rsid w:val="00F81E6D"/>
    <w:rsid w:val="00F84177"/>
    <w:rsid w:val="00F86700"/>
    <w:rsid w:val="00F87586"/>
    <w:rsid w:val="00F87B87"/>
    <w:rsid w:val="00F87B95"/>
    <w:rsid w:val="00F87BAB"/>
    <w:rsid w:val="00F90379"/>
    <w:rsid w:val="00F90492"/>
    <w:rsid w:val="00F90DB6"/>
    <w:rsid w:val="00F910E9"/>
    <w:rsid w:val="00F911C5"/>
    <w:rsid w:val="00F9129D"/>
    <w:rsid w:val="00F93FE1"/>
    <w:rsid w:val="00F94B33"/>
    <w:rsid w:val="00F94EED"/>
    <w:rsid w:val="00F95435"/>
    <w:rsid w:val="00F957C6"/>
    <w:rsid w:val="00F95DDE"/>
    <w:rsid w:val="00F9607A"/>
    <w:rsid w:val="00F96CDC"/>
    <w:rsid w:val="00FA0029"/>
    <w:rsid w:val="00FA0115"/>
    <w:rsid w:val="00FA0ACE"/>
    <w:rsid w:val="00FA177C"/>
    <w:rsid w:val="00FA3E66"/>
    <w:rsid w:val="00FA3F12"/>
    <w:rsid w:val="00FA44C0"/>
    <w:rsid w:val="00FA54C0"/>
    <w:rsid w:val="00FA5791"/>
    <w:rsid w:val="00FA68C0"/>
    <w:rsid w:val="00FA712E"/>
    <w:rsid w:val="00FB072C"/>
    <w:rsid w:val="00FB1205"/>
    <w:rsid w:val="00FB1C77"/>
    <w:rsid w:val="00FB29AD"/>
    <w:rsid w:val="00FB2D78"/>
    <w:rsid w:val="00FB3C2F"/>
    <w:rsid w:val="00FB4480"/>
    <w:rsid w:val="00FB4A96"/>
    <w:rsid w:val="00FB58E8"/>
    <w:rsid w:val="00FB75EC"/>
    <w:rsid w:val="00FB7642"/>
    <w:rsid w:val="00FC2768"/>
    <w:rsid w:val="00FC2C56"/>
    <w:rsid w:val="00FC4C17"/>
    <w:rsid w:val="00FC5435"/>
    <w:rsid w:val="00FC616A"/>
    <w:rsid w:val="00FC776A"/>
    <w:rsid w:val="00FD0951"/>
    <w:rsid w:val="00FD191F"/>
    <w:rsid w:val="00FD20A5"/>
    <w:rsid w:val="00FD2C22"/>
    <w:rsid w:val="00FD2EFF"/>
    <w:rsid w:val="00FD555F"/>
    <w:rsid w:val="00FD6A02"/>
    <w:rsid w:val="00FD7F8A"/>
    <w:rsid w:val="00FE03DA"/>
    <w:rsid w:val="00FE045E"/>
    <w:rsid w:val="00FE0ED3"/>
    <w:rsid w:val="00FE1609"/>
    <w:rsid w:val="00FE1A65"/>
    <w:rsid w:val="00FE1EF7"/>
    <w:rsid w:val="00FE1F35"/>
    <w:rsid w:val="00FE219F"/>
    <w:rsid w:val="00FE2C7F"/>
    <w:rsid w:val="00FE343B"/>
    <w:rsid w:val="00FE3EBB"/>
    <w:rsid w:val="00FE3F69"/>
    <w:rsid w:val="00FE457B"/>
    <w:rsid w:val="00FE65D3"/>
    <w:rsid w:val="00FE72B1"/>
    <w:rsid w:val="00FE7345"/>
    <w:rsid w:val="00FF0042"/>
    <w:rsid w:val="00FF139B"/>
    <w:rsid w:val="00FF2080"/>
    <w:rsid w:val="00FF27F7"/>
    <w:rsid w:val="00FF2FA7"/>
    <w:rsid w:val="00FF345A"/>
    <w:rsid w:val="00FF3718"/>
    <w:rsid w:val="00FF3B83"/>
    <w:rsid w:val="00FF43C3"/>
    <w:rsid w:val="00FF46A3"/>
    <w:rsid w:val="00FF4FAE"/>
    <w:rsid w:val="00FF51FB"/>
    <w:rsid w:val="00FF5C1A"/>
    <w:rsid w:val="00FF619C"/>
    <w:rsid w:val="00FF642B"/>
    <w:rsid w:val="00FF6FD4"/>
    <w:rsid w:val="00FF75BA"/>
    <w:rsid w:val="00FF7F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847F2"/>
  <w14:discardImageEditingData/>
  <w15:chartTrackingRefBased/>
  <w15:docId w15:val="{F1A9C491-9A85-4100-B8C8-707013C8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Semilight" w:eastAsiaTheme="minorEastAsia" w:hAnsi="Segoe UI Semilight" w:cstheme="minorBidi"/>
        <w:sz w:val="22"/>
        <w:szCs w:val="22"/>
        <w:lang w:val="en-AU"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semiHidden="1" w:uiPriority="33" w:unhideWhenUsed="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411F5"/>
  </w:style>
  <w:style w:type="paragraph" w:styleId="Heading1">
    <w:name w:val="heading 1"/>
    <w:basedOn w:val="Normal"/>
    <w:next w:val="Normal"/>
    <w:link w:val="Heading1Char"/>
    <w:uiPriority w:val="9"/>
    <w:qFormat/>
    <w:rsid w:val="006147EB"/>
    <w:pPr>
      <w:keepNext/>
      <w:keepLines/>
      <w:spacing w:before="360" w:line="240" w:lineRule="auto"/>
      <w:outlineLvl w:val="0"/>
    </w:pPr>
    <w:rPr>
      <w:rFonts w:asciiTheme="majorHAnsi" w:eastAsiaTheme="majorEastAsia" w:hAnsiTheme="majorHAnsi" w:cstheme="majorBidi"/>
      <w:color w:val="092B57" w:themeColor="accent1"/>
      <w:sz w:val="48"/>
      <w:szCs w:val="40"/>
    </w:rPr>
  </w:style>
  <w:style w:type="paragraph" w:styleId="Heading2">
    <w:name w:val="heading 2"/>
    <w:basedOn w:val="Normal"/>
    <w:next w:val="Normal"/>
    <w:link w:val="Heading2Char"/>
    <w:uiPriority w:val="9"/>
    <w:qFormat/>
    <w:rsid w:val="00771650"/>
    <w:pPr>
      <w:keepNext/>
      <w:keepLines/>
      <w:spacing w:before="480" w:after="240" w:line="240" w:lineRule="auto"/>
      <w:outlineLvl w:val="1"/>
    </w:pPr>
    <w:rPr>
      <w:rFonts w:asciiTheme="majorHAnsi" w:eastAsiaTheme="majorEastAsia" w:hAnsiTheme="majorHAnsi" w:cstheme="majorBidi"/>
      <w:color w:val="092B57" w:themeColor="accent1"/>
      <w:sz w:val="36"/>
      <w:szCs w:val="28"/>
    </w:rPr>
  </w:style>
  <w:style w:type="paragraph" w:styleId="Heading3">
    <w:name w:val="heading 3"/>
    <w:basedOn w:val="Heading4"/>
    <w:next w:val="Normal"/>
    <w:link w:val="Heading3Char"/>
    <w:uiPriority w:val="9"/>
    <w:qFormat/>
    <w:rsid w:val="006147EB"/>
    <w:pPr>
      <w:outlineLvl w:val="2"/>
    </w:pPr>
    <w:rPr>
      <w:color w:val="092B57" w:themeColor="accent1"/>
      <w:sz w:val="24"/>
      <w:szCs w:val="24"/>
    </w:rPr>
  </w:style>
  <w:style w:type="paragraph" w:styleId="Heading4">
    <w:name w:val="heading 4"/>
    <w:basedOn w:val="Normal"/>
    <w:next w:val="Normal"/>
    <w:link w:val="Heading4Char"/>
    <w:uiPriority w:val="9"/>
    <w:qFormat/>
    <w:rsid w:val="006147EB"/>
    <w:pPr>
      <w:keepNext/>
      <w:keepLines/>
      <w:spacing w:before="240"/>
      <w:outlineLvl w:val="3"/>
    </w:pPr>
    <w:rPr>
      <w:rFonts w:eastAsiaTheme="majorEastAsia" w:cstheme="minorHAnsi"/>
      <w:b/>
      <w:color w:val="3266AB"/>
    </w:rPr>
  </w:style>
  <w:style w:type="paragraph" w:styleId="Heading5">
    <w:name w:val="heading 5"/>
    <w:basedOn w:val="Normal"/>
    <w:next w:val="Normal"/>
    <w:link w:val="Heading5Char"/>
    <w:uiPriority w:val="9"/>
    <w:unhideWhenUsed/>
    <w:qFormat/>
    <w:rsid w:val="00857363"/>
    <w:pPr>
      <w:keepNext/>
      <w:keepLines/>
      <w:spacing w:before="240"/>
      <w:outlineLvl w:val="4"/>
    </w:pPr>
    <w:rPr>
      <w:rFonts w:eastAsiaTheme="majorEastAsia" w:cstheme="majorBidi"/>
      <w:iCs/>
      <w:color w:val="3266AB"/>
    </w:rPr>
  </w:style>
  <w:style w:type="paragraph" w:styleId="Heading6">
    <w:name w:val="heading 6"/>
    <w:basedOn w:val="Normal"/>
    <w:next w:val="Normal"/>
    <w:link w:val="Heading6Char"/>
    <w:uiPriority w:val="9"/>
    <w:unhideWhenUsed/>
    <w:qFormat/>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9"/>
    <w:unhideWhenUsed/>
    <w:qFormat/>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9"/>
    <w:unhideWhenUsed/>
    <w:qFormat/>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9"/>
    <w:unhideWhenUsed/>
    <w:qFormat/>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EB"/>
    <w:rPr>
      <w:rFonts w:asciiTheme="majorHAnsi" w:eastAsiaTheme="majorEastAsia" w:hAnsiTheme="majorHAnsi" w:cstheme="majorBidi"/>
      <w:color w:val="092B57" w:themeColor="accent1"/>
      <w:sz w:val="48"/>
      <w:szCs w:val="40"/>
    </w:rPr>
  </w:style>
  <w:style w:type="paragraph" w:styleId="Title">
    <w:name w:val="Title"/>
    <w:basedOn w:val="Normal"/>
    <w:next w:val="Normal"/>
    <w:link w:val="TitleChar"/>
    <w:uiPriority w:val="10"/>
    <w:qFormat/>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0"/>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9"/>
    <w:rsid w:val="00771650"/>
    <w:rPr>
      <w:rFonts w:asciiTheme="majorHAnsi" w:eastAsiaTheme="majorEastAsia" w:hAnsiTheme="majorHAnsi" w:cstheme="majorBidi"/>
      <w:color w:val="092B57" w:themeColor="accent1"/>
      <w:sz w:val="36"/>
      <w:szCs w:val="28"/>
    </w:rPr>
  </w:style>
  <w:style w:type="character" w:customStyle="1" w:styleId="Heading3Char">
    <w:name w:val="Heading 3 Char"/>
    <w:basedOn w:val="DefaultParagraphFont"/>
    <w:link w:val="Heading3"/>
    <w:uiPriority w:val="9"/>
    <w:rsid w:val="006147EB"/>
    <w:rPr>
      <w:rFonts w:eastAsiaTheme="majorEastAsia" w:cstheme="minorHAnsi"/>
      <w:b/>
      <w:color w:val="092B57" w:themeColor="accent1"/>
      <w:sz w:val="24"/>
      <w:szCs w:val="24"/>
    </w:rPr>
  </w:style>
  <w:style w:type="character" w:customStyle="1" w:styleId="Heading4Char">
    <w:name w:val="Heading 4 Char"/>
    <w:basedOn w:val="DefaultParagraphFont"/>
    <w:link w:val="Heading4"/>
    <w:uiPriority w:val="9"/>
    <w:rsid w:val="006147EB"/>
    <w:rPr>
      <w:rFonts w:eastAsiaTheme="majorEastAsia" w:cstheme="minorHAnsi"/>
      <w:b/>
      <w:color w:val="3266AB"/>
      <w:sz w:val="22"/>
      <w:szCs w:val="22"/>
    </w:rPr>
  </w:style>
  <w:style w:type="character" w:customStyle="1" w:styleId="Heading5Char">
    <w:name w:val="Heading 5 Char"/>
    <w:basedOn w:val="DefaultParagraphFont"/>
    <w:link w:val="Heading5"/>
    <w:uiPriority w:val="9"/>
    <w:rsid w:val="00857363"/>
    <w:rPr>
      <w:rFonts w:eastAsiaTheme="majorEastAsia" w:cstheme="majorBidi"/>
      <w:iCs/>
      <w:color w:val="3266AB"/>
      <w:sz w:val="22"/>
      <w:szCs w:val="22"/>
    </w:rPr>
  </w:style>
  <w:style w:type="character" w:customStyle="1" w:styleId="Heading6Char">
    <w:name w:val="Heading 6 Char"/>
    <w:basedOn w:val="DefaultParagraphFont"/>
    <w:link w:val="Heading6"/>
    <w:uiPriority w:val="9"/>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9"/>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9"/>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9"/>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1"/>
    <w:qFormat/>
    <w:rsid w:val="0089509A"/>
    <w:pPr>
      <w:numPr>
        <w:ilvl w:val="1"/>
      </w:numPr>
      <w:spacing w:after="600"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1"/>
    <w:rsid w:val="0089509A"/>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86395B"/>
    <w:pPr>
      <w:keepNext/>
      <w:tabs>
        <w:tab w:val="left" w:pos="993"/>
      </w:tabs>
      <w:spacing w:before="240" w:after="120" w:line="288" w:lineRule="auto"/>
      <w:ind w:left="992" w:hanging="992"/>
    </w:pPr>
    <w:rPr>
      <w:rFonts w:ascii="Segoe UI" w:hAnsi="Segoe UI"/>
      <w:bCs/>
      <w:color w:val="3266AB"/>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29"/>
    <w:qFormat/>
    <w:rsid w:val="00D76E45"/>
    <w:pPr>
      <w:spacing w:before="240"/>
      <w:ind w:left="720" w:right="720"/>
    </w:pPr>
    <w:rPr>
      <w:iCs/>
    </w:rPr>
  </w:style>
  <w:style w:type="character" w:customStyle="1" w:styleId="QuoteChar">
    <w:name w:val="Quote Char"/>
    <w:basedOn w:val="DefaultParagraphFont"/>
    <w:link w:val="Quote"/>
    <w:uiPriority w:val="29"/>
    <w:rsid w:val="00D76E45"/>
    <w:rPr>
      <w:iCs/>
      <w:sz w:val="2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qFormat/>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qFormat/>
    <w:rsid w:val="006200EB"/>
    <w:rPr>
      <w:b/>
      <w:bCs/>
      <w:smallCaps/>
      <w:color w:val="3266AB"/>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uiPriority w:val="99"/>
    <w:unhideWhenUsed/>
    <w:locked/>
    <w:rsid w:val="00463531"/>
    <w:pPr>
      <w:jc w:val="center"/>
    </w:pPr>
    <w:rPr>
      <w:rFonts w:ascii="Segoe UI" w:hAnsi="Segoe UI"/>
      <w:noProof/>
      <w:color w:val="C00000"/>
      <w:sz w:val="18"/>
    </w:rPr>
  </w:style>
  <w:style w:type="paragraph" w:customStyle="1" w:styleId="BOXHeading2">
    <w:name w:val="BOX Heading 2"/>
    <w:basedOn w:val="Heading2"/>
    <w:next w:val="BOXText"/>
    <w:link w:val="BOXHeading2Char"/>
    <w:uiPriority w:val="6"/>
    <w:qFormat/>
    <w:locked/>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463531"/>
    <w:rPr>
      <w:rFonts w:ascii="Segoe UI" w:hAnsi="Segoe UI"/>
      <w:noProof/>
      <w:color w:val="C00000"/>
      <w:sz w:val="18"/>
    </w:rPr>
  </w:style>
  <w:style w:type="paragraph" w:customStyle="1" w:styleId="BOXText">
    <w:name w:val="BOX Text"/>
    <w:basedOn w:val="Normal"/>
    <w:link w:val="BOXTextChar"/>
    <w:uiPriority w:val="4"/>
    <w:qFormat/>
    <w:locked/>
    <w:rsid w:val="006147EB"/>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style>
  <w:style w:type="paragraph" w:customStyle="1" w:styleId="BOXBulletedList">
    <w:name w:val="BOX Bulleted List"/>
    <w:basedOn w:val="BOXText"/>
    <w:uiPriority w:val="5"/>
    <w:qFormat/>
    <w:locked/>
    <w:rsid w:val="00BD171D"/>
    <w:pPr>
      <w:numPr>
        <w:numId w:val="1"/>
      </w:numPr>
      <w:ind w:left="511"/>
    </w:pPr>
  </w:style>
  <w:style w:type="table" w:styleId="TableGrid">
    <w:name w:val="Table Grid"/>
    <w:basedOn w:val="TableNormal"/>
    <w:uiPriority w:val="39"/>
    <w:locked/>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locked/>
    <w:rsid w:val="00BD57F5"/>
    <w:pPr>
      <w:spacing w:after="0" w:line="240" w:lineRule="auto"/>
    </w:pPr>
    <w:tblPr>
      <w:tblStyleRowBandSize w:val="1"/>
      <w:tblStyleColBandSize w:val="1"/>
      <w:tblBorders>
        <w:top w:val="single" w:sz="4" w:space="0" w:color="1D75E7" w:themeColor="accent1" w:themeTint="99"/>
        <w:left w:val="single" w:sz="4" w:space="0" w:color="1D75E7" w:themeColor="accent1" w:themeTint="99"/>
        <w:bottom w:val="single" w:sz="4" w:space="0" w:color="1D75E7" w:themeColor="accent1" w:themeTint="99"/>
        <w:right w:val="single" w:sz="4" w:space="0" w:color="1D75E7" w:themeColor="accent1" w:themeTint="99"/>
        <w:insideH w:val="single" w:sz="4" w:space="0" w:color="1D75E7" w:themeColor="accent1" w:themeTint="99"/>
      </w:tblBorders>
    </w:tblPr>
    <w:tblStylePr w:type="firstRow">
      <w:rPr>
        <w:b/>
        <w:bCs/>
        <w:color w:val="FFFFFF" w:themeColor="background1"/>
      </w:rPr>
      <w:tblPr/>
      <w:tcPr>
        <w:tcBorders>
          <w:top w:val="single" w:sz="4" w:space="0" w:color="092B57" w:themeColor="accent1"/>
          <w:left w:val="single" w:sz="4" w:space="0" w:color="092B57" w:themeColor="accent1"/>
          <w:bottom w:val="single" w:sz="4" w:space="0" w:color="092B57" w:themeColor="accent1"/>
          <w:right w:val="single" w:sz="4" w:space="0" w:color="092B57" w:themeColor="accent1"/>
          <w:insideH w:val="nil"/>
        </w:tcBorders>
        <w:shd w:val="clear" w:color="auto" w:fill="092B57" w:themeFill="accent1"/>
      </w:tcPr>
    </w:tblStylePr>
    <w:tblStylePr w:type="lastRow">
      <w:rPr>
        <w:b/>
        <w:bCs/>
      </w:rPr>
      <w:tblPr/>
      <w:tcPr>
        <w:tcBorders>
          <w:top w:val="double" w:sz="4" w:space="0" w:color="1D75E7" w:themeColor="accent1" w:themeTint="99"/>
        </w:tcBorders>
      </w:tcPr>
    </w:tblStylePr>
    <w:tblStylePr w:type="firstCol">
      <w:rPr>
        <w:b/>
        <w:bCs/>
      </w:rPr>
    </w:tblStylePr>
    <w:tblStylePr w:type="lastCol">
      <w:rPr>
        <w:b/>
        <w:bCs/>
      </w:rPr>
    </w:tblStylePr>
    <w:tblStylePr w:type="band1Vert">
      <w:tblPr/>
      <w:tcPr>
        <w:shd w:val="clear" w:color="auto" w:fill="B3D1F7" w:themeFill="accent1" w:themeFillTint="33"/>
      </w:tcPr>
    </w:tblStylePr>
    <w:tblStylePr w:type="band1Horz">
      <w:tblPr/>
      <w:tcPr>
        <w:shd w:val="clear" w:color="auto" w:fill="B3D1F7" w:themeFill="accent1" w:themeFillTint="33"/>
      </w:tcPr>
    </w:tblStylePr>
  </w:style>
  <w:style w:type="paragraph" w:customStyle="1" w:styleId="TBLBulletedList">
    <w:name w:val="TBL Bulleted List"/>
    <w:basedOn w:val="Normal"/>
    <w:uiPriority w:val="10"/>
    <w:qFormat/>
    <w:locked/>
    <w:rsid w:val="00714B6C"/>
    <w:pPr>
      <w:numPr>
        <w:numId w:val="2"/>
      </w:numPr>
      <w:spacing w:after="0" w:line="240" w:lineRule="auto"/>
      <w:ind w:left="206" w:hanging="206"/>
    </w:pPr>
    <w:rPr>
      <w:sz w:val="18"/>
      <w:szCs w:val="18"/>
    </w:rPr>
  </w:style>
  <w:style w:type="paragraph" w:customStyle="1" w:styleId="TBLNumberedList">
    <w:name w:val="TBL Numbered List"/>
    <w:basedOn w:val="Normal"/>
    <w:uiPriority w:val="10"/>
    <w:qFormat/>
    <w:locked/>
    <w:rsid w:val="00714B6C"/>
    <w:pPr>
      <w:numPr>
        <w:numId w:val="3"/>
      </w:numPr>
      <w:spacing w:after="0" w:line="240" w:lineRule="auto"/>
      <w:ind w:left="270" w:hanging="270"/>
    </w:pPr>
    <w:rPr>
      <w:sz w:val="18"/>
      <w:szCs w:val="18"/>
    </w:rPr>
  </w:style>
  <w:style w:type="paragraph" w:customStyle="1" w:styleId="BOXHeading3">
    <w:name w:val="BOX Heading 3"/>
    <w:basedOn w:val="BOXHeading2"/>
    <w:next w:val="BOXText"/>
    <w:uiPriority w:val="6"/>
    <w:qFormat/>
    <w:locked/>
    <w:rsid w:val="00857363"/>
    <w:pPr>
      <w:outlineLvl w:val="2"/>
    </w:pPr>
    <w:rPr>
      <w:rFonts w:asciiTheme="minorHAnsi" w:hAnsiTheme="minorHAnsi" w:cstheme="minorHAnsi"/>
      <w:b/>
      <w:sz w:val="24"/>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locked/>
    <w:rsid w:val="00BD171D"/>
    <w:pPr>
      <w:numPr>
        <w:numId w:val="4"/>
      </w:numPr>
      <w:ind w:left="568" w:hanging="284"/>
    </w:pPr>
  </w:style>
  <w:style w:type="paragraph" w:customStyle="1" w:styleId="BulletedList-Level2">
    <w:name w:val="Bulleted List - Level 2"/>
    <w:basedOn w:val="BulletedList-Level1"/>
    <w:uiPriority w:val="1"/>
    <w:qFormat/>
    <w:locked/>
    <w:rsid w:val="00BD171D"/>
    <w:pPr>
      <w:numPr>
        <w:numId w:val="7"/>
      </w:numPr>
    </w:pPr>
  </w:style>
  <w:style w:type="paragraph" w:customStyle="1" w:styleId="BulletedList-Level3">
    <w:name w:val="Bulleted List - Level 3"/>
    <w:basedOn w:val="ListParagraph"/>
    <w:uiPriority w:val="1"/>
    <w:qFormat/>
    <w:locked/>
    <w:rsid w:val="00BD171D"/>
    <w:pPr>
      <w:numPr>
        <w:numId w:val="8"/>
      </w:numPr>
      <w:ind w:left="1135" w:hanging="284"/>
    </w:pPr>
  </w:style>
  <w:style w:type="paragraph" w:customStyle="1" w:styleId="NumberedList-Level1">
    <w:name w:val="Numbered List - Level 1"/>
    <w:basedOn w:val="ListParagraph"/>
    <w:uiPriority w:val="1"/>
    <w:qFormat/>
    <w:locked/>
    <w:rsid w:val="00BD171D"/>
    <w:pPr>
      <w:numPr>
        <w:numId w:val="5"/>
      </w:numPr>
      <w:ind w:left="568" w:hanging="284"/>
    </w:pPr>
  </w:style>
  <w:style w:type="paragraph" w:customStyle="1" w:styleId="NumberedList-level2">
    <w:name w:val="Numbered List - level 2"/>
    <w:basedOn w:val="ListParagraph"/>
    <w:uiPriority w:val="1"/>
    <w:qFormat/>
    <w:locked/>
    <w:rsid w:val="00BD171D"/>
    <w:pPr>
      <w:numPr>
        <w:ilvl w:val="1"/>
        <w:numId w:val="5"/>
      </w:numPr>
    </w:pPr>
  </w:style>
  <w:style w:type="paragraph" w:customStyle="1" w:styleId="NumberedList-Level3">
    <w:name w:val="Numbered List - Level 3"/>
    <w:basedOn w:val="ListParagraph"/>
    <w:uiPriority w:val="1"/>
    <w:qFormat/>
    <w:locked/>
    <w:rsid w:val="00BD171D"/>
    <w:pPr>
      <w:numPr>
        <w:ilvl w:val="2"/>
        <w:numId w:val="5"/>
      </w:numPr>
    </w:p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NumberedList">
    <w:name w:val="BOX Numbered List"/>
    <w:basedOn w:val="BOXText"/>
    <w:uiPriority w:val="5"/>
    <w:qFormat/>
    <w:locked/>
    <w:rsid w:val="00BD171D"/>
    <w:pPr>
      <w:numPr>
        <w:numId w:val="6"/>
      </w:numPr>
      <w:ind w:left="584" w:hanging="357"/>
    </w:pPr>
  </w:style>
  <w:style w:type="table" w:customStyle="1" w:styleId="PMClinedrows">
    <w:name w:val="PM&amp;C (lined rows)"/>
    <w:basedOn w:val="TableNormal"/>
    <w:uiPriority w:val="99"/>
    <w:locked/>
    <w:rsid w:val="00A34255"/>
    <w:pPr>
      <w:spacing w:after="0" w:line="240" w:lineRule="auto"/>
    </w:pPr>
    <w:rPr>
      <w:sz w:val="18"/>
    </w:rPr>
    <w:tblPr>
      <w:tblStyleRowBandSize w:val="1"/>
      <w:tblBorders>
        <w:top w:val="single" w:sz="4" w:space="0" w:color="092B57" w:themeColor="accent1"/>
        <w:bottom w:val="single" w:sz="12" w:space="0" w:color="092B57" w:themeColor="accent1"/>
        <w:insideH w:val="single" w:sz="4" w:space="0" w:color="092B57" w:themeColor="accent1"/>
      </w:tblBorders>
      <w:tblCellMar>
        <w:top w:w="57" w:type="dxa"/>
        <w:bottom w:w="57" w:type="dxa"/>
      </w:tblCellMar>
    </w:tblPr>
    <w:tblStylePr w:type="firstRow">
      <w:rPr>
        <w:rFonts w:ascii="Microsoft JhengHei" w:hAnsi="Microsoft JhengHei"/>
        <w:b/>
        <w:i w:val="0"/>
        <w:sz w:val="18"/>
      </w:rPr>
      <w:tblPr/>
      <w:tcPr>
        <w:shd w:val="clear" w:color="auto" w:fill="092B57" w:themeFill="accent1"/>
      </w:tcPr>
    </w:tblStylePr>
    <w:tblStylePr w:type="band1Horz">
      <w:tblPr/>
      <w:tcPr>
        <w:shd w:val="clear" w:color="auto" w:fill="E0E8F2" w:themeFill="background2"/>
      </w:tcPr>
    </w:tblStylePr>
  </w:style>
  <w:style w:type="table" w:customStyle="1" w:styleId="PMClinedcolumns">
    <w:name w:val="PM&amp;C (lined columns)"/>
    <w:basedOn w:val="PMClinedrows"/>
    <w:uiPriority w:val="99"/>
    <w:locked/>
    <w:rsid w:val="00C43DAD"/>
    <w:tblPr>
      <w:tblBorders>
        <w:top w:val="none" w:sz="0" w:space="0" w:color="auto"/>
        <w:left w:val="single" w:sz="4" w:space="0" w:color="092B57" w:themeColor="accent1"/>
        <w:bottom w:val="single" w:sz="4" w:space="0" w:color="092B57" w:themeColor="accent1"/>
        <w:right w:val="single" w:sz="4" w:space="0" w:color="092B57" w:themeColor="accent1"/>
        <w:insideH w:val="none" w:sz="0" w:space="0" w:color="auto"/>
        <w:insideV w:val="single" w:sz="4" w:space="0" w:color="092B57" w:themeColor="accent1"/>
      </w:tblBorders>
    </w:tblPr>
    <w:tblStylePr w:type="firstRow">
      <w:rPr>
        <w:rFonts w:ascii="Montserrat Semi Bold" w:hAnsi="Montserrat Semi Bold"/>
        <w:b/>
        <w:i w:val="0"/>
        <w:sz w:val="18"/>
      </w:rPr>
      <w:tblPr/>
      <w:tcPr>
        <w:shd w:val="clear" w:color="auto" w:fill="092B57" w:themeFill="accent1"/>
      </w:tcPr>
    </w:tblStylePr>
    <w:tblStylePr w:type="firstCol">
      <w:rPr>
        <w:b/>
      </w:rPr>
      <w:tblPr/>
      <w:tcPr>
        <w:shd w:val="clear" w:color="auto" w:fill="092B57" w:themeFill="accent1"/>
      </w:tcPr>
    </w:tblStylePr>
    <w:tblStylePr w:type="band1Horz">
      <w:tblPr/>
      <w:tcPr>
        <w:shd w:val="clear" w:color="auto" w:fill="E0E8F2" w:themeFill="background2"/>
      </w:tcPr>
    </w:tblStylePr>
  </w:style>
  <w:style w:type="paragraph" w:styleId="TableofFigures">
    <w:name w:val="table of figures"/>
    <w:basedOn w:val="Normal"/>
    <w:next w:val="Normal"/>
    <w:uiPriority w:val="99"/>
    <w:unhideWhenUsed/>
    <w:rsid w:val="0070317A"/>
    <w:pPr>
      <w:spacing w:after="0"/>
    </w:pPr>
  </w:style>
  <w:style w:type="character" w:styleId="FollowedHyperlink">
    <w:name w:val="FollowedHyperlink"/>
    <w:basedOn w:val="DefaultParagraphFont"/>
    <w:uiPriority w:val="99"/>
    <w:semiHidden/>
    <w:unhideWhenUsed/>
    <w:rsid w:val="005E6890"/>
    <w:rPr>
      <w:color w:val="1B375C" w:themeColor="followedHyperlink"/>
      <w:u w:val="single"/>
    </w:rPr>
  </w:style>
  <w:style w:type="paragraph" w:customStyle="1" w:styleId="BOXHeading1">
    <w:name w:val="BOX Heading 1"/>
    <w:basedOn w:val="Heading1"/>
    <w:next w:val="BOXText"/>
    <w:uiPriority w:val="6"/>
    <w:qFormat/>
    <w:rsid w:val="005411F5"/>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paragraph" w:customStyle="1" w:styleId="BOXHeading4">
    <w:name w:val="BOX Heading 4"/>
    <w:basedOn w:val="Heading4"/>
    <w:next w:val="BOXText"/>
    <w:uiPriority w:val="6"/>
    <w:qFormat/>
    <w:rsid w:val="005411F5"/>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paragraph" w:styleId="IntenseQuote">
    <w:name w:val="Intense Quote"/>
    <w:basedOn w:val="Normal"/>
    <w:next w:val="Normal"/>
    <w:link w:val="IntenseQuoteChar"/>
    <w:uiPriority w:val="30"/>
    <w:qFormat/>
    <w:rsid w:val="006732CB"/>
    <w:pPr>
      <w:pBdr>
        <w:top w:val="single" w:sz="4" w:space="10" w:color="062040" w:themeColor="accent1" w:themeShade="BF"/>
        <w:bottom w:val="single" w:sz="4" w:space="10" w:color="062040" w:themeColor="accent1" w:themeShade="BF"/>
      </w:pBdr>
      <w:spacing w:before="360" w:after="360" w:line="278" w:lineRule="auto"/>
      <w:ind w:left="864" w:right="864"/>
      <w:jc w:val="center"/>
    </w:pPr>
    <w:rPr>
      <w:rFonts w:asciiTheme="minorHAnsi" w:hAnsiTheme="minorHAnsi"/>
      <w:i/>
      <w:iCs/>
      <w:color w:val="062040" w:themeColor="accent1" w:themeShade="BF"/>
      <w:kern w:val="2"/>
      <w:sz w:val="24"/>
      <w:szCs w:val="24"/>
      <w:lang w:eastAsia="ja-JP"/>
      <w14:ligatures w14:val="standardContextual"/>
    </w:rPr>
  </w:style>
  <w:style w:type="character" w:customStyle="1" w:styleId="IntenseQuoteChar">
    <w:name w:val="Intense Quote Char"/>
    <w:basedOn w:val="DefaultParagraphFont"/>
    <w:link w:val="IntenseQuote"/>
    <w:uiPriority w:val="30"/>
    <w:rsid w:val="006732CB"/>
    <w:rPr>
      <w:rFonts w:asciiTheme="minorHAnsi" w:hAnsiTheme="minorHAnsi"/>
      <w:i/>
      <w:iCs/>
      <w:color w:val="062040" w:themeColor="accent1" w:themeShade="BF"/>
      <w:kern w:val="2"/>
      <w:sz w:val="24"/>
      <w:szCs w:val="24"/>
      <w:lang w:eastAsia="ja-JP"/>
      <w14:ligatures w14:val="standardContextual"/>
    </w:rPr>
  </w:style>
  <w:style w:type="table" w:styleId="PlainTable1">
    <w:name w:val="Plain Table 1"/>
    <w:basedOn w:val="TableNormal"/>
    <w:uiPriority w:val="41"/>
    <w:locked/>
    <w:rsid w:val="006732CB"/>
    <w:pPr>
      <w:spacing w:after="0" w:line="240" w:lineRule="auto"/>
    </w:pPr>
    <w:rPr>
      <w:rFonts w:asciiTheme="minorHAnsi" w:hAnsiTheme="minorHAnsi"/>
      <w:kern w:val="2"/>
      <w:sz w:val="24"/>
      <w:szCs w:val="24"/>
      <w:lang w:eastAsia="ja-JP"/>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732CB"/>
    <w:rPr>
      <w:sz w:val="16"/>
      <w:szCs w:val="16"/>
    </w:rPr>
  </w:style>
  <w:style w:type="paragraph" w:styleId="CommentText">
    <w:name w:val="annotation text"/>
    <w:basedOn w:val="Normal"/>
    <w:link w:val="CommentTextChar"/>
    <w:uiPriority w:val="99"/>
    <w:unhideWhenUsed/>
    <w:rsid w:val="006732CB"/>
    <w:pPr>
      <w:widowControl w:val="0"/>
      <w:spacing w:after="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rsid w:val="006732CB"/>
    <w:rPr>
      <w:rFonts w:asciiTheme="minorHAnsi" w:eastAsiaTheme="minorHAnsi" w:hAnsiTheme="minorHAnsi"/>
      <w:sz w:val="20"/>
      <w:szCs w:val="20"/>
      <w:lang w:val="en-US"/>
    </w:rPr>
  </w:style>
  <w:style w:type="character" w:styleId="Mention">
    <w:name w:val="Mention"/>
    <w:basedOn w:val="DefaultParagraphFont"/>
    <w:uiPriority w:val="99"/>
    <w:unhideWhenUsed/>
    <w:rsid w:val="006732C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6732CB"/>
    <w:pPr>
      <w:widowControl/>
      <w:spacing w:after="160"/>
    </w:pPr>
    <w:rPr>
      <w:rFonts w:eastAsiaTheme="minorEastAsia"/>
      <w:b/>
      <w:bCs/>
      <w:kern w:val="2"/>
      <w:lang w:val="en-AU" w:eastAsia="ja-JP"/>
      <w14:ligatures w14:val="standardContextual"/>
    </w:rPr>
  </w:style>
  <w:style w:type="character" w:customStyle="1" w:styleId="CommentSubjectChar">
    <w:name w:val="Comment Subject Char"/>
    <w:basedOn w:val="CommentTextChar"/>
    <w:link w:val="CommentSubject"/>
    <w:uiPriority w:val="99"/>
    <w:semiHidden/>
    <w:rsid w:val="006732CB"/>
    <w:rPr>
      <w:rFonts w:asciiTheme="minorHAnsi" w:eastAsiaTheme="minorHAnsi" w:hAnsiTheme="minorHAnsi"/>
      <w:b/>
      <w:bCs/>
      <w:kern w:val="2"/>
      <w:sz w:val="20"/>
      <w:szCs w:val="20"/>
      <w:lang w:val="en-US" w:eastAsia="ja-JP"/>
      <w14:ligatures w14:val="standardContextual"/>
    </w:rPr>
  </w:style>
  <w:style w:type="character" w:styleId="UnresolvedMention">
    <w:name w:val="Unresolved Mention"/>
    <w:basedOn w:val="DefaultParagraphFont"/>
    <w:uiPriority w:val="99"/>
    <w:semiHidden/>
    <w:unhideWhenUsed/>
    <w:rsid w:val="006732CB"/>
    <w:rPr>
      <w:color w:val="605E5C"/>
      <w:shd w:val="clear" w:color="auto" w:fill="E1DFDD"/>
    </w:rPr>
  </w:style>
  <w:style w:type="character" w:styleId="LineNumber">
    <w:name w:val="line number"/>
    <w:basedOn w:val="DefaultParagraphFont"/>
    <w:uiPriority w:val="99"/>
    <w:semiHidden/>
    <w:unhideWhenUsed/>
    <w:rsid w:val="006732CB"/>
  </w:style>
  <w:style w:type="paragraph" w:styleId="Revision">
    <w:name w:val="Revision"/>
    <w:hidden/>
    <w:uiPriority w:val="99"/>
    <w:semiHidden/>
    <w:rsid w:val="006732CB"/>
    <w:pPr>
      <w:spacing w:after="0" w:line="240" w:lineRule="auto"/>
    </w:pPr>
    <w:rPr>
      <w:rFonts w:asciiTheme="minorHAnsi" w:hAnsiTheme="minorHAnsi"/>
      <w:kern w:val="2"/>
      <w:sz w:val="24"/>
      <w:szCs w:val="24"/>
      <w:lang w:eastAsia="ja-JP"/>
      <w14:ligatures w14:val="standardContextual"/>
    </w:rPr>
  </w:style>
  <w:style w:type="paragraph" w:customStyle="1" w:styleId="PindanBoxHeading">
    <w:name w:val="Pindan Box Heading"/>
    <w:basedOn w:val="BOXHeading2"/>
    <w:link w:val="PindanBoxHeadingChar"/>
    <w:qFormat/>
    <w:rsid w:val="002A2387"/>
    <w:pPr>
      <w:pBdr>
        <w:top w:val="single" w:sz="48" w:space="1" w:color="F0DDDC"/>
        <w:left w:val="single" w:sz="48" w:space="4" w:color="F0DDDC"/>
        <w:bottom w:val="single" w:sz="48" w:space="1" w:color="F0DDDC"/>
        <w:right w:val="single" w:sz="48" w:space="4" w:color="F0DDDC"/>
      </w:pBdr>
      <w:shd w:val="clear" w:color="auto" w:fill="F0DDDC"/>
      <w:outlineLvl w:val="9"/>
    </w:pPr>
    <w:rPr>
      <w:rFonts w:ascii="Segoe UI Semibold" w:hAnsi="Segoe UI Semibold"/>
      <w:color w:val="98463F"/>
      <w:sz w:val="28"/>
    </w:rPr>
  </w:style>
  <w:style w:type="character" w:customStyle="1" w:styleId="BOXHeading2Char">
    <w:name w:val="BOX Heading 2 Char"/>
    <w:basedOn w:val="Heading2Char"/>
    <w:link w:val="BOXHeading2"/>
    <w:uiPriority w:val="6"/>
    <w:rsid w:val="000A4DAF"/>
    <w:rPr>
      <w:rFonts w:asciiTheme="majorHAnsi" w:eastAsiaTheme="majorEastAsia" w:hAnsiTheme="majorHAnsi" w:cstheme="majorBidi"/>
      <w:color w:val="092B57" w:themeColor="accent1"/>
      <w:sz w:val="36"/>
      <w:szCs w:val="28"/>
      <w:shd w:val="clear" w:color="auto" w:fill="E0E8F2"/>
    </w:rPr>
  </w:style>
  <w:style w:type="character" w:customStyle="1" w:styleId="PindanBoxHeadingChar">
    <w:name w:val="Pindan Box Heading Char"/>
    <w:basedOn w:val="BOXHeading2Char"/>
    <w:link w:val="PindanBoxHeading"/>
    <w:rsid w:val="002A2387"/>
    <w:rPr>
      <w:rFonts w:ascii="Segoe UI Semibold" w:eastAsiaTheme="majorEastAsia" w:hAnsi="Segoe UI Semibold" w:cstheme="majorBidi"/>
      <w:color w:val="98463F"/>
      <w:sz w:val="28"/>
      <w:szCs w:val="28"/>
      <w:shd w:val="clear" w:color="auto" w:fill="F0DDDC"/>
    </w:rPr>
  </w:style>
  <w:style w:type="paragraph" w:customStyle="1" w:styleId="PindanBoxText">
    <w:name w:val="Pindan Box Text"/>
    <w:basedOn w:val="BOXText"/>
    <w:link w:val="PindanBoxTextChar"/>
    <w:qFormat/>
    <w:rsid w:val="002A2387"/>
    <w:pPr>
      <w:pBdr>
        <w:top w:val="single" w:sz="48" w:space="1" w:color="F0DDDC"/>
        <w:left w:val="single" w:sz="48" w:space="4" w:color="F0DDDC"/>
        <w:bottom w:val="single" w:sz="48" w:space="1" w:color="F0DDDC"/>
        <w:right w:val="single" w:sz="48" w:space="4" w:color="F0DDDC"/>
      </w:pBdr>
      <w:shd w:val="clear" w:color="auto" w:fill="F0DDDC"/>
    </w:pPr>
    <w:rPr>
      <w:color w:val="98463F"/>
    </w:rPr>
  </w:style>
  <w:style w:type="character" w:customStyle="1" w:styleId="BOXTextChar">
    <w:name w:val="BOX Text Char"/>
    <w:basedOn w:val="DefaultParagraphFont"/>
    <w:link w:val="BOXText"/>
    <w:uiPriority w:val="4"/>
    <w:rsid w:val="000A4DAF"/>
    <w:rPr>
      <w:shd w:val="clear" w:color="auto" w:fill="E0E8F2"/>
    </w:rPr>
  </w:style>
  <w:style w:type="character" w:customStyle="1" w:styleId="PindanBoxTextChar">
    <w:name w:val="Pindan Box Text Char"/>
    <w:basedOn w:val="BOXTextChar"/>
    <w:link w:val="PindanBoxText"/>
    <w:rsid w:val="002A2387"/>
    <w:rPr>
      <w:color w:val="98463F"/>
      <w:shd w:val="clear" w:color="auto" w:fill="F0DDDC"/>
    </w:rPr>
  </w:style>
  <w:style w:type="paragraph" w:customStyle="1" w:styleId="TerracottaBoxHeading">
    <w:name w:val="Terracotta Box Heading"/>
    <w:basedOn w:val="PindanBoxHeading"/>
    <w:link w:val="TerracottaBoxHeadingChar"/>
    <w:qFormat/>
    <w:rsid w:val="00475791"/>
    <w:pPr>
      <w:pBdr>
        <w:top w:val="single" w:sz="48" w:space="1" w:color="FCD8CD"/>
        <w:left w:val="single" w:sz="48" w:space="4" w:color="FCD8CD"/>
        <w:bottom w:val="single" w:sz="48" w:space="1" w:color="FCD8CD"/>
        <w:right w:val="single" w:sz="48" w:space="4" w:color="FCD8CD"/>
      </w:pBdr>
      <w:shd w:val="clear" w:color="auto" w:fill="FCD8CD"/>
      <w:spacing w:before="240"/>
    </w:pPr>
    <w:rPr>
      <w:color w:val="90280A"/>
      <w:lang w:val="en-US"/>
    </w:rPr>
  </w:style>
  <w:style w:type="character" w:customStyle="1" w:styleId="TerracottaBoxHeadingChar">
    <w:name w:val="Terracotta Box Heading Char"/>
    <w:basedOn w:val="PindanBoxHeadingChar"/>
    <w:link w:val="TerracottaBoxHeading"/>
    <w:rsid w:val="00475791"/>
    <w:rPr>
      <w:rFonts w:ascii="Segoe UI Semibold" w:eastAsiaTheme="majorEastAsia" w:hAnsi="Segoe UI Semibold" w:cstheme="majorBidi"/>
      <w:color w:val="90280A"/>
      <w:sz w:val="28"/>
      <w:szCs w:val="28"/>
      <w:shd w:val="clear" w:color="auto" w:fill="FCD8CD"/>
      <w:lang w:val="en-US"/>
    </w:rPr>
  </w:style>
  <w:style w:type="paragraph" w:customStyle="1" w:styleId="TerracottaBoxText">
    <w:name w:val="Terracotta Box Text"/>
    <w:basedOn w:val="PindanBoxText"/>
    <w:link w:val="TerracottaBoxTextChar"/>
    <w:qFormat/>
    <w:rsid w:val="00475791"/>
    <w:pPr>
      <w:pBdr>
        <w:top w:val="single" w:sz="48" w:space="1" w:color="FCD8CD"/>
        <w:left w:val="single" w:sz="48" w:space="4" w:color="FCD8CD"/>
        <w:bottom w:val="single" w:sz="48" w:space="1" w:color="FCD8CD"/>
        <w:right w:val="single" w:sz="48" w:space="4" w:color="FCD8CD"/>
      </w:pBdr>
      <w:shd w:val="clear" w:color="auto" w:fill="FCD8CD"/>
      <w:spacing w:after="120"/>
    </w:pPr>
    <w:rPr>
      <w:color w:val="90280A"/>
      <w:lang w:val="en-US"/>
    </w:rPr>
  </w:style>
  <w:style w:type="character" w:customStyle="1" w:styleId="TerracottaBoxTextChar">
    <w:name w:val="Terracotta Box Text Char"/>
    <w:basedOn w:val="PindanBoxTextChar"/>
    <w:link w:val="TerracottaBoxText"/>
    <w:rsid w:val="00475791"/>
    <w:rPr>
      <w:color w:val="90280A"/>
      <w:shd w:val="clear" w:color="auto" w:fill="FCD8CD"/>
      <w:lang w:val="en-US"/>
    </w:rPr>
  </w:style>
  <w:style w:type="paragraph" w:customStyle="1" w:styleId="Lightblueboxheading">
    <w:name w:val="Light blue box heading"/>
    <w:basedOn w:val="PindanBoxHeading"/>
    <w:link w:val="LightblueboxheadingChar"/>
    <w:qFormat/>
    <w:rsid w:val="004F4FD0"/>
    <w:pPr>
      <w:pBdr>
        <w:top w:val="single" w:sz="48" w:space="1" w:color="B2D5D7"/>
        <w:left w:val="single" w:sz="48" w:space="4" w:color="B2D5D7"/>
        <w:bottom w:val="single" w:sz="48" w:space="1" w:color="B2D5D7"/>
        <w:right w:val="single" w:sz="48" w:space="4" w:color="B2D5D7"/>
      </w:pBdr>
      <w:shd w:val="clear" w:color="auto" w:fill="B2D5D7"/>
      <w:spacing w:before="320"/>
    </w:pPr>
    <w:rPr>
      <w:color w:val="1A5571"/>
      <w:lang w:val="en-US"/>
    </w:rPr>
  </w:style>
  <w:style w:type="character" w:customStyle="1" w:styleId="LightblueboxheadingChar">
    <w:name w:val="Light blue box heading Char"/>
    <w:basedOn w:val="PindanBoxHeadingChar"/>
    <w:link w:val="Lightblueboxheading"/>
    <w:rsid w:val="004F4FD0"/>
    <w:rPr>
      <w:rFonts w:ascii="Segoe UI Semibold" w:eastAsiaTheme="majorEastAsia" w:hAnsi="Segoe UI Semibold" w:cstheme="majorBidi"/>
      <w:color w:val="1A5571"/>
      <w:sz w:val="28"/>
      <w:szCs w:val="28"/>
      <w:shd w:val="clear" w:color="auto" w:fill="B2D5D7"/>
      <w:lang w:val="en-US"/>
    </w:rPr>
  </w:style>
  <w:style w:type="paragraph" w:customStyle="1" w:styleId="Lightblueboxtext">
    <w:name w:val="Light blue box text"/>
    <w:basedOn w:val="PindanBoxText"/>
    <w:link w:val="LightblueboxtextChar"/>
    <w:qFormat/>
    <w:rsid w:val="004F4FD0"/>
    <w:pPr>
      <w:pBdr>
        <w:top w:val="single" w:sz="48" w:space="1" w:color="B2D5D7"/>
        <w:left w:val="single" w:sz="48" w:space="4" w:color="B2D5D7"/>
        <w:bottom w:val="single" w:sz="48" w:space="1" w:color="B2D5D7"/>
        <w:right w:val="single" w:sz="48" w:space="4" w:color="B2D5D7"/>
      </w:pBdr>
      <w:shd w:val="clear" w:color="auto" w:fill="B2D5D7"/>
    </w:pPr>
    <w:rPr>
      <w:color w:val="1A5571"/>
      <w:lang w:val="en-US"/>
    </w:rPr>
  </w:style>
  <w:style w:type="character" w:customStyle="1" w:styleId="LightblueboxtextChar">
    <w:name w:val="Light blue box text Char"/>
    <w:basedOn w:val="PindanBoxTextChar"/>
    <w:link w:val="Lightblueboxtext"/>
    <w:rsid w:val="004F4FD0"/>
    <w:rPr>
      <w:color w:val="1A5571"/>
      <w:shd w:val="clear" w:color="auto" w:fill="B2D5D7"/>
      <w:lang w:val="en-US"/>
    </w:rPr>
  </w:style>
  <w:style w:type="paragraph" w:customStyle="1" w:styleId="Darkblueboxheading">
    <w:name w:val="Dark blue box heading"/>
    <w:basedOn w:val="PindanBoxHeading"/>
    <w:link w:val="DarkblueboxheadingChar"/>
    <w:qFormat/>
    <w:rsid w:val="004F4FD0"/>
    <w:pPr>
      <w:pBdr>
        <w:top w:val="single" w:sz="48" w:space="1" w:color="BFD0D7"/>
        <w:left w:val="single" w:sz="48" w:space="4" w:color="BFD0D7"/>
        <w:bottom w:val="single" w:sz="48" w:space="1" w:color="BFD0D7"/>
        <w:right w:val="single" w:sz="48" w:space="4" w:color="BFD0D7"/>
      </w:pBdr>
      <w:shd w:val="clear" w:color="auto" w:fill="BFD0D7"/>
    </w:pPr>
    <w:rPr>
      <w:color w:val="1A5571"/>
      <w:lang w:val="en-US"/>
    </w:rPr>
  </w:style>
  <w:style w:type="character" w:customStyle="1" w:styleId="DarkblueboxheadingChar">
    <w:name w:val="Dark blue box heading Char"/>
    <w:basedOn w:val="PindanBoxHeadingChar"/>
    <w:link w:val="Darkblueboxheading"/>
    <w:rsid w:val="004F4FD0"/>
    <w:rPr>
      <w:rFonts w:ascii="Segoe UI Semibold" w:eastAsiaTheme="majorEastAsia" w:hAnsi="Segoe UI Semibold" w:cstheme="majorBidi"/>
      <w:color w:val="1A5571"/>
      <w:sz w:val="28"/>
      <w:szCs w:val="28"/>
      <w:shd w:val="clear" w:color="auto" w:fill="BFD0D7"/>
      <w:lang w:val="en-US"/>
    </w:rPr>
  </w:style>
  <w:style w:type="paragraph" w:customStyle="1" w:styleId="Darkblueboxtext">
    <w:name w:val="Dark blue box text"/>
    <w:basedOn w:val="PindanBoxText"/>
    <w:link w:val="DarkblueboxtextChar"/>
    <w:qFormat/>
    <w:rsid w:val="004F4FD0"/>
    <w:pPr>
      <w:pBdr>
        <w:top w:val="single" w:sz="48" w:space="1" w:color="BFD0D7"/>
        <w:left w:val="single" w:sz="48" w:space="4" w:color="BFD0D7"/>
        <w:bottom w:val="single" w:sz="48" w:space="1" w:color="BFD0D7"/>
        <w:right w:val="single" w:sz="48" w:space="4" w:color="BFD0D7"/>
      </w:pBdr>
      <w:shd w:val="clear" w:color="auto" w:fill="BFD0D7"/>
    </w:pPr>
    <w:rPr>
      <w:color w:val="1A5571"/>
      <w:lang w:val="en-US"/>
    </w:rPr>
  </w:style>
  <w:style w:type="character" w:customStyle="1" w:styleId="DarkblueboxtextChar">
    <w:name w:val="Dark blue box text Char"/>
    <w:basedOn w:val="PindanBoxTextChar"/>
    <w:link w:val="Darkblueboxtext"/>
    <w:rsid w:val="004F4FD0"/>
    <w:rPr>
      <w:color w:val="1A5571"/>
      <w:shd w:val="clear" w:color="auto" w:fill="BFD0D7"/>
      <w:lang w:val="en-US"/>
    </w:rPr>
  </w:style>
  <w:style w:type="paragraph" w:styleId="FootnoteText">
    <w:name w:val="footnote text"/>
    <w:basedOn w:val="Normal"/>
    <w:link w:val="FootnoteTextChar"/>
    <w:uiPriority w:val="99"/>
    <w:semiHidden/>
    <w:unhideWhenUsed/>
    <w:rsid w:val="006012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223"/>
    <w:rPr>
      <w:sz w:val="20"/>
      <w:szCs w:val="20"/>
    </w:rPr>
  </w:style>
  <w:style w:type="character" w:styleId="FootnoteReference">
    <w:name w:val="footnote reference"/>
    <w:basedOn w:val="DefaultParagraphFont"/>
    <w:uiPriority w:val="99"/>
    <w:semiHidden/>
    <w:unhideWhenUsed/>
    <w:rsid w:val="006012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70427">
      <w:bodyDiv w:val="1"/>
      <w:marLeft w:val="0"/>
      <w:marRight w:val="0"/>
      <w:marTop w:val="0"/>
      <w:marBottom w:val="0"/>
      <w:divBdr>
        <w:top w:val="none" w:sz="0" w:space="0" w:color="auto"/>
        <w:left w:val="none" w:sz="0" w:space="0" w:color="auto"/>
        <w:bottom w:val="none" w:sz="0" w:space="0" w:color="auto"/>
        <w:right w:val="none" w:sz="0" w:space="0" w:color="auto"/>
      </w:divBdr>
    </w:div>
    <w:div w:id="385954582">
      <w:bodyDiv w:val="1"/>
      <w:marLeft w:val="0"/>
      <w:marRight w:val="0"/>
      <w:marTop w:val="0"/>
      <w:marBottom w:val="0"/>
      <w:divBdr>
        <w:top w:val="none" w:sz="0" w:space="0" w:color="auto"/>
        <w:left w:val="none" w:sz="0" w:space="0" w:color="auto"/>
        <w:bottom w:val="none" w:sz="0" w:space="0" w:color="auto"/>
        <w:right w:val="none" w:sz="0" w:space="0" w:color="auto"/>
      </w:divBdr>
    </w:div>
    <w:div w:id="461965948">
      <w:bodyDiv w:val="1"/>
      <w:marLeft w:val="0"/>
      <w:marRight w:val="0"/>
      <w:marTop w:val="0"/>
      <w:marBottom w:val="0"/>
      <w:divBdr>
        <w:top w:val="none" w:sz="0" w:space="0" w:color="auto"/>
        <w:left w:val="none" w:sz="0" w:space="0" w:color="auto"/>
        <w:bottom w:val="none" w:sz="0" w:space="0" w:color="auto"/>
        <w:right w:val="none" w:sz="0" w:space="0" w:color="auto"/>
      </w:divBdr>
    </w:div>
    <w:div w:id="695740099">
      <w:bodyDiv w:val="1"/>
      <w:marLeft w:val="0"/>
      <w:marRight w:val="0"/>
      <w:marTop w:val="0"/>
      <w:marBottom w:val="0"/>
      <w:divBdr>
        <w:top w:val="none" w:sz="0" w:space="0" w:color="auto"/>
        <w:left w:val="none" w:sz="0" w:space="0" w:color="auto"/>
        <w:bottom w:val="none" w:sz="0" w:space="0" w:color="auto"/>
        <w:right w:val="none" w:sz="0" w:space="0" w:color="auto"/>
      </w:divBdr>
    </w:div>
    <w:div w:id="1216236471">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92526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ia.pmc.gov.au/" TargetMode="External"/><Relationship Id="rId26" Type="http://schemas.openxmlformats.org/officeDocument/2006/relationships/footer" Target="footer3.xml"/><Relationship Id="rId39" Type="http://schemas.openxmlformats.org/officeDocument/2006/relationships/hyperlink" Target="https://oia.pmc.gov.au/resources/guidance-assessing-impacts/regulatory-burden-measurement-framework" TargetMode="External"/><Relationship Id="rId21" Type="http://schemas.openxmlformats.org/officeDocument/2006/relationships/hyperlink" Target="https://oia.pmc.gov.au/resources/guidance-assessing-impacts/value-statistical-life" TargetMode="External"/><Relationship Id="rId34" Type="http://schemas.openxmlformats.org/officeDocument/2006/relationships/hyperlink" Target="https://www.w3.org/WAI/standards-guidelines/"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ia.pmc.gov.au/resources/guidance-assessing-impacts/regulatory-burden-measurement-framework" TargetMode="External"/><Relationship Id="rId29" Type="http://schemas.openxmlformats.org/officeDocument/2006/relationships/hyperlink" Target="https://oia.pmc.gov.au/resources/guidance-assessing-impacts/regulatory-burden-measurement-framewor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psacademy.gov.au/resources/first-nations-impacts-framework-resources" TargetMode="External"/><Relationship Id="rId32" Type="http://schemas.openxmlformats.org/officeDocument/2006/relationships/hyperlink" Target="https://oia.pmc.gov.au/" TargetMode="External"/><Relationship Id="rId37" Type="http://schemas.openxmlformats.org/officeDocument/2006/relationships/hyperlink" Target="https://evaluation.treasury.gov.au/"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infrastructure.gov.au/territories-regions/regional-australia/regional-australia-impact-statements" TargetMode="External"/><Relationship Id="rId28" Type="http://schemas.openxmlformats.org/officeDocument/2006/relationships/hyperlink" Target="https://oia.pmc.gov.au/" TargetMode="External"/><Relationship Id="rId36" Type="http://schemas.openxmlformats.org/officeDocument/2006/relationships/hyperlink" Target="https://www.digital.gov.au/policy/digital-experience/digital-service-standard" TargetMode="External"/><Relationship Id="rId10" Type="http://schemas.openxmlformats.org/officeDocument/2006/relationships/footnotes" Target="footnotes.xml"/><Relationship Id="rId19" Type="http://schemas.openxmlformats.org/officeDocument/2006/relationships/hyperlink" Target="https://oia.pmc.gov.au/sites/default/files/2023-08/competition-and-regulation.pdf" TargetMode="External"/><Relationship Id="rId31" Type="http://schemas.openxmlformats.org/officeDocument/2006/relationships/hyperlink" Target="https://oia.pmc.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pmc.gov.au/resources/including-gender-aps-guide-gender-analysis-and-gender-impact-assessment" TargetMode="External"/><Relationship Id="rId27" Type="http://schemas.openxmlformats.org/officeDocument/2006/relationships/hyperlink" Target="https://oia.pmc.gov.au/resources/guidance-impact-analysis/regulatory-impact-analysis-guide-ministers-meetings-and-national" TargetMode="External"/><Relationship Id="rId30" Type="http://schemas.openxmlformats.org/officeDocument/2006/relationships/hyperlink" Target="https://www.finance.gov.au/government/regulatory-reform/best-practice-handbook-standards-and-conformance-policy" TargetMode="External"/><Relationship Id="rId35" Type="http://schemas.openxmlformats.org/officeDocument/2006/relationships/hyperlink" Target="https://www.stylemanual.gov.au/"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hyperlink" Target="mailto:helpdesk-oia@pmc.gov.au" TargetMode="External"/><Relationship Id="rId38" Type="http://schemas.openxmlformats.org/officeDocument/2006/relationships/hyperlink" Target="https://www.finance.gov.au/sites/default/files/2026-02/best-practice-handbook-on-standards-and-conformance-policy.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inance.gov.au/government/managing-commonwealth-resources/implementing-charging-framework-rmg-302/australian-government-charging-poli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4110\OneDrive%20-%20Department%20of%20the%20Prime%20Minister%20&amp;%20Cabinet\Office%20of%20Impact%20Analysis%20-%20MIA\Updates%20to%20OIA%20Guides%20and%20Resources\Drafting\PG%20-%20IA%20Practical%20Guide%20-%20Liv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52E90452A5043B1802CAA4AC89F4028"/>
        <w:category>
          <w:name w:val="General"/>
          <w:gallery w:val="placeholder"/>
        </w:category>
        <w:types>
          <w:type w:val="bbPlcHdr"/>
        </w:types>
        <w:behaviors>
          <w:behavior w:val="content"/>
        </w:behaviors>
        <w:guid w:val="{EB0EA6CB-752F-4BF3-A08E-B4F3A1E14749}"/>
      </w:docPartPr>
      <w:docPartBody>
        <w:p w:rsidR="009E47D2" w:rsidRDefault="009E47D2">
          <w:pPr>
            <w:pStyle w:val="A52E90452A5043B1802CAA4AC89F4028"/>
          </w:pPr>
          <w:r w:rsidRPr="00293BFE">
            <w:rPr>
              <w:rStyle w:val="PlaceholderText"/>
            </w:rPr>
            <w:t>[Manager]</w:t>
          </w:r>
        </w:p>
      </w:docPartBody>
    </w:docPart>
    <w:docPart>
      <w:docPartPr>
        <w:name w:val="272683064C8B422C972D4FCEFA03B41A"/>
        <w:category>
          <w:name w:val="General"/>
          <w:gallery w:val="placeholder"/>
        </w:category>
        <w:types>
          <w:type w:val="bbPlcHdr"/>
        </w:types>
        <w:behaviors>
          <w:behavior w:val="content"/>
        </w:behaviors>
        <w:guid w:val="{84905C30-6197-47B1-A48E-1194D4F76657}"/>
      </w:docPartPr>
      <w:docPartBody>
        <w:p w:rsidR="00874E6B" w:rsidRDefault="00874E6B" w:rsidP="00874E6B">
          <w:pPr>
            <w:pStyle w:val="272683064C8B422C972D4FCEFA03B41A"/>
          </w:pPr>
          <w:r w:rsidRPr="00B6525C">
            <w:rPr>
              <w:rStyle w:val="PlaceholderText"/>
            </w:rPr>
            <w:t>[Title]</w:t>
          </w:r>
        </w:p>
      </w:docPartBody>
    </w:docPart>
    <w:docPart>
      <w:docPartPr>
        <w:name w:val="30FD39034C684840884A0832B317AB6A"/>
        <w:category>
          <w:name w:val="General"/>
          <w:gallery w:val="placeholder"/>
        </w:category>
        <w:types>
          <w:type w:val="bbPlcHdr"/>
        </w:types>
        <w:behaviors>
          <w:behavior w:val="content"/>
        </w:behaviors>
        <w:guid w:val="{B9DEC8FE-0C55-4380-A6EF-2BBBC49B4BBF}"/>
      </w:docPartPr>
      <w:docPartBody>
        <w:p w:rsidR="00874E6B" w:rsidRDefault="00874E6B" w:rsidP="00874E6B">
          <w:pPr>
            <w:pStyle w:val="30FD39034C684840884A0832B317AB6A"/>
          </w:pPr>
          <w:r w:rsidRPr="00B6525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ontserrat Semi Bold">
    <w:panose1 w:val="00000700000000000000"/>
    <w:charset w:val="00"/>
    <w:family w:val="modern"/>
    <w:notTrueType/>
    <w:pitch w:val="variable"/>
    <w:sig w:usb0="00000007" w:usb1="00000000"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D2"/>
    <w:rsid w:val="000A6079"/>
    <w:rsid w:val="001559A7"/>
    <w:rsid w:val="001C5A4C"/>
    <w:rsid w:val="001D0C4C"/>
    <w:rsid w:val="001F31EA"/>
    <w:rsid w:val="00223D51"/>
    <w:rsid w:val="002273BE"/>
    <w:rsid w:val="00277703"/>
    <w:rsid w:val="002A6BE1"/>
    <w:rsid w:val="00307683"/>
    <w:rsid w:val="00314EB3"/>
    <w:rsid w:val="00374681"/>
    <w:rsid w:val="003767C0"/>
    <w:rsid w:val="003B15B1"/>
    <w:rsid w:val="003B3611"/>
    <w:rsid w:val="00404AA9"/>
    <w:rsid w:val="00417C6E"/>
    <w:rsid w:val="0046359D"/>
    <w:rsid w:val="00472E4E"/>
    <w:rsid w:val="00516B67"/>
    <w:rsid w:val="005760B0"/>
    <w:rsid w:val="0058788F"/>
    <w:rsid w:val="0059346B"/>
    <w:rsid w:val="005B3FD4"/>
    <w:rsid w:val="005C5A7A"/>
    <w:rsid w:val="005E1369"/>
    <w:rsid w:val="005E52F2"/>
    <w:rsid w:val="00676828"/>
    <w:rsid w:val="00731D5A"/>
    <w:rsid w:val="00742DFD"/>
    <w:rsid w:val="007643E2"/>
    <w:rsid w:val="007D71AD"/>
    <w:rsid w:val="00845FB7"/>
    <w:rsid w:val="00852D0B"/>
    <w:rsid w:val="00872CF7"/>
    <w:rsid w:val="00874E6B"/>
    <w:rsid w:val="008A3005"/>
    <w:rsid w:val="00912290"/>
    <w:rsid w:val="00965903"/>
    <w:rsid w:val="00982684"/>
    <w:rsid w:val="009B5CAB"/>
    <w:rsid w:val="009E47D2"/>
    <w:rsid w:val="009F0A7D"/>
    <w:rsid w:val="009F0DDF"/>
    <w:rsid w:val="00A66024"/>
    <w:rsid w:val="00AB3287"/>
    <w:rsid w:val="00AC5F95"/>
    <w:rsid w:val="00B80E12"/>
    <w:rsid w:val="00BA4EE8"/>
    <w:rsid w:val="00C0325C"/>
    <w:rsid w:val="00C15EEE"/>
    <w:rsid w:val="00C90E80"/>
    <w:rsid w:val="00D10552"/>
    <w:rsid w:val="00D51454"/>
    <w:rsid w:val="00DC0F3A"/>
    <w:rsid w:val="00DD7E75"/>
    <w:rsid w:val="00DF11F2"/>
    <w:rsid w:val="00E074BE"/>
    <w:rsid w:val="00EC78BD"/>
    <w:rsid w:val="00F06F99"/>
    <w:rsid w:val="00F956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E6B"/>
    <w:rPr>
      <w:color w:val="808080"/>
    </w:rPr>
  </w:style>
  <w:style w:type="paragraph" w:customStyle="1" w:styleId="A52E90452A5043B1802CAA4AC89F4028">
    <w:name w:val="A52E90452A5043B1802CAA4AC89F4028"/>
  </w:style>
  <w:style w:type="paragraph" w:customStyle="1" w:styleId="272683064C8B422C972D4FCEFA03B41A">
    <w:name w:val="272683064C8B422C972D4FCEFA03B41A"/>
    <w:rsid w:val="00874E6B"/>
    <w:rPr>
      <w:lang w:eastAsia="en-AU"/>
    </w:rPr>
  </w:style>
  <w:style w:type="paragraph" w:customStyle="1" w:styleId="30FD39034C684840884A0832B317AB6A">
    <w:name w:val="30FD39034C684840884A0832B317AB6A"/>
    <w:rsid w:val="00874E6B"/>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PM&amp;C 2022">
      <a:dk1>
        <a:srgbClr val="000000"/>
      </a:dk1>
      <a:lt1>
        <a:srgbClr val="FFFFFF"/>
      </a:lt1>
      <a:dk2>
        <a:srgbClr val="0F1F35"/>
      </a:dk2>
      <a:lt2>
        <a:srgbClr val="E0E8F2"/>
      </a:lt2>
      <a:accent1>
        <a:srgbClr val="092B57"/>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HubID xmlns="e771ab56-0c5d-40e7-b080-2686d2b89623" xsi:nil="true"/>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PMCdoc-213507164-73118</_dlc_DocId>
    <_dlc_DocIdUrl xmlns="d0dfa800-9ef0-44cb-8a12-633e29de1e0b">
      <Url>https://pmc01.sharepoint.com/sites/pmc-ms-cb/_layouts/15/DocIdRedir.aspx?ID=PMCdoc-213507164-73118</Url>
      <Description>PMCdoc-213507164-73118</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351122-FDF6-42B5-9941-DE0D42A61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00A131-BB3A-4129-8E6F-65B728E909B3}">
  <ds:schemaRefs>
    <ds:schemaRef ds:uri="http://schemas.openxmlformats.org/officeDocument/2006/bibliography"/>
  </ds:schemaRefs>
</ds:datastoreItem>
</file>

<file path=customXml/itemProps3.xml><?xml version="1.0" encoding="utf-8"?>
<ds:datastoreItem xmlns:ds="http://schemas.openxmlformats.org/officeDocument/2006/customXml" ds:itemID="{36EE4546-0B8E-4974-A64F-BE9FF14BC218}">
  <ds:schemaRefs>
    <ds:schemaRef ds:uri="http://schemas.microsoft.com/sharepoint/events"/>
  </ds:schemaRefs>
</ds:datastoreItem>
</file>

<file path=customXml/itemProps4.xml><?xml version="1.0" encoding="utf-8"?>
<ds:datastoreItem xmlns:ds="http://schemas.openxmlformats.org/officeDocument/2006/customXml" ds:itemID="{994B405F-4B3F-4239-B2FC-420B5AD46F8D}">
  <ds:schemaRefs>
    <ds:schemaRef ds:uri="http://www.w3.org/XML/1998/namespace"/>
    <ds:schemaRef ds:uri="http://schemas.openxmlformats.org/package/2006/metadata/core-properties"/>
    <ds:schemaRef ds:uri="d0dfa800-9ef0-44cb-8a12-633e29de1e0b"/>
    <ds:schemaRef ds:uri="http://schemas.microsoft.com/office/2006/documentManagement/types"/>
    <ds:schemaRef ds:uri="http://purl.org/dc/terms/"/>
    <ds:schemaRef ds:uri="http://schemas.microsoft.com/office/2006/metadata/properties"/>
    <ds:schemaRef ds:uri="http://purl.org/dc/elements/1.1/"/>
    <ds:schemaRef ds:uri="ce530a30-1469-477c-a42f-e412a5d2cfe7"/>
    <ds:schemaRef ds:uri="http://purl.org/dc/dcmitype/"/>
    <ds:schemaRef ds:uri="http://schemas.microsoft.com/office/infopath/2007/PartnerControls"/>
    <ds:schemaRef ds:uri="e771ab56-0c5d-40e7-b080-2686d2b89623"/>
    <ds:schemaRef ds:uri="http://schemas.microsoft.com/sharepoint/v3"/>
  </ds:schemaRefs>
</ds:datastoreItem>
</file>

<file path=customXml/itemProps5.xml><?xml version="1.0" encoding="utf-8"?>
<ds:datastoreItem xmlns:ds="http://schemas.openxmlformats.org/officeDocument/2006/customXml" ds:itemID="{4C10B6CA-6573-4305-8B65-890F40096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PG - IA Practical Guide - Live.dotx</Template>
  <TotalTime>38</TotalTime>
  <Pages>25</Pages>
  <Words>7672</Words>
  <Characters>43731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Australian Government Impact Analysis Framework</vt:lpstr>
    </vt:vector>
  </TitlesOfParts>
  <Manager>The Office of Impact Analysis</Manager>
  <Company>Department of the Prime Minister and Cabinet</Company>
  <LinksUpToDate>false</LinksUpToDate>
  <CharactersWithSpaces>51301</CharactersWithSpaces>
  <SharedDoc>false</SharedDoc>
  <HLinks>
    <vt:vector size="282" baseType="variant">
      <vt:variant>
        <vt:i4>2031643</vt:i4>
      </vt:variant>
      <vt:variant>
        <vt:i4>243</vt:i4>
      </vt:variant>
      <vt:variant>
        <vt:i4>0</vt:i4>
      </vt:variant>
      <vt:variant>
        <vt:i4>5</vt:i4>
      </vt:variant>
      <vt:variant>
        <vt:lpwstr>https://oia.pmc.gov.au/resources/guidance-impact-analysis/australian-government-guide-policy-impact-analysis</vt:lpwstr>
      </vt:variant>
      <vt:variant>
        <vt:lpwstr/>
      </vt:variant>
      <vt:variant>
        <vt:i4>131089</vt:i4>
      </vt:variant>
      <vt:variant>
        <vt:i4>240</vt:i4>
      </vt:variant>
      <vt:variant>
        <vt:i4>0</vt:i4>
      </vt:variant>
      <vt:variant>
        <vt:i4>5</vt:i4>
      </vt:variant>
      <vt:variant>
        <vt:lpwstr>https://www.finance.gov.au/sites/default/files/2026-02/best-practice-handbook-on-standards-and-conformance-policy.pdf</vt:lpwstr>
      </vt:variant>
      <vt:variant>
        <vt:lpwstr/>
      </vt:variant>
      <vt:variant>
        <vt:i4>6750315</vt:i4>
      </vt:variant>
      <vt:variant>
        <vt:i4>237</vt:i4>
      </vt:variant>
      <vt:variant>
        <vt:i4>0</vt:i4>
      </vt:variant>
      <vt:variant>
        <vt:i4>5</vt:i4>
      </vt:variant>
      <vt:variant>
        <vt:lpwstr>https://evaluation.treasury.gov.au/</vt:lpwstr>
      </vt:variant>
      <vt:variant>
        <vt:lpwstr/>
      </vt:variant>
      <vt:variant>
        <vt:i4>1966098</vt:i4>
      </vt:variant>
      <vt:variant>
        <vt:i4>234</vt:i4>
      </vt:variant>
      <vt:variant>
        <vt:i4>0</vt:i4>
      </vt:variant>
      <vt:variant>
        <vt:i4>5</vt:i4>
      </vt:variant>
      <vt:variant>
        <vt:lpwstr>https://www.w3.org/TR/WCAG22/</vt:lpwstr>
      </vt:variant>
      <vt:variant>
        <vt:lpwstr/>
      </vt:variant>
      <vt:variant>
        <vt:i4>131132</vt:i4>
      </vt:variant>
      <vt:variant>
        <vt:i4>231</vt:i4>
      </vt:variant>
      <vt:variant>
        <vt:i4>0</vt:i4>
      </vt:variant>
      <vt:variant>
        <vt:i4>5</vt:i4>
      </vt:variant>
      <vt:variant>
        <vt:lpwstr>mailto:helpdesk-oia@pmc.gov.au</vt:lpwstr>
      </vt:variant>
      <vt:variant>
        <vt:lpwstr/>
      </vt:variant>
      <vt:variant>
        <vt:i4>2162733</vt:i4>
      </vt:variant>
      <vt:variant>
        <vt:i4>228</vt:i4>
      </vt:variant>
      <vt:variant>
        <vt:i4>0</vt:i4>
      </vt:variant>
      <vt:variant>
        <vt:i4>5</vt:i4>
      </vt:variant>
      <vt:variant>
        <vt:lpwstr>https://oia.pmc.gov.au/</vt:lpwstr>
      </vt:variant>
      <vt:variant>
        <vt:lpwstr/>
      </vt:variant>
      <vt:variant>
        <vt:i4>2031679</vt:i4>
      </vt:variant>
      <vt:variant>
        <vt:i4>209</vt:i4>
      </vt:variant>
      <vt:variant>
        <vt:i4>0</vt:i4>
      </vt:variant>
      <vt:variant>
        <vt:i4>5</vt:i4>
      </vt:variant>
      <vt:variant>
        <vt:lpwstr/>
      </vt:variant>
      <vt:variant>
        <vt:lpwstr>_Toc228972216</vt:lpwstr>
      </vt:variant>
      <vt:variant>
        <vt:i4>2031679</vt:i4>
      </vt:variant>
      <vt:variant>
        <vt:i4>203</vt:i4>
      </vt:variant>
      <vt:variant>
        <vt:i4>0</vt:i4>
      </vt:variant>
      <vt:variant>
        <vt:i4>5</vt:i4>
      </vt:variant>
      <vt:variant>
        <vt:lpwstr/>
      </vt:variant>
      <vt:variant>
        <vt:lpwstr>_Toc228972215</vt:lpwstr>
      </vt:variant>
      <vt:variant>
        <vt:i4>2031679</vt:i4>
      </vt:variant>
      <vt:variant>
        <vt:i4>197</vt:i4>
      </vt:variant>
      <vt:variant>
        <vt:i4>0</vt:i4>
      </vt:variant>
      <vt:variant>
        <vt:i4>5</vt:i4>
      </vt:variant>
      <vt:variant>
        <vt:lpwstr/>
      </vt:variant>
      <vt:variant>
        <vt:lpwstr>_Toc228972214</vt:lpwstr>
      </vt:variant>
      <vt:variant>
        <vt:i4>2031674</vt:i4>
      </vt:variant>
      <vt:variant>
        <vt:i4>188</vt:i4>
      </vt:variant>
      <vt:variant>
        <vt:i4>0</vt:i4>
      </vt:variant>
      <vt:variant>
        <vt:i4>5</vt:i4>
      </vt:variant>
      <vt:variant>
        <vt:lpwstr/>
      </vt:variant>
      <vt:variant>
        <vt:lpwstr>_Toc228974775</vt:lpwstr>
      </vt:variant>
      <vt:variant>
        <vt:i4>2031674</vt:i4>
      </vt:variant>
      <vt:variant>
        <vt:i4>182</vt:i4>
      </vt:variant>
      <vt:variant>
        <vt:i4>0</vt:i4>
      </vt:variant>
      <vt:variant>
        <vt:i4>5</vt:i4>
      </vt:variant>
      <vt:variant>
        <vt:lpwstr/>
      </vt:variant>
      <vt:variant>
        <vt:lpwstr>_Toc228974774</vt:lpwstr>
      </vt:variant>
      <vt:variant>
        <vt:i4>2031674</vt:i4>
      </vt:variant>
      <vt:variant>
        <vt:i4>176</vt:i4>
      </vt:variant>
      <vt:variant>
        <vt:i4>0</vt:i4>
      </vt:variant>
      <vt:variant>
        <vt:i4>5</vt:i4>
      </vt:variant>
      <vt:variant>
        <vt:lpwstr/>
      </vt:variant>
      <vt:variant>
        <vt:lpwstr>_Toc228974773</vt:lpwstr>
      </vt:variant>
      <vt:variant>
        <vt:i4>2031674</vt:i4>
      </vt:variant>
      <vt:variant>
        <vt:i4>170</vt:i4>
      </vt:variant>
      <vt:variant>
        <vt:i4>0</vt:i4>
      </vt:variant>
      <vt:variant>
        <vt:i4>5</vt:i4>
      </vt:variant>
      <vt:variant>
        <vt:lpwstr/>
      </vt:variant>
      <vt:variant>
        <vt:lpwstr>_Toc228974772</vt:lpwstr>
      </vt:variant>
      <vt:variant>
        <vt:i4>2031674</vt:i4>
      </vt:variant>
      <vt:variant>
        <vt:i4>164</vt:i4>
      </vt:variant>
      <vt:variant>
        <vt:i4>0</vt:i4>
      </vt:variant>
      <vt:variant>
        <vt:i4>5</vt:i4>
      </vt:variant>
      <vt:variant>
        <vt:lpwstr/>
      </vt:variant>
      <vt:variant>
        <vt:lpwstr>_Toc228974771</vt:lpwstr>
      </vt:variant>
      <vt:variant>
        <vt:i4>2031674</vt:i4>
      </vt:variant>
      <vt:variant>
        <vt:i4>158</vt:i4>
      </vt:variant>
      <vt:variant>
        <vt:i4>0</vt:i4>
      </vt:variant>
      <vt:variant>
        <vt:i4>5</vt:i4>
      </vt:variant>
      <vt:variant>
        <vt:lpwstr/>
      </vt:variant>
      <vt:variant>
        <vt:lpwstr>_Toc228974770</vt:lpwstr>
      </vt:variant>
      <vt:variant>
        <vt:i4>1966138</vt:i4>
      </vt:variant>
      <vt:variant>
        <vt:i4>152</vt:i4>
      </vt:variant>
      <vt:variant>
        <vt:i4>0</vt:i4>
      </vt:variant>
      <vt:variant>
        <vt:i4>5</vt:i4>
      </vt:variant>
      <vt:variant>
        <vt:lpwstr/>
      </vt:variant>
      <vt:variant>
        <vt:lpwstr>_Toc228974769</vt:lpwstr>
      </vt:variant>
      <vt:variant>
        <vt:i4>1966138</vt:i4>
      </vt:variant>
      <vt:variant>
        <vt:i4>146</vt:i4>
      </vt:variant>
      <vt:variant>
        <vt:i4>0</vt:i4>
      </vt:variant>
      <vt:variant>
        <vt:i4>5</vt:i4>
      </vt:variant>
      <vt:variant>
        <vt:lpwstr/>
      </vt:variant>
      <vt:variant>
        <vt:lpwstr>_Toc228974768</vt:lpwstr>
      </vt:variant>
      <vt:variant>
        <vt:i4>1966138</vt:i4>
      </vt:variant>
      <vt:variant>
        <vt:i4>140</vt:i4>
      </vt:variant>
      <vt:variant>
        <vt:i4>0</vt:i4>
      </vt:variant>
      <vt:variant>
        <vt:i4>5</vt:i4>
      </vt:variant>
      <vt:variant>
        <vt:lpwstr/>
      </vt:variant>
      <vt:variant>
        <vt:lpwstr>_Toc228974767</vt:lpwstr>
      </vt:variant>
      <vt:variant>
        <vt:i4>1966138</vt:i4>
      </vt:variant>
      <vt:variant>
        <vt:i4>134</vt:i4>
      </vt:variant>
      <vt:variant>
        <vt:i4>0</vt:i4>
      </vt:variant>
      <vt:variant>
        <vt:i4>5</vt:i4>
      </vt:variant>
      <vt:variant>
        <vt:lpwstr/>
      </vt:variant>
      <vt:variant>
        <vt:lpwstr>_Toc228974766</vt:lpwstr>
      </vt:variant>
      <vt:variant>
        <vt:i4>1966138</vt:i4>
      </vt:variant>
      <vt:variant>
        <vt:i4>128</vt:i4>
      </vt:variant>
      <vt:variant>
        <vt:i4>0</vt:i4>
      </vt:variant>
      <vt:variant>
        <vt:i4>5</vt:i4>
      </vt:variant>
      <vt:variant>
        <vt:lpwstr/>
      </vt:variant>
      <vt:variant>
        <vt:lpwstr>_Toc228974765</vt:lpwstr>
      </vt:variant>
      <vt:variant>
        <vt:i4>1966138</vt:i4>
      </vt:variant>
      <vt:variant>
        <vt:i4>122</vt:i4>
      </vt:variant>
      <vt:variant>
        <vt:i4>0</vt:i4>
      </vt:variant>
      <vt:variant>
        <vt:i4>5</vt:i4>
      </vt:variant>
      <vt:variant>
        <vt:lpwstr/>
      </vt:variant>
      <vt:variant>
        <vt:lpwstr>_Toc228974764</vt:lpwstr>
      </vt:variant>
      <vt:variant>
        <vt:i4>1966138</vt:i4>
      </vt:variant>
      <vt:variant>
        <vt:i4>116</vt:i4>
      </vt:variant>
      <vt:variant>
        <vt:i4>0</vt:i4>
      </vt:variant>
      <vt:variant>
        <vt:i4>5</vt:i4>
      </vt:variant>
      <vt:variant>
        <vt:lpwstr/>
      </vt:variant>
      <vt:variant>
        <vt:lpwstr>_Toc228974763</vt:lpwstr>
      </vt:variant>
      <vt:variant>
        <vt:i4>1966138</vt:i4>
      </vt:variant>
      <vt:variant>
        <vt:i4>110</vt:i4>
      </vt:variant>
      <vt:variant>
        <vt:i4>0</vt:i4>
      </vt:variant>
      <vt:variant>
        <vt:i4>5</vt:i4>
      </vt:variant>
      <vt:variant>
        <vt:lpwstr/>
      </vt:variant>
      <vt:variant>
        <vt:lpwstr>_Toc228974762</vt:lpwstr>
      </vt:variant>
      <vt:variant>
        <vt:i4>1966138</vt:i4>
      </vt:variant>
      <vt:variant>
        <vt:i4>104</vt:i4>
      </vt:variant>
      <vt:variant>
        <vt:i4>0</vt:i4>
      </vt:variant>
      <vt:variant>
        <vt:i4>5</vt:i4>
      </vt:variant>
      <vt:variant>
        <vt:lpwstr/>
      </vt:variant>
      <vt:variant>
        <vt:lpwstr>_Toc228974761</vt:lpwstr>
      </vt:variant>
      <vt:variant>
        <vt:i4>1966138</vt:i4>
      </vt:variant>
      <vt:variant>
        <vt:i4>98</vt:i4>
      </vt:variant>
      <vt:variant>
        <vt:i4>0</vt:i4>
      </vt:variant>
      <vt:variant>
        <vt:i4>5</vt:i4>
      </vt:variant>
      <vt:variant>
        <vt:lpwstr/>
      </vt:variant>
      <vt:variant>
        <vt:lpwstr>_Toc228974760</vt:lpwstr>
      </vt:variant>
      <vt:variant>
        <vt:i4>1900602</vt:i4>
      </vt:variant>
      <vt:variant>
        <vt:i4>92</vt:i4>
      </vt:variant>
      <vt:variant>
        <vt:i4>0</vt:i4>
      </vt:variant>
      <vt:variant>
        <vt:i4>5</vt:i4>
      </vt:variant>
      <vt:variant>
        <vt:lpwstr/>
      </vt:variant>
      <vt:variant>
        <vt:lpwstr>_Toc228974759</vt:lpwstr>
      </vt:variant>
      <vt:variant>
        <vt:i4>1900602</vt:i4>
      </vt:variant>
      <vt:variant>
        <vt:i4>86</vt:i4>
      </vt:variant>
      <vt:variant>
        <vt:i4>0</vt:i4>
      </vt:variant>
      <vt:variant>
        <vt:i4>5</vt:i4>
      </vt:variant>
      <vt:variant>
        <vt:lpwstr/>
      </vt:variant>
      <vt:variant>
        <vt:lpwstr>_Toc228974758</vt:lpwstr>
      </vt:variant>
      <vt:variant>
        <vt:i4>1900602</vt:i4>
      </vt:variant>
      <vt:variant>
        <vt:i4>80</vt:i4>
      </vt:variant>
      <vt:variant>
        <vt:i4>0</vt:i4>
      </vt:variant>
      <vt:variant>
        <vt:i4>5</vt:i4>
      </vt:variant>
      <vt:variant>
        <vt:lpwstr/>
      </vt:variant>
      <vt:variant>
        <vt:lpwstr>_Toc228974757</vt:lpwstr>
      </vt:variant>
      <vt:variant>
        <vt:i4>1900602</vt:i4>
      </vt:variant>
      <vt:variant>
        <vt:i4>74</vt:i4>
      </vt:variant>
      <vt:variant>
        <vt:i4>0</vt:i4>
      </vt:variant>
      <vt:variant>
        <vt:i4>5</vt:i4>
      </vt:variant>
      <vt:variant>
        <vt:lpwstr/>
      </vt:variant>
      <vt:variant>
        <vt:lpwstr>_Toc228974756</vt:lpwstr>
      </vt:variant>
      <vt:variant>
        <vt:i4>1900602</vt:i4>
      </vt:variant>
      <vt:variant>
        <vt:i4>68</vt:i4>
      </vt:variant>
      <vt:variant>
        <vt:i4>0</vt:i4>
      </vt:variant>
      <vt:variant>
        <vt:i4>5</vt:i4>
      </vt:variant>
      <vt:variant>
        <vt:lpwstr/>
      </vt:variant>
      <vt:variant>
        <vt:lpwstr>_Toc228974755</vt:lpwstr>
      </vt:variant>
      <vt:variant>
        <vt:i4>1900602</vt:i4>
      </vt:variant>
      <vt:variant>
        <vt:i4>62</vt:i4>
      </vt:variant>
      <vt:variant>
        <vt:i4>0</vt:i4>
      </vt:variant>
      <vt:variant>
        <vt:i4>5</vt:i4>
      </vt:variant>
      <vt:variant>
        <vt:lpwstr/>
      </vt:variant>
      <vt:variant>
        <vt:lpwstr>_Toc228974754</vt:lpwstr>
      </vt:variant>
      <vt:variant>
        <vt:i4>1900602</vt:i4>
      </vt:variant>
      <vt:variant>
        <vt:i4>56</vt:i4>
      </vt:variant>
      <vt:variant>
        <vt:i4>0</vt:i4>
      </vt:variant>
      <vt:variant>
        <vt:i4>5</vt:i4>
      </vt:variant>
      <vt:variant>
        <vt:lpwstr/>
      </vt:variant>
      <vt:variant>
        <vt:lpwstr>_Toc228974753</vt:lpwstr>
      </vt:variant>
      <vt:variant>
        <vt:i4>1900602</vt:i4>
      </vt:variant>
      <vt:variant>
        <vt:i4>50</vt:i4>
      </vt:variant>
      <vt:variant>
        <vt:i4>0</vt:i4>
      </vt:variant>
      <vt:variant>
        <vt:i4>5</vt:i4>
      </vt:variant>
      <vt:variant>
        <vt:lpwstr/>
      </vt:variant>
      <vt:variant>
        <vt:lpwstr>_Toc228974752</vt:lpwstr>
      </vt:variant>
      <vt:variant>
        <vt:i4>1900602</vt:i4>
      </vt:variant>
      <vt:variant>
        <vt:i4>44</vt:i4>
      </vt:variant>
      <vt:variant>
        <vt:i4>0</vt:i4>
      </vt:variant>
      <vt:variant>
        <vt:i4>5</vt:i4>
      </vt:variant>
      <vt:variant>
        <vt:lpwstr/>
      </vt:variant>
      <vt:variant>
        <vt:lpwstr>_Toc228974751</vt:lpwstr>
      </vt:variant>
      <vt:variant>
        <vt:i4>1900602</vt:i4>
      </vt:variant>
      <vt:variant>
        <vt:i4>38</vt:i4>
      </vt:variant>
      <vt:variant>
        <vt:i4>0</vt:i4>
      </vt:variant>
      <vt:variant>
        <vt:i4>5</vt:i4>
      </vt:variant>
      <vt:variant>
        <vt:lpwstr/>
      </vt:variant>
      <vt:variant>
        <vt:lpwstr>_Toc228974750</vt:lpwstr>
      </vt:variant>
      <vt:variant>
        <vt:i4>1835066</vt:i4>
      </vt:variant>
      <vt:variant>
        <vt:i4>32</vt:i4>
      </vt:variant>
      <vt:variant>
        <vt:i4>0</vt:i4>
      </vt:variant>
      <vt:variant>
        <vt:i4>5</vt:i4>
      </vt:variant>
      <vt:variant>
        <vt:lpwstr/>
      </vt:variant>
      <vt:variant>
        <vt:lpwstr>_Toc228974749</vt:lpwstr>
      </vt:variant>
      <vt:variant>
        <vt:i4>1835066</vt:i4>
      </vt:variant>
      <vt:variant>
        <vt:i4>26</vt:i4>
      </vt:variant>
      <vt:variant>
        <vt:i4>0</vt:i4>
      </vt:variant>
      <vt:variant>
        <vt:i4>5</vt:i4>
      </vt:variant>
      <vt:variant>
        <vt:lpwstr/>
      </vt:variant>
      <vt:variant>
        <vt:lpwstr>_Toc228974748</vt:lpwstr>
      </vt:variant>
      <vt:variant>
        <vt:i4>1835066</vt:i4>
      </vt:variant>
      <vt:variant>
        <vt:i4>20</vt:i4>
      </vt:variant>
      <vt:variant>
        <vt:i4>0</vt:i4>
      </vt:variant>
      <vt:variant>
        <vt:i4>5</vt:i4>
      </vt:variant>
      <vt:variant>
        <vt:lpwstr/>
      </vt:variant>
      <vt:variant>
        <vt:lpwstr>_Toc228974747</vt:lpwstr>
      </vt:variant>
      <vt:variant>
        <vt:i4>1835066</vt:i4>
      </vt:variant>
      <vt:variant>
        <vt:i4>14</vt:i4>
      </vt:variant>
      <vt:variant>
        <vt:i4>0</vt:i4>
      </vt:variant>
      <vt:variant>
        <vt:i4>5</vt:i4>
      </vt:variant>
      <vt:variant>
        <vt:lpwstr/>
      </vt:variant>
      <vt:variant>
        <vt:lpwstr>_Toc228974746</vt:lpwstr>
      </vt:variant>
      <vt:variant>
        <vt:i4>1835066</vt:i4>
      </vt:variant>
      <vt:variant>
        <vt:i4>8</vt:i4>
      </vt:variant>
      <vt:variant>
        <vt:i4>0</vt:i4>
      </vt:variant>
      <vt:variant>
        <vt:i4>5</vt:i4>
      </vt:variant>
      <vt:variant>
        <vt:lpwstr/>
      </vt:variant>
      <vt:variant>
        <vt:lpwstr>_Toc228974745</vt:lpwstr>
      </vt:variant>
      <vt:variant>
        <vt:i4>1835066</vt:i4>
      </vt:variant>
      <vt:variant>
        <vt:i4>2</vt:i4>
      </vt:variant>
      <vt:variant>
        <vt:i4>0</vt:i4>
      </vt:variant>
      <vt:variant>
        <vt:i4>5</vt:i4>
      </vt:variant>
      <vt:variant>
        <vt:lpwstr/>
      </vt:variant>
      <vt:variant>
        <vt:lpwstr>_Toc228974744</vt:lpwstr>
      </vt:variant>
      <vt:variant>
        <vt:i4>3211291</vt:i4>
      </vt:variant>
      <vt:variant>
        <vt:i4>15</vt:i4>
      </vt:variant>
      <vt:variant>
        <vt:i4>0</vt:i4>
      </vt:variant>
      <vt:variant>
        <vt:i4>5</vt:i4>
      </vt:variant>
      <vt:variant>
        <vt:lpwstr>mailto:Lex.Williamson@pmc.gov.au</vt:lpwstr>
      </vt:variant>
      <vt:variant>
        <vt:lpwstr/>
      </vt:variant>
      <vt:variant>
        <vt:i4>2097220</vt:i4>
      </vt:variant>
      <vt:variant>
        <vt:i4>12</vt:i4>
      </vt:variant>
      <vt:variant>
        <vt:i4>0</vt:i4>
      </vt:variant>
      <vt:variant>
        <vt:i4>5</vt:i4>
      </vt:variant>
      <vt:variant>
        <vt:lpwstr>https://oia.pmc.gov.au/sites/default/files/2025-08/user-guide-australian-government-guide-policy-impact-analysis_1.pdf</vt:lpwstr>
      </vt:variant>
      <vt:variant>
        <vt:lpwstr/>
      </vt:variant>
      <vt:variant>
        <vt:i4>7536734</vt:i4>
      </vt:variant>
      <vt:variant>
        <vt:i4>9</vt:i4>
      </vt:variant>
      <vt:variant>
        <vt:i4>0</vt:i4>
      </vt:variant>
      <vt:variant>
        <vt:i4>5</vt:i4>
      </vt:variant>
      <vt:variant>
        <vt:lpwstr>mailto:Joanna.Abhayaratna@pmc.gov.au</vt:lpwstr>
      </vt:variant>
      <vt:variant>
        <vt:lpwstr/>
      </vt:variant>
      <vt:variant>
        <vt:i4>5636205</vt:i4>
      </vt:variant>
      <vt:variant>
        <vt:i4>6</vt:i4>
      </vt:variant>
      <vt:variant>
        <vt:i4>0</vt:i4>
      </vt:variant>
      <vt:variant>
        <vt:i4>5</vt:i4>
      </vt:variant>
      <vt:variant>
        <vt:lpwstr>mailto:Mick.Graham@pmc.gov.au</vt:lpwstr>
      </vt:variant>
      <vt:variant>
        <vt:lpwstr/>
      </vt:variant>
      <vt:variant>
        <vt:i4>5242894</vt:i4>
      </vt:variant>
      <vt:variant>
        <vt:i4>3</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2162733</vt:i4>
      </vt:variant>
      <vt:variant>
        <vt:i4>0</vt:i4>
      </vt:variant>
      <vt:variant>
        <vt:i4>0</vt:i4>
      </vt:variant>
      <vt:variant>
        <vt:i4>5</vt:i4>
      </vt:variant>
      <vt:variant>
        <vt:lpwstr>https://oia.pmc.gov.au/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Framework</dc:title>
  <dc:subject>Practical Guide for Agencies</dc:subject>
  <cp:keywords/>
  <dc:description/>
  <cp:revision>15</cp:revision>
  <dcterms:created xsi:type="dcterms:W3CDTF">2026-06-16T06:31:00Z</dcterms:created>
  <dcterms:modified xsi:type="dcterms:W3CDTF">2026-06-16T09:20:00Z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ContentTypeId">
    <vt:lpwstr>0x0101004F285619428CBE4886618267E9F1076D</vt:lpwstr>
  </property>
  <property fmtid="{D5CDD505-2E9C-101B-9397-08002B2CF9AE}" pid="6" name="TaxCatchAll">
    <vt:lpwstr/>
  </property>
  <property fmtid="{D5CDD505-2E9C-101B-9397-08002B2CF9AE}" pid="7" name="TaxKeywordTaxHTField">
    <vt:lpwstr/>
  </property>
  <property fmtid="{D5CDD505-2E9C-101B-9397-08002B2CF9AE}" pid="8" name="HPRMSecurityCaveat">
    <vt:lpwstr/>
  </property>
  <property fmtid="{D5CDD505-2E9C-101B-9397-08002B2CF9AE}" pid="9" name="MediaServiceImageTags">
    <vt:lpwstr/>
  </property>
  <property fmtid="{D5CDD505-2E9C-101B-9397-08002B2CF9AE}" pid="10" name="SecurityClassification">
    <vt:lpwstr>4;#OFFICIAL|9e0ec9cb-4e7f-4d4a-bd32-1ee7525c6d87</vt:lpwstr>
  </property>
  <property fmtid="{D5CDD505-2E9C-101B-9397-08002B2CF9AE}" pid="11" name="_dlc_DocIdItemGuid">
    <vt:lpwstr>4d95d29d-b45c-457d-adb3-41fa57a731d2</vt:lpwstr>
  </property>
  <property fmtid="{D5CDD505-2E9C-101B-9397-08002B2CF9AE}" pid="12" name="InformationMarker">
    <vt:lpwstr/>
  </property>
  <property fmtid="{D5CDD505-2E9C-101B-9397-08002B2CF9AE}" pid="13" name="PMC.ESearch.TagGeneratedTime">
    <vt:lpwstr>2022-03-29T14:09:02</vt:lpwstr>
  </property>
  <property fmtid="{D5CDD505-2E9C-101B-9397-08002B2CF9AE}" pid="14" name="docLang">
    <vt:lpwstr>en</vt:lpwstr>
  </property>
</Properties>
</file>