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D8FDE" w14:textId="27092302" w:rsidR="00A62EF3" w:rsidRPr="00892D49" w:rsidRDefault="00A57339" w:rsidP="002356F8">
      <w:pPr>
        <w:pStyle w:val="Title"/>
        <w:spacing w:after="120"/>
        <w:rPr>
          <w:sz w:val="44"/>
          <w:szCs w:val="52"/>
        </w:rPr>
      </w:pPr>
      <w:bookmarkStart w:id="0" w:name="_Toc96326909"/>
      <w:r>
        <w:rPr>
          <w:sz w:val="44"/>
          <w:szCs w:val="52"/>
        </w:rPr>
        <w:t>Detailed Impact Analysis [</w:t>
      </w:r>
      <w:r w:rsidR="00C23BE0">
        <w:rPr>
          <w:sz w:val="44"/>
          <w:szCs w:val="52"/>
        </w:rPr>
        <w:t>Title</w:t>
      </w:r>
      <w:r>
        <w:rPr>
          <w:sz w:val="44"/>
          <w:szCs w:val="52"/>
        </w:rPr>
        <w:t>]</w:t>
      </w:r>
    </w:p>
    <w:p w14:paraId="43E53AFF" w14:textId="77777777" w:rsidR="00A62EF3" w:rsidRPr="00892D49" w:rsidRDefault="006C7E16" w:rsidP="0091141A">
      <w:pPr>
        <w:pStyle w:val="Subtitle"/>
        <w:rPr>
          <w:sz w:val="24"/>
          <w:szCs w:val="28"/>
        </w:rPr>
      </w:pPr>
      <w:r w:rsidRPr="00892D49">
        <w:rPr>
          <w:sz w:val="24"/>
          <w:szCs w:val="28"/>
        </w:rPr>
        <w:t>Department / agency</w:t>
      </w:r>
    </w:p>
    <w:bookmarkEnd w:id="0" w:displacedByCustomXml="next"/>
    <w:sdt>
      <w:sdtPr>
        <w:rPr>
          <w:rFonts w:eastAsiaTheme="minorEastAsia" w:cstheme="minorBidi"/>
          <w:b w:val="0"/>
          <w:bCs w:val="0"/>
          <w:noProof w:val="0"/>
          <w:color w:val="auto"/>
          <w:sz w:val="22"/>
          <w:szCs w:val="21"/>
        </w:rPr>
        <w:id w:val="-1632619507"/>
        <w:docPartObj>
          <w:docPartGallery w:val="Table of Contents"/>
          <w:docPartUnique/>
        </w:docPartObj>
      </w:sdtPr>
      <w:sdtEndPr>
        <w:rPr>
          <w:color w:val="262626" w:themeColor="text1" w:themeTint="D9"/>
        </w:rPr>
      </w:sdtEndPr>
      <w:sdtContent>
        <w:p w14:paraId="2FE68BC4" w14:textId="77777777" w:rsidR="00C23BE0" w:rsidRDefault="00C23BE0" w:rsidP="00C23BE0">
          <w:pPr>
            <w:pStyle w:val="TOCHeading"/>
          </w:pPr>
          <w:r>
            <w:t>Contents</w:t>
          </w:r>
        </w:p>
        <w:p w14:paraId="3A8CA4F0" w14:textId="77777777" w:rsidR="00C23BE0" w:rsidRDefault="00C23BE0" w:rsidP="00C23BE0">
          <w:pPr>
            <w:pStyle w:val="TOC1"/>
            <w:tabs>
              <w:tab w:val="right" w:leader="dot" w:pos="9628"/>
            </w:tabs>
            <w:rPr>
              <w:noProof/>
              <w:lang w:eastAsia="en-AU"/>
            </w:rPr>
          </w:pPr>
          <w:r>
            <w:fldChar w:fldCharType="begin"/>
          </w:r>
          <w:r>
            <w:instrText xml:space="preserve"> TOC \o "1-2" \h \z \u </w:instrText>
          </w:r>
          <w:r>
            <w:fldChar w:fldCharType="separate"/>
          </w:r>
          <w:hyperlink w:anchor="_Toc169695168" w:history="1">
            <w:r w:rsidRPr="00D9304B">
              <w:rPr>
                <w:rStyle w:val="Hyperlink"/>
                <w:noProof/>
              </w:rPr>
              <w:t>Accessibility</w:t>
            </w:r>
            <w:r>
              <w:rPr>
                <w:noProof/>
                <w:webHidden/>
              </w:rPr>
              <w:tab/>
            </w:r>
            <w:r>
              <w:rPr>
                <w:noProof/>
                <w:webHidden/>
              </w:rPr>
              <w:fldChar w:fldCharType="begin"/>
            </w:r>
            <w:r>
              <w:rPr>
                <w:noProof/>
                <w:webHidden/>
              </w:rPr>
              <w:instrText xml:space="preserve"> PAGEREF _Toc169695168 \h </w:instrText>
            </w:r>
            <w:r>
              <w:rPr>
                <w:noProof/>
                <w:webHidden/>
              </w:rPr>
            </w:r>
            <w:r>
              <w:rPr>
                <w:noProof/>
                <w:webHidden/>
              </w:rPr>
              <w:fldChar w:fldCharType="separate"/>
            </w:r>
            <w:r>
              <w:rPr>
                <w:noProof/>
                <w:webHidden/>
              </w:rPr>
              <w:t>1</w:t>
            </w:r>
            <w:r>
              <w:rPr>
                <w:noProof/>
                <w:webHidden/>
              </w:rPr>
              <w:fldChar w:fldCharType="end"/>
            </w:r>
          </w:hyperlink>
        </w:p>
        <w:p w14:paraId="40A050A5" w14:textId="77777777" w:rsidR="00C23BE0" w:rsidRDefault="00C23BE0" w:rsidP="00C23BE0">
          <w:pPr>
            <w:pStyle w:val="TOC1"/>
            <w:tabs>
              <w:tab w:val="right" w:leader="dot" w:pos="9628"/>
            </w:tabs>
            <w:rPr>
              <w:noProof/>
              <w:lang w:eastAsia="en-AU"/>
            </w:rPr>
          </w:pPr>
          <w:hyperlink w:anchor="_Toc169695169" w:history="1">
            <w:r w:rsidRPr="00D9304B">
              <w:rPr>
                <w:rStyle w:val="Hyperlink"/>
                <w:noProof/>
              </w:rPr>
              <w:t>Instructions</w:t>
            </w:r>
            <w:r>
              <w:rPr>
                <w:noProof/>
                <w:webHidden/>
              </w:rPr>
              <w:tab/>
            </w:r>
            <w:r>
              <w:rPr>
                <w:noProof/>
                <w:webHidden/>
              </w:rPr>
              <w:fldChar w:fldCharType="begin"/>
            </w:r>
            <w:r>
              <w:rPr>
                <w:noProof/>
                <w:webHidden/>
              </w:rPr>
              <w:instrText xml:space="preserve"> PAGEREF _Toc169695169 \h </w:instrText>
            </w:r>
            <w:r>
              <w:rPr>
                <w:noProof/>
                <w:webHidden/>
              </w:rPr>
            </w:r>
            <w:r>
              <w:rPr>
                <w:noProof/>
                <w:webHidden/>
              </w:rPr>
              <w:fldChar w:fldCharType="separate"/>
            </w:r>
            <w:r>
              <w:rPr>
                <w:noProof/>
                <w:webHidden/>
              </w:rPr>
              <w:t>1</w:t>
            </w:r>
            <w:r>
              <w:rPr>
                <w:noProof/>
                <w:webHidden/>
              </w:rPr>
              <w:fldChar w:fldCharType="end"/>
            </w:r>
          </w:hyperlink>
        </w:p>
        <w:p w14:paraId="6142B264" w14:textId="77777777" w:rsidR="00C23BE0" w:rsidRDefault="00C23BE0" w:rsidP="00C23BE0">
          <w:pPr>
            <w:pStyle w:val="TOC2"/>
            <w:tabs>
              <w:tab w:val="right" w:leader="dot" w:pos="9628"/>
            </w:tabs>
            <w:rPr>
              <w:noProof/>
              <w:lang w:eastAsia="en-AU"/>
            </w:rPr>
          </w:pPr>
          <w:hyperlink w:anchor="_Toc169695170" w:history="1">
            <w:r w:rsidRPr="00D9304B">
              <w:rPr>
                <w:rStyle w:val="Hyperlink"/>
                <w:noProof/>
              </w:rPr>
              <w:t>Updating the protective marking</w:t>
            </w:r>
            <w:r>
              <w:rPr>
                <w:noProof/>
                <w:webHidden/>
              </w:rPr>
              <w:tab/>
            </w:r>
            <w:r>
              <w:rPr>
                <w:noProof/>
                <w:webHidden/>
              </w:rPr>
              <w:fldChar w:fldCharType="begin"/>
            </w:r>
            <w:r>
              <w:rPr>
                <w:noProof/>
                <w:webHidden/>
              </w:rPr>
              <w:instrText xml:space="preserve"> PAGEREF _Toc169695170 \h </w:instrText>
            </w:r>
            <w:r>
              <w:rPr>
                <w:noProof/>
                <w:webHidden/>
              </w:rPr>
            </w:r>
            <w:r>
              <w:rPr>
                <w:noProof/>
                <w:webHidden/>
              </w:rPr>
              <w:fldChar w:fldCharType="separate"/>
            </w:r>
            <w:r>
              <w:rPr>
                <w:noProof/>
                <w:webHidden/>
              </w:rPr>
              <w:t>1</w:t>
            </w:r>
            <w:r>
              <w:rPr>
                <w:noProof/>
                <w:webHidden/>
              </w:rPr>
              <w:fldChar w:fldCharType="end"/>
            </w:r>
          </w:hyperlink>
        </w:p>
        <w:p w14:paraId="56C2881C" w14:textId="77777777" w:rsidR="00C23BE0" w:rsidRDefault="00C23BE0" w:rsidP="00C23BE0">
          <w:pPr>
            <w:pStyle w:val="TOC2"/>
            <w:tabs>
              <w:tab w:val="right" w:leader="dot" w:pos="9628"/>
            </w:tabs>
            <w:rPr>
              <w:noProof/>
              <w:lang w:eastAsia="en-AU"/>
            </w:rPr>
          </w:pPr>
          <w:hyperlink w:anchor="_Toc169695171" w:history="1">
            <w:r w:rsidRPr="00D9304B">
              <w:rPr>
                <w:rStyle w:val="Hyperlink"/>
                <w:noProof/>
              </w:rPr>
              <w:t>Document styles</w:t>
            </w:r>
            <w:r>
              <w:rPr>
                <w:noProof/>
                <w:webHidden/>
              </w:rPr>
              <w:tab/>
            </w:r>
            <w:r>
              <w:rPr>
                <w:noProof/>
                <w:webHidden/>
              </w:rPr>
              <w:fldChar w:fldCharType="begin"/>
            </w:r>
            <w:r>
              <w:rPr>
                <w:noProof/>
                <w:webHidden/>
              </w:rPr>
              <w:instrText xml:space="preserve"> PAGEREF _Toc169695171 \h </w:instrText>
            </w:r>
            <w:r>
              <w:rPr>
                <w:noProof/>
                <w:webHidden/>
              </w:rPr>
            </w:r>
            <w:r>
              <w:rPr>
                <w:noProof/>
                <w:webHidden/>
              </w:rPr>
              <w:fldChar w:fldCharType="separate"/>
            </w:r>
            <w:r>
              <w:rPr>
                <w:noProof/>
                <w:webHidden/>
              </w:rPr>
              <w:t>1</w:t>
            </w:r>
            <w:r>
              <w:rPr>
                <w:noProof/>
                <w:webHidden/>
              </w:rPr>
              <w:fldChar w:fldCharType="end"/>
            </w:r>
          </w:hyperlink>
        </w:p>
        <w:p w14:paraId="7FEC7595" w14:textId="77777777" w:rsidR="00C23BE0" w:rsidRDefault="00C23BE0" w:rsidP="00C23BE0">
          <w:pPr>
            <w:pStyle w:val="TOC1"/>
            <w:tabs>
              <w:tab w:val="right" w:leader="dot" w:pos="9628"/>
            </w:tabs>
            <w:rPr>
              <w:noProof/>
              <w:lang w:eastAsia="en-AU"/>
            </w:rPr>
          </w:pPr>
          <w:hyperlink w:anchor="_Toc169695172" w:history="1">
            <w:r w:rsidRPr="00D9304B">
              <w:rPr>
                <w:rStyle w:val="Hyperlink"/>
                <w:noProof/>
              </w:rPr>
              <w:t>Heading 1</w:t>
            </w:r>
            <w:r>
              <w:rPr>
                <w:noProof/>
                <w:webHidden/>
              </w:rPr>
              <w:tab/>
            </w:r>
            <w:r>
              <w:rPr>
                <w:noProof/>
                <w:webHidden/>
              </w:rPr>
              <w:fldChar w:fldCharType="begin"/>
            </w:r>
            <w:r>
              <w:rPr>
                <w:noProof/>
                <w:webHidden/>
              </w:rPr>
              <w:instrText xml:space="preserve"> PAGEREF _Toc169695172 \h </w:instrText>
            </w:r>
            <w:r>
              <w:rPr>
                <w:noProof/>
                <w:webHidden/>
              </w:rPr>
            </w:r>
            <w:r>
              <w:rPr>
                <w:noProof/>
                <w:webHidden/>
              </w:rPr>
              <w:fldChar w:fldCharType="separate"/>
            </w:r>
            <w:r>
              <w:rPr>
                <w:noProof/>
                <w:webHidden/>
              </w:rPr>
              <w:t>2</w:t>
            </w:r>
            <w:r>
              <w:rPr>
                <w:noProof/>
                <w:webHidden/>
              </w:rPr>
              <w:fldChar w:fldCharType="end"/>
            </w:r>
          </w:hyperlink>
        </w:p>
        <w:p w14:paraId="2D67C60C" w14:textId="77777777" w:rsidR="00C23BE0" w:rsidRDefault="00C23BE0" w:rsidP="00C23BE0">
          <w:pPr>
            <w:pStyle w:val="TOC2"/>
            <w:tabs>
              <w:tab w:val="right" w:leader="dot" w:pos="9628"/>
            </w:tabs>
            <w:rPr>
              <w:noProof/>
              <w:lang w:eastAsia="en-AU"/>
            </w:rPr>
          </w:pPr>
          <w:hyperlink w:anchor="_Toc169695173" w:history="1">
            <w:r w:rsidRPr="00D9304B">
              <w:rPr>
                <w:rStyle w:val="Hyperlink"/>
                <w:noProof/>
              </w:rPr>
              <w:t>Heading 2</w:t>
            </w:r>
            <w:r>
              <w:rPr>
                <w:noProof/>
                <w:webHidden/>
              </w:rPr>
              <w:tab/>
            </w:r>
            <w:r>
              <w:rPr>
                <w:noProof/>
                <w:webHidden/>
              </w:rPr>
              <w:fldChar w:fldCharType="begin"/>
            </w:r>
            <w:r>
              <w:rPr>
                <w:noProof/>
                <w:webHidden/>
              </w:rPr>
              <w:instrText xml:space="preserve"> PAGEREF _Toc169695173 \h </w:instrText>
            </w:r>
            <w:r>
              <w:rPr>
                <w:noProof/>
                <w:webHidden/>
              </w:rPr>
            </w:r>
            <w:r>
              <w:rPr>
                <w:noProof/>
                <w:webHidden/>
              </w:rPr>
              <w:fldChar w:fldCharType="separate"/>
            </w:r>
            <w:r>
              <w:rPr>
                <w:noProof/>
                <w:webHidden/>
              </w:rPr>
              <w:t>2</w:t>
            </w:r>
            <w:r>
              <w:rPr>
                <w:noProof/>
                <w:webHidden/>
              </w:rPr>
              <w:fldChar w:fldCharType="end"/>
            </w:r>
          </w:hyperlink>
        </w:p>
        <w:p w14:paraId="01258A03" w14:textId="77777777" w:rsidR="00C23BE0" w:rsidRDefault="00C23BE0" w:rsidP="00C23BE0">
          <w:pPr>
            <w:pStyle w:val="TOC2"/>
            <w:tabs>
              <w:tab w:val="right" w:leader="dot" w:pos="9628"/>
            </w:tabs>
            <w:rPr>
              <w:noProof/>
              <w:lang w:eastAsia="en-AU"/>
            </w:rPr>
          </w:pPr>
          <w:hyperlink w:anchor="_Toc169695174" w:history="1">
            <w:r w:rsidRPr="00D9304B">
              <w:rPr>
                <w:rStyle w:val="Hyperlink"/>
                <w:noProof/>
              </w:rPr>
              <w:t>Text box – box heading 2</w:t>
            </w:r>
            <w:r>
              <w:rPr>
                <w:noProof/>
                <w:webHidden/>
              </w:rPr>
              <w:tab/>
            </w:r>
            <w:r>
              <w:rPr>
                <w:noProof/>
                <w:webHidden/>
              </w:rPr>
              <w:fldChar w:fldCharType="begin"/>
            </w:r>
            <w:r>
              <w:rPr>
                <w:noProof/>
                <w:webHidden/>
              </w:rPr>
              <w:instrText xml:space="preserve"> PAGEREF _Toc169695174 \h </w:instrText>
            </w:r>
            <w:r>
              <w:rPr>
                <w:noProof/>
                <w:webHidden/>
              </w:rPr>
            </w:r>
            <w:r>
              <w:rPr>
                <w:noProof/>
                <w:webHidden/>
              </w:rPr>
              <w:fldChar w:fldCharType="separate"/>
            </w:r>
            <w:r>
              <w:rPr>
                <w:noProof/>
                <w:webHidden/>
              </w:rPr>
              <w:t>2</w:t>
            </w:r>
            <w:r>
              <w:rPr>
                <w:noProof/>
                <w:webHidden/>
              </w:rPr>
              <w:fldChar w:fldCharType="end"/>
            </w:r>
          </w:hyperlink>
        </w:p>
        <w:p w14:paraId="182C4BCA" w14:textId="77777777" w:rsidR="00C23BE0" w:rsidRDefault="00C23BE0" w:rsidP="00C23BE0">
          <w:pPr>
            <w:pStyle w:val="TOC2"/>
            <w:tabs>
              <w:tab w:val="right" w:leader="dot" w:pos="9628"/>
            </w:tabs>
            <w:rPr>
              <w:noProof/>
              <w:lang w:eastAsia="en-AU"/>
            </w:rPr>
          </w:pPr>
          <w:hyperlink w:anchor="_Toc169695175" w:history="1">
            <w:r w:rsidRPr="00D9304B">
              <w:rPr>
                <w:rStyle w:val="Hyperlink"/>
                <w:noProof/>
              </w:rPr>
              <w:t>Headers and footers</w:t>
            </w:r>
            <w:r>
              <w:rPr>
                <w:noProof/>
                <w:webHidden/>
              </w:rPr>
              <w:tab/>
            </w:r>
            <w:r>
              <w:rPr>
                <w:noProof/>
                <w:webHidden/>
              </w:rPr>
              <w:fldChar w:fldCharType="begin"/>
            </w:r>
            <w:r>
              <w:rPr>
                <w:noProof/>
                <w:webHidden/>
              </w:rPr>
              <w:instrText xml:space="preserve"> PAGEREF _Toc169695175 \h </w:instrText>
            </w:r>
            <w:r>
              <w:rPr>
                <w:noProof/>
                <w:webHidden/>
              </w:rPr>
            </w:r>
            <w:r>
              <w:rPr>
                <w:noProof/>
                <w:webHidden/>
              </w:rPr>
              <w:fldChar w:fldCharType="separate"/>
            </w:r>
            <w:r>
              <w:rPr>
                <w:noProof/>
                <w:webHidden/>
              </w:rPr>
              <w:t>3</w:t>
            </w:r>
            <w:r>
              <w:rPr>
                <w:noProof/>
                <w:webHidden/>
              </w:rPr>
              <w:fldChar w:fldCharType="end"/>
            </w:r>
          </w:hyperlink>
        </w:p>
        <w:p w14:paraId="76644EC9" w14:textId="77777777" w:rsidR="00C23BE0" w:rsidRDefault="00C23BE0" w:rsidP="00C23BE0">
          <w:pPr>
            <w:pStyle w:val="TOC2"/>
            <w:tabs>
              <w:tab w:val="right" w:leader="dot" w:pos="9628"/>
            </w:tabs>
            <w:rPr>
              <w:noProof/>
              <w:lang w:eastAsia="en-AU"/>
            </w:rPr>
          </w:pPr>
          <w:hyperlink w:anchor="_Toc169695176" w:history="1">
            <w:r w:rsidRPr="00D9304B">
              <w:rPr>
                <w:rStyle w:val="Hyperlink"/>
                <w:noProof/>
              </w:rPr>
              <w:t>Table styles</w:t>
            </w:r>
            <w:r>
              <w:rPr>
                <w:noProof/>
                <w:webHidden/>
              </w:rPr>
              <w:tab/>
            </w:r>
            <w:r>
              <w:rPr>
                <w:noProof/>
                <w:webHidden/>
              </w:rPr>
              <w:fldChar w:fldCharType="begin"/>
            </w:r>
            <w:r>
              <w:rPr>
                <w:noProof/>
                <w:webHidden/>
              </w:rPr>
              <w:instrText xml:space="preserve"> PAGEREF _Toc169695176 \h </w:instrText>
            </w:r>
            <w:r>
              <w:rPr>
                <w:noProof/>
                <w:webHidden/>
              </w:rPr>
            </w:r>
            <w:r>
              <w:rPr>
                <w:noProof/>
                <w:webHidden/>
              </w:rPr>
              <w:fldChar w:fldCharType="separate"/>
            </w:r>
            <w:r>
              <w:rPr>
                <w:noProof/>
                <w:webHidden/>
              </w:rPr>
              <w:t>3</w:t>
            </w:r>
            <w:r>
              <w:rPr>
                <w:noProof/>
                <w:webHidden/>
              </w:rPr>
              <w:fldChar w:fldCharType="end"/>
            </w:r>
          </w:hyperlink>
        </w:p>
        <w:p w14:paraId="012F6887" w14:textId="77777777" w:rsidR="00C23BE0" w:rsidRDefault="00C23BE0" w:rsidP="00C23BE0">
          <w:pPr>
            <w:pStyle w:val="TOC2"/>
            <w:tabs>
              <w:tab w:val="right" w:leader="dot" w:pos="9628"/>
            </w:tabs>
            <w:rPr>
              <w:noProof/>
              <w:lang w:eastAsia="en-AU"/>
            </w:rPr>
          </w:pPr>
          <w:hyperlink w:anchor="_Toc169695177" w:history="1">
            <w:r w:rsidRPr="00D9304B">
              <w:rPr>
                <w:rStyle w:val="Hyperlink"/>
                <w:noProof/>
              </w:rPr>
              <w:t>Rules for accessible tables</w:t>
            </w:r>
            <w:r>
              <w:rPr>
                <w:noProof/>
                <w:webHidden/>
              </w:rPr>
              <w:tab/>
            </w:r>
            <w:r>
              <w:rPr>
                <w:noProof/>
                <w:webHidden/>
              </w:rPr>
              <w:fldChar w:fldCharType="begin"/>
            </w:r>
            <w:r>
              <w:rPr>
                <w:noProof/>
                <w:webHidden/>
              </w:rPr>
              <w:instrText xml:space="preserve"> PAGEREF _Toc169695177 \h </w:instrText>
            </w:r>
            <w:r>
              <w:rPr>
                <w:noProof/>
                <w:webHidden/>
              </w:rPr>
            </w:r>
            <w:r>
              <w:rPr>
                <w:noProof/>
                <w:webHidden/>
              </w:rPr>
              <w:fldChar w:fldCharType="separate"/>
            </w:r>
            <w:r>
              <w:rPr>
                <w:noProof/>
                <w:webHidden/>
              </w:rPr>
              <w:t>4</w:t>
            </w:r>
            <w:r>
              <w:rPr>
                <w:noProof/>
                <w:webHidden/>
              </w:rPr>
              <w:fldChar w:fldCharType="end"/>
            </w:r>
          </w:hyperlink>
        </w:p>
        <w:p w14:paraId="12C9A357" w14:textId="77777777" w:rsidR="00C23BE0" w:rsidRDefault="00C23BE0" w:rsidP="00C23BE0">
          <w:pPr>
            <w:pStyle w:val="TOC2"/>
            <w:tabs>
              <w:tab w:val="right" w:leader="dot" w:pos="9628"/>
            </w:tabs>
            <w:rPr>
              <w:noProof/>
              <w:lang w:eastAsia="en-AU"/>
            </w:rPr>
          </w:pPr>
          <w:hyperlink w:anchor="_Toc169695178" w:history="1">
            <w:r w:rsidRPr="00D9304B">
              <w:rPr>
                <w:rStyle w:val="Hyperlink"/>
                <w:noProof/>
              </w:rPr>
              <w:t>Images</w:t>
            </w:r>
            <w:r>
              <w:rPr>
                <w:noProof/>
                <w:webHidden/>
              </w:rPr>
              <w:tab/>
            </w:r>
            <w:r>
              <w:rPr>
                <w:noProof/>
                <w:webHidden/>
              </w:rPr>
              <w:fldChar w:fldCharType="begin"/>
            </w:r>
            <w:r>
              <w:rPr>
                <w:noProof/>
                <w:webHidden/>
              </w:rPr>
              <w:instrText xml:space="preserve"> PAGEREF _Toc169695178 \h </w:instrText>
            </w:r>
            <w:r>
              <w:rPr>
                <w:noProof/>
                <w:webHidden/>
              </w:rPr>
            </w:r>
            <w:r>
              <w:rPr>
                <w:noProof/>
                <w:webHidden/>
              </w:rPr>
              <w:fldChar w:fldCharType="separate"/>
            </w:r>
            <w:r>
              <w:rPr>
                <w:noProof/>
                <w:webHidden/>
              </w:rPr>
              <w:t>5</w:t>
            </w:r>
            <w:r>
              <w:rPr>
                <w:noProof/>
                <w:webHidden/>
              </w:rPr>
              <w:fldChar w:fldCharType="end"/>
            </w:r>
          </w:hyperlink>
        </w:p>
        <w:p w14:paraId="5C8BFF18" w14:textId="77777777" w:rsidR="00C23BE0" w:rsidRDefault="00C23BE0" w:rsidP="00C23BE0">
          <w:pPr>
            <w:pStyle w:val="TOC2"/>
            <w:tabs>
              <w:tab w:val="right" w:leader="dot" w:pos="9628"/>
            </w:tabs>
            <w:rPr>
              <w:noProof/>
              <w:lang w:eastAsia="en-AU"/>
            </w:rPr>
          </w:pPr>
          <w:hyperlink w:anchor="_Toc169695179" w:history="1">
            <w:r w:rsidRPr="00D9304B">
              <w:rPr>
                <w:rStyle w:val="Hyperlink"/>
                <w:noProof/>
              </w:rPr>
              <w:t>Rules for accessible images</w:t>
            </w:r>
            <w:r>
              <w:rPr>
                <w:noProof/>
                <w:webHidden/>
              </w:rPr>
              <w:tab/>
            </w:r>
            <w:r>
              <w:rPr>
                <w:noProof/>
                <w:webHidden/>
              </w:rPr>
              <w:fldChar w:fldCharType="begin"/>
            </w:r>
            <w:r>
              <w:rPr>
                <w:noProof/>
                <w:webHidden/>
              </w:rPr>
              <w:instrText xml:space="preserve"> PAGEREF _Toc169695179 \h </w:instrText>
            </w:r>
            <w:r>
              <w:rPr>
                <w:noProof/>
                <w:webHidden/>
              </w:rPr>
            </w:r>
            <w:r>
              <w:rPr>
                <w:noProof/>
                <w:webHidden/>
              </w:rPr>
              <w:fldChar w:fldCharType="separate"/>
            </w:r>
            <w:r>
              <w:rPr>
                <w:noProof/>
                <w:webHidden/>
              </w:rPr>
              <w:t>5</w:t>
            </w:r>
            <w:r>
              <w:rPr>
                <w:noProof/>
                <w:webHidden/>
              </w:rPr>
              <w:fldChar w:fldCharType="end"/>
            </w:r>
          </w:hyperlink>
        </w:p>
        <w:p w14:paraId="01C633CC" w14:textId="77777777" w:rsidR="00C23BE0" w:rsidRDefault="00C23BE0" w:rsidP="00C23BE0">
          <w:pPr>
            <w:pStyle w:val="TOC2"/>
            <w:tabs>
              <w:tab w:val="right" w:leader="dot" w:pos="9628"/>
            </w:tabs>
            <w:rPr>
              <w:noProof/>
              <w:lang w:eastAsia="en-AU"/>
            </w:rPr>
          </w:pPr>
          <w:hyperlink w:anchor="_Toc169695180" w:history="1">
            <w:r w:rsidRPr="00D9304B">
              <w:rPr>
                <w:rStyle w:val="Hyperlink"/>
                <w:noProof/>
              </w:rPr>
              <w:t>Charts</w:t>
            </w:r>
            <w:r>
              <w:rPr>
                <w:noProof/>
                <w:webHidden/>
              </w:rPr>
              <w:tab/>
            </w:r>
            <w:r>
              <w:rPr>
                <w:noProof/>
                <w:webHidden/>
              </w:rPr>
              <w:fldChar w:fldCharType="begin"/>
            </w:r>
            <w:r>
              <w:rPr>
                <w:noProof/>
                <w:webHidden/>
              </w:rPr>
              <w:instrText xml:space="preserve"> PAGEREF _Toc169695180 \h </w:instrText>
            </w:r>
            <w:r>
              <w:rPr>
                <w:noProof/>
                <w:webHidden/>
              </w:rPr>
            </w:r>
            <w:r>
              <w:rPr>
                <w:noProof/>
                <w:webHidden/>
              </w:rPr>
              <w:fldChar w:fldCharType="separate"/>
            </w:r>
            <w:r>
              <w:rPr>
                <w:noProof/>
                <w:webHidden/>
              </w:rPr>
              <w:t>5</w:t>
            </w:r>
            <w:r>
              <w:rPr>
                <w:noProof/>
                <w:webHidden/>
              </w:rPr>
              <w:fldChar w:fldCharType="end"/>
            </w:r>
          </w:hyperlink>
        </w:p>
        <w:p w14:paraId="2BBDBC7A" w14:textId="77777777" w:rsidR="00C23BE0" w:rsidRDefault="00C23BE0" w:rsidP="00C23BE0">
          <w:pPr>
            <w:pStyle w:val="TOC2"/>
            <w:tabs>
              <w:tab w:val="right" w:leader="dot" w:pos="9628"/>
            </w:tabs>
            <w:rPr>
              <w:noProof/>
              <w:lang w:eastAsia="en-AU"/>
            </w:rPr>
          </w:pPr>
          <w:hyperlink w:anchor="_Toc169695181" w:history="1">
            <w:r w:rsidRPr="00D9304B">
              <w:rPr>
                <w:rStyle w:val="Hyperlink"/>
                <w:noProof/>
              </w:rPr>
              <w:t>Rules for accessible charts</w:t>
            </w:r>
            <w:r>
              <w:rPr>
                <w:noProof/>
                <w:webHidden/>
              </w:rPr>
              <w:tab/>
            </w:r>
            <w:r>
              <w:rPr>
                <w:noProof/>
                <w:webHidden/>
              </w:rPr>
              <w:fldChar w:fldCharType="begin"/>
            </w:r>
            <w:r>
              <w:rPr>
                <w:noProof/>
                <w:webHidden/>
              </w:rPr>
              <w:instrText xml:space="preserve"> PAGEREF _Toc169695181 \h </w:instrText>
            </w:r>
            <w:r>
              <w:rPr>
                <w:noProof/>
                <w:webHidden/>
              </w:rPr>
            </w:r>
            <w:r>
              <w:rPr>
                <w:noProof/>
                <w:webHidden/>
              </w:rPr>
              <w:fldChar w:fldCharType="separate"/>
            </w:r>
            <w:r>
              <w:rPr>
                <w:noProof/>
                <w:webHidden/>
              </w:rPr>
              <w:t>6</w:t>
            </w:r>
            <w:r>
              <w:rPr>
                <w:noProof/>
                <w:webHidden/>
              </w:rPr>
              <w:fldChar w:fldCharType="end"/>
            </w:r>
          </w:hyperlink>
        </w:p>
        <w:p w14:paraId="28F463F9" w14:textId="77777777" w:rsidR="00C23BE0" w:rsidRDefault="00C23BE0" w:rsidP="00C23BE0">
          <w:pPr>
            <w:pStyle w:val="TOC2"/>
            <w:tabs>
              <w:tab w:val="right" w:leader="dot" w:pos="9628"/>
            </w:tabs>
            <w:rPr>
              <w:noProof/>
              <w:lang w:eastAsia="en-AU"/>
            </w:rPr>
          </w:pPr>
          <w:hyperlink w:anchor="_Toc169695182" w:history="1">
            <w:r w:rsidRPr="00D9304B">
              <w:rPr>
                <w:rStyle w:val="Hyperlink"/>
                <w:noProof/>
              </w:rPr>
              <w:t>Hyperlinks</w:t>
            </w:r>
            <w:r>
              <w:rPr>
                <w:noProof/>
                <w:webHidden/>
              </w:rPr>
              <w:tab/>
            </w:r>
            <w:r>
              <w:rPr>
                <w:noProof/>
                <w:webHidden/>
              </w:rPr>
              <w:fldChar w:fldCharType="begin"/>
            </w:r>
            <w:r>
              <w:rPr>
                <w:noProof/>
                <w:webHidden/>
              </w:rPr>
              <w:instrText xml:space="preserve"> PAGEREF _Toc169695182 \h </w:instrText>
            </w:r>
            <w:r>
              <w:rPr>
                <w:noProof/>
                <w:webHidden/>
              </w:rPr>
            </w:r>
            <w:r>
              <w:rPr>
                <w:noProof/>
                <w:webHidden/>
              </w:rPr>
              <w:fldChar w:fldCharType="separate"/>
            </w:r>
            <w:r>
              <w:rPr>
                <w:noProof/>
                <w:webHidden/>
              </w:rPr>
              <w:t>7</w:t>
            </w:r>
            <w:r>
              <w:rPr>
                <w:noProof/>
                <w:webHidden/>
              </w:rPr>
              <w:fldChar w:fldCharType="end"/>
            </w:r>
          </w:hyperlink>
        </w:p>
        <w:p w14:paraId="42AC1528" w14:textId="77777777" w:rsidR="00C23BE0" w:rsidRDefault="00C23BE0" w:rsidP="00C23BE0">
          <w:pPr>
            <w:pStyle w:val="TOC2"/>
            <w:tabs>
              <w:tab w:val="right" w:leader="dot" w:pos="9628"/>
            </w:tabs>
            <w:rPr>
              <w:noProof/>
              <w:lang w:eastAsia="en-AU"/>
            </w:rPr>
          </w:pPr>
          <w:hyperlink w:anchor="_Toc169695183" w:history="1">
            <w:r w:rsidRPr="00D9304B">
              <w:rPr>
                <w:rStyle w:val="Hyperlink"/>
                <w:noProof/>
              </w:rPr>
              <w:t>Rules for accessible hyperlinks</w:t>
            </w:r>
            <w:r>
              <w:rPr>
                <w:noProof/>
                <w:webHidden/>
              </w:rPr>
              <w:tab/>
            </w:r>
            <w:r>
              <w:rPr>
                <w:noProof/>
                <w:webHidden/>
              </w:rPr>
              <w:fldChar w:fldCharType="begin"/>
            </w:r>
            <w:r>
              <w:rPr>
                <w:noProof/>
                <w:webHidden/>
              </w:rPr>
              <w:instrText xml:space="preserve"> PAGEREF _Toc169695183 \h </w:instrText>
            </w:r>
            <w:r>
              <w:rPr>
                <w:noProof/>
                <w:webHidden/>
              </w:rPr>
            </w:r>
            <w:r>
              <w:rPr>
                <w:noProof/>
                <w:webHidden/>
              </w:rPr>
              <w:fldChar w:fldCharType="separate"/>
            </w:r>
            <w:r>
              <w:rPr>
                <w:noProof/>
                <w:webHidden/>
              </w:rPr>
              <w:t>7</w:t>
            </w:r>
            <w:r>
              <w:rPr>
                <w:noProof/>
                <w:webHidden/>
              </w:rPr>
              <w:fldChar w:fldCharType="end"/>
            </w:r>
          </w:hyperlink>
        </w:p>
        <w:p w14:paraId="5EB4873B" w14:textId="77777777" w:rsidR="00C23BE0" w:rsidRDefault="00C23BE0" w:rsidP="00C23BE0">
          <w:pPr>
            <w:rPr>
              <w:b/>
              <w:bCs/>
              <w:noProof/>
            </w:rPr>
          </w:pPr>
          <w:r>
            <w:fldChar w:fldCharType="end"/>
          </w:r>
        </w:p>
      </w:sdtContent>
    </w:sdt>
    <w:p w14:paraId="5ABE3B6D" w14:textId="77777777" w:rsidR="00C23BE0" w:rsidRPr="00C23BE0" w:rsidRDefault="00C23BE0" w:rsidP="00C23BE0">
      <w:bookmarkStart w:id="1" w:name="_Toc169695168"/>
      <w:r w:rsidRPr="00C23BE0">
        <w:br w:type="page"/>
      </w:r>
    </w:p>
    <w:bookmarkEnd w:id="1"/>
    <w:p w14:paraId="53FBFA83" w14:textId="77777777" w:rsidR="00922837" w:rsidRDefault="00922837" w:rsidP="00922837">
      <w:pPr>
        <w:pStyle w:val="BOXText"/>
      </w:pPr>
      <w:r>
        <w:lastRenderedPageBreak/>
        <w:t>[</w:t>
      </w:r>
      <w:r w:rsidRPr="005F3B45">
        <w:rPr>
          <w:b/>
          <w:bCs/>
        </w:rPr>
        <w:t>How to use this template</w:t>
      </w:r>
      <w:r>
        <w:t>: action then delete all guidance that appears within square brackets]</w:t>
      </w:r>
    </w:p>
    <w:p w14:paraId="79D45C80" w14:textId="183978F0" w:rsidR="0038132B" w:rsidRDefault="0038132B" w:rsidP="0038132B">
      <w:pPr>
        <w:pStyle w:val="Heading1"/>
      </w:pPr>
      <w:r>
        <w:t>Accessibility</w:t>
      </w:r>
    </w:p>
    <w:p w14:paraId="62ED9215" w14:textId="77777777" w:rsidR="0038132B" w:rsidRDefault="0038132B" w:rsidP="0038132B">
      <w:pPr>
        <w:rPr>
          <w:rStyle w:val="SubtleEmphasis"/>
        </w:rPr>
      </w:pPr>
      <w:r>
        <w:t>You are responsible for making documents produced with this template as accessible as possible.</w:t>
      </w:r>
      <w:r w:rsidRPr="00B6596F">
        <w:rPr>
          <w:rStyle w:val="SubtleEmphasis"/>
        </w:rPr>
        <w:t xml:space="preserve"> </w:t>
      </w:r>
    </w:p>
    <w:p w14:paraId="4F0A2BEF" w14:textId="77777777" w:rsidR="0038132B" w:rsidRDefault="0038132B" w:rsidP="0038132B">
      <w:pPr>
        <w:pStyle w:val="BOXText"/>
        <w:rPr>
          <w:rStyle w:val="SubtleEmphasis"/>
          <w:i w:val="0"/>
        </w:rPr>
      </w:pPr>
      <w:r w:rsidRPr="00CF76C9">
        <w:rPr>
          <w:rStyle w:val="SubtleEmphasis"/>
          <w:i w:val="0"/>
        </w:rPr>
        <w:t>Please read information in these shaded text boxes to produce a more accessible document.</w:t>
      </w:r>
    </w:p>
    <w:p w14:paraId="544456C6" w14:textId="77777777" w:rsidR="0038132B" w:rsidRPr="00CF76C9" w:rsidRDefault="0038132B" w:rsidP="0038132B">
      <w:pPr>
        <w:pStyle w:val="BOXText"/>
        <w:rPr>
          <w:i/>
        </w:rPr>
      </w:pPr>
      <w:r>
        <w:rPr>
          <w:rStyle w:val="SubtleEmphasis"/>
          <w:i w:val="0"/>
        </w:rPr>
        <w:t xml:space="preserve">For more information refer to </w:t>
      </w:r>
      <w:hyperlink r:id="rId12" w:history="1">
        <w:r>
          <w:rPr>
            <w:rStyle w:val="Hyperlink"/>
          </w:rPr>
          <w:t>accessibility requirements</w:t>
        </w:r>
      </w:hyperlink>
      <w:r>
        <w:t xml:space="preserve"> and </w:t>
      </w:r>
      <w:hyperlink r:id="rId13" w:history="1">
        <w:r>
          <w:rPr>
            <w:rStyle w:val="Hyperlink"/>
          </w:rPr>
          <w:t>Word document accessibility checklist</w:t>
        </w:r>
      </w:hyperlink>
      <w:r>
        <w:t xml:space="preserve"> on the intranet.</w:t>
      </w:r>
    </w:p>
    <w:p w14:paraId="5CC1D9CC" w14:textId="77777777" w:rsidR="0038132B" w:rsidRDefault="0038132B" w:rsidP="0038132B">
      <w:pPr>
        <w:pStyle w:val="Heading1"/>
      </w:pPr>
      <w:bookmarkStart w:id="2" w:name="_Toc169695169"/>
      <w:r>
        <w:t>Instructions</w:t>
      </w:r>
      <w:bookmarkEnd w:id="2"/>
    </w:p>
    <w:p w14:paraId="13CD4838" w14:textId="77777777" w:rsidR="0038132B" w:rsidRDefault="0038132B" w:rsidP="0038132B">
      <w:pPr>
        <w:pStyle w:val="Heading2"/>
      </w:pPr>
      <w:bookmarkStart w:id="3" w:name="_Toc169695170"/>
      <w:r>
        <w:t>Updating the protective marking</w:t>
      </w:r>
      <w:bookmarkEnd w:id="3"/>
    </w:p>
    <w:p w14:paraId="45584F68" w14:textId="77777777" w:rsidR="0038132B" w:rsidRDefault="0038132B" w:rsidP="0038132B">
      <w:r>
        <w:t>The default protective marking is OFFICIAL. To change the marking, select an option from the drop down</w:t>
      </w:r>
      <w:r w:rsidRPr="00D10635">
        <w:t xml:space="preserve"> </w:t>
      </w:r>
      <w:r>
        <w:t>menu at the top of the first page of this document. This will automatically update throughout the document.</w:t>
      </w:r>
    </w:p>
    <w:p w14:paraId="67EB120F" w14:textId="77777777" w:rsidR="0038132B" w:rsidRDefault="0038132B" w:rsidP="0038132B">
      <w:r w:rsidRPr="00DD7C3B">
        <w:t xml:space="preserve">In most cases, you should delete the </w:t>
      </w:r>
      <w:r>
        <w:t>protective marking</w:t>
      </w:r>
      <w:r w:rsidRPr="00DD7C3B">
        <w:t xml:space="preserve"> if the document is going to be published on </w:t>
      </w:r>
      <w:r>
        <w:t>the PM&amp;C website.</w:t>
      </w:r>
    </w:p>
    <w:p w14:paraId="4020BC04" w14:textId="77777777" w:rsidR="0038132B" w:rsidRPr="00117A77" w:rsidRDefault="0038132B" w:rsidP="0038132B">
      <w:pPr>
        <w:pStyle w:val="Heading2"/>
      </w:pPr>
      <w:bookmarkStart w:id="4" w:name="_Toc169695171"/>
      <w:r w:rsidRPr="00117A77">
        <w:t>Document styles</w:t>
      </w:r>
      <w:bookmarkEnd w:id="4"/>
    </w:p>
    <w:p w14:paraId="42D9B4E1" w14:textId="77777777" w:rsidR="0038132B" w:rsidRPr="00927650" w:rsidRDefault="0038132B" w:rsidP="0038132B">
      <w:r w:rsidRPr="00927650">
        <w:t>Use the document styles built into this template to define headings an</w:t>
      </w:r>
      <w:r>
        <w:t xml:space="preserve">d text. They can be found in the </w:t>
      </w:r>
      <w:r w:rsidRPr="00A008E6">
        <w:rPr>
          <w:b/>
        </w:rPr>
        <w:t>Ribbon &gt; Home tab &gt; Styles group</w:t>
      </w:r>
      <w:r w:rsidRPr="00927650">
        <w:t xml:space="preserve">. This will allow a proper table of contents to be created using the Microsoft </w:t>
      </w:r>
      <w:r>
        <w:t>W</w:t>
      </w:r>
      <w:r w:rsidRPr="00927650">
        <w:t>ord tools.</w:t>
      </w:r>
    </w:p>
    <w:p w14:paraId="34FCE3E5" w14:textId="77777777" w:rsidR="0038132B" w:rsidRDefault="0038132B" w:rsidP="0038132B">
      <w:pPr>
        <w:pStyle w:val="BOXHeading3"/>
      </w:pPr>
      <w:r>
        <w:t>Document styles help with accessibility</w:t>
      </w:r>
    </w:p>
    <w:p w14:paraId="64BF9EF5" w14:textId="77777777" w:rsidR="0038132B" w:rsidRDefault="0038132B" w:rsidP="0038132B">
      <w:pPr>
        <w:pStyle w:val="BOXText"/>
      </w:pPr>
      <w:r>
        <w:t>By using the styles in this template, you are making it possible for all users, including those using assistive technologies, to navigate this document through headings, lists and links.</w:t>
      </w:r>
    </w:p>
    <w:p w14:paraId="5AE910CB" w14:textId="264203E2" w:rsidR="00922837" w:rsidRDefault="00922837">
      <w:pPr>
        <w:spacing w:after="200" w:line="288" w:lineRule="auto"/>
      </w:pPr>
    </w:p>
    <w:p w14:paraId="0D3F3E67" w14:textId="77777777" w:rsidR="00E8525A" w:rsidRDefault="00E8525A">
      <w:pPr>
        <w:spacing w:after="200" w:line="288" w:lineRule="auto"/>
        <w:rPr>
          <w:rFonts w:eastAsiaTheme="majorEastAsia" w:cstheme="minorHAnsi"/>
          <w:b/>
          <w:bCs/>
          <w:noProof/>
          <w:color w:val="007279" w:themeColor="accent1"/>
          <w:sz w:val="32"/>
          <w:szCs w:val="24"/>
        </w:rPr>
      </w:pPr>
      <w:bookmarkStart w:id="5" w:name="_Toc232769352"/>
      <w:r>
        <w:br w:type="page"/>
      </w:r>
    </w:p>
    <w:p w14:paraId="0BF83FE2" w14:textId="1EB12759" w:rsidR="00922837" w:rsidRDefault="00922837" w:rsidP="00922837">
      <w:pPr>
        <w:pStyle w:val="Heading1"/>
      </w:pPr>
      <w:r w:rsidRPr="00370EA1">
        <w:lastRenderedPageBreak/>
        <w:t xml:space="preserve">Impact Analysis </w:t>
      </w:r>
      <w:r>
        <w:t xml:space="preserve">— </w:t>
      </w:r>
      <w:r w:rsidRPr="00370EA1">
        <w:t xml:space="preserve">Statement </w:t>
      </w:r>
      <w:r>
        <w:t>of Sufficiency</w:t>
      </w:r>
      <w:bookmarkEnd w:id="5"/>
    </w:p>
    <w:p w14:paraId="0B1443B3" w14:textId="77777777" w:rsidR="00922837" w:rsidRPr="00922837" w:rsidRDefault="00922837" w:rsidP="00922837">
      <w:r w:rsidRPr="00922837">
        <w:t xml:space="preserve">I confirm that this Impact Analysis (IA) prepared for </w:t>
      </w:r>
      <w:r w:rsidRPr="00FC5894">
        <w:rPr>
          <w:rStyle w:val="Strong"/>
        </w:rPr>
        <w:t>[title of proposal]</w:t>
      </w:r>
      <w:r w:rsidRPr="00922837">
        <w:t xml:space="preserve"> meets the requirements set out in the </w:t>
      </w:r>
      <w:r w:rsidRPr="00922837">
        <w:rPr>
          <w:i/>
          <w:iCs/>
        </w:rPr>
        <w:t xml:space="preserve">Australian Government </w:t>
      </w:r>
      <w:r w:rsidRPr="00922837">
        <w:rPr>
          <w:i/>
        </w:rPr>
        <w:t>Impact Analysis Framework.</w:t>
      </w:r>
    </w:p>
    <w:p w14:paraId="2375E765" w14:textId="77777777" w:rsidR="00922837" w:rsidRPr="00922837" w:rsidRDefault="00922837" w:rsidP="00922837">
      <w:r w:rsidRPr="00922837">
        <w:t xml:space="preserve">I confirm that the level of analysis is proportionate to the policy issue being considered. </w:t>
      </w:r>
    </w:p>
    <w:p w14:paraId="7D3ADE76" w14:textId="77777777" w:rsidR="00922837" w:rsidRPr="00922837" w:rsidRDefault="00922837" w:rsidP="00922837">
      <w:r w:rsidRPr="00922837">
        <w:t>I note the IA provides analysis of the impacts of the proposal using the 7 IA questions and:</w:t>
      </w:r>
    </w:p>
    <w:p w14:paraId="56754DBA" w14:textId="77777777" w:rsidR="00922837" w:rsidRPr="00922837" w:rsidRDefault="00922837" w:rsidP="00922837">
      <w:pPr>
        <w:pStyle w:val="BulletedList-Level1"/>
      </w:pPr>
      <w:r w:rsidRPr="00922837">
        <w:t xml:space="preserve">costs and benefits and an estimate of the change in the regulatory burden, of the policy options under consideration </w:t>
      </w:r>
    </w:p>
    <w:p w14:paraId="6D33B1F5" w14:textId="77777777" w:rsidR="00922837" w:rsidRPr="00922837" w:rsidRDefault="00922837" w:rsidP="00922837">
      <w:pPr>
        <w:pStyle w:val="BulletedList-Level1"/>
      </w:pPr>
      <w:r w:rsidRPr="00922837">
        <w:t>analysis of the policy option against the government’s key strategic priorities</w:t>
      </w:r>
    </w:p>
    <w:p w14:paraId="733EF897" w14:textId="77777777" w:rsidR="00922837" w:rsidRPr="00922837" w:rsidRDefault="00922837" w:rsidP="00922837">
      <w:pPr>
        <w:pStyle w:val="BulletedList-Level1"/>
      </w:pPr>
      <w:r w:rsidRPr="00922837">
        <w:t>relevant distributional effects and evidence of key stakeholder feedback incorporated into the policy design</w:t>
      </w:r>
    </w:p>
    <w:p w14:paraId="51D3AAF8" w14:textId="77777777" w:rsidR="00922837" w:rsidRPr="00922837" w:rsidRDefault="00922837" w:rsidP="00922837">
      <w:pPr>
        <w:pStyle w:val="BulletedList-Level1"/>
      </w:pPr>
      <w:r w:rsidRPr="00922837">
        <w:t>other details required to understand and assess the proposal.</w:t>
      </w:r>
    </w:p>
    <w:p w14:paraId="7B17C867" w14:textId="77777777" w:rsidR="00E8525A" w:rsidRDefault="00E8525A" w:rsidP="006B5677">
      <w:pPr>
        <w:spacing w:after="120"/>
        <w:rPr>
          <w:rStyle w:val="Strong"/>
        </w:rPr>
      </w:pPr>
    </w:p>
    <w:p w14:paraId="61CE1501" w14:textId="4E49AA51" w:rsidR="00922837" w:rsidRPr="00922837" w:rsidRDefault="006B5677" w:rsidP="006B5677">
      <w:pPr>
        <w:spacing w:after="120"/>
        <w:rPr>
          <w:rStyle w:val="Strong"/>
        </w:rPr>
      </w:pPr>
      <w:r>
        <w:rPr>
          <w:rStyle w:val="Strong"/>
        </w:rPr>
        <w:t>Certified</w:t>
      </w:r>
      <w:r w:rsidR="00922837" w:rsidRPr="00922837">
        <w:rPr>
          <w:rStyle w:val="Strong"/>
        </w:rPr>
        <w:t xml:space="preserve"> by</w:t>
      </w:r>
    </w:p>
    <w:p w14:paraId="3A08BBCD" w14:textId="77777777" w:rsidR="00922837" w:rsidRDefault="00922837" w:rsidP="006B5677">
      <w:pPr>
        <w:spacing w:after="0"/>
      </w:pPr>
      <w:r>
        <w:t>[Name]</w:t>
      </w:r>
    </w:p>
    <w:p w14:paraId="7C198BA6" w14:textId="77777777" w:rsidR="00922837" w:rsidRDefault="00922837" w:rsidP="006B5677">
      <w:pPr>
        <w:spacing w:after="0"/>
      </w:pPr>
      <w:r>
        <w:t>[Title (Should be SES Band 3 equivalent or above)]</w:t>
      </w:r>
    </w:p>
    <w:p w14:paraId="7B0F59E2" w14:textId="77777777" w:rsidR="00922837" w:rsidRDefault="00922837" w:rsidP="006B5677">
      <w:pPr>
        <w:spacing w:after="0"/>
      </w:pPr>
      <w:r>
        <w:t>[Agency]</w:t>
      </w:r>
    </w:p>
    <w:p w14:paraId="48E3E1C8" w14:textId="16F8399A" w:rsidR="00922837" w:rsidRDefault="00922837" w:rsidP="006B5677">
      <w:pPr>
        <w:spacing w:after="0"/>
      </w:pPr>
      <w:r>
        <w:t>[Date]</w:t>
      </w:r>
    </w:p>
    <w:p w14:paraId="2EF66960" w14:textId="5B3BE01E" w:rsidR="00C06F85" w:rsidRDefault="00C06F85">
      <w:pPr>
        <w:spacing w:after="200" w:line="288" w:lineRule="auto"/>
      </w:pPr>
      <w:r>
        <w:br w:type="page"/>
      </w:r>
    </w:p>
    <w:p w14:paraId="3CBAC708" w14:textId="77777777" w:rsidR="00C06F85" w:rsidRDefault="00C06F85" w:rsidP="00C06F85">
      <w:pPr>
        <w:pStyle w:val="Heading1"/>
      </w:pPr>
      <w:r>
        <w:lastRenderedPageBreak/>
        <w:t xml:space="preserve">Executive Summary </w:t>
      </w:r>
    </w:p>
    <w:p w14:paraId="647251C0" w14:textId="77777777" w:rsidR="00C06F85" w:rsidRDefault="00C06F85" w:rsidP="00C06F85">
      <w:pPr>
        <w:pStyle w:val="Heading2"/>
      </w:pPr>
      <w:r>
        <w:t>Subtitle</w:t>
      </w:r>
    </w:p>
    <w:p w14:paraId="10B71668" w14:textId="77777777" w:rsidR="00C06F85" w:rsidRDefault="00C06F85" w:rsidP="00C06F85">
      <w:r>
        <w:t xml:space="preserve">[This template is a starting point of your IA - you are welcome to use your own departments’ or agencies’ report templates. </w:t>
      </w:r>
    </w:p>
    <w:p w14:paraId="5AE35D96" w14:textId="77777777" w:rsidR="00C06F85" w:rsidRDefault="00C06F85" w:rsidP="00C06F85">
      <w:r>
        <w:t>An effective executive summary/overview explains the key outcomes of the IA. It should include a brief description of the policy problem, the policy objectives, each option analysed, the justification for the preferred option and the extent and key findings of consultation already undertaken.</w:t>
      </w:r>
    </w:p>
    <w:p w14:paraId="5F8A1A1C" w14:textId="2B8537A4" w:rsidR="00C06F85" w:rsidRDefault="00C06F85" w:rsidP="00C06F85">
      <w:r>
        <w:t xml:space="preserve">As per the </w:t>
      </w:r>
      <w:hyperlink r:id="rId14" w:history="1">
        <w:r w:rsidRPr="00FC5894">
          <w:rPr>
            <w:rStyle w:val="Hyperlink"/>
          </w:rPr>
          <w:t>Australian Government Impact Analysis Framework</w:t>
        </w:r>
      </w:hyperlink>
      <w:r>
        <w:t xml:space="preserve">, the executive summary should use the </w:t>
      </w:r>
      <w:hyperlink r:id="rId15" w:history="1">
        <w:r w:rsidRPr="00FC5894">
          <w:rPr>
            <w:rStyle w:val="Hyperlink"/>
          </w:rPr>
          <w:t>Dashboard IA template</w:t>
        </w:r>
      </w:hyperlink>
      <w:r>
        <w:t xml:space="preserve">. </w:t>
      </w:r>
      <w:r w:rsidR="00CA0EE5" w:rsidRPr="00CA0EE5">
        <w:t>Where a Detailed IA is required, agencies still need to prepare a Dashboard IA as the executive summary</w:t>
      </w:r>
      <w:r>
        <w:t>.]</w:t>
      </w:r>
    </w:p>
    <w:p w14:paraId="2311C122" w14:textId="50187D1C" w:rsidR="00922837" w:rsidRDefault="00C06F85" w:rsidP="00C06F85">
      <w:pPr>
        <w:pStyle w:val="Heading1"/>
      </w:pPr>
      <w:r>
        <w:t>Strategic Considerations (not for publication)</w:t>
      </w:r>
    </w:p>
    <w:p w14:paraId="60B7BD81" w14:textId="77777777" w:rsidR="00C06F85" w:rsidRDefault="00C06F85" w:rsidP="00C06F85">
      <w:pPr>
        <w:pStyle w:val="BOXHeading2"/>
      </w:pPr>
      <w:r>
        <w:t>[In this section of the Impact Analysis, you should:</w:t>
      </w:r>
    </w:p>
    <w:p w14:paraId="03EDE99D" w14:textId="03D9048A" w:rsidR="00C06F85" w:rsidRDefault="00C06F85" w:rsidP="00C06F85">
      <w:pPr>
        <w:pStyle w:val="BOXBulletedList"/>
      </w:pPr>
      <w:r>
        <w:t xml:space="preserve">Include details of any strategic issues, including those noted in the dashboard. </w:t>
      </w:r>
    </w:p>
    <w:p w14:paraId="38F37606" w14:textId="25F6BCD8" w:rsidR="00C06F85" w:rsidRDefault="00C06F85" w:rsidP="00C06F85">
      <w:pPr>
        <w:pStyle w:val="BOXBulletedList"/>
      </w:pPr>
      <w:r>
        <w:t>This section should be removed prior to publication.]</w:t>
      </w:r>
    </w:p>
    <w:p w14:paraId="4E4DE21F" w14:textId="256270B7" w:rsidR="00D3581D" w:rsidRPr="003B09E4" w:rsidRDefault="00D3581D" w:rsidP="00D3581D">
      <w:pPr>
        <w:pStyle w:val="BOXHeading2"/>
      </w:pPr>
      <w:r>
        <w:t>[</w:t>
      </w:r>
      <w:r w:rsidRPr="00725A80">
        <w:t>How should confidential or sensitive information be treated?</w:t>
      </w:r>
    </w:p>
    <w:p w14:paraId="1CE8A338" w14:textId="77777777" w:rsidR="00D3581D" w:rsidRDefault="00D3581D" w:rsidP="00D3581D">
      <w:pPr>
        <w:pStyle w:val="BOXText"/>
      </w:pPr>
      <w:r>
        <w:t xml:space="preserve">Information that agencies should remove before publication includes commercially sensitive material, information that could prejudice national security, and other information that is protected under law or established government policy. The removal of information must be limited to where necessary. </w:t>
      </w:r>
    </w:p>
    <w:p w14:paraId="23CA5AA9" w14:textId="77777777" w:rsidR="00D3581D" w:rsidRDefault="00D3581D" w:rsidP="00D3581D">
      <w:pPr>
        <w:pStyle w:val="BOXText"/>
      </w:pPr>
      <w:r>
        <w:t xml:space="preserve">Agencies should consider the interaction between any material being treated as confidential and obligations such as the </w:t>
      </w:r>
      <w:r w:rsidRPr="00725A80">
        <w:rPr>
          <w:i/>
          <w:iCs/>
        </w:rPr>
        <w:t>Freedom of Information Act 1982.</w:t>
      </w:r>
      <w:r>
        <w:t xml:space="preserve"> This can include:</w:t>
      </w:r>
    </w:p>
    <w:p w14:paraId="2504CB88" w14:textId="77777777" w:rsidR="00D3581D" w:rsidRDefault="00D3581D" w:rsidP="00D3581D">
      <w:pPr>
        <w:pStyle w:val="BOXBulletedList"/>
      </w:pPr>
      <w:r>
        <w:t xml:space="preserve">Strategic considerations: where the analysis is intended to support decision-makers to weigh how a proposal aligns with, or detracts from, other policy objectives. The analysis may reference policies at different stages of development. </w:t>
      </w:r>
    </w:p>
    <w:p w14:paraId="4400D47B" w14:textId="77777777" w:rsidR="00D3581D" w:rsidRDefault="00D3581D" w:rsidP="00D3581D">
      <w:pPr>
        <w:pStyle w:val="BOXBulletedList"/>
      </w:pPr>
      <w:r>
        <w:t xml:space="preserve">Fiscal and revenue estimates: where publication would be inconsistent with established government conventions. Consistent with current practice, these estimates are published through Budget processes rather than through the publication of IA. </w:t>
      </w:r>
    </w:p>
    <w:p w14:paraId="6EE455BC" w14:textId="77777777" w:rsidR="00D3581D" w:rsidRDefault="00D3581D" w:rsidP="00D3581D">
      <w:pPr>
        <w:pStyle w:val="BOXText"/>
      </w:pPr>
      <w:r>
        <w:t>Agencies are responsible for identifying and removing confidential or sensitive material.]</w:t>
      </w:r>
    </w:p>
    <w:p w14:paraId="77A14532" w14:textId="48BA1272" w:rsidR="00FC5894" w:rsidRDefault="00FC5894">
      <w:pPr>
        <w:spacing w:after="200" w:line="288" w:lineRule="auto"/>
      </w:pPr>
    </w:p>
    <w:p w14:paraId="668FE4E7" w14:textId="77777777" w:rsidR="00FC5894" w:rsidRDefault="00FC5894" w:rsidP="00FC5894">
      <w:pPr>
        <w:pStyle w:val="Heading1"/>
      </w:pPr>
      <w:r>
        <w:lastRenderedPageBreak/>
        <w:t xml:space="preserve">Background/Current setting (if applicable) </w:t>
      </w:r>
    </w:p>
    <w:p w14:paraId="394D659C" w14:textId="77777777" w:rsidR="00FC5894" w:rsidRDefault="00FC5894" w:rsidP="00FC5894">
      <w:pPr>
        <w:pStyle w:val="Heading2"/>
      </w:pPr>
      <w:r>
        <w:t>Subtitle</w:t>
      </w:r>
    </w:p>
    <w:p w14:paraId="693FD687" w14:textId="77777777" w:rsidR="00FC5894" w:rsidRDefault="00FC5894" w:rsidP="00FC5894">
      <w:r>
        <w:t>[Insert background information and information about the current regulatory or legislative settings here. Background information is useful to understand the problem. This section, while not essential, can be useful to provide context and help readers understand the policy problem and options presented.]</w:t>
      </w:r>
    </w:p>
    <w:p w14:paraId="5115F679" w14:textId="77777777" w:rsidR="00FC5894" w:rsidRDefault="00FC5894" w:rsidP="00FC5894">
      <w:pPr>
        <w:pStyle w:val="BOXHeading2"/>
      </w:pPr>
      <w:r>
        <w:t>[Rules for accessible hyperlinks</w:t>
      </w:r>
    </w:p>
    <w:p w14:paraId="1C55BAEE" w14:textId="529D5C58" w:rsidR="00C06F85" w:rsidRDefault="00FC5894" w:rsidP="00FC5894">
      <w:pPr>
        <w:pStyle w:val="BOXText"/>
      </w:pPr>
      <w:r>
        <w:t xml:space="preserve">Make hyperlinks more accessible by using meaningful link text that matches the hyperlink’s destination. Just right-click the hyperlink, then select </w:t>
      </w:r>
      <w:r w:rsidRPr="00FC5894">
        <w:rPr>
          <w:rStyle w:val="Strong"/>
        </w:rPr>
        <w:t>Edit Hyperlink</w:t>
      </w:r>
      <w:r>
        <w:t>. When you select the link like this, WORD automatically copies it into the Edit Hyperlink dialog.]</w:t>
      </w:r>
    </w:p>
    <w:p w14:paraId="71390447" w14:textId="7A317BF4" w:rsidR="00FC5894" w:rsidRDefault="00FC5894">
      <w:pPr>
        <w:spacing w:after="200" w:line="288" w:lineRule="auto"/>
      </w:pPr>
      <w:r>
        <w:br w:type="page"/>
      </w:r>
    </w:p>
    <w:p w14:paraId="6CA98E2B" w14:textId="77777777" w:rsidR="00FC5894" w:rsidRDefault="00FC5894" w:rsidP="00FC5894">
      <w:pPr>
        <w:pStyle w:val="Heading1"/>
      </w:pPr>
      <w:r>
        <w:lastRenderedPageBreak/>
        <w:t>1. What is the policy problem and what data are available?</w:t>
      </w:r>
    </w:p>
    <w:p w14:paraId="3FC0092C" w14:textId="77777777" w:rsidR="00FC5894" w:rsidRDefault="00FC5894" w:rsidP="002A66AA">
      <w:pPr>
        <w:pStyle w:val="BOXHeading2"/>
      </w:pPr>
      <w:r>
        <w:t>[In this section of the Impact Analysis, you should:</w:t>
      </w:r>
    </w:p>
    <w:p w14:paraId="452CB912" w14:textId="2BD860ED" w:rsidR="00FC5894" w:rsidRDefault="00FC5894" w:rsidP="00FC5894">
      <w:pPr>
        <w:pStyle w:val="BOXBulletedList"/>
      </w:pPr>
      <w:r>
        <w:t>Clearly identify and define the policy problem.</w:t>
      </w:r>
    </w:p>
    <w:p w14:paraId="5FC4CA71" w14:textId="70D90575" w:rsidR="00FC5894" w:rsidRDefault="00FC5894" w:rsidP="00FC5894">
      <w:pPr>
        <w:pStyle w:val="BOXBulletedList"/>
      </w:pPr>
      <w:r>
        <w:t>Provide evidence to demonstrate why it is a problem, the magnitude of the problem and the impacts of not doing anything.</w:t>
      </w:r>
    </w:p>
    <w:p w14:paraId="1B974844" w14:textId="0AA7F08A" w:rsidR="00FC5894" w:rsidRDefault="00FC5894" w:rsidP="00FC5894">
      <w:pPr>
        <w:pStyle w:val="BOXBulletedList"/>
      </w:pPr>
      <w:r>
        <w:t>Describe the people, businesses or community organisations affected by the problem.</w:t>
      </w:r>
    </w:p>
    <w:p w14:paraId="15BC0BCF" w14:textId="528B184E" w:rsidR="00FC5894" w:rsidRDefault="00FC5894" w:rsidP="00FC5894">
      <w:pPr>
        <w:pStyle w:val="BOXBulletedList"/>
      </w:pPr>
      <w:r>
        <w:t>Explain which, if any, current government policies have sought to address the problem, and if and why those policies are not sufficiently addressing the policy problem.</w:t>
      </w:r>
    </w:p>
    <w:p w14:paraId="6A1DB307" w14:textId="7DCC7C82" w:rsidR="00FC5894" w:rsidRDefault="00FC5894" w:rsidP="00FC5894">
      <w:pPr>
        <w:pStyle w:val="BOXBulletedList"/>
      </w:pPr>
      <w:r>
        <w:t>Identify available information and data and consider how to close any gaps that need to be addressed as part of the IA process.</w:t>
      </w:r>
    </w:p>
    <w:p w14:paraId="106A018A" w14:textId="5C39F0AF" w:rsidR="00FC5894" w:rsidRDefault="00FC5894" w:rsidP="00FC5894">
      <w:pPr>
        <w:pStyle w:val="BOXText"/>
      </w:pPr>
      <w:r>
        <w:t>For more information, consult OIA’s website (</w:t>
      </w:r>
      <w:hyperlink r:id="rId16" w:history="1">
        <w:r w:rsidRPr="001357A7">
          <w:rPr>
            <w:rStyle w:val="Hyperlink"/>
          </w:rPr>
          <w:t>https://oia.pmc.gov.au/</w:t>
        </w:r>
      </w:hyperlink>
      <w:r>
        <w:t xml:space="preserve">) or contact OIA at </w:t>
      </w:r>
      <w:hyperlink r:id="rId17" w:history="1">
        <w:r w:rsidRPr="001357A7">
          <w:rPr>
            <w:rStyle w:val="Hyperlink"/>
          </w:rPr>
          <w:t>Helpdesk-OIA@pmc.gov.au</w:t>
        </w:r>
      </w:hyperlink>
      <w:r>
        <w:t>.]</w:t>
      </w:r>
    </w:p>
    <w:p w14:paraId="4DC9D77C" w14:textId="35D35A6B" w:rsidR="00FC5894" w:rsidRDefault="00FC5894">
      <w:pPr>
        <w:spacing w:after="200" w:line="288" w:lineRule="auto"/>
      </w:pPr>
      <w:r>
        <w:br w:type="page"/>
      </w:r>
    </w:p>
    <w:p w14:paraId="535C8D68" w14:textId="77777777" w:rsidR="00FC5894" w:rsidRDefault="00FC5894" w:rsidP="00FC5894">
      <w:pPr>
        <w:pStyle w:val="Heading1"/>
      </w:pPr>
      <w:r>
        <w:lastRenderedPageBreak/>
        <w:t>2. What are the policy objectives, why is government intervention needed to achieve them, and how will success be measured?</w:t>
      </w:r>
    </w:p>
    <w:p w14:paraId="20A9B510" w14:textId="77777777" w:rsidR="00FC5894" w:rsidRDefault="00FC5894" w:rsidP="002A66AA">
      <w:pPr>
        <w:pStyle w:val="BOXHeading2"/>
      </w:pPr>
      <w:r>
        <w:t>[In this section of the Impact Analysis, you should:</w:t>
      </w:r>
    </w:p>
    <w:p w14:paraId="2993D7F8" w14:textId="6451BCFA" w:rsidR="00FC5894" w:rsidRDefault="00FC5894" w:rsidP="00FC5894">
      <w:pPr>
        <w:pStyle w:val="BOXBulletedList"/>
      </w:pPr>
      <w:r>
        <w:t>Establish the policy rationale for government to intervene, including demonstrating that the government could intervene successfully.</w:t>
      </w:r>
    </w:p>
    <w:p w14:paraId="27D0FE91" w14:textId="599853C4" w:rsidR="00FC5894" w:rsidRDefault="00FC5894" w:rsidP="00FC5894">
      <w:pPr>
        <w:pStyle w:val="BOXBulletedList"/>
      </w:pPr>
      <w:r>
        <w:t>Clearly identify the policy objectives and intended outcomes.</w:t>
      </w:r>
    </w:p>
    <w:p w14:paraId="17C2C05E" w14:textId="7922D302" w:rsidR="00FC5894" w:rsidRDefault="00FC5894" w:rsidP="00FC5894">
      <w:pPr>
        <w:pStyle w:val="BOXBulletedList"/>
      </w:pPr>
      <w:r>
        <w:t>Identify any barriers to achieving the policy objective.</w:t>
      </w:r>
    </w:p>
    <w:p w14:paraId="255A98C3" w14:textId="281DFB31" w:rsidR="00FC5894" w:rsidRDefault="00FC5894" w:rsidP="00FC5894">
      <w:pPr>
        <w:pStyle w:val="BOXBulletedList"/>
      </w:pPr>
      <w:r>
        <w:t>Outline what factors will make this policy change a success and include measurable targets.</w:t>
      </w:r>
    </w:p>
    <w:p w14:paraId="1FA336AD" w14:textId="3555AF15" w:rsidR="00FC5894" w:rsidRDefault="00FC5894" w:rsidP="00FC5894">
      <w:pPr>
        <w:pStyle w:val="BOXText"/>
      </w:pPr>
      <w:r>
        <w:t>For more information, consult OIA’s website (</w:t>
      </w:r>
      <w:hyperlink r:id="rId18" w:history="1">
        <w:r w:rsidRPr="001357A7">
          <w:rPr>
            <w:rStyle w:val="Hyperlink"/>
          </w:rPr>
          <w:t>https://oia.pmc.gov.au/</w:t>
        </w:r>
      </w:hyperlink>
      <w:r>
        <w:t xml:space="preserve">) or contact OIA at </w:t>
      </w:r>
      <w:hyperlink r:id="rId19" w:history="1">
        <w:r w:rsidRPr="001357A7">
          <w:rPr>
            <w:rStyle w:val="Hyperlink"/>
          </w:rPr>
          <w:t>Helpdesk-OIA@pmc.gov.au</w:t>
        </w:r>
      </w:hyperlink>
      <w:r>
        <w:t>.]</w:t>
      </w:r>
    </w:p>
    <w:p w14:paraId="53754969" w14:textId="7A653C31" w:rsidR="00FC5894" w:rsidRDefault="00FC5894">
      <w:pPr>
        <w:spacing w:after="200" w:line="288" w:lineRule="auto"/>
      </w:pPr>
      <w:r>
        <w:br w:type="page"/>
      </w:r>
    </w:p>
    <w:p w14:paraId="558E34AF" w14:textId="77777777" w:rsidR="00FC5894" w:rsidRDefault="00FC5894" w:rsidP="00FC5894">
      <w:pPr>
        <w:pStyle w:val="Heading1"/>
      </w:pPr>
      <w:r>
        <w:lastRenderedPageBreak/>
        <w:t>3. What policy options are being considered?</w:t>
      </w:r>
    </w:p>
    <w:p w14:paraId="4B87FADC" w14:textId="77777777" w:rsidR="00FC5894" w:rsidRDefault="00FC5894" w:rsidP="00FC5894">
      <w:pPr>
        <w:pStyle w:val="BOXHeading2"/>
      </w:pPr>
      <w:r>
        <w:t>[In this section of the Impact Analysis, you should:</w:t>
      </w:r>
    </w:p>
    <w:p w14:paraId="3AAFA93B" w14:textId="1D07511F" w:rsidR="00FC5894" w:rsidRDefault="00FC5894" w:rsidP="00FC5894">
      <w:pPr>
        <w:pStyle w:val="BOXBulletedList"/>
      </w:pPr>
      <w:r>
        <w:t>Identify genuine and viable alternative policy options, including the status quo and at least one non-regulatory alternative policy option (unless it can be demonstrated that a non-regulatory option is not viable).</w:t>
      </w:r>
    </w:p>
    <w:p w14:paraId="7FFC1811" w14:textId="25EBFFFF" w:rsidR="00FC5894" w:rsidRDefault="00FC5894" w:rsidP="00FC5894">
      <w:pPr>
        <w:pStyle w:val="BOXBulletedList"/>
      </w:pPr>
      <w:r>
        <w:t>Demonstrate these policy options can achieve the policy objectives.</w:t>
      </w:r>
    </w:p>
    <w:p w14:paraId="05344A00" w14:textId="4F5E71BF" w:rsidR="00FC5894" w:rsidRDefault="00FC5894" w:rsidP="00FC5894">
      <w:pPr>
        <w:pStyle w:val="BOXBulletedList"/>
      </w:pPr>
      <w:r>
        <w:t>Identify the context for the options considered (for example, the policy proposal may be an election commitment).</w:t>
      </w:r>
    </w:p>
    <w:p w14:paraId="4207A55C" w14:textId="084E0D2C" w:rsidR="00FC5894" w:rsidRDefault="00FC5894" w:rsidP="00FC5894">
      <w:pPr>
        <w:pStyle w:val="BOXText"/>
      </w:pPr>
      <w:r>
        <w:t>For more information, consult OIA’s website (</w:t>
      </w:r>
      <w:hyperlink r:id="rId20" w:history="1">
        <w:r w:rsidRPr="001357A7">
          <w:rPr>
            <w:rStyle w:val="Hyperlink"/>
          </w:rPr>
          <w:t>https://oia.pmc.gov.au/</w:t>
        </w:r>
      </w:hyperlink>
      <w:r>
        <w:t xml:space="preserve">) or contact OIA at </w:t>
      </w:r>
      <w:hyperlink r:id="rId21" w:history="1">
        <w:r w:rsidRPr="001357A7">
          <w:rPr>
            <w:rStyle w:val="Hyperlink"/>
          </w:rPr>
          <w:t>Helpdesk-OIA@pmc.gov.au</w:t>
        </w:r>
      </w:hyperlink>
      <w:r>
        <w:t>.]</w:t>
      </w:r>
    </w:p>
    <w:p w14:paraId="3A5F9F93" w14:textId="344F2324" w:rsidR="00FC5894" w:rsidRDefault="00FC5894" w:rsidP="00FC5894">
      <w:r>
        <w:t>[This section should include at least 3 options, including the status quo. Where there is a longer list of options that have been considered, it may be useful to describe the ‘shortlisting’ process that identified the options that are the focus of more detailed analysis.]</w:t>
      </w:r>
    </w:p>
    <w:p w14:paraId="0179AC7D" w14:textId="664F640A" w:rsidR="00FC5894" w:rsidRDefault="00FC5894" w:rsidP="00FC5894">
      <w:pPr>
        <w:pStyle w:val="Heading2"/>
      </w:pPr>
      <w:r>
        <w:t xml:space="preserve">3.1 Option 1 – Status </w:t>
      </w:r>
      <w:r w:rsidR="00AB125A">
        <w:t>q</w:t>
      </w:r>
      <w:r>
        <w:t>uo</w:t>
      </w:r>
    </w:p>
    <w:p w14:paraId="33DAE1F8" w14:textId="0AD845F1" w:rsidR="00FC5894" w:rsidRDefault="00FC5894" w:rsidP="00FC5894">
      <w:r>
        <w:t xml:space="preserve">[Every good IA will canvass a range of viable options. The number of options you include in your analysis should be commensurate with the magnitude of the policy problem being considered, but 3 should be the minimum. The </w:t>
      </w:r>
      <w:r w:rsidR="00AB125A">
        <w:t>s</w:t>
      </w:r>
      <w:r>
        <w:t xml:space="preserve">tatus </w:t>
      </w:r>
      <w:r w:rsidR="00AB125A">
        <w:t>q</w:t>
      </w:r>
      <w:r>
        <w:t xml:space="preserve">uo option must be included. </w:t>
      </w:r>
    </w:p>
    <w:p w14:paraId="6F1BC786" w14:textId="2982791E" w:rsidR="00FC5894" w:rsidRDefault="00FC5894" w:rsidP="00FC5894">
      <w:r>
        <w:t>We recommend the presentation of the status quo first to provide a baseline option for further options to be compare</w:t>
      </w:r>
      <w:r w:rsidR="0008049E">
        <w:t>d</w:t>
      </w:r>
      <w:r>
        <w:t xml:space="preserve"> against. Please contact us should you need any assistance canvassing available options.]</w:t>
      </w:r>
    </w:p>
    <w:p w14:paraId="17C2629F" w14:textId="77777777" w:rsidR="00FC5894" w:rsidRDefault="00FC5894" w:rsidP="00FC5894">
      <w:pPr>
        <w:pStyle w:val="Heading2"/>
      </w:pPr>
      <w:r>
        <w:t>3.2 Option 2 – XXX</w:t>
      </w:r>
    </w:p>
    <w:p w14:paraId="174E1E18" w14:textId="77777777" w:rsidR="00FC5894" w:rsidRDefault="00FC5894" w:rsidP="00FC5894">
      <w:r>
        <w:t>[Option 2]</w:t>
      </w:r>
    </w:p>
    <w:p w14:paraId="2AE53844" w14:textId="77777777" w:rsidR="00FC5894" w:rsidRDefault="00FC5894" w:rsidP="00FC5894">
      <w:pPr>
        <w:pStyle w:val="Heading2"/>
      </w:pPr>
      <w:r>
        <w:t>3.3 Option 3 – XXX</w:t>
      </w:r>
    </w:p>
    <w:p w14:paraId="576D392C" w14:textId="36AC4F5D" w:rsidR="00C06F85" w:rsidRDefault="00FC5894" w:rsidP="00FC5894">
      <w:r>
        <w:t>[Option 3]</w:t>
      </w:r>
    </w:p>
    <w:p w14:paraId="267114F1" w14:textId="2B5E54D3" w:rsidR="00FC5894" w:rsidRDefault="00FC5894">
      <w:pPr>
        <w:spacing w:after="200" w:line="288" w:lineRule="auto"/>
      </w:pPr>
      <w:r>
        <w:br w:type="page"/>
      </w:r>
    </w:p>
    <w:p w14:paraId="55F79A31" w14:textId="77777777" w:rsidR="00FC5894" w:rsidRDefault="00FC5894" w:rsidP="002A66AA">
      <w:pPr>
        <w:pStyle w:val="Heading1"/>
      </w:pPr>
      <w:r>
        <w:lastRenderedPageBreak/>
        <w:t>4. What is the likely net benefit of the option?</w:t>
      </w:r>
    </w:p>
    <w:p w14:paraId="16E32225" w14:textId="77777777" w:rsidR="00FC5894" w:rsidRDefault="00FC5894" w:rsidP="002A66AA">
      <w:pPr>
        <w:pStyle w:val="BOXHeading2"/>
      </w:pPr>
      <w:r>
        <w:t>[In this section of the Impact Analysis, you should:</w:t>
      </w:r>
    </w:p>
    <w:p w14:paraId="22A1AA4D" w14:textId="63E8CF3F" w:rsidR="00FC5894" w:rsidRDefault="00FC5894" w:rsidP="002A66AA">
      <w:pPr>
        <w:pStyle w:val="BOXBulletedList"/>
      </w:pPr>
      <w:r>
        <w:t>Provide an estimate of the net benefit of each policy option. Where a monetised net benefit cannot be estimated, provide an explanation why this has not been possible (including identifying data and information gaps) and provide qualitative analysis of impacts. This analysis should also draw on evidence from stakeholder engagement and existing evaluations.</w:t>
      </w:r>
    </w:p>
    <w:p w14:paraId="2F0F230A" w14:textId="37BD1692" w:rsidR="00FC5894" w:rsidRDefault="00FC5894" w:rsidP="002A66AA">
      <w:pPr>
        <w:pStyle w:val="BOXBulletedList"/>
      </w:pPr>
      <w:r>
        <w:t xml:space="preserve">Identify who is likely to be affected by each policy option. Where significant, assess the economic, competition, social, environmental or other impacts as well as how those impacts are likely to be distributed. </w:t>
      </w:r>
    </w:p>
    <w:p w14:paraId="72C01304" w14:textId="6F6DC25D" w:rsidR="00FC5894" w:rsidRDefault="00FC5894" w:rsidP="002A66AA">
      <w:pPr>
        <w:pStyle w:val="BOXBulletedList"/>
      </w:pPr>
      <w:r>
        <w:t>Assess the regulatory burden impacts for people, businesses, organisations or the community using the Regulatory Burden Measurement Framework.</w:t>
      </w:r>
    </w:p>
    <w:p w14:paraId="4DA67F3B" w14:textId="6A22312A" w:rsidR="00FC5894" w:rsidRDefault="00FC5894" w:rsidP="002A66AA">
      <w:pPr>
        <w:pStyle w:val="BOXBulletedList"/>
      </w:pPr>
      <w:r>
        <w:t>Provide analysis of impacts based on cost-benefit analysis (CBA) and other analysis to quantify impacts where possible. Describe the method, assumptions and sensitivity testing used to conduct the analysis.</w:t>
      </w:r>
    </w:p>
    <w:p w14:paraId="076BE12A" w14:textId="73F0F48A" w:rsidR="00FC5894" w:rsidRDefault="00FC5894" w:rsidP="002A66AA">
      <w:pPr>
        <w:pStyle w:val="BOXBulletedList"/>
      </w:pPr>
      <w:r>
        <w:t>Provide information on any applicable international standards and whether the policy proposal differs from or adopts those standards.</w:t>
      </w:r>
    </w:p>
    <w:p w14:paraId="50A9BCDB" w14:textId="7D3D650D" w:rsidR="00FC5894" w:rsidRDefault="002A66AA" w:rsidP="002A66AA">
      <w:pPr>
        <w:pStyle w:val="BOXText"/>
      </w:pPr>
      <w:r>
        <w:t>For more information, consult OIA’s website (</w:t>
      </w:r>
      <w:hyperlink r:id="rId22" w:history="1">
        <w:r w:rsidRPr="001357A7">
          <w:rPr>
            <w:rStyle w:val="Hyperlink"/>
          </w:rPr>
          <w:t>https://oia.pmc.gov.au/</w:t>
        </w:r>
      </w:hyperlink>
      <w:r>
        <w:t xml:space="preserve">) or contact OIA at </w:t>
      </w:r>
      <w:hyperlink r:id="rId23" w:history="1">
        <w:r w:rsidRPr="001357A7">
          <w:rPr>
            <w:rStyle w:val="Hyperlink"/>
          </w:rPr>
          <w:t>Helpdesk-OIA@pmc.gov.au</w:t>
        </w:r>
      </w:hyperlink>
      <w:r>
        <w:t>.]</w:t>
      </w:r>
    </w:p>
    <w:p w14:paraId="1ABF0B08" w14:textId="375A9CF5" w:rsidR="00FC5894" w:rsidRDefault="00FC5894" w:rsidP="00FC5894">
      <w:r>
        <w:t>[This section should begin with a discussion of the analytical approach that is being applied in the IA, and the rationale for that approach. Ideally, a CBA will be combined with a regulatory burden estimate, but where a formal CBA is not possible, alternatives, such as cost-effectiveness analysis or multi-criteria analysis can be applied. Where a qualitative approach to assessing the net benefit is selected, the rationale for that approach – i.e. that considers the quality of available data on the material impacts – should be very clear.]</w:t>
      </w:r>
    </w:p>
    <w:p w14:paraId="2E16F3D8" w14:textId="77777777" w:rsidR="00FC5894" w:rsidRDefault="00FC5894" w:rsidP="002A66AA">
      <w:pPr>
        <w:pStyle w:val="Heading2"/>
      </w:pPr>
      <w:r>
        <w:t>4.1 Option 1 – Status Quo</w:t>
      </w:r>
    </w:p>
    <w:p w14:paraId="41957950" w14:textId="76EB287D" w:rsidR="00FC5894" w:rsidRDefault="00FC5894" w:rsidP="00FC5894">
      <w:r>
        <w:t xml:space="preserve">[Establish the baseline to be able to measure the costs and benefits of the following options. The costs and benefits of the proposal are the incremental </w:t>
      </w:r>
      <w:r w:rsidR="00065244">
        <w:t>changes</w:t>
      </w:r>
      <w:r>
        <w:t xml:space="preserve"> imposed against the status quo. The regulatory burden, costs and benefits are the baseline that the impacts are measured against.]</w:t>
      </w:r>
    </w:p>
    <w:p w14:paraId="1E5BD5B8" w14:textId="77777777" w:rsidR="00FC5894" w:rsidRDefault="00FC5894" w:rsidP="002A66AA">
      <w:pPr>
        <w:pStyle w:val="Heading2"/>
      </w:pPr>
      <w:r>
        <w:t>4.2 Option 2 – Option Analysis</w:t>
      </w:r>
    </w:p>
    <w:p w14:paraId="4422BDA6" w14:textId="77777777" w:rsidR="00FC5894" w:rsidRDefault="00FC5894" w:rsidP="00FC5894">
      <w:r>
        <w:t>[Option 2 analysis, discussing the analytical approach that was applied and the results.]</w:t>
      </w:r>
    </w:p>
    <w:p w14:paraId="03D25FED" w14:textId="77777777" w:rsidR="00FC5894" w:rsidRDefault="00FC5894" w:rsidP="002A66AA">
      <w:pPr>
        <w:pStyle w:val="Heading3"/>
      </w:pPr>
      <w:r>
        <w:lastRenderedPageBreak/>
        <w:t>Regulatory burden estimate (RBE) table</w:t>
      </w:r>
    </w:p>
    <w:p w14:paraId="5CE8F2F9" w14:textId="15E1D5CF" w:rsidR="00FC5894" w:rsidRDefault="00FC5894" w:rsidP="00FC5894">
      <w:r>
        <w:t>[This table can be used to present quantifiable impacts using the Regulatory Burden Measurement Framework. A regulatory burden estimate must be included. For further information, please consult OIA’s website (</w:t>
      </w:r>
      <w:hyperlink r:id="rId24" w:history="1">
        <w:r w:rsidR="002A66AA" w:rsidRPr="001357A7">
          <w:rPr>
            <w:rStyle w:val="Hyperlink"/>
          </w:rPr>
          <w:t>https://oia.pmc.gov.au/</w:t>
        </w:r>
      </w:hyperlink>
      <w:r>
        <w:t xml:space="preserve">) or contact OIA at </w:t>
      </w:r>
      <w:hyperlink r:id="rId25" w:history="1">
        <w:r w:rsidR="002A66AA" w:rsidRPr="001357A7">
          <w:rPr>
            <w:rStyle w:val="Hyperlink"/>
          </w:rPr>
          <w:t>Helpdesk-OIA@pmc.gov.au</w:t>
        </w:r>
      </w:hyperlink>
      <w:r>
        <w:t>.]</w:t>
      </w:r>
    </w:p>
    <w:tbl>
      <w:tblPr>
        <w:tblStyle w:val="PMClinedrows"/>
        <w:tblW w:w="5000" w:type="pct"/>
        <w:tblBorders>
          <w:top w:val="single" w:sz="4" w:space="0" w:color="1C2B39" w:themeColor="accent2"/>
          <w:left w:val="single" w:sz="4" w:space="0" w:color="1C2B39" w:themeColor="accent2"/>
          <w:bottom w:val="single" w:sz="4" w:space="0" w:color="1C2B39" w:themeColor="accent2"/>
          <w:right w:val="single" w:sz="4" w:space="0" w:color="1C2B39" w:themeColor="accent2"/>
          <w:insideH w:val="single" w:sz="4" w:space="0" w:color="1C2B39" w:themeColor="accent2"/>
          <w:insideV w:val="single" w:sz="4" w:space="0" w:color="1C2B39" w:themeColor="accent2"/>
        </w:tblBorders>
        <w:tblCellMar>
          <w:top w:w="85" w:type="dxa"/>
          <w:left w:w="85" w:type="dxa"/>
          <w:bottom w:w="85" w:type="dxa"/>
          <w:right w:w="85" w:type="dxa"/>
        </w:tblCellMar>
        <w:tblLook w:val="0420" w:firstRow="1" w:lastRow="0" w:firstColumn="0" w:lastColumn="0" w:noHBand="0" w:noVBand="1"/>
        <w:tblDescription w:val="This is an example of alt text."/>
      </w:tblPr>
      <w:tblGrid>
        <w:gridCol w:w="1925"/>
        <w:gridCol w:w="1925"/>
        <w:gridCol w:w="1926"/>
        <w:gridCol w:w="1926"/>
        <w:gridCol w:w="1926"/>
      </w:tblGrid>
      <w:tr w:rsidR="002A66AA" w14:paraId="43722784" w14:textId="77777777" w:rsidTr="002A66AA">
        <w:trPr>
          <w:cnfStyle w:val="100000000000" w:firstRow="1" w:lastRow="0" w:firstColumn="0" w:lastColumn="0" w:oddVBand="0" w:evenVBand="0" w:oddHBand="0" w:evenHBand="0" w:firstRowFirstColumn="0" w:firstRowLastColumn="0" w:lastRowFirstColumn="0" w:lastRowLastColumn="0"/>
          <w:cantSplit/>
          <w:trHeight w:val="20"/>
          <w:tblHeader/>
        </w:trPr>
        <w:tc>
          <w:tcPr>
            <w:tcW w:w="5000" w:type="pct"/>
            <w:gridSpan w:val="5"/>
            <w:shd w:val="clear" w:color="auto" w:fill="0F1F35" w:themeFill="text2"/>
          </w:tcPr>
          <w:p w14:paraId="6AAE8005" w14:textId="5FA2B026" w:rsidR="002A66AA" w:rsidRPr="002A66AA" w:rsidRDefault="002A66AA" w:rsidP="00473BB9">
            <w:pPr>
              <w:pStyle w:val="TBLText"/>
              <w:spacing w:after="0"/>
              <w:rPr>
                <w:b w:val="0"/>
                <w:color w:val="FFFFFF" w:themeColor="background1"/>
              </w:rPr>
            </w:pPr>
            <w:r w:rsidRPr="002A66AA">
              <w:rPr>
                <w:color w:val="FFFFFF" w:themeColor="background1"/>
              </w:rPr>
              <w:t>Average annual change in regulatory burden (over 10 years)</w:t>
            </w:r>
          </w:p>
        </w:tc>
      </w:tr>
      <w:tr w:rsidR="002A66AA" w14:paraId="1D16E63B" w14:textId="77777777" w:rsidTr="002A66AA">
        <w:trPr>
          <w:cnfStyle w:val="000000100000" w:firstRow="0" w:lastRow="0" w:firstColumn="0" w:lastColumn="0" w:oddVBand="0" w:evenVBand="0" w:oddHBand="1" w:evenHBand="0" w:firstRowFirstColumn="0" w:firstRowLastColumn="0" w:lastRowFirstColumn="0" w:lastRowLastColumn="0"/>
          <w:trHeight w:val="20"/>
        </w:trPr>
        <w:tc>
          <w:tcPr>
            <w:tcW w:w="1000" w:type="pct"/>
            <w:shd w:val="clear" w:color="auto" w:fill="F2F2F2" w:themeFill="background1" w:themeFillShade="F2"/>
          </w:tcPr>
          <w:p w14:paraId="0D62DBC8" w14:textId="450A6060" w:rsidR="002A66AA" w:rsidRPr="006E170D" w:rsidRDefault="002A66AA" w:rsidP="002A66AA">
            <w:pPr>
              <w:pStyle w:val="TBLText"/>
              <w:spacing w:after="0"/>
            </w:pPr>
            <w:r w:rsidRPr="00D151E9">
              <w:t xml:space="preserve">Change in costs </w:t>
            </w:r>
            <w:r>
              <w:br/>
            </w:r>
            <w:r w:rsidRPr="00D151E9">
              <w:t>($ million)</w:t>
            </w:r>
          </w:p>
        </w:tc>
        <w:tc>
          <w:tcPr>
            <w:tcW w:w="1000" w:type="pct"/>
            <w:shd w:val="clear" w:color="auto" w:fill="F2F2F2" w:themeFill="background1" w:themeFillShade="F2"/>
          </w:tcPr>
          <w:p w14:paraId="24963F8E" w14:textId="023E01E3" w:rsidR="002A66AA" w:rsidRPr="006E170D" w:rsidRDefault="002A66AA" w:rsidP="002A66AA">
            <w:pPr>
              <w:pStyle w:val="TBLText"/>
              <w:spacing w:after="0"/>
            </w:pPr>
            <w:r w:rsidRPr="00D151E9">
              <w:t>Individuals</w:t>
            </w:r>
          </w:p>
        </w:tc>
        <w:tc>
          <w:tcPr>
            <w:tcW w:w="1000" w:type="pct"/>
            <w:shd w:val="clear" w:color="auto" w:fill="F2F2F2" w:themeFill="background1" w:themeFillShade="F2"/>
          </w:tcPr>
          <w:p w14:paraId="3310F165" w14:textId="321E3A78" w:rsidR="002A66AA" w:rsidRPr="006E170D" w:rsidRDefault="002A66AA" w:rsidP="002A66AA">
            <w:pPr>
              <w:pStyle w:val="TBLText"/>
              <w:spacing w:after="0"/>
            </w:pPr>
            <w:r w:rsidRPr="00D151E9">
              <w:t xml:space="preserve">Business </w:t>
            </w:r>
          </w:p>
        </w:tc>
        <w:tc>
          <w:tcPr>
            <w:tcW w:w="1000" w:type="pct"/>
            <w:shd w:val="clear" w:color="auto" w:fill="F2F2F2" w:themeFill="background1" w:themeFillShade="F2"/>
          </w:tcPr>
          <w:p w14:paraId="2C097C1F" w14:textId="7734D93F" w:rsidR="002A66AA" w:rsidRPr="006E170D" w:rsidRDefault="002A66AA" w:rsidP="002A66AA">
            <w:pPr>
              <w:pStyle w:val="TBLText"/>
            </w:pPr>
            <w:r w:rsidRPr="00D151E9">
              <w:t>Community organisations</w:t>
            </w:r>
          </w:p>
        </w:tc>
        <w:tc>
          <w:tcPr>
            <w:tcW w:w="1000" w:type="pct"/>
            <w:shd w:val="clear" w:color="auto" w:fill="F2F2F2" w:themeFill="background1" w:themeFillShade="F2"/>
          </w:tcPr>
          <w:p w14:paraId="02EB6F3B" w14:textId="4982DFC2" w:rsidR="002A66AA" w:rsidRPr="006E170D" w:rsidRDefault="002A66AA" w:rsidP="002A66AA">
            <w:pPr>
              <w:pStyle w:val="TBLText"/>
            </w:pPr>
            <w:r w:rsidRPr="00D151E9">
              <w:t>Total change in cost</w:t>
            </w:r>
          </w:p>
        </w:tc>
      </w:tr>
      <w:tr w:rsidR="002A66AA" w14:paraId="3AD76F35" w14:textId="77777777" w:rsidTr="002A66AA">
        <w:trPr>
          <w:trHeight w:val="20"/>
        </w:trPr>
        <w:tc>
          <w:tcPr>
            <w:tcW w:w="1000" w:type="pct"/>
          </w:tcPr>
          <w:p w14:paraId="128B16F7" w14:textId="67A0808A" w:rsidR="002A66AA" w:rsidRPr="006E170D" w:rsidRDefault="002A66AA" w:rsidP="002A66AA">
            <w:pPr>
              <w:pStyle w:val="TBLText"/>
              <w:spacing w:after="0"/>
            </w:pPr>
            <w:r w:rsidRPr="00D151E9">
              <w:t>Total, by sector</w:t>
            </w:r>
          </w:p>
        </w:tc>
        <w:tc>
          <w:tcPr>
            <w:tcW w:w="1000" w:type="pct"/>
          </w:tcPr>
          <w:p w14:paraId="7CFCCEAE" w14:textId="4D9AF9DC" w:rsidR="002A66AA" w:rsidRPr="006E170D" w:rsidRDefault="002A66AA" w:rsidP="002A66AA">
            <w:pPr>
              <w:pStyle w:val="TBLText"/>
              <w:spacing w:after="0"/>
            </w:pPr>
            <w:r w:rsidRPr="00D151E9">
              <w:t>$</w:t>
            </w:r>
          </w:p>
        </w:tc>
        <w:tc>
          <w:tcPr>
            <w:tcW w:w="1000" w:type="pct"/>
          </w:tcPr>
          <w:p w14:paraId="0991D7F5" w14:textId="673D99AC" w:rsidR="002A66AA" w:rsidRPr="006E170D" w:rsidRDefault="002A66AA" w:rsidP="002A66AA">
            <w:pPr>
              <w:pStyle w:val="TBLText"/>
              <w:spacing w:after="0"/>
            </w:pPr>
            <w:r w:rsidRPr="00D151E9">
              <w:t>$</w:t>
            </w:r>
          </w:p>
        </w:tc>
        <w:tc>
          <w:tcPr>
            <w:tcW w:w="1000" w:type="pct"/>
          </w:tcPr>
          <w:p w14:paraId="3B169777" w14:textId="69B12395" w:rsidR="002A66AA" w:rsidRPr="006E170D" w:rsidRDefault="002A66AA" w:rsidP="002A66AA">
            <w:pPr>
              <w:pStyle w:val="TBLText"/>
            </w:pPr>
            <w:r w:rsidRPr="00D151E9">
              <w:t>$</w:t>
            </w:r>
          </w:p>
        </w:tc>
        <w:tc>
          <w:tcPr>
            <w:tcW w:w="1000" w:type="pct"/>
          </w:tcPr>
          <w:p w14:paraId="6CBD7251" w14:textId="12365161" w:rsidR="002A66AA" w:rsidRPr="006E170D" w:rsidRDefault="002A66AA" w:rsidP="002A66AA">
            <w:pPr>
              <w:pStyle w:val="TBLText"/>
            </w:pPr>
            <w:r w:rsidRPr="00D151E9">
              <w:t>$</w:t>
            </w:r>
          </w:p>
        </w:tc>
      </w:tr>
    </w:tbl>
    <w:p w14:paraId="695B1C6F" w14:textId="77777777" w:rsidR="002A66AA" w:rsidRDefault="002A66AA" w:rsidP="002A66AA">
      <w:pPr>
        <w:pStyle w:val="Heading2"/>
      </w:pPr>
      <w:r>
        <w:t>4.3 Option 3 – Option Analysis</w:t>
      </w:r>
    </w:p>
    <w:p w14:paraId="71DDA8DC" w14:textId="675EBA98" w:rsidR="002A66AA" w:rsidRDefault="002A66AA" w:rsidP="002A66AA">
      <w:r>
        <w:t>[Option 3 analysis discussing the analytical approach that was applied and the results.]</w:t>
      </w:r>
    </w:p>
    <w:p w14:paraId="73C5FA65" w14:textId="77777777" w:rsidR="002A66AA" w:rsidRDefault="002A66AA" w:rsidP="002A66AA">
      <w:pPr>
        <w:pStyle w:val="Heading3"/>
      </w:pPr>
      <w:r>
        <w:t>Regulatory burden estimate (RBE) table</w:t>
      </w:r>
    </w:p>
    <w:p w14:paraId="0D23F845" w14:textId="77777777" w:rsidR="002A66AA" w:rsidRDefault="002A66AA" w:rsidP="002A66AA">
      <w:r>
        <w:t>[This table can be used to present quantifiable impacts using the Regulatory Burden Measurement Framework. A regulatory burden estimate must be included. For further information, please consult OIA’s website (</w:t>
      </w:r>
      <w:hyperlink r:id="rId26" w:history="1">
        <w:r w:rsidRPr="001357A7">
          <w:rPr>
            <w:rStyle w:val="Hyperlink"/>
          </w:rPr>
          <w:t>https://oia.pmc.gov.au/</w:t>
        </w:r>
      </w:hyperlink>
      <w:r>
        <w:t xml:space="preserve">) or contact OIA at </w:t>
      </w:r>
      <w:hyperlink r:id="rId27" w:history="1">
        <w:r w:rsidRPr="001357A7">
          <w:rPr>
            <w:rStyle w:val="Hyperlink"/>
          </w:rPr>
          <w:t>Helpdesk-OIA@pmc.gov.au</w:t>
        </w:r>
      </w:hyperlink>
      <w:r>
        <w:t>.]</w:t>
      </w:r>
    </w:p>
    <w:tbl>
      <w:tblPr>
        <w:tblStyle w:val="PMClinedrows"/>
        <w:tblW w:w="5000" w:type="pct"/>
        <w:tblBorders>
          <w:top w:val="single" w:sz="4" w:space="0" w:color="1C2B39" w:themeColor="accent2"/>
          <w:left w:val="single" w:sz="4" w:space="0" w:color="1C2B39" w:themeColor="accent2"/>
          <w:bottom w:val="single" w:sz="4" w:space="0" w:color="1C2B39" w:themeColor="accent2"/>
          <w:right w:val="single" w:sz="4" w:space="0" w:color="1C2B39" w:themeColor="accent2"/>
          <w:insideH w:val="single" w:sz="4" w:space="0" w:color="1C2B39" w:themeColor="accent2"/>
          <w:insideV w:val="single" w:sz="4" w:space="0" w:color="1C2B39" w:themeColor="accent2"/>
        </w:tblBorders>
        <w:tblCellMar>
          <w:top w:w="85" w:type="dxa"/>
          <w:left w:w="85" w:type="dxa"/>
          <w:bottom w:w="85" w:type="dxa"/>
          <w:right w:w="85" w:type="dxa"/>
        </w:tblCellMar>
        <w:tblLook w:val="0420" w:firstRow="1" w:lastRow="0" w:firstColumn="0" w:lastColumn="0" w:noHBand="0" w:noVBand="1"/>
        <w:tblDescription w:val="This is an example of alt text."/>
      </w:tblPr>
      <w:tblGrid>
        <w:gridCol w:w="1925"/>
        <w:gridCol w:w="1925"/>
        <w:gridCol w:w="1926"/>
        <w:gridCol w:w="1926"/>
        <w:gridCol w:w="1926"/>
      </w:tblGrid>
      <w:tr w:rsidR="002A66AA" w14:paraId="451882C1" w14:textId="77777777" w:rsidTr="00473BB9">
        <w:trPr>
          <w:cnfStyle w:val="100000000000" w:firstRow="1" w:lastRow="0" w:firstColumn="0" w:lastColumn="0" w:oddVBand="0" w:evenVBand="0" w:oddHBand="0" w:evenHBand="0" w:firstRowFirstColumn="0" w:firstRowLastColumn="0" w:lastRowFirstColumn="0" w:lastRowLastColumn="0"/>
          <w:cantSplit/>
          <w:trHeight w:val="20"/>
          <w:tblHeader/>
        </w:trPr>
        <w:tc>
          <w:tcPr>
            <w:tcW w:w="5000" w:type="pct"/>
            <w:gridSpan w:val="5"/>
            <w:shd w:val="clear" w:color="auto" w:fill="0F1F35" w:themeFill="text2"/>
          </w:tcPr>
          <w:p w14:paraId="37F8210B" w14:textId="77777777" w:rsidR="002A66AA" w:rsidRPr="002A66AA" w:rsidRDefault="002A66AA" w:rsidP="00473BB9">
            <w:pPr>
              <w:pStyle w:val="TBLText"/>
              <w:spacing w:after="0"/>
              <w:rPr>
                <w:b w:val="0"/>
                <w:color w:val="FFFFFF" w:themeColor="background1"/>
              </w:rPr>
            </w:pPr>
            <w:r w:rsidRPr="002A66AA">
              <w:rPr>
                <w:color w:val="FFFFFF" w:themeColor="background1"/>
              </w:rPr>
              <w:t>Average annual change in regulatory burden (over 10 years)</w:t>
            </w:r>
          </w:p>
        </w:tc>
      </w:tr>
      <w:tr w:rsidR="002A66AA" w14:paraId="2F3A6559" w14:textId="77777777" w:rsidTr="00473BB9">
        <w:trPr>
          <w:cnfStyle w:val="000000100000" w:firstRow="0" w:lastRow="0" w:firstColumn="0" w:lastColumn="0" w:oddVBand="0" w:evenVBand="0" w:oddHBand="1" w:evenHBand="0" w:firstRowFirstColumn="0" w:firstRowLastColumn="0" w:lastRowFirstColumn="0" w:lastRowLastColumn="0"/>
          <w:trHeight w:val="20"/>
        </w:trPr>
        <w:tc>
          <w:tcPr>
            <w:tcW w:w="1000" w:type="pct"/>
            <w:shd w:val="clear" w:color="auto" w:fill="F2F2F2" w:themeFill="background1" w:themeFillShade="F2"/>
          </w:tcPr>
          <w:p w14:paraId="585D0532" w14:textId="77777777" w:rsidR="002A66AA" w:rsidRPr="006E170D" w:rsidRDefault="002A66AA" w:rsidP="00473BB9">
            <w:pPr>
              <w:pStyle w:val="TBLText"/>
              <w:spacing w:after="0"/>
            </w:pPr>
            <w:r w:rsidRPr="00D151E9">
              <w:t xml:space="preserve">Change in costs </w:t>
            </w:r>
            <w:r>
              <w:br/>
            </w:r>
            <w:r w:rsidRPr="00D151E9">
              <w:t>($ million)</w:t>
            </w:r>
          </w:p>
        </w:tc>
        <w:tc>
          <w:tcPr>
            <w:tcW w:w="1000" w:type="pct"/>
            <w:shd w:val="clear" w:color="auto" w:fill="F2F2F2" w:themeFill="background1" w:themeFillShade="F2"/>
          </w:tcPr>
          <w:p w14:paraId="039D3C43" w14:textId="77777777" w:rsidR="002A66AA" w:rsidRPr="006E170D" w:rsidRDefault="002A66AA" w:rsidP="00473BB9">
            <w:pPr>
              <w:pStyle w:val="TBLText"/>
              <w:spacing w:after="0"/>
            </w:pPr>
            <w:r w:rsidRPr="00D151E9">
              <w:t>Individuals</w:t>
            </w:r>
          </w:p>
        </w:tc>
        <w:tc>
          <w:tcPr>
            <w:tcW w:w="1000" w:type="pct"/>
            <w:shd w:val="clear" w:color="auto" w:fill="F2F2F2" w:themeFill="background1" w:themeFillShade="F2"/>
          </w:tcPr>
          <w:p w14:paraId="421D9BCC" w14:textId="77777777" w:rsidR="002A66AA" w:rsidRPr="006E170D" w:rsidRDefault="002A66AA" w:rsidP="00473BB9">
            <w:pPr>
              <w:pStyle w:val="TBLText"/>
              <w:spacing w:after="0"/>
            </w:pPr>
            <w:r w:rsidRPr="00D151E9">
              <w:t xml:space="preserve">Business </w:t>
            </w:r>
          </w:p>
        </w:tc>
        <w:tc>
          <w:tcPr>
            <w:tcW w:w="1000" w:type="pct"/>
            <w:shd w:val="clear" w:color="auto" w:fill="F2F2F2" w:themeFill="background1" w:themeFillShade="F2"/>
          </w:tcPr>
          <w:p w14:paraId="04EEC990" w14:textId="77777777" w:rsidR="002A66AA" w:rsidRPr="006E170D" w:rsidRDefault="002A66AA" w:rsidP="00473BB9">
            <w:pPr>
              <w:pStyle w:val="TBLText"/>
            </w:pPr>
            <w:r w:rsidRPr="00D151E9">
              <w:t>Community organisations</w:t>
            </w:r>
          </w:p>
        </w:tc>
        <w:tc>
          <w:tcPr>
            <w:tcW w:w="1000" w:type="pct"/>
            <w:shd w:val="clear" w:color="auto" w:fill="F2F2F2" w:themeFill="background1" w:themeFillShade="F2"/>
          </w:tcPr>
          <w:p w14:paraId="57B754BB" w14:textId="77777777" w:rsidR="002A66AA" w:rsidRPr="006E170D" w:rsidRDefault="002A66AA" w:rsidP="00473BB9">
            <w:pPr>
              <w:pStyle w:val="TBLText"/>
            </w:pPr>
            <w:r w:rsidRPr="00D151E9">
              <w:t>Total change in cost</w:t>
            </w:r>
          </w:p>
        </w:tc>
      </w:tr>
      <w:tr w:rsidR="002A66AA" w14:paraId="76C20A3A" w14:textId="77777777" w:rsidTr="00473BB9">
        <w:trPr>
          <w:trHeight w:val="20"/>
        </w:trPr>
        <w:tc>
          <w:tcPr>
            <w:tcW w:w="1000" w:type="pct"/>
          </w:tcPr>
          <w:p w14:paraId="6E4ED1E2" w14:textId="77777777" w:rsidR="002A66AA" w:rsidRPr="006E170D" w:rsidRDefault="002A66AA" w:rsidP="00473BB9">
            <w:pPr>
              <w:pStyle w:val="TBLText"/>
              <w:spacing w:after="0"/>
            </w:pPr>
            <w:r w:rsidRPr="00D151E9">
              <w:t>Total, by sector</w:t>
            </w:r>
          </w:p>
        </w:tc>
        <w:tc>
          <w:tcPr>
            <w:tcW w:w="1000" w:type="pct"/>
          </w:tcPr>
          <w:p w14:paraId="60D6C109" w14:textId="77777777" w:rsidR="002A66AA" w:rsidRPr="006E170D" w:rsidRDefault="002A66AA" w:rsidP="00473BB9">
            <w:pPr>
              <w:pStyle w:val="TBLText"/>
              <w:spacing w:after="0"/>
            </w:pPr>
            <w:r w:rsidRPr="00D151E9">
              <w:t>$</w:t>
            </w:r>
          </w:p>
        </w:tc>
        <w:tc>
          <w:tcPr>
            <w:tcW w:w="1000" w:type="pct"/>
          </w:tcPr>
          <w:p w14:paraId="29B872E1" w14:textId="77777777" w:rsidR="002A66AA" w:rsidRPr="006E170D" w:rsidRDefault="002A66AA" w:rsidP="00473BB9">
            <w:pPr>
              <w:pStyle w:val="TBLText"/>
              <w:spacing w:after="0"/>
            </w:pPr>
            <w:r w:rsidRPr="00D151E9">
              <w:t>$</w:t>
            </w:r>
          </w:p>
        </w:tc>
        <w:tc>
          <w:tcPr>
            <w:tcW w:w="1000" w:type="pct"/>
          </w:tcPr>
          <w:p w14:paraId="241BD7D7" w14:textId="77777777" w:rsidR="002A66AA" w:rsidRPr="006E170D" w:rsidRDefault="002A66AA" w:rsidP="00473BB9">
            <w:pPr>
              <w:pStyle w:val="TBLText"/>
            </w:pPr>
            <w:r w:rsidRPr="00D151E9">
              <w:t>$</w:t>
            </w:r>
          </w:p>
        </w:tc>
        <w:tc>
          <w:tcPr>
            <w:tcW w:w="1000" w:type="pct"/>
          </w:tcPr>
          <w:p w14:paraId="5B340C20" w14:textId="77777777" w:rsidR="002A66AA" w:rsidRPr="006E170D" w:rsidRDefault="002A66AA" w:rsidP="00473BB9">
            <w:pPr>
              <w:pStyle w:val="TBLText"/>
            </w:pPr>
            <w:r w:rsidRPr="00D151E9">
              <w:t>$</w:t>
            </w:r>
          </w:p>
        </w:tc>
      </w:tr>
    </w:tbl>
    <w:p w14:paraId="54E3169B" w14:textId="7D1F5C47" w:rsidR="002A66AA" w:rsidRDefault="002A66AA" w:rsidP="00922837"/>
    <w:p w14:paraId="37240BA6" w14:textId="77777777" w:rsidR="002A66AA" w:rsidRDefault="002A66AA">
      <w:pPr>
        <w:spacing w:after="200" w:line="288" w:lineRule="auto"/>
      </w:pPr>
      <w:r>
        <w:br w:type="page"/>
      </w:r>
    </w:p>
    <w:p w14:paraId="46A26F1E" w14:textId="77777777" w:rsidR="002A66AA" w:rsidRDefault="002A66AA" w:rsidP="002A66AA">
      <w:pPr>
        <w:pStyle w:val="Heading1"/>
      </w:pPr>
      <w:r>
        <w:lastRenderedPageBreak/>
        <w:t>5. What consultation was undertaken and how was feedback incorporated into the policy design?</w:t>
      </w:r>
    </w:p>
    <w:p w14:paraId="608DBEB1" w14:textId="77777777" w:rsidR="002A66AA" w:rsidRDefault="002A66AA" w:rsidP="002A66AA">
      <w:pPr>
        <w:pStyle w:val="BOXHeading2"/>
      </w:pPr>
      <w:r>
        <w:t>[In this section of the Impact Analysis, you should:</w:t>
      </w:r>
    </w:p>
    <w:p w14:paraId="38D9829D" w14:textId="434DAE42" w:rsidR="002A66AA" w:rsidRDefault="002A66AA" w:rsidP="002A66AA">
      <w:pPr>
        <w:pStyle w:val="BOXBulletedList"/>
      </w:pPr>
      <w:r>
        <w:t>Explain the purpose and objectives of consultation and outline the process of consultation.</w:t>
      </w:r>
    </w:p>
    <w:p w14:paraId="0B74939C" w14:textId="5729BC80" w:rsidR="002A66AA" w:rsidRDefault="002A66AA" w:rsidP="002A66AA">
      <w:pPr>
        <w:pStyle w:val="BOXBulletedList"/>
      </w:pPr>
      <w:r>
        <w:t>Summarise the key feedback from stakeholders, including the areas of agreement as well as areas of difference.</w:t>
      </w:r>
    </w:p>
    <w:p w14:paraId="124F8198" w14:textId="3C186CC9" w:rsidR="002A66AA" w:rsidRDefault="002A66AA" w:rsidP="002A66AA">
      <w:pPr>
        <w:pStyle w:val="BOXBulletedList"/>
      </w:pPr>
      <w:r>
        <w:t>Describe where the policy option(s) has been modified to account for stakeholder feedback, and where and why stakeholder feedback has not been adopted.</w:t>
      </w:r>
    </w:p>
    <w:p w14:paraId="0F2B675C" w14:textId="2360862B" w:rsidR="002A66AA" w:rsidRDefault="002A66AA" w:rsidP="002A66AA">
      <w:pPr>
        <w:pStyle w:val="BOXBulletedList"/>
      </w:pPr>
      <w:r>
        <w:t>Consider alternative consultation approaches where the policy proposal is market sensitive, public consultation may compromise the policy, or where key affected stakeholders may require a different consultation approach.</w:t>
      </w:r>
    </w:p>
    <w:p w14:paraId="0F28DE4F" w14:textId="2B807A0F" w:rsidR="002A66AA" w:rsidRDefault="002A66AA" w:rsidP="002A66AA">
      <w:pPr>
        <w:pStyle w:val="BOXText"/>
      </w:pPr>
      <w:r>
        <w:t>For more information, consult OIA’s website (</w:t>
      </w:r>
      <w:hyperlink r:id="rId28" w:history="1">
        <w:r w:rsidRPr="001357A7">
          <w:rPr>
            <w:rStyle w:val="Hyperlink"/>
          </w:rPr>
          <w:t>https://oia.pmc.gov.au/</w:t>
        </w:r>
      </w:hyperlink>
      <w:r>
        <w:t xml:space="preserve">) or contact OIA at </w:t>
      </w:r>
      <w:hyperlink r:id="rId29" w:history="1">
        <w:r w:rsidRPr="001357A7">
          <w:rPr>
            <w:rStyle w:val="Hyperlink"/>
          </w:rPr>
          <w:t>Helpdesk-OIA@pmc.gov.au</w:t>
        </w:r>
      </w:hyperlink>
      <w:r>
        <w:t>.]</w:t>
      </w:r>
    </w:p>
    <w:p w14:paraId="2DE544C8" w14:textId="0F09443C" w:rsidR="002A66AA" w:rsidRDefault="002A66AA">
      <w:pPr>
        <w:spacing w:after="200" w:line="288" w:lineRule="auto"/>
      </w:pPr>
      <w:r>
        <w:br w:type="page"/>
      </w:r>
    </w:p>
    <w:p w14:paraId="4F8C7C74" w14:textId="77777777" w:rsidR="002A66AA" w:rsidRDefault="002A66AA" w:rsidP="002A66AA">
      <w:pPr>
        <w:pStyle w:val="Heading1"/>
      </w:pPr>
      <w:r>
        <w:lastRenderedPageBreak/>
        <w:t>6. What is the best policy option and how will it be implemented?</w:t>
      </w:r>
    </w:p>
    <w:p w14:paraId="5B8F5923" w14:textId="77777777" w:rsidR="002A66AA" w:rsidRDefault="002A66AA" w:rsidP="002A66AA">
      <w:pPr>
        <w:pStyle w:val="BOXHeading2"/>
      </w:pPr>
      <w:r>
        <w:t>[In this section of the Impact Analysis, you should:</w:t>
      </w:r>
    </w:p>
    <w:p w14:paraId="255B7C3E" w14:textId="3E3655E4" w:rsidR="002A66AA" w:rsidRDefault="002A66AA" w:rsidP="002A66AA">
      <w:pPr>
        <w:pStyle w:val="BOXText"/>
      </w:pPr>
      <w:r>
        <w:t>Indicate the most appropriate policy option to achieve the identified policy objective (question 2) and the reason. Summarise the supporting analysis and clearly outline any caveats or qualifications, and assumptions.</w:t>
      </w:r>
    </w:p>
    <w:p w14:paraId="41BA18E9" w14:textId="57A112C1" w:rsidR="002A66AA" w:rsidRDefault="002A66AA" w:rsidP="002A66AA">
      <w:pPr>
        <w:pStyle w:val="BOXText"/>
      </w:pPr>
      <w:r>
        <w:t xml:space="preserve">Explain how this policy option will be implemented. Assess implementation challenges and risks: their likelihood, consequences and management. Outline any transitional arrangements and an implementation approach. </w:t>
      </w:r>
    </w:p>
    <w:p w14:paraId="1B5A79F0" w14:textId="56342915" w:rsidR="002A66AA" w:rsidRDefault="002A66AA" w:rsidP="002A66AA">
      <w:pPr>
        <w:pStyle w:val="BOXText"/>
      </w:pPr>
      <w:r>
        <w:t>Build on IA question 1, develop a plan to close any relevant data gaps during implementation to support successful monitoring and evaluation of the policy.</w:t>
      </w:r>
    </w:p>
    <w:p w14:paraId="7904B71D" w14:textId="34615162" w:rsidR="002A66AA" w:rsidRDefault="002A66AA" w:rsidP="002A66AA">
      <w:pPr>
        <w:pStyle w:val="BOXText"/>
      </w:pPr>
      <w:r>
        <w:t>For more information, consult OIA’s website (</w:t>
      </w:r>
      <w:hyperlink r:id="rId30" w:history="1">
        <w:r w:rsidRPr="001357A7">
          <w:rPr>
            <w:rStyle w:val="Hyperlink"/>
          </w:rPr>
          <w:t>https://oia.pmc.gov.au/</w:t>
        </w:r>
      </w:hyperlink>
      <w:r>
        <w:t xml:space="preserve">) or contact OIA at </w:t>
      </w:r>
      <w:hyperlink r:id="rId31" w:history="1">
        <w:r w:rsidRPr="001357A7">
          <w:rPr>
            <w:rStyle w:val="Hyperlink"/>
          </w:rPr>
          <w:t>Helpdesk-OIA@pmc.gov.au</w:t>
        </w:r>
      </w:hyperlink>
      <w:r>
        <w:t>.]</w:t>
      </w:r>
    </w:p>
    <w:p w14:paraId="44F1C5F3" w14:textId="6210EB07" w:rsidR="002A66AA" w:rsidRDefault="002A66AA" w:rsidP="002A66AA">
      <w:r>
        <w:t>[Your IA should put forward a preferred option from among those presented and analysed.</w:t>
      </w:r>
    </w:p>
    <w:p w14:paraId="0A43E335" w14:textId="77777777" w:rsidR="002A66AA" w:rsidRDefault="002A66AA" w:rsidP="002A66AA">
      <w:r>
        <w:t xml:space="preserve">Consider the costs and benefits. The option with the </w:t>
      </w:r>
      <w:r w:rsidRPr="002A66AA">
        <w:rPr>
          <w:rStyle w:val="Strong"/>
        </w:rPr>
        <w:t>highest net benefit</w:t>
      </w:r>
      <w:r>
        <w:t xml:space="preserve"> should be your preferred option. In every case the reasons for your choice need to be transparent and defensible. </w:t>
      </w:r>
    </w:p>
    <w:p w14:paraId="69701941" w14:textId="77777777" w:rsidR="002A66AA" w:rsidRDefault="002A66AA" w:rsidP="002A66AA">
      <w:r>
        <w:t>Any areas of uncertainty should be explored transparently. Any assumptions you have made should be disclosed, discussed and assessed, as they may inform a key decision.]</w:t>
      </w:r>
    </w:p>
    <w:p w14:paraId="0C85CAE0" w14:textId="07DBFD1C" w:rsidR="002A66AA" w:rsidRDefault="002A66AA">
      <w:pPr>
        <w:spacing w:after="200" w:line="288" w:lineRule="auto"/>
      </w:pPr>
      <w:r>
        <w:br w:type="page"/>
      </w:r>
    </w:p>
    <w:p w14:paraId="03C4BB4F" w14:textId="77777777" w:rsidR="002A66AA" w:rsidRDefault="002A66AA" w:rsidP="002A66AA">
      <w:pPr>
        <w:pStyle w:val="Heading1"/>
      </w:pPr>
      <w:r>
        <w:lastRenderedPageBreak/>
        <w:t>7. How will the policy be monitored and evaluated?</w:t>
      </w:r>
    </w:p>
    <w:p w14:paraId="2D528790" w14:textId="77777777" w:rsidR="002A66AA" w:rsidRDefault="002A66AA" w:rsidP="002A66AA">
      <w:pPr>
        <w:pStyle w:val="BOXHeading2"/>
      </w:pPr>
      <w:r>
        <w:t>[In this section of the Impact Analysis, you should:</w:t>
      </w:r>
    </w:p>
    <w:p w14:paraId="52276C30" w14:textId="6F3CD116" w:rsidR="002A66AA" w:rsidRDefault="002A66AA" w:rsidP="00653138">
      <w:pPr>
        <w:pStyle w:val="BOXBulletedList"/>
      </w:pPr>
      <w:r>
        <w:t xml:space="preserve">Describe the monitoring activities you will undertake to ensure successful implementation. Specify if a formal evaluation will be conducted and, if not, provide a rationale for not doing so. </w:t>
      </w:r>
    </w:p>
    <w:p w14:paraId="4D6E5536" w14:textId="4D266A6E" w:rsidR="002A66AA" w:rsidRDefault="002A66AA" w:rsidP="00653138">
      <w:pPr>
        <w:pStyle w:val="BOXBulletedList"/>
      </w:pPr>
      <w:r>
        <w:t xml:space="preserve">If a formal evaluation will be conducted: </w:t>
      </w:r>
    </w:p>
    <w:p w14:paraId="1CC7E86A" w14:textId="0D61078B" w:rsidR="002A66AA" w:rsidRPr="00653138" w:rsidRDefault="002A66AA" w:rsidP="00653138">
      <w:pPr>
        <w:pStyle w:val="BOXNumberedList"/>
      </w:pPr>
      <w:r w:rsidRPr="00653138">
        <w:t xml:space="preserve">state when a monitoring and evaluation plan, consistent with </w:t>
      </w:r>
      <w:hyperlink r:id="rId32" w:history="1">
        <w:r w:rsidRPr="00653138">
          <w:t>Commonwealth Evaluation Policy</w:t>
        </w:r>
      </w:hyperlink>
      <w:r w:rsidRPr="00653138">
        <w:t xml:space="preserve">, will be finalised </w:t>
      </w:r>
    </w:p>
    <w:p w14:paraId="3C2BDE49" w14:textId="796D1DCF" w:rsidR="002A66AA" w:rsidRPr="00653138" w:rsidRDefault="002A66AA" w:rsidP="00653138">
      <w:pPr>
        <w:pStyle w:val="BOXNumberedList"/>
      </w:pPr>
      <w:r w:rsidRPr="00653138">
        <w:t xml:space="preserve">provide a tentative date for completion of the evaluation </w:t>
      </w:r>
    </w:p>
    <w:p w14:paraId="79FB5DB3" w14:textId="09042D27" w:rsidR="002A66AA" w:rsidRPr="00653138" w:rsidRDefault="002A66AA" w:rsidP="00653138">
      <w:pPr>
        <w:pStyle w:val="BOXNumberedList"/>
      </w:pPr>
      <w:r w:rsidRPr="00653138">
        <w:t xml:space="preserve">state the type of evaluation that is proposed: process evaluation, outcome/ impact evaluation and/or economic evaluation </w:t>
      </w:r>
    </w:p>
    <w:p w14:paraId="3B468B4C" w14:textId="707FA308" w:rsidR="002A66AA" w:rsidRPr="00653138" w:rsidRDefault="002A66AA" w:rsidP="00653138">
      <w:pPr>
        <w:pStyle w:val="BOXNumberedList"/>
      </w:pPr>
      <w:r w:rsidRPr="00653138">
        <w:t xml:space="preserve">prepare draft key evaluation questions that relate to the policy objective and success metrics set out in IA question 2 </w:t>
      </w:r>
    </w:p>
    <w:p w14:paraId="1C5AB269" w14:textId="3306E606" w:rsidR="002A66AA" w:rsidRPr="00653138" w:rsidRDefault="002A66AA" w:rsidP="00653138">
      <w:pPr>
        <w:pStyle w:val="BOXNumberedList"/>
      </w:pPr>
      <w:r w:rsidRPr="00653138">
        <w:t xml:space="preserve">consider undertaking an initial data needs assessment (that is, what data is needed, what data is already available, and what extra data might need to be collected) </w:t>
      </w:r>
    </w:p>
    <w:p w14:paraId="5E7B2AC7" w14:textId="374CDAF6" w:rsidR="002A66AA" w:rsidRDefault="002A66AA" w:rsidP="00653138">
      <w:pPr>
        <w:pStyle w:val="BOXNumberedList"/>
      </w:pPr>
      <w:r w:rsidRPr="00653138">
        <w:t>consider including</w:t>
      </w:r>
      <w:r>
        <w:t xml:space="preserve"> a draft theory of change.</w:t>
      </w:r>
    </w:p>
    <w:p w14:paraId="3624FCD2" w14:textId="0D90D3B9" w:rsidR="002A66AA" w:rsidRDefault="002A66AA" w:rsidP="002A66AA">
      <w:pPr>
        <w:pStyle w:val="BOXText"/>
      </w:pPr>
      <w:r>
        <w:t>For more information, consult OIA’s website (</w:t>
      </w:r>
      <w:hyperlink r:id="rId33" w:history="1">
        <w:r w:rsidR="00653138" w:rsidRPr="001357A7">
          <w:rPr>
            <w:rStyle w:val="Hyperlink"/>
          </w:rPr>
          <w:t>https://oia.pmc.gov.au/</w:t>
        </w:r>
      </w:hyperlink>
      <w:r>
        <w:t xml:space="preserve">) or contact OIA at </w:t>
      </w:r>
      <w:hyperlink r:id="rId34" w:history="1">
        <w:r w:rsidR="00653138" w:rsidRPr="001357A7">
          <w:rPr>
            <w:rStyle w:val="Hyperlink"/>
          </w:rPr>
          <w:t>Helpdesk-OIA@pmc.gov.au</w:t>
        </w:r>
      </w:hyperlink>
      <w:r>
        <w:t>. Refer to guidance by the Australian Centre for Evaluation (ACE) in Treasury (</w:t>
      </w:r>
      <w:hyperlink r:id="rId35" w:history="1">
        <w:r w:rsidR="00653138" w:rsidRPr="001357A7">
          <w:rPr>
            <w:rStyle w:val="Hyperlink"/>
          </w:rPr>
          <w:t>https://evaluation.treasury.gov.au/</w:t>
        </w:r>
      </w:hyperlink>
      <w:r>
        <w:t>).]</w:t>
      </w:r>
    </w:p>
    <w:p w14:paraId="7CD471D1" w14:textId="55FBC743" w:rsidR="00653138" w:rsidRDefault="00653138">
      <w:pPr>
        <w:spacing w:after="200" w:line="288" w:lineRule="auto"/>
      </w:pPr>
      <w:r>
        <w:br w:type="page"/>
      </w:r>
    </w:p>
    <w:p w14:paraId="21B10F21" w14:textId="77777777" w:rsidR="00653138" w:rsidRDefault="00653138" w:rsidP="00653138">
      <w:pPr>
        <w:pStyle w:val="Heading1"/>
      </w:pPr>
      <w:r>
        <w:lastRenderedPageBreak/>
        <w:t xml:space="preserve">Additional Information / Summary </w:t>
      </w:r>
    </w:p>
    <w:p w14:paraId="209E1FBC" w14:textId="77777777" w:rsidR="00653138" w:rsidRDefault="00653138" w:rsidP="00653138">
      <w:r>
        <w:t>[(if applicable)]</w:t>
      </w:r>
    </w:p>
    <w:p w14:paraId="6D34325B" w14:textId="77777777" w:rsidR="00653138" w:rsidRDefault="00653138" w:rsidP="00653138">
      <w:pPr>
        <w:pStyle w:val="Heading2"/>
      </w:pPr>
      <w:r>
        <w:t>Privacy and disclosure</w:t>
      </w:r>
    </w:p>
    <w:p w14:paraId="067CBCB5" w14:textId="77777777" w:rsidR="00653138" w:rsidRDefault="00653138" w:rsidP="00653138">
      <w:r>
        <w:t>[]</w:t>
      </w:r>
    </w:p>
    <w:p w14:paraId="7A6011BD" w14:textId="77777777" w:rsidR="00653138" w:rsidRDefault="00653138" w:rsidP="00653138">
      <w:pPr>
        <w:pStyle w:val="Heading1"/>
      </w:pPr>
      <w:r>
        <w:t>Key Terms</w:t>
      </w:r>
    </w:p>
    <w:p w14:paraId="52958362" w14:textId="77777777" w:rsidR="00653138" w:rsidRDefault="00653138" w:rsidP="00653138">
      <w:pPr>
        <w:pStyle w:val="Heading2"/>
      </w:pPr>
      <w:r>
        <w:t>Subtitle</w:t>
      </w:r>
    </w:p>
    <w:p w14:paraId="4CDE2D07" w14:textId="77777777" w:rsidR="00653138" w:rsidRDefault="00653138" w:rsidP="00653138">
      <w:r>
        <w:t>[]</w:t>
      </w:r>
    </w:p>
    <w:p w14:paraId="02724B00" w14:textId="77777777" w:rsidR="00653138" w:rsidRDefault="00653138" w:rsidP="00653138">
      <w:pPr>
        <w:pStyle w:val="Heading1"/>
      </w:pPr>
      <w:r>
        <w:t>Reference</w:t>
      </w:r>
    </w:p>
    <w:p w14:paraId="75B3F03A" w14:textId="77777777" w:rsidR="00653138" w:rsidRDefault="00653138" w:rsidP="00653138">
      <w:pPr>
        <w:pStyle w:val="Heading2"/>
      </w:pPr>
      <w:r>
        <w:t>Subtitle</w:t>
      </w:r>
    </w:p>
    <w:p w14:paraId="1313C7E1" w14:textId="77777777" w:rsidR="00653138" w:rsidRDefault="00653138" w:rsidP="00653138">
      <w:r>
        <w:t>[]</w:t>
      </w:r>
    </w:p>
    <w:p w14:paraId="78E7AF05" w14:textId="77777777" w:rsidR="00653138" w:rsidRDefault="00653138" w:rsidP="00653138">
      <w:pPr>
        <w:pStyle w:val="Heading1"/>
      </w:pPr>
      <w:r>
        <w:t>Appendix XXX</w:t>
      </w:r>
    </w:p>
    <w:p w14:paraId="37183BC5" w14:textId="6B323A11" w:rsidR="00FC5894" w:rsidRDefault="00653138" w:rsidP="00653138">
      <w:pPr>
        <w:pStyle w:val="Heading2"/>
      </w:pPr>
      <w:r>
        <w:t>Subtitle</w:t>
      </w:r>
    </w:p>
    <w:p w14:paraId="0B2B7C69" w14:textId="77777777" w:rsidR="00FC5894" w:rsidRDefault="00FC5894" w:rsidP="00922837"/>
    <w:sectPr w:rsidR="00FC5894" w:rsidSect="002356F8">
      <w:headerReference w:type="default" r:id="rId36"/>
      <w:footerReference w:type="default" r:id="rId37"/>
      <w:headerReference w:type="first" r:id="rId38"/>
      <w:footerReference w:type="first" r:id="rId39"/>
      <w:pgSz w:w="11906" w:h="16838"/>
      <w:pgMar w:top="1701" w:right="1134" w:bottom="1134" w:left="1134" w:header="992"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BE763" w14:textId="77777777" w:rsidR="00652F75" w:rsidRDefault="00652F75" w:rsidP="00F957C6">
      <w:pPr>
        <w:spacing w:after="0" w:line="240" w:lineRule="auto"/>
      </w:pPr>
      <w:r>
        <w:separator/>
      </w:r>
    </w:p>
  </w:endnote>
  <w:endnote w:type="continuationSeparator" w:id="0">
    <w:p w14:paraId="008F70A0" w14:textId="77777777" w:rsidR="00652F75" w:rsidRDefault="00652F75" w:rsidP="00F95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Inter Light">
    <w:charset w:val="00"/>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4266D" w14:textId="0EE40A15" w:rsidR="002B5F74" w:rsidRDefault="009074E8" w:rsidP="002B5F74">
    <w:pPr>
      <w:pStyle w:val="Header"/>
      <w:jc w:val="center"/>
      <w:rPr>
        <w:color w:val="6E6E6E"/>
        <w:sz w:val="18"/>
        <w:szCs w:val="18"/>
      </w:rPr>
    </w:pPr>
    <w:sdt>
      <w:sdtPr>
        <w:rPr>
          <w:rStyle w:val="CLASSIFICATIONChar"/>
          <w:caps w:val="0"/>
        </w:rPr>
        <w:alias w:val="Classification"/>
        <w:tag w:val="Classification"/>
        <w:id w:val="-1876923508"/>
        <w15:color w:val="FF0000"/>
        <w:dropDownList>
          <w:listItem w:displayText="Classification" w:value="1"/>
          <w:listItem w:displayText="Official" w:value="2"/>
          <w:listItem w:displayText="Official: Sensitive" w:value="3"/>
          <w:listItem w:displayText="Protected" w:value="4"/>
          <w:listItem w:displayText="Protected: Cabinet" w:value="Protected: Cabinet"/>
          <w:listItem w:displayText="Secret" w:value="5"/>
          <w:listItem w:displayText="Top Secret and Codeword" w:value="6"/>
        </w:dropDownList>
      </w:sdtPr>
      <w:sdtEndPr>
        <w:rPr>
          <w:rStyle w:val="CLASSIFICATIONChar"/>
        </w:rPr>
      </w:sdtEndPr>
      <w:sdtContent>
        <w:r w:rsidR="002B5F74">
          <w:rPr>
            <w:rStyle w:val="CLASSIFICATIONChar"/>
          </w:rPr>
          <w:t>Classification</w:t>
        </w:r>
      </w:sdtContent>
    </w:sdt>
  </w:p>
  <w:p w14:paraId="15039784" w14:textId="09602265" w:rsidR="00037513" w:rsidRPr="00852F35" w:rsidRDefault="00936C83" w:rsidP="00936C83">
    <w:pPr>
      <w:pStyle w:val="Header"/>
      <w:rPr>
        <w:rFonts w:ascii="Segoe UI" w:hAnsi="Segoe UI" w:cs="Segoe UI"/>
        <w:color w:val="6E6E6E"/>
        <w:sz w:val="18"/>
      </w:rPr>
    </w:pPr>
    <w:r>
      <w:rPr>
        <w:color w:val="6E6E6E"/>
        <w:sz w:val="18"/>
        <w:szCs w:val="18"/>
      </w:rPr>
      <w:t xml:space="preserve">Australian Government </w:t>
    </w:r>
    <w:r w:rsidRPr="00852F35">
      <w:rPr>
        <w:color w:val="6E6E6E"/>
        <w:sz w:val="18"/>
        <w:szCs w:val="18"/>
      </w:rPr>
      <w:t xml:space="preserve">| </w:t>
    </w:r>
    <w:r w:rsidR="00C23BE0">
      <w:rPr>
        <w:color w:val="6E6E6E"/>
        <w:sz w:val="18"/>
        <w:szCs w:val="18"/>
      </w:rPr>
      <w:t>Title</w:t>
    </w:r>
    <w:r w:rsidRPr="00852F35">
      <w:rPr>
        <w:color w:val="6E6E6E"/>
      </w:rPr>
      <w:ptab w:relativeTo="margin" w:alignment="right" w:leader="none"/>
    </w:r>
    <w:r w:rsidRPr="00852F35">
      <w:rPr>
        <w:rFonts w:ascii="Segoe UI" w:hAnsi="Segoe UI" w:cs="Segoe UI"/>
        <w:color w:val="6E6E6E"/>
        <w:sz w:val="18"/>
      </w:rPr>
      <w:fldChar w:fldCharType="begin"/>
    </w:r>
    <w:r w:rsidRPr="00852F35">
      <w:rPr>
        <w:rFonts w:ascii="Segoe UI" w:hAnsi="Segoe UI" w:cs="Segoe UI"/>
        <w:color w:val="6E6E6E"/>
        <w:sz w:val="18"/>
      </w:rPr>
      <w:instrText xml:space="preserve"> PAGE   \* MERGEFORMAT </w:instrText>
    </w:r>
    <w:r w:rsidRPr="00852F35">
      <w:rPr>
        <w:rFonts w:ascii="Segoe UI" w:hAnsi="Segoe UI" w:cs="Segoe UI"/>
        <w:color w:val="6E6E6E"/>
        <w:sz w:val="18"/>
      </w:rPr>
      <w:fldChar w:fldCharType="separate"/>
    </w:r>
    <w:r>
      <w:rPr>
        <w:rFonts w:ascii="Segoe UI" w:hAnsi="Segoe UI" w:cs="Segoe UI"/>
        <w:color w:val="6E6E6E"/>
        <w:sz w:val="18"/>
      </w:rPr>
      <w:t>1</w:t>
    </w:r>
    <w:r w:rsidRPr="00852F35">
      <w:rPr>
        <w:rFonts w:ascii="Segoe UI" w:hAnsi="Segoe UI" w:cs="Segoe UI"/>
        <w:noProof/>
        <w:color w:val="6E6E6E"/>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8C633" w14:textId="77777777" w:rsidR="006E7551" w:rsidRDefault="006E7551" w:rsidP="00BB1526">
    <w:pPr>
      <w:pStyle w:val="Header"/>
      <w:rPr>
        <w:color w:val="6E6E6E"/>
        <w:sz w:val="18"/>
        <w:szCs w:val="18"/>
      </w:rPr>
    </w:pPr>
  </w:p>
  <w:p w14:paraId="14A86F24" w14:textId="2DA59ECA" w:rsidR="00464D89" w:rsidRPr="00BB1526" w:rsidRDefault="005A3632" w:rsidP="00BB1526">
    <w:pPr>
      <w:pStyle w:val="Header"/>
      <w:rPr>
        <w:rFonts w:ascii="Segoe UI" w:hAnsi="Segoe UI" w:cs="Segoe UI"/>
        <w:color w:val="6E6E6E"/>
        <w:sz w:val="18"/>
      </w:rPr>
    </w:pPr>
    <w:r>
      <w:rPr>
        <w:color w:val="6E6E6E"/>
        <w:sz w:val="18"/>
        <w:szCs w:val="18"/>
      </w:rPr>
      <w:t xml:space="preserve">Australian Government </w:t>
    </w:r>
    <w:r w:rsidRPr="00852F35">
      <w:rPr>
        <w:color w:val="6E6E6E"/>
        <w:sz w:val="18"/>
        <w:szCs w:val="18"/>
      </w:rPr>
      <w:t>|</w:t>
    </w:r>
    <w:r w:rsidR="00BB1526" w:rsidRPr="00852F35">
      <w:rPr>
        <w:color w:val="6E6E6E"/>
        <w:sz w:val="18"/>
        <w:szCs w:val="18"/>
      </w:rPr>
      <w:t xml:space="preserve"> </w:t>
    </w:r>
    <w:r w:rsidR="00C23BE0">
      <w:rPr>
        <w:color w:val="6E6E6E"/>
        <w:sz w:val="18"/>
        <w:szCs w:val="18"/>
      </w:rPr>
      <w:t>Title</w:t>
    </w:r>
    <w:r w:rsidR="00BB1526" w:rsidRPr="00852F35">
      <w:rPr>
        <w:color w:val="6E6E6E"/>
      </w:rPr>
      <w:ptab w:relativeTo="margin" w:alignment="right" w:leader="none"/>
    </w:r>
    <w:r w:rsidR="00BB1526" w:rsidRPr="00852F35">
      <w:rPr>
        <w:rFonts w:ascii="Segoe UI" w:hAnsi="Segoe UI" w:cs="Segoe UI"/>
        <w:color w:val="6E6E6E"/>
        <w:sz w:val="18"/>
      </w:rPr>
      <w:fldChar w:fldCharType="begin"/>
    </w:r>
    <w:r w:rsidR="00BB1526" w:rsidRPr="00852F35">
      <w:rPr>
        <w:rFonts w:ascii="Segoe UI" w:hAnsi="Segoe UI" w:cs="Segoe UI"/>
        <w:color w:val="6E6E6E"/>
        <w:sz w:val="18"/>
      </w:rPr>
      <w:instrText xml:space="preserve"> PAGE   \* MERGEFORMAT </w:instrText>
    </w:r>
    <w:r w:rsidR="00BB1526" w:rsidRPr="00852F35">
      <w:rPr>
        <w:rFonts w:ascii="Segoe UI" w:hAnsi="Segoe UI" w:cs="Segoe UI"/>
        <w:color w:val="6E6E6E"/>
        <w:sz w:val="18"/>
      </w:rPr>
      <w:fldChar w:fldCharType="separate"/>
    </w:r>
    <w:r w:rsidR="00E155C1">
      <w:rPr>
        <w:rFonts w:ascii="Segoe UI" w:hAnsi="Segoe UI" w:cs="Segoe UI"/>
        <w:noProof/>
        <w:color w:val="6E6E6E"/>
        <w:sz w:val="18"/>
      </w:rPr>
      <w:t>1</w:t>
    </w:r>
    <w:r w:rsidR="00BB1526" w:rsidRPr="00852F35">
      <w:rPr>
        <w:rFonts w:ascii="Segoe UI" w:hAnsi="Segoe UI" w:cs="Segoe UI"/>
        <w:noProof/>
        <w:color w:val="6E6E6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FB2BE" w14:textId="77777777" w:rsidR="00652F75" w:rsidRDefault="00652F75" w:rsidP="00F957C6">
      <w:pPr>
        <w:spacing w:after="0" w:line="240" w:lineRule="auto"/>
      </w:pPr>
      <w:r>
        <w:separator/>
      </w:r>
    </w:p>
  </w:footnote>
  <w:footnote w:type="continuationSeparator" w:id="0">
    <w:p w14:paraId="628D6F8A" w14:textId="77777777" w:rsidR="00652F75" w:rsidRDefault="00652F75" w:rsidP="00F95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7BDB8" w14:textId="77777777" w:rsidR="007A63CE" w:rsidRPr="00D10635" w:rsidRDefault="009074E8" w:rsidP="007A63CE">
    <w:pPr>
      <w:pStyle w:val="Header"/>
      <w:jc w:val="center"/>
    </w:pPr>
    <w:sdt>
      <w:sdtPr>
        <w:rPr>
          <w:rStyle w:val="CLASSIFICATIONChar"/>
        </w:rPr>
        <w:alias w:val="Classification"/>
        <w:tag w:val="Classification"/>
        <w:id w:val="-1388651098"/>
        <w15:color w:val="FF0000"/>
        <w:dropDownList>
          <w:listItem w:displayText="Classification" w:value="1"/>
          <w:listItem w:displayText="Official" w:value="2"/>
          <w:listItem w:displayText="Official: Sensitive" w:value="3"/>
          <w:listItem w:displayText="Protected" w:value="4"/>
          <w:listItem w:displayText="Protected: Cabinet" w:value="Protected: Cabinet"/>
          <w:listItem w:displayText="Secret" w:value="5"/>
          <w:listItem w:displayText="Top Secret and Codeword" w:value="6"/>
        </w:dropDownList>
      </w:sdtPr>
      <w:sdtEndPr>
        <w:rPr>
          <w:rStyle w:val="CLASSIFICATIONChar"/>
        </w:rPr>
      </w:sdtEndPr>
      <w:sdtContent>
        <w:r w:rsidR="007A63CE">
          <w:rPr>
            <w:rStyle w:val="CLASSIFICATIONChar"/>
          </w:rPr>
          <w:t>Classification</w:t>
        </w:r>
      </w:sdtContent>
    </w:sdt>
  </w:p>
  <w:p w14:paraId="2B949D71" w14:textId="699A8BF2" w:rsidR="00095B0C" w:rsidRPr="007A63CE" w:rsidRDefault="00095B0C" w:rsidP="007A63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8C02B" w14:textId="77777777" w:rsidR="007A63CE" w:rsidRPr="00D10635" w:rsidRDefault="009074E8" w:rsidP="007A63CE">
    <w:pPr>
      <w:pStyle w:val="Header"/>
      <w:jc w:val="center"/>
    </w:pPr>
    <w:sdt>
      <w:sdtPr>
        <w:rPr>
          <w:rStyle w:val="CLASSIFICATIONChar"/>
        </w:rPr>
        <w:alias w:val="Classification"/>
        <w:tag w:val="Classification"/>
        <w:id w:val="-132793247"/>
        <w15:color w:val="FF0000"/>
        <w:dropDownList>
          <w:listItem w:displayText="Classification" w:value="1"/>
          <w:listItem w:displayText="Official" w:value="2"/>
          <w:listItem w:displayText="Official: Sensitive" w:value="3"/>
          <w:listItem w:displayText="Protected" w:value="4"/>
          <w:listItem w:displayText="Protected: Cabinet" w:value="Protected: Cabinet"/>
          <w:listItem w:displayText="Secret" w:value="5"/>
          <w:listItem w:displayText="Top Secret and Codeword" w:value="6"/>
        </w:dropDownList>
      </w:sdtPr>
      <w:sdtEndPr>
        <w:rPr>
          <w:rStyle w:val="CLASSIFICATIONChar"/>
        </w:rPr>
      </w:sdtEndPr>
      <w:sdtContent>
        <w:r w:rsidR="007A63CE">
          <w:rPr>
            <w:rStyle w:val="CLASSIFICATIONChar"/>
          </w:rPr>
          <w:t>Classification</w:t>
        </w:r>
      </w:sdtContent>
    </w:sdt>
  </w:p>
  <w:p w14:paraId="5D61E724" w14:textId="62F7A162" w:rsidR="0026634E" w:rsidRDefault="0026634E" w:rsidP="0026634E">
    <w:pPr>
      <w:pStyle w:val="Header"/>
      <w:jc w:val="center"/>
      <w:rPr>
        <w:rStyle w:val="CLASSIFICATIONChar"/>
      </w:rPr>
    </w:pPr>
    <w:r>
      <w:rPr>
        <w:rStyle w:val="CLASSIFICATIONChar"/>
        <w:noProof/>
        <w:lang w:eastAsia="en-AU"/>
      </w:rPr>
      <w:drawing>
        <wp:anchor distT="0" distB="0" distL="114300" distR="114300" simplePos="0" relativeHeight="251658752" behindDoc="1" locked="0" layoutInCell="1" allowOverlap="1" wp14:anchorId="0BAD895F" wp14:editId="1B7BAD46">
          <wp:simplePos x="0" y="0"/>
          <wp:positionH relativeFrom="column">
            <wp:posOffset>-46990</wp:posOffset>
          </wp:positionH>
          <wp:positionV relativeFrom="paragraph">
            <wp:posOffset>-217805</wp:posOffset>
          </wp:positionV>
          <wp:extent cx="2322830" cy="621665"/>
          <wp:effectExtent l="0" t="0" r="1270" b="6985"/>
          <wp:wrapNone/>
          <wp:docPr id="16" name="Picture 16"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ustralian Govern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2830" cy="621665"/>
                  </a:xfrm>
                  <a:prstGeom prst="rect">
                    <a:avLst/>
                  </a:prstGeom>
                  <a:noFill/>
                </pic:spPr>
              </pic:pic>
            </a:graphicData>
          </a:graphic>
        </wp:anchor>
      </w:drawing>
    </w:r>
  </w:p>
  <w:p w14:paraId="0FED2979" w14:textId="77777777" w:rsidR="0026634E" w:rsidRDefault="0026634E" w:rsidP="0026634E">
    <w:pPr>
      <w:pStyle w:val="Header"/>
      <w:jc w:val="center"/>
      <w:rPr>
        <w:rStyle w:val="CLASSIFICATIONChar"/>
      </w:rPr>
    </w:pPr>
  </w:p>
  <w:p w14:paraId="185CAED2" w14:textId="775913C7" w:rsidR="0026634E" w:rsidRDefault="0026634E" w:rsidP="0026634E">
    <w:pPr>
      <w:pStyle w:val="Header"/>
      <w:jc w:val="center"/>
    </w:pPr>
  </w:p>
  <w:p w14:paraId="36AB7A0B" w14:textId="77777777" w:rsidR="00037513" w:rsidRPr="0026634E" w:rsidRDefault="00037513" w:rsidP="002663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04592A"/>
    <w:lvl w:ilvl="0">
      <w:start w:val="1"/>
      <w:numFmt w:val="decimal"/>
      <w:lvlText w:val="%1."/>
      <w:lvlJc w:val="left"/>
      <w:pPr>
        <w:tabs>
          <w:tab w:val="num" w:pos="2060"/>
        </w:tabs>
        <w:ind w:left="2060" w:hanging="360"/>
      </w:pPr>
    </w:lvl>
  </w:abstractNum>
  <w:abstractNum w:abstractNumId="1" w15:restartNumberingAfterBreak="0">
    <w:nsid w:val="FFFFFF7D"/>
    <w:multiLevelType w:val="singleLevel"/>
    <w:tmpl w:val="35487F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50D9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D612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71469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F01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FE08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9813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620C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4281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75033"/>
    <w:multiLevelType w:val="hybridMultilevel"/>
    <w:tmpl w:val="C6DC8A2C"/>
    <w:lvl w:ilvl="0" w:tplc="458A1C2C">
      <w:start w:val="1"/>
      <w:numFmt w:val="bullet"/>
      <w:pStyle w:val="TBL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014CCD"/>
    <w:multiLevelType w:val="hybridMultilevel"/>
    <w:tmpl w:val="81CE260E"/>
    <w:lvl w:ilvl="0" w:tplc="587CFFAE">
      <w:start w:val="1"/>
      <w:numFmt w:val="bullet"/>
      <w:pStyle w:val="BOXBulletedList"/>
      <w:lvlText w:val=""/>
      <w:lvlJc w:val="left"/>
      <w:pPr>
        <w:ind w:left="284" w:hanging="284"/>
      </w:pPr>
      <w:rPr>
        <w:rFonts w:ascii="Symbol" w:hAnsi="Symbol" w:hint="default"/>
      </w:rPr>
    </w:lvl>
    <w:lvl w:ilvl="1" w:tplc="AFD0641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AF6F03"/>
    <w:multiLevelType w:val="hybridMultilevel"/>
    <w:tmpl w:val="4CF49542"/>
    <w:lvl w:ilvl="0" w:tplc="6C069990">
      <w:start w:val="1"/>
      <w:numFmt w:val="bullet"/>
      <w:pStyle w:val="BulletedList-Level3"/>
      <w:lvlText w:val="o"/>
      <w:lvlJc w:val="left"/>
      <w:pPr>
        <w:ind w:left="1134" w:hanging="283"/>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13A3105B"/>
    <w:multiLevelType w:val="hybridMultilevel"/>
    <w:tmpl w:val="2F88CC68"/>
    <w:lvl w:ilvl="0" w:tplc="93300146">
      <w:start w:val="1"/>
      <w:numFmt w:val="decimal"/>
      <w:pStyle w:val="BoxDark-NumberedList"/>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14" w15:restartNumberingAfterBreak="0">
    <w:nsid w:val="19F33BBA"/>
    <w:multiLevelType w:val="hybridMultilevel"/>
    <w:tmpl w:val="0812E2DE"/>
    <w:lvl w:ilvl="0" w:tplc="E1AE5D66">
      <w:start w:val="1"/>
      <w:numFmt w:val="decimal"/>
      <w:pStyle w:val="Figure"/>
      <w:suff w:val="space"/>
      <w:lvlText w:val="Figure %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507AC4"/>
    <w:multiLevelType w:val="hybridMultilevel"/>
    <w:tmpl w:val="6FFA548C"/>
    <w:lvl w:ilvl="0" w:tplc="E7066796">
      <w:start w:val="1"/>
      <w:numFmt w:val="bullet"/>
      <w:pStyle w:val="BulletedList-Level2"/>
      <w:lvlText w:val="−"/>
      <w:lvlJc w:val="left"/>
      <w:pPr>
        <w:ind w:left="851"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26DF05D0"/>
    <w:multiLevelType w:val="hybridMultilevel"/>
    <w:tmpl w:val="361C2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7854A54"/>
    <w:multiLevelType w:val="hybridMultilevel"/>
    <w:tmpl w:val="253E2E62"/>
    <w:lvl w:ilvl="0" w:tplc="B2AA9F56">
      <w:start w:val="1"/>
      <w:numFmt w:val="bullet"/>
      <w:pStyle w:val="BulletedList-Level1"/>
      <w:lvlText w:val=""/>
      <w:lvlJc w:val="left"/>
      <w:pPr>
        <w:ind w:left="425" w:hanging="283"/>
      </w:pPr>
      <w:rPr>
        <w:rFonts w:ascii="Symbol" w:hAnsi="Symbol" w:hint="default"/>
      </w:rPr>
    </w:lvl>
    <w:lvl w:ilvl="1" w:tplc="4BB4D094">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EFC13BC">
      <w:start w:val="1"/>
      <w:numFmt w:val="bullet"/>
      <w:lvlText w:val=""/>
      <w:lvlJc w:val="left"/>
      <w:pPr>
        <w:ind w:left="992" w:hanging="283"/>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8" w15:restartNumberingAfterBreak="0">
    <w:nsid w:val="331F7AD9"/>
    <w:multiLevelType w:val="hybridMultilevel"/>
    <w:tmpl w:val="4B0C701E"/>
    <w:lvl w:ilvl="0" w:tplc="47167A52">
      <w:start w:val="1"/>
      <w:numFmt w:val="bullet"/>
      <w:pStyle w:val="2ndBoxbullet"/>
      <w:lvlText w:val="o"/>
      <w:lvlJc w:val="left"/>
      <w:pPr>
        <w:ind w:left="1174" w:hanging="360"/>
      </w:pPr>
      <w:rPr>
        <w:rFonts w:ascii="Courier New" w:hAnsi="Courier New" w:cs="Courier New"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19" w15:restartNumberingAfterBreak="0">
    <w:nsid w:val="3A43634D"/>
    <w:multiLevelType w:val="hybridMultilevel"/>
    <w:tmpl w:val="BCB85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6C7FF6"/>
    <w:multiLevelType w:val="hybridMultilevel"/>
    <w:tmpl w:val="B4801F7A"/>
    <w:lvl w:ilvl="0" w:tplc="02826D6A">
      <w:start w:val="1"/>
      <w:numFmt w:val="bullet"/>
      <w:pStyle w:val="BOXNumberedList"/>
      <w:lvlText w:val="o"/>
      <w:lvlJc w:val="left"/>
      <w:pPr>
        <w:ind w:left="587" w:hanging="360"/>
      </w:pPr>
      <w:rPr>
        <w:rFonts w:ascii="Courier New" w:hAnsi="Courier New" w:cs="Courier New" w:hint="default"/>
      </w:r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21" w15:restartNumberingAfterBreak="0">
    <w:nsid w:val="4E781EDD"/>
    <w:multiLevelType w:val="hybridMultilevel"/>
    <w:tmpl w:val="6B225E28"/>
    <w:lvl w:ilvl="0" w:tplc="1B58674C">
      <w:start w:val="1"/>
      <w:numFmt w:val="bullet"/>
      <w:lvlText w:val="–"/>
      <w:lvlJc w:val="left"/>
      <w:pPr>
        <w:ind w:left="851" w:hanging="284"/>
      </w:pPr>
      <w:rPr>
        <w:rFonts w:ascii="Arial Black" w:hAnsi="Arial Black"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61135143"/>
    <w:multiLevelType w:val="hybridMultilevel"/>
    <w:tmpl w:val="7D8C0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ABF0286"/>
    <w:multiLevelType w:val="hybridMultilevel"/>
    <w:tmpl w:val="70C6C990"/>
    <w:lvl w:ilvl="0" w:tplc="56D0C196">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EE51B32"/>
    <w:multiLevelType w:val="hybridMultilevel"/>
    <w:tmpl w:val="F2CE71E2"/>
    <w:lvl w:ilvl="0" w:tplc="5E348A7E">
      <w:start w:val="1"/>
      <w:numFmt w:val="decimal"/>
      <w:pStyle w:val="TB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81170D5"/>
    <w:multiLevelType w:val="hybridMultilevel"/>
    <w:tmpl w:val="38E03EE6"/>
    <w:lvl w:ilvl="0" w:tplc="9C7CCF60">
      <w:start w:val="1"/>
      <w:numFmt w:val="decimal"/>
      <w:pStyle w:val="NumberedList-Level1"/>
      <w:lvlText w:val="%1."/>
      <w:lvlJc w:val="left"/>
      <w:pPr>
        <w:ind w:left="567" w:hanging="283"/>
      </w:pPr>
      <w:rPr>
        <w:rFonts w:hint="default"/>
      </w:rPr>
    </w:lvl>
    <w:lvl w:ilvl="1" w:tplc="1FAA0FEC">
      <w:start w:val="1"/>
      <w:numFmt w:val="lowerLetter"/>
      <w:pStyle w:val="NumberedList-level2"/>
      <w:lvlText w:val="%2."/>
      <w:lvlJc w:val="left"/>
      <w:pPr>
        <w:ind w:left="851" w:hanging="284"/>
      </w:pPr>
      <w:rPr>
        <w:rFonts w:hint="default"/>
      </w:rPr>
    </w:lvl>
    <w:lvl w:ilvl="2" w:tplc="65FAA32A">
      <w:start w:val="1"/>
      <w:numFmt w:val="lowerRoman"/>
      <w:pStyle w:val="NumberedList-Level3"/>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25884965">
    <w:abstractNumId w:val="11"/>
  </w:num>
  <w:num w:numId="2" w16cid:durableId="404568253">
    <w:abstractNumId w:val="9"/>
  </w:num>
  <w:num w:numId="3" w16cid:durableId="504319927">
    <w:abstractNumId w:val="7"/>
  </w:num>
  <w:num w:numId="4" w16cid:durableId="302465916">
    <w:abstractNumId w:val="6"/>
  </w:num>
  <w:num w:numId="5" w16cid:durableId="1197698854">
    <w:abstractNumId w:val="5"/>
  </w:num>
  <w:num w:numId="6" w16cid:durableId="680863680">
    <w:abstractNumId w:val="4"/>
  </w:num>
  <w:num w:numId="7" w16cid:durableId="255748006">
    <w:abstractNumId w:val="8"/>
  </w:num>
  <w:num w:numId="8" w16cid:durableId="1137651052">
    <w:abstractNumId w:val="3"/>
  </w:num>
  <w:num w:numId="9" w16cid:durableId="96338727">
    <w:abstractNumId w:val="2"/>
  </w:num>
  <w:num w:numId="10" w16cid:durableId="372266075">
    <w:abstractNumId w:val="1"/>
  </w:num>
  <w:num w:numId="11" w16cid:durableId="888490440">
    <w:abstractNumId w:val="0"/>
  </w:num>
  <w:num w:numId="12" w16cid:durableId="1815296940">
    <w:abstractNumId w:val="10"/>
  </w:num>
  <w:num w:numId="13" w16cid:durableId="1560096658">
    <w:abstractNumId w:val="24"/>
  </w:num>
  <w:num w:numId="14" w16cid:durableId="219633512">
    <w:abstractNumId w:val="17"/>
  </w:num>
  <w:num w:numId="15" w16cid:durableId="590897300">
    <w:abstractNumId w:val="17"/>
    <w:lvlOverride w:ilvl="0">
      <w:startOverride w:val="1"/>
    </w:lvlOverride>
  </w:num>
  <w:num w:numId="16" w16cid:durableId="534200502">
    <w:abstractNumId w:val="17"/>
    <w:lvlOverride w:ilvl="0">
      <w:startOverride w:val="1"/>
    </w:lvlOverride>
  </w:num>
  <w:num w:numId="17" w16cid:durableId="2023972854">
    <w:abstractNumId w:val="17"/>
    <w:lvlOverride w:ilvl="0">
      <w:startOverride w:val="1"/>
    </w:lvlOverride>
  </w:num>
  <w:num w:numId="18" w16cid:durableId="564725321">
    <w:abstractNumId w:val="17"/>
    <w:lvlOverride w:ilvl="0">
      <w:startOverride w:val="1"/>
    </w:lvlOverride>
  </w:num>
  <w:num w:numId="19" w16cid:durableId="224335938">
    <w:abstractNumId w:val="21"/>
  </w:num>
  <w:num w:numId="20" w16cid:durableId="1190410526">
    <w:abstractNumId w:val="21"/>
    <w:lvlOverride w:ilvl="0">
      <w:startOverride w:val="1"/>
    </w:lvlOverride>
  </w:num>
  <w:num w:numId="21" w16cid:durableId="1408385144">
    <w:abstractNumId w:val="25"/>
  </w:num>
  <w:num w:numId="22" w16cid:durableId="1652633785">
    <w:abstractNumId w:val="23"/>
  </w:num>
  <w:num w:numId="23" w16cid:durableId="1863855379">
    <w:abstractNumId w:val="11"/>
    <w:lvlOverride w:ilvl="0">
      <w:startOverride w:val="1"/>
    </w:lvlOverride>
  </w:num>
  <w:num w:numId="24" w16cid:durableId="1004935679">
    <w:abstractNumId w:val="25"/>
    <w:lvlOverride w:ilvl="0">
      <w:startOverride w:val="1"/>
    </w:lvlOverride>
  </w:num>
  <w:num w:numId="25" w16cid:durableId="556090353">
    <w:abstractNumId w:val="23"/>
    <w:lvlOverride w:ilvl="0">
      <w:startOverride w:val="1"/>
    </w:lvlOverride>
  </w:num>
  <w:num w:numId="26" w16cid:durableId="1451320037">
    <w:abstractNumId w:val="23"/>
    <w:lvlOverride w:ilvl="0">
      <w:startOverride w:val="1"/>
    </w:lvlOverride>
  </w:num>
  <w:num w:numId="27" w16cid:durableId="343560202">
    <w:abstractNumId w:val="14"/>
  </w:num>
  <w:num w:numId="28" w16cid:durableId="183137696">
    <w:abstractNumId w:val="20"/>
  </w:num>
  <w:num w:numId="29" w16cid:durableId="1159925919">
    <w:abstractNumId w:val="13"/>
  </w:num>
  <w:num w:numId="30" w16cid:durableId="506991561">
    <w:abstractNumId w:val="15"/>
  </w:num>
  <w:num w:numId="31" w16cid:durableId="762264085">
    <w:abstractNumId w:val="12"/>
  </w:num>
  <w:num w:numId="32" w16cid:durableId="1275554476">
    <w:abstractNumId w:val="25"/>
    <w:lvlOverride w:ilvl="0">
      <w:startOverride w:val="1"/>
    </w:lvlOverride>
  </w:num>
  <w:num w:numId="33" w16cid:durableId="22633587">
    <w:abstractNumId w:val="25"/>
    <w:lvlOverride w:ilvl="0">
      <w:startOverride w:val="1"/>
    </w:lvlOverride>
  </w:num>
  <w:num w:numId="34" w16cid:durableId="1153646539">
    <w:abstractNumId w:val="25"/>
    <w:lvlOverride w:ilvl="0">
      <w:startOverride w:val="1"/>
    </w:lvlOverride>
  </w:num>
  <w:num w:numId="35" w16cid:durableId="162401463">
    <w:abstractNumId w:val="24"/>
    <w:lvlOverride w:ilvl="0">
      <w:startOverride w:val="1"/>
    </w:lvlOverride>
  </w:num>
  <w:num w:numId="36" w16cid:durableId="450367212">
    <w:abstractNumId w:val="24"/>
    <w:lvlOverride w:ilvl="0">
      <w:startOverride w:val="1"/>
    </w:lvlOverride>
  </w:num>
  <w:num w:numId="37" w16cid:durableId="1187674628">
    <w:abstractNumId w:val="24"/>
    <w:lvlOverride w:ilvl="0">
      <w:startOverride w:val="1"/>
    </w:lvlOverride>
  </w:num>
  <w:num w:numId="38" w16cid:durableId="246689910">
    <w:abstractNumId w:val="22"/>
  </w:num>
  <w:num w:numId="39" w16cid:durableId="1755778916">
    <w:abstractNumId w:val="16"/>
  </w:num>
  <w:num w:numId="40" w16cid:durableId="307176929">
    <w:abstractNumId w:val="19"/>
  </w:num>
  <w:num w:numId="41" w16cid:durableId="5235146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en-AU" w:vendorID="64" w:dllVersion="0" w:nlCheck="1" w:checkStyle="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E0"/>
    <w:rsid w:val="000102CD"/>
    <w:rsid w:val="000109F5"/>
    <w:rsid w:val="00013113"/>
    <w:rsid w:val="00015101"/>
    <w:rsid w:val="00017F3D"/>
    <w:rsid w:val="00027038"/>
    <w:rsid w:val="0003154E"/>
    <w:rsid w:val="00031C3A"/>
    <w:rsid w:val="000328DF"/>
    <w:rsid w:val="00035963"/>
    <w:rsid w:val="00036162"/>
    <w:rsid w:val="00036586"/>
    <w:rsid w:val="000371BC"/>
    <w:rsid w:val="00037513"/>
    <w:rsid w:val="0004246F"/>
    <w:rsid w:val="00042916"/>
    <w:rsid w:val="00050E9A"/>
    <w:rsid w:val="0005464A"/>
    <w:rsid w:val="00057763"/>
    <w:rsid w:val="00060657"/>
    <w:rsid w:val="00065244"/>
    <w:rsid w:val="0006627F"/>
    <w:rsid w:val="00067D86"/>
    <w:rsid w:val="0007179E"/>
    <w:rsid w:val="000758E3"/>
    <w:rsid w:val="00077EAC"/>
    <w:rsid w:val="0008049E"/>
    <w:rsid w:val="00095B0C"/>
    <w:rsid w:val="00096228"/>
    <w:rsid w:val="000B02F4"/>
    <w:rsid w:val="000B3417"/>
    <w:rsid w:val="000B6A28"/>
    <w:rsid w:val="000C669B"/>
    <w:rsid w:val="000D1ED4"/>
    <w:rsid w:val="000D4815"/>
    <w:rsid w:val="000D749D"/>
    <w:rsid w:val="000D7879"/>
    <w:rsid w:val="000E0A07"/>
    <w:rsid w:val="000E0E7A"/>
    <w:rsid w:val="000E23AC"/>
    <w:rsid w:val="000E27BD"/>
    <w:rsid w:val="000E5B4B"/>
    <w:rsid w:val="00101162"/>
    <w:rsid w:val="00113D72"/>
    <w:rsid w:val="00115264"/>
    <w:rsid w:val="00117A77"/>
    <w:rsid w:val="001207A0"/>
    <w:rsid w:val="001255AA"/>
    <w:rsid w:val="001312FF"/>
    <w:rsid w:val="00143FFA"/>
    <w:rsid w:val="00144773"/>
    <w:rsid w:val="001531AD"/>
    <w:rsid w:val="00160787"/>
    <w:rsid w:val="001611BF"/>
    <w:rsid w:val="0017057D"/>
    <w:rsid w:val="00173C03"/>
    <w:rsid w:val="00173C4D"/>
    <w:rsid w:val="0017436A"/>
    <w:rsid w:val="00176C32"/>
    <w:rsid w:val="00177C1F"/>
    <w:rsid w:val="00177CB2"/>
    <w:rsid w:val="00190395"/>
    <w:rsid w:val="00192A9F"/>
    <w:rsid w:val="00193A2C"/>
    <w:rsid w:val="001954B4"/>
    <w:rsid w:val="001A2BE2"/>
    <w:rsid w:val="001A3BE8"/>
    <w:rsid w:val="001A5542"/>
    <w:rsid w:val="001B19EA"/>
    <w:rsid w:val="001B2C89"/>
    <w:rsid w:val="001B2D56"/>
    <w:rsid w:val="001B37AF"/>
    <w:rsid w:val="001B38AB"/>
    <w:rsid w:val="001B41E4"/>
    <w:rsid w:val="001B73E2"/>
    <w:rsid w:val="001B7E79"/>
    <w:rsid w:val="001C0480"/>
    <w:rsid w:val="001C5C82"/>
    <w:rsid w:val="001C710A"/>
    <w:rsid w:val="001C7E52"/>
    <w:rsid w:val="001D7F4D"/>
    <w:rsid w:val="001E50B0"/>
    <w:rsid w:val="001F0B08"/>
    <w:rsid w:val="001F6307"/>
    <w:rsid w:val="0021173F"/>
    <w:rsid w:val="00212015"/>
    <w:rsid w:val="00212443"/>
    <w:rsid w:val="00217A6F"/>
    <w:rsid w:val="00220DDA"/>
    <w:rsid w:val="00227722"/>
    <w:rsid w:val="00227DB5"/>
    <w:rsid w:val="002304B4"/>
    <w:rsid w:val="00232710"/>
    <w:rsid w:val="00232964"/>
    <w:rsid w:val="00233F66"/>
    <w:rsid w:val="002356F8"/>
    <w:rsid w:val="002420B0"/>
    <w:rsid w:val="00245E38"/>
    <w:rsid w:val="00253AA7"/>
    <w:rsid w:val="00257AE7"/>
    <w:rsid w:val="0026634E"/>
    <w:rsid w:val="0026648E"/>
    <w:rsid w:val="00266CCC"/>
    <w:rsid w:val="00274D42"/>
    <w:rsid w:val="00281445"/>
    <w:rsid w:val="0028266A"/>
    <w:rsid w:val="00282DDF"/>
    <w:rsid w:val="00285CAF"/>
    <w:rsid w:val="00292DD3"/>
    <w:rsid w:val="00294D7C"/>
    <w:rsid w:val="002A28A8"/>
    <w:rsid w:val="002A4866"/>
    <w:rsid w:val="002A66AA"/>
    <w:rsid w:val="002B0BC9"/>
    <w:rsid w:val="002B4950"/>
    <w:rsid w:val="002B5716"/>
    <w:rsid w:val="002B5F74"/>
    <w:rsid w:val="002B661A"/>
    <w:rsid w:val="002B76E3"/>
    <w:rsid w:val="002C1514"/>
    <w:rsid w:val="002C31A2"/>
    <w:rsid w:val="002C46CA"/>
    <w:rsid w:val="002C6258"/>
    <w:rsid w:val="002C7A05"/>
    <w:rsid w:val="002D2AC1"/>
    <w:rsid w:val="002D55FD"/>
    <w:rsid w:val="002D6B3D"/>
    <w:rsid w:val="002E1968"/>
    <w:rsid w:val="002E272D"/>
    <w:rsid w:val="002E5916"/>
    <w:rsid w:val="002E7B19"/>
    <w:rsid w:val="002F3CB5"/>
    <w:rsid w:val="002F6B99"/>
    <w:rsid w:val="00301396"/>
    <w:rsid w:val="003030E1"/>
    <w:rsid w:val="0030332C"/>
    <w:rsid w:val="00303C55"/>
    <w:rsid w:val="00307465"/>
    <w:rsid w:val="00311C2D"/>
    <w:rsid w:val="0031310C"/>
    <w:rsid w:val="00316303"/>
    <w:rsid w:val="00317030"/>
    <w:rsid w:val="00321618"/>
    <w:rsid w:val="00342C74"/>
    <w:rsid w:val="00353E5E"/>
    <w:rsid w:val="00361020"/>
    <w:rsid w:val="00363D31"/>
    <w:rsid w:val="00364D89"/>
    <w:rsid w:val="0036638C"/>
    <w:rsid w:val="003739A0"/>
    <w:rsid w:val="00374D2A"/>
    <w:rsid w:val="0037686B"/>
    <w:rsid w:val="00376FE6"/>
    <w:rsid w:val="0038132B"/>
    <w:rsid w:val="0038465F"/>
    <w:rsid w:val="0038501A"/>
    <w:rsid w:val="00385BD5"/>
    <w:rsid w:val="003863D0"/>
    <w:rsid w:val="00390F8D"/>
    <w:rsid w:val="0039118C"/>
    <w:rsid w:val="003915C8"/>
    <w:rsid w:val="00392101"/>
    <w:rsid w:val="00397435"/>
    <w:rsid w:val="003A7EFA"/>
    <w:rsid w:val="003C181D"/>
    <w:rsid w:val="003C6606"/>
    <w:rsid w:val="003D2EA4"/>
    <w:rsid w:val="003D551C"/>
    <w:rsid w:val="003D5DFA"/>
    <w:rsid w:val="003D6446"/>
    <w:rsid w:val="003D676D"/>
    <w:rsid w:val="003E13E1"/>
    <w:rsid w:val="003E40C8"/>
    <w:rsid w:val="003E44BB"/>
    <w:rsid w:val="003E4572"/>
    <w:rsid w:val="003F0796"/>
    <w:rsid w:val="003F23E9"/>
    <w:rsid w:val="003F3C01"/>
    <w:rsid w:val="00401A0F"/>
    <w:rsid w:val="00401A99"/>
    <w:rsid w:val="0040218D"/>
    <w:rsid w:val="00404E1F"/>
    <w:rsid w:val="004103B6"/>
    <w:rsid w:val="004164CD"/>
    <w:rsid w:val="0041795D"/>
    <w:rsid w:val="00417DF4"/>
    <w:rsid w:val="004263C4"/>
    <w:rsid w:val="00433477"/>
    <w:rsid w:val="004335DE"/>
    <w:rsid w:val="00433BE4"/>
    <w:rsid w:val="00435DEC"/>
    <w:rsid w:val="00441CD6"/>
    <w:rsid w:val="00441E9D"/>
    <w:rsid w:val="004425C1"/>
    <w:rsid w:val="004434B2"/>
    <w:rsid w:val="00443F97"/>
    <w:rsid w:val="0044525C"/>
    <w:rsid w:val="00445C09"/>
    <w:rsid w:val="004460CD"/>
    <w:rsid w:val="00464D89"/>
    <w:rsid w:val="00473172"/>
    <w:rsid w:val="0048667A"/>
    <w:rsid w:val="004878D3"/>
    <w:rsid w:val="00490B90"/>
    <w:rsid w:val="004958F2"/>
    <w:rsid w:val="00496211"/>
    <w:rsid w:val="00496448"/>
    <w:rsid w:val="00497F2D"/>
    <w:rsid w:val="004A4EC7"/>
    <w:rsid w:val="004B2C90"/>
    <w:rsid w:val="004B7C9B"/>
    <w:rsid w:val="004C0F3E"/>
    <w:rsid w:val="004C17DE"/>
    <w:rsid w:val="004C4418"/>
    <w:rsid w:val="004C6BB9"/>
    <w:rsid w:val="004D3335"/>
    <w:rsid w:val="004D6D28"/>
    <w:rsid w:val="004E0C63"/>
    <w:rsid w:val="004E1D44"/>
    <w:rsid w:val="004E73B5"/>
    <w:rsid w:val="004F13DF"/>
    <w:rsid w:val="004F163D"/>
    <w:rsid w:val="004F4C4F"/>
    <w:rsid w:val="004F4D77"/>
    <w:rsid w:val="00501768"/>
    <w:rsid w:val="005122D0"/>
    <w:rsid w:val="00514DC5"/>
    <w:rsid w:val="005202BA"/>
    <w:rsid w:val="00521EDC"/>
    <w:rsid w:val="005226B9"/>
    <w:rsid w:val="00522D9C"/>
    <w:rsid w:val="00527E61"/>
    <w:rsid w:val="00530887"/>
    <w:rsid w:val="00533C80"/>
    <w:rsid w:val="00542ECD"/>
    <w:rsid w:val="00543C86"/>
    <w:rsid w:val="005478FE"/>
    <w:rsid w:val="00551001"/>
    <w:rsid w:val="00560FCA"/>
    <w:rsid w:val="00561D39"/>
    <w:rsid w:val="00561FB9"/>
    <w:rsid w:val="00563000"/>
    <w:rsid w:val="005647ED"/>
    <w:rsid w:val="00564D92"/>
    <w:rsid w:val="00571466"/>
    <w:rsid w:val="005755D6"/>
    <w:rsid w:val="00576572"/>
    <w:rsid w:val="005818AA"/>
    <w:rsid w:val="00584C18"/>
    <w:rsid w:val="00584D63"/>
    <w:rsid w:val="00591288"/>
    <w:rsid w:val="005917FD"/>
    <w:rsid w:val="0059541A"/>
    <w:rsid w:val="005A3632"/>
    <w:rsid w:val="005A4AA1"/>
    <w:rsid w:val="005A699D"/>
    <w:rsid w:val="005B10CB"/>
    <w:rsid w:val="005B3358"/>
    <w:rsid w:val="005C0043"/>
    <w:rsid w:val="005C0F15"/>
    <w:rsid w:val="005C32EF"/>
    <w:rsid w:val="005C3C13"/>
    <w:rsid w:val="005C584A"/>
    <w:rsid w:val="005D00E4"/>
    <w:rsid w:val="005D0381"/>
    <w:rsid w:val="005D4706"/>
    <w:rsid w:val="005D5F5E"/>
    <w:rsid w:val="005D7618"/>
    <w:rsid w:val="005D7C45"/>
    <w:rsid w:val="005E05EC"/>
    <w:rsid w:val="005E3199"/>
    <w:rsid w:val="005E3226"/>
    <w:rsid w:val="005E32DB"/>
    <w:rsid w:val="005F3B45"/>
    <w:rsid w:val="005F66F9"/>
    <w:rsid w:val="00601A7B"/>
    <w:rsid w:val="00603F00"/>
    <w:rsid w:val="00604F35"/>
    <w:rsid w:val="00606CF1"/>
    <w:rsid w:val="00613F08"/>
    <w:rsid w:val="006147EB"/>
    <w:rsid w:val="00615B58"/>
    <w:rsid w:val="00616B9C"/>
    <w:rsid w:val="006200EB"/>
    <w:rsid w:val="00621EA3"/>
    <w:rsid w:val="00623876"/>
    <w:rsid w:val="006266EA"/>
    <w:rsid w:val="00630B03"/>
    <w:rsid w:val="00631F45"/>
    <w:rsid w:val="00632123"/>
    <w:rsid w:val="00640234"/>
    <w:rsid w:val="00642D6A"/>
    <w:rsid w:val="0064343A"/>
    <w:rsid w:val="00652F75"/>
    <w:rsid w:val="00653138"/>
    <w:rsid w:val="00653832"/>
    <w:rsid w:val="00660BC5"/>
    <w:rsid w:val="00663FF0"/>
    <w:rsid w:val="00665FB6"/>
    <w:rsid w:val="00667DBC"/>
    <w:rsid w:val="006766E8"/>
    <w:rsid w:val="00680138"/>
    <w:rsid w:val="0068119C"/>
    <w:rsid w:val="00681DFA"/>
    <w:rsid w:val="00692EEB"/>
    <w:rsid w:val="006945A3"/>
    <w:rsid w:val="006950BA"/>
    <w:rsid w:val="00695CB5"/>
    <w:rsid w:val="006A008F"/>
    <w:rsid w:val="006A5AA6"/>
    <w:rsid w:val="006B0D1B"/>
    <w:rsid w:val="006B1F84"/>
    <w:rsid w:val="006B3835"/>
    <w:rsid w:val="006B5677"/>
    <w:rsid w:val="006B6B21"/>
    <w:rsid w:val="006C62B2"/>
    <w:rsid w:val="006C7687"/>
    <w:rsid w:val="006C7E16"/>
    <w:rsid w:val="006D0ACF"/>
    <w:rsid w:val="006D1D5E"/>
    <w:rsid w:val="006D2B80"/>
    <w:rsid w:val="006D4826"/>
    <w:rsid w:val="006E170D"/>
    <w:rsid w:val="006E698B"/>
    <w:rsid w:val="006E7551"/>
    <w:rsid w:val="006F731F"/>
    <w:rsid w:val="006F7EFE"/>
    <w:rsid w:val="00702CBD"/>
    <w:rsid w:val="00702E8C"/>
    <w:rsid w:val="007114AC"/>
    <w:rsid w:val="007132E9"/>
    <w:rsid w:val="007151E9"/>
    <w:rsid w:val="0071548B"/>
    <w:rsid w:val="007203C8"/>
    <w:rsid w:val="007203E4"/>
    <w:rsid w:val="007204A9"/>
    <w:rsid w:val="00722D12"/>
    <w:rsid w:val="007240CA"/>
    <w:rsid w:val="0072497F"/>
    <w:rsid w:val="00732081"/>
    <w:rsid w:val="007337FF"/>
    <w:rsid w:val="00743B31"/>
    <w:rsid w:val="0074565F"/>
    <w:rsid w:val="007461F3"/>
    <w:rsid w:val="0075061A"/>
    <w:rsid w:val="00756929"/>
    <w:rsid w:val="00765B33"/>
    <w:rsid w:val="00767DBB"/>
    <w:rsid w:val="00771BF9"/>
    <w:rsid w:val="0077206D"/>
    <w:rsid w:val="00774646"/>
    <w:rsid w:val="00776D82"/>
    <w:rsid w:val="00777DE5"/>
    <w:rsid w:val="00781695"/>
    <w:rsid w:val="007820F5"/>
    <w:rsid w:val="007837FE"/>
    <w:rsid w:val="00784DA0"/>
    <w:rsid w:val="00787CD8"/>
    <w:rsid w:val="00793856"/>
    <w:rsid w:val="007971E4"/>
    <w:rsid w:val="007A02A7"/>
    <w:rsid w:val="007A1EEB"/>
    <w:rsid w:val="007A5116"/>
    <w:rsid w:val="007A63CE"/>
    <w:rsid w:val="007A73F6"/>
    <w:rsid w:val="007B1BD0"/>
    <w:rsid w:val="007B7344"/>
    <w:rsid w:val="007C0935"/>
    <w:rsid w:val="007D1A5E"/>
    <w:rsid w:val="007D7CD9"/>
    <w:rsid w:val="007E596A"/>
    <w:rsid w:val="007E7B68"/>
    <w:rsid w:val="007F2A7D"/>
    <w:rsid w:val="007F4E93"/>
    <w:rsid w:val="007F67E0"/>
    <w:rsid w:val="00800A66"/>
    <w:rsid w:val="00801C4F"/>
    <w:rsid w:val="00801FA9"/>
    <w:rsid w:val="008042B4"/>
    <w:rsid w:val="008046D4"/>
    <w:rsid w:val="00804703"/>
    <w:rsid w:val="00805A5D"/>
    <w:rsid w:val="00810E90"/>
    <w:rsid w:val="00813887"/>
    <w:rsid w:val="00820415"/>
    <w:rsid w:val="00823F98"/>
    <w:rsid w:val="00825DED"/>
    <w:rsid w:val="00831F64"/>
    <w:rsid w:val="00833792"/>
    <w:rsid w:val="00837707"/>
    <w:rsid w:val="00841433"/>
    <w:rsid w:val="00846743"/>
    <w:rsid w:val="008500C0"/>
    <w:rsid w:val="00850888"/>
    <w:rsid w:val="00852F35"/>
    <w:rsid w:val="00856B74"/>
    <w:rsid w:val="00857363"/>
    <w:rsid w:val="008630ED"/>
    <w:rsid w:val="0086394C"/>
    <w:rsid w:val="008667C4"/>
    <w:rsid w:val="00875C91"/>
    <w:rsid w:val="0087619F"/>
    <w:rsid w:val="00876A08"/>
    <w:rsid w:val="00880485"/>
    <w:rsid w:val="00881A82"/>
    <w:rsid w:val="00883248"/>
    <w:rsid w:val="008842FE"/>
    <w:rsid w:val="00886A22"/>
    <w:rsid w:val="00890D44"/>
    <w:rsid w:val="008921BE"/>
    <w:rsid w:val="00892D49"/>
    <w:rsid w:val="008A0614"/>
    <w:rsid w:val="008A3133"/>
    <w:rsid w:val="008A45F8"/>
    <w:rsid w:val="008A69F0"/>
    <w:rsid w:val="008B0957"/>
    <w:rsid w:val="008B28D9"/>
    <w:rsid w:val="008B44F5"/>
    <w:rsid w:val="008B7808"/>
    <w:rsid w:val="008B78D1"/>
    <w:rsid w:val="008C1E66"/>
    <w:rsid w:val="008C45FF"/>
    <w:rsid w:val="008C47A1"/>
    <w:rsid w:val="008C738F"/>
    <w:rsid w:val="008D18C1"/>
    <w:rsid w:val="008D6B9E"/>
    <w:rsid w:val="008E005C"/>
    <w:rsid w:val="008E1024"/>
    <w:rsid w:val="008E1FCD"/>
    <w:rsid w:val="008E5613"/>
    <w:rsid w:val="008E641F"/>
    <w:rsid w:val="008F352D"/>
    <w:rsid w:val="008F4C6A"/>
    <w:rsid w:val="00906D5D"/>
    <w:rsid w:val="009074E8"/>
    <w:rsid w:val="0091141A"/>
    <w:rsid w:val="0091143A"/>
    <w:rsid w:val="0091347B"/>
    <w:rsid w:val="009137B6"/>
    <w:rsid w:val="00913ED0"/>
    <w:rsid w:val="00922837"/>
    <w:rsid w:val="00927650"/>
    <w:rsid w:val="00930578"/>
    <w:rsid w:val="0093222B"/>
    <w:rsid w:val="00932DE1"/>
    <w:rsid w:val="00935EA5"/>
    <w:rsid w:val="00936C83"/>
    <w:rsid w:val="00937A52"/>
    <w:rsid w:val="009418EB"/>
    <w:rsid w:val="00942CB6"/>
    <w:rsid w:val="00942CE9"/>
    <w:rsid w:val="009433AF"/>
    <w:rsid w:val="00944A0A"/>
    <w:rsid w:val="00944CCF"/>
    <w:rsid w:val="00945E1B"/>
    <w:rsid w:val="00954FF2"/>
    <w:rsid w:val="009615D2"/>
    <w:rsid w:val="00962EE8"/>
    <w:rsid w:val="00971222"/>
    <w:rsid w:val="00972C50"/>
    <w:rsid w:val="00974666"/>
    <w:rsid w:val="0097491E"/>
    <w:rsid w:val="00976EE9"/>
    <w:rsid w:val="00977EBA"/>
    <w:rsid w:val="00984376"/>
    <w:rsid w:val="00991110"/>
    <w:rsid w:val="00991C32"/>
    <w:rsid w:val="0099693A"/>
    <w:rsid w:val="009A43DE"/>
    <w:rsid w:val="009A6120"/>
    <w:rsid w:val="009A6D9C"/>
    <w:rsid w:val="009B1378"/>
    <w:rsid w:val="009C051A"/>
    <w:rsid w:val="009C139B"/>
    <w:rsid w:val="009C529C"/>
    <w:rsid w:val="009C5B8C"/>
    <w:rsid w:val="009C60F6"/>
    <w:rsid w:val="009D2232"/>
    <w:rsid w:val="009D789B"/>
    <w:rsid w:val="009E4002"/>
    <w:rsid w:val="009E64E8"/>
    <w:rsid w:val="009F0889"/>
    <w:rsid w:val="009F5A34"/>
    <w:rsid w:val="009F69BD"/>
    <w:rsid w:val="009F6A0F"/>
    <w:rsid w:val="009F7EA6"/>
    <w:rsid w:val="00A008E6"/>
    <w:rsid w:val="00A008F6"/>
    <w:rsid w:val="00A00DE3"/>
    <w:rsid w:val="00A12C83"/>
    <w:rsid w:val="00A1585F"/>
    <w:rsid w:val="00A158D4"/>
    <w:rsid w:val="00A16996"/>
    <w:rsid w:val="00A17097"/>
    <w:rsid w:val="00A21BFA"/>
    <w:rsid w:val="00A269B3"/>
    <w:rsid w:val="00A26D73"/>
    <w:rsid w:val="00A31CD9"/>
    <w:rsid w:val="00A3440B"/>
    <w:rsid w:val="00A35E13"/>
    <w:rsid w:val="00A47011"/>
    <w:rsid w:val="00A51597"/>
    <w:rsid w:val="00A54E1B"/>
    <w:rsid w:val="00A56D83"/>
    <w:rsid w:val="00A57339"/>
    <w:rsid w:val="00A57820"/>
    <w:rsid w:val="00A60412"/>
    <w:rsid w:val="00A62EF3"/>
    <w:rsid w:val="00A67EC4"/>
    <w:rsid w:val="00A71346"/>
    <w:rsid w:val="00A72C23"/>
    <w:rsid w:val="00A918A7"/>
    <w:rsid w:val="00A91FBC"/>
    <w:rsid w:val="00A934C4"/>
    <w:rsid w:val="00A93D1B"/>
    <w:rsid w:val="00A95218"/>
    <w:rsid w:val="00A97664"/>
    <w:rsid w:val="00AA2158"/>
    <w:rsid w:val="00AA5F0B"/>
    <w:rsid w:val="00AA705F"/>
    <w:rsid w:val="00AA7F82"/>
    <w:rsid w:val="00AB007F"/>
    <w:rsid w:val="00AB125A"/>
    <w:rsid w:val="00AB2696"/>
    <w:rsid w:val="00AB583E"/>
    <w:rsid w:val="00AB6B14"/>
    <w:rsid w:val="00AC0A35"/>
    <w:rsid w:val="00AC2CDC"/>
    <w:rsid w:val="00AC5304"/>
    <w:rsid w:val="00AD28CA"/>
    <w:rsid w:val="00AD5237"/>
    <w:rsid w:val="00AD7805"/>
    <w:rsid w:val="00AE0C6D"/>
    <w:rsid w:val="00AE39E1"/>
    <w:rsid w:val="00AF080A"/>
    <w:rsid w:val="00AF0832"/>
    <w:rsid w:val="00B016AD"/>
    <w:rsid w:val="00B05561"/>
    <w:rsid w:val="00B05FFD"/>
    <w:rsid w:val="00B13935"/>
    <w:rsid w:val="00B13CBD"/>
    <w:rsid w:val="00B2045F"/>
    <w:rsid w:val="00B21608"/>
    <w:rsid w:val="00B32CE9"/>
    <w:rsid w:val="00B5013D"/>
    <w:rsid w:val="00B56736"/>
    <w:rsid w:val="00B56ECE"/>
    <w:rsid w:val="00B62A0F"/>
    <w:rsid w:val="00B64324"/>
    <w:rsid w:val="00B6596F"/>
    <w:rsid w:val="00B70A45"/>
    <w:rsid w:val="00B746ED"/>
    <w:rsid w:val="00B74924"/>
    <w:rsid w:val="00B818B4"/>
    <w:rsid w:val="00B820BA"/>
    <w:rsid w:val="00B82A65"/>
    <w:rsid w:val="00B85BEA"/>
    <w:rsid w:val="00B922B2"/>
    <w:rsid w:val="00B95C8F"/>
    <w:rsid w:val="00B9781B"/>
    <w:rsid w:val="00BA3D8E"/>
    <w:rsid w:val="00BA4ADB"/>
    <w:rsid w:val="00BA66D7"/>
    <w:rsid w:val="00BA68AA"/>
    <w:rsid w:val="00BB04DC"/>
    <w:rsid w:val="00BB1526"/>
    <w:rsid w:val="00BB2D95"/>
    <w:rsid w:val="00BB38C3"/>
    <w:rsid w:val="00BB3D4D"/>
    <w:rsid w:val="00BB79E5"/>
    <w:rsid w:val="00BC0BF7"/>
    <w:rsid w:val="00BC0ED5"/>
    <w:rsid w:val="00BC1E8D"/>
    <w:rsid w:val="00BC330E"/>
    <w:rsid w:val="00BC394B"/>
    <w:rsid w:val="00BC535A"/>
    <w:rsid w:val="00BC5893"/>
    <w:rsid w:val="00BD141C"/>
    <w:rsid w:val="00BD171D"/>
    <w:rsid w:val="00BD25DD"/>
    <w:rsid w:val="00BD37B8"/>
    <w:rsid w:val="00BD3F5E"/>
    <w:rsid w:val="00BD57F5"/>
    <w:rsid w:val="00BD7890"/>
    <w:rsid w:val="00BE07B3"/>
    <w:rsid w:val="00BE281D"/>
    <w:rsid w:val="00BE48A4"/>
    <w:rsid w:val="00BE56F0"/>
    <w:rsid w:val="00BF17B9"/>
    <w:rsid w:val="00BF5A50"/>
    <w:rsid w:val="00BF5F61"/>
    <w:rsid w:val="00BF7349"/>
    <w:rsid w:val="00C066BA"/>
    <w:rsid w:val="00C06F85"/>
    <w:rsid w:val="00C12D35"/>
    <w:rsid w:val="00C1330C"/>
    <w:rsid w:val="00C13746"/>
    <w:rsid w:val="00C17807"/>
    <w:rsid w:val="00C22088"/>
    <w:rsid w:val="00C2307F"/>
    <w:rsid w:val="00C2371A"/>
    <w:rsid w:val="00C23BE0"/>
    <w:rsid w:val="00C264AE"/>
    <w:rsid w:val="00C31252"/>
    <w:rsid w:val="00C332B2"/>
    <w:rsid w:val="00C34227"/>
    <w:rsid w:val="00C44076"/>
    <w:rsid w:val="00C4602E"/>
    <w:rsid w:val="00C46578"/>
    <w:rsid w:val="00C47620"/>
    <w:rsid w:val="00C5293B"/>
    <w:rsid w:val="00C53068"/>
    <w:rsid w:val="00C56E3A"/>
    <w:rsid w:val="00C65612"/>
    <w:rsid w:val="00C70947"/>
    <w:rsid w:val="00C84BDF"/>
    <w:rsid w:val="00C95ECB"/>
    <w:rsid w:val="00C969DC"/>
    <w:rsid w:val="00C976F9"/>
    <w:rsid w:val="00CA0EE5"/>
    <w:rsid w:val="00CA3925"/>
    <w:rsid w:val="00CA3B0F"/>
    <w:rsid w:val="00CA6FF9"/>
    <w:rsid w:val="00CA75F7"/>
    <w:rsid w:val="00CB11F0"/>
    <w:rsid w:val="00CB182D"/>
    <w:rsid w:val="00CB2D37"/>
    <w:rsid w:val="00CB44FA"/>
    <w:rsid w:val="00CB4E08"/>
    <w:rsid w:val="00CB7E98"/>
    <w:rsid w:val="00CC1F7D"/>
    <w:rsid w:val="00CC43D6"/>
    <w:rsid w:val="00CC6110"/>
    <w:rsid w:val="00CC6D68"/>
    <w:rsid w:val="00CD17DB"/>
    <w:rsid w:val="00CD192D"/>
    <w:rsid w:val="00CD3644"/>
    <w:rsid w:val="00CD4319"/>
    <w:rsid w:val="00CE5DC0"/>
    <w:rsid w:val="00CF0DE3"/>
    <w:rsid w:val="00CF6B45"/>
    <w:rsid w:val="00D03799"/>
    <w:rsid w:val="00D03B15"/>
    <w:rsid w:val="00D04E61"/>
    <w:rsid w:val="00D10635"/>
    <w:rsid w:val="00D121C6"/>
    <w:rsid w:val="00D20BBF"/>
    <w:rsid w:val="00D21D9E"/>
    <w:rsid w:val="00D22740"/>
    <w:rsid w:val="00D33677"/>
    <w:rsid w:val="00D3581D"/>
    <w:rsid w:val="00D500C1"/>
    <w:rsid w:val="00D525B8"/>
    <w:rsid w:val="00D82F07"/>
    <w:rsid w:val="00D84122"/>
    <w:rsid w:val="00D90C71"/>
    <w:rsid w:val="00D91024"/>
    <w:rsid w:val="00D91E5A"/>
    <w:rsid w:val="00DA18A2"/>
    <w:rsid w:val="00DA3E94"/>
    <w:rsid w:val="00DA40A5"/>
    <w:rsid w:val="00DB00C8"/>
    <w:rsid w:val="00DB15CD"/>
    <w:rsid w:val="00DB6C76"/>
    <w:rsid w:val="00DC6CF7"/>
    <w:rsid w:val="00DD1329"/>
    <w:rsid w:val="00DD1D15"/>
    <w:rsid w:val="00DD1DE9"/>
    <w:rsid w:val="00DD4880"/>
    <w:rsid w:val="00DD615D"/>
    <w:rsid w:val="00DE052A"/>
    <w:rsid w:val="00DE2C0E"/>
    <w:rsid w:val="00DF2F8D"/>
    <w:rsid w:val="00DF6C57"/>
    <w:rsid w:val="00E002A9"/>
    <w:rsid w:val="00E04A5E"/>
    <w:rsid w:val="00E05FA4"/>
    <w:rsid w:val="00E100E9"/>
    <w:rsid w:val="00E13603"/>
    <w:rsid w:val="00E149D2"/>
    <w:rsid w:val="00E155C1"/>
    <w:rsid w:val="00E15E8D"/>
    <w:rsid w:val="00E21038"/>
    <w:rsid w:val="00E21122"/>
    <w:rsid w:val="00E224F4"/>
    <w:rsid w:val="00E2753F"/>
    <w:rsid w:val="00E43609"/>
    <w:rsid w:val="00E47BF3"/>
    <w:rsid w:val="00E60630"/>
    <w:rsid w:val="00E64E22"/>
    <w:rsid w:val="00E84E98"/>
    <w:rsid w:val="00E84F06"/>
    <w:rsid w:val="00E8525A"/>
    <w:rsid w:val="00E902B0"/>
    <w:rsid w:val="00E91560"/>
    <w:rsid w:val="00E92551"/>
    <w:rsid w:val="00E94AC5"/>
    <w:rsid w:val="00EA1D8E"/>
    <w:rsid w:val="00EA287E"/>
    <w:rsid w:val="00EA364A"/>
    <w:rsid w:val="00EA4C6C"/>
    <w:rsid w:val="00EA6068"/>
    <w:rsid w:val="00EA6FEF"/>
    <w:rsid w:val="00EB7292"/>
    <w:rsid w:val="00EB763B"/>
    <w:rsid w:val="00EB7E1D"/>
    <w:rsid w:val="00EC188E"/>
    <w:rsid w:val="00EC32F6"/>
    <w:rsid w:val="00EC6D96"/>
    <w:rsid w:val="00EC7406"/>
    <w:rsid w:val="00ED0450"/>
    <w:rsid w:val="00ED0697"/>
    <w:rsid w:val="00ED2B12"/>
    <w:rsid w:val="00ED42D3"/>
    <w:rsid w:val="00EE2E3F"/>
    <w:rsid w:val="00EE3D67"/>
    <w:rsid w:val="00EF12CD"/>
    <w:rsid w:val="00EF183B"/>
    <w:rsid w:val="00F02051"/>
    <w:rsid w:val="00F03073"/>
    <w:rsid w:val="00F04EAF"/>
    <w:rsid w:val="00F052D8"/>
    <w:rsid w:val="00F05614"/>
    <w:rsid w:val="00F0697B"/>
    <w:rsid w:val="00F109A1"/>
    <w:rsid w:val="00F13A7A"/>
    <w:rsid w:val="00F24405"/>
    <w:rsid w:val="00F33F75"/>
    <w:rsid w:val="00F41A18"/>
    <w:rsid w:val="00F41C01"/>
    <w:rsid w:val="00F47E9C"/>
    <w:rsid w:val="00F568A6"/>
    <w:rsid w:val="00F63EFD"/>
    <w:rsid w:val="00F64736"/>
    <w:rsid w:val="00F66078"/>
    <w:rsid w:val="00F67E54"/>
    <w:rsid w:val="00F72DB4"/>
    <w:rsid w:val="00F74230"/>
    <w:rsid w:val="00F77D79"/>
    <w:rsid w:val="00F80AD0"/>
    <w:rsid w:val="00F80EF4"/>
    <w:rsid w:val="00F834BD"/>
    <w:rsid w:val="00F837E6"/>
    <w:rsid w:val="00F84847"/>
    <w:rsid w:val="00F84A25"/>
    <w:rsid w:val="00F862D1"/>
    <w:rsid w:val="00F86700"/>
    <w:rsid w:val="00F86EA9"/>
    <w:rsid w:val="00F87586"/>
    <w:rsid w:val="00F957C6"/>
    <w:rsid w:val="00FA2596"/>
    <w:rsid w:val="00FB3B23"/>
    <w:rsid w:val="00FB4C2D"/>
    <w:rsid w:val="00FB73F0"/>
    <w:rsid w:val="00FC50CB"/>
    <w:rsid w:val="00FC5894"/>
    <w:rsid w:val="00FC6DDE"/>
    <w:rsid w:val="00FC7A0E"/>
    <w:rsid w:val="00FD1ECD"/>
    <w:rsid w:val="00FD20A5"/>
    <w:rsid w:val="00FD2C22"/>
    <w:rsid w:val="00FD4A7E"/>
    <w:rsid w:val="00FD6FD8"/>
    <w:rsid w:val="00FE0D2E"/>
    <w:rsid w:val="00FE2C7F"/>
    <w:rsid w:val="00FE4F02"/>
    <w:rsid w:val="00FF0D83"/>
    <w:rsid w:val="00FF44D9"/>
    <w:rsid w:val="00FF4D08"/>
    <w:rsid w:val="00FF75BA"/>
    <w:rsid w:val="00FF7FF5"/>
    <w:rsid w:val="1EE186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DBA18"/>
  <w14:discardImageEditingData/>
  <w15:chartTrackingRefBased/>
  <w15:docId w15:val="{7C43B98D-B6DA-4AD0-A08E-EC737C07D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6" w:qFormat="1"/>
    <w:lsdException w:name="Intense Quote" w:uiPriority="1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34E"/>
    <w:pPr>
      <w:spacing w:after="160" w:line="264" w:lineRule="auto"/>
    </w:pPr>
    <w:rPr>
      <w:color w:val="262626" w:themeColor="text1" w:themeTint="D9"/>
      <w:sz w:val="22"/>
    </w:rPr>
  </w:style>
  <w:style w:type="paragraph" w:styleId="Heading1">
    <w:name w:val="heading 1"/>
    <w:basedOn w:val="Normal"/>
    <w:next w:val="Normal"/>
    <w:link w:val="Heading1Char"/>
    <w:uiPriority w:val="2"/>
    <w:qFormat/>
    <w:rsid w:val="0091141A"/>
    <w:pPr>
      <w:keepNext/>
      <w:keepLines/>
      <w:spacing w:before="360" w:line="240" w:lineRule="auto"/>
      <w:outlineLvl w:val="0"/>
    </w:pPr>
    <w:rPr>
      <w:rFonts w:eastAsiaTheme="majorEastAsia" w:cstheme="minorHAnsi"/>
      <w:b/>
      <w:bCs/>
      <w:noProof/>
      <w:color w:val="007279" w:themeColor="accent1"/>
      <w:sz w:val="32"/>
      <w:szCs w:val="24"/>
    </w:rPr>
  </w:style>
  <w:style w:type="paragraph" w:styleId="Heading2">
    <w:name w:val="heading 2"/>
    <w:basedOn w:val="Normal"/>
    <w:next w:val="Normal"/>
    <w:link w:val="Heading2Char"/>
    <w:uiPriority w:val="2"/>
    <w:qFormat/>
    <w:rsid w:val="0091141A"/>
    <w:pPr>
      <w:keepNext/>
      <w:keepLines/>
      <w:spacing w:before="240" w:line="240" w:lineRule="auto"/>
      <w:outlineLvl w:val="1"/>
    </w:pPr>
    <w:rPr>
      <w:rFonts w:eastAsiaTheme="majorEastAsia" w:cstheme="minorHAnsi"/>
      <w:color w:val="007279" w:themeColor="accent1"/>
      <w:sz w:val="28"/>
      <w:szCs w:val="22"/>
    </w:rPr>
  </w:style>
  <w:style w:type="paragraph" w:styleId="Heading3">
    <w:name w:val="heading 3"/>
    <w:basedOn w:val="Heading4"/>
    <w:next w:val="Normal"/>
    <w:link w:val="Heading3Char"/>
    <w:uiPriority w:val="2"/>
    <w:qFormat/>
    <w:rsid w:val="00AE39E1"/>
    <w:pPr>
      <w:outlineLvl w:val="2"/>
    </w:pPr>
    <w:rPr>
      <w:sz w:val="24"/>
      <w:szCs w:val="24"/>
    </w:rPr>
  </w:style>
  <w:style w:type="paragraph" w:styleId="Heading4">
    <w:name w:val="heading 4"/>
    <w:basedOn w:val="Normal"/>
    <w:next w:val="Normal"/>
    <w:link w:val="Heading4Char"/>
    <w:uiPriority w:val="2"/>
    <w:qFormat/>
    <w:rsid w:val="00C23BE0"/>
    <w:pPr>
      <w:keepNext/>
      <w:keepLines/>
      <w:spacing w:before="240"/>
      <w:outlineLvl w:val="3"/>
    </w:pPr>
    <w:rPr>
      <w:rFonts w:eastAsiaTheme="majorEastAsia" w:cstheme="minorHAnsi"/>
      <w:b/>
      <w:szCs w:val="22"/>
    </w:rPr>
  </w:style>
  <w:style w:type="paragraph" w:styleId="Heading5">
    <w:name w:val="heading 5"/>
    <w:basedOn w:val="Normal"/>
    <w:next w:val="Normal"/>
    <w:link w:val="Heading5Char"/>
    <w:uiPriority w:val="2"/>
    <w:unhideWhenUsed/>
    <w:rsid w:val="00857363"/>
    <w:pPr>
      <w:keepNext/>
      <w:keepLines/>
      <w:spacing w:before="240"/>
      <w:outlineLvl w:val="4"/>
    </w:pPr>
    <w:rPr>
      <w:rFonts w:eastAsiaTheme="majorEastAsia" w:cstheme="majorBidi"/>
      <w:iCs/>
      <w:color w:val="3266AB"/>
      <w:szCs w:val="22"/>
    </w:rPr>
  </w:style>
  <w:style w:type="paragraph" w:styleId="Heading6">
    <w:name w:val="heading 6"/>
    <w:basedOn w:val="Normal"/>
    <w:next w:val="Normal"/>
    <w:link w:val="Heading6Char"/>
    <w:uiPriority w:val="2"/>
    <w:unhideWhenUsed/>
    <w:rsid w:val="006200EB"/>
    <w:pPr>
      <w:keepNext/>
      <w:keepLines/>
      <w:spacing w:before="240"/>
      <w:outlineLvl w:val="5"/>
    </w:pPr>
    <w:rPr>
      <w:rFonts w:asciiTheme="majorHAnsi" w:eastAsiaTheme="majorEastAsia" w:hAnsiTheme="majorHAnsi" w:cstheme="majorBidi"/>
      <w:color w:val="3266AB"/>
    </w:rPr>
  </w:style>
  <w:style w:type="paragraph" w:styleId="Heading7">
    <w:name w:val="heading 7"/>
    <w:basedOn w:val="Normal"/>
    <w:next w:val="Normal"/>
    <w:link w:val="Heading7Char"/>
    <w:uiPriority w:val="2"/>
    <w:unhideWhenUsed/>
    <w:rsid w:val="006200EB"/>
    <w:pPr>
      <w:keepNext/>
      <w:keepLines/>
      <w:spacing w:before="240"/>
      <w:outlineLvl w:val="6"/>
    </w:pPr>
    <w:rPr>
      <w:rFonts w:asciiTheme="majorHAnsi" w:eastAsiaTheme="majorEastAsia" w:hAnsiTheme="majorHAnsi" w:cstheme="majorBidi"/>
      <w:b/>
      <w:bCs/>
      <w:color w:val="3266AB"/>
    </w:rPr>
  </w:style>
  <w:style w:type="paragraph" w:styleId="Heading8">
    <w:name w:val="heading 8"/>
    <w:basedOn w:val="Normal"/>
    <w:next w:val="Normal"/>
    <w:link w:val="Heading8Char"/>
    <w:uiPriority w:val="2"/>
    <w:unhideWhenUsed/>
    <w:rsid w:val="006200EB"/>
    <w:pPr>
      <w:keepNext/>
      <w:keepLines/>
      <w:spacing w:before="240"/>
      <w:outlineLvl w:val="7"/>
    </w:pPr>
    <w:rPr>
      <w:rFonts w:asciiTheme="majorHAnsi" w:eastAsiaTheme="majorEastAsia" w:hAnsiTheme="majorHAnsi" w:cstheme="majorBidi"/>
      <w:b/>
      <w:bCs/>
      <w:i/>
      <w:iCs/>
      <w:color w:val="3266AB"/>
      <w:sz w:val="20"/>
      <w:szCs w:val="20"/>
    </w:rPr>
  </w:style>
  <w:style w:type="paragraph" w:styleId="Heading9">
    <w:name w:val="heading 9"/>
    <w:basedOn w:val="Normal"/>
    <w:next w:val="Normal"/>
    <w:link w:val="Heading9Char"/>
    <w:uiPriority w:val="2"/>
    <w:unhideWhenUsed/>
    <w:rsid w:val="006200EB"/>
    <w:pPr>
      <w:keepNext/>
      <w:keepLines/>
      <w:spacing w:before="240"/>
      <w:outlineLvl w:val="8"/>
    </w:pPr>
    <w:rPr>
      <w:rFonts w:asciiTheme="majorHAnsi" w:eastAsiaTheme="majorEastAsia" w:hAnsiTheme="majorHAnsi" w:cstheme="majorBidi"/>
      <w:i/>
      <w:iCs/>
      <w:color w:val="3266A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91141A"/>
    <w:rPr>
      <w:rFonts w:eastAsiaTheme="majorEastAsia" w:cstheme="minorHAnsi"/>
      <w:b/>
      <w:bCs/>
      <w:noProof/>
      <w:color w:val="007279" w:themeColor="accent1"/>
      <w:sz w:val="32"/>
      <w:szCs w:val="24"/>
    </w:rPr>
  </w:style>
  <w:style w:type="paragraph" w:styleId="Title">
    <w:name w:val="Title"/>
    <w:basedOn w:val="Normal"/>
    <w:next w:val="Normal"/>
    <w:link w:val="TitleChar"/>
    <w:uiPriority w:val="18"/>
    <w:rsid w:val="0091141A"/>
    <w:pPr>
      <w:spacing w:after="240" w:line="240" w:lineRule="auto"/>
      <w:contextualSpacing/>
    </w:pPr>
    <w:rPr>
      <w:rFonts w:asciiTheme="majorHAnsi" w:eastAsiaTheme="majorEastAsia" w:hAnsiTheme="majorHAnsi" w:cstheme="majorBidi"/>
      <w:noProof/>
      <w:spacing w:val="-15"/>
      <w:sz w:val="48"/>
      <w:szCs w:val="56"/>
    </w:rPr>
  </w:style>
  <w:style w:type="character" w:customStyle="1" w:styleId="TitleChar">
    <w:name w:val="Title Char"/>
    <w:basedOn w:val="DefaultParagraphFont"/>
    <w:link w:val="Title"/>
    <w:uiPriority w:val="18"/>
    <w:rsid w:val="0091141A"/>
    <w:rPr>
      <w:rFonts w:asciiTheme="majorHAnsi" w:eastAsiaTheme="majorEastAsia" w:hAnsiTheme="majorHAnsi" w:cstheme="majorBidi"/>
      <w:noProof/>
      <w:spacing w:val="-15"/>
      <w:sz w:val="48"/>
      <w:szCs w:val="56"/>
    </w:rPr>
  </w:style>
  <w:style w:type="character" w:customStyle="1" w:styleId="Heading2Char">
    <w:name w:val="Heading 2 Char"/>
    <w:basedOn w:val="DefaultParagraphFont"/>
    <w:link w:val="Heading2"/>
    <w:uiPriority w:val="2"/>
    <w:rsid w:val="0091141A"/>
    <w:rPr>
      <w:rFonts w:eastAsiaTheme="majorEastAsia" w:cstheme="minorHAnsi"/>
      <w:color w:val="007279" w:themeColor="accent1"/>
      <w:sz w:val="28"/>
      <w:szCs w:val="22"/>
    </w:rPr>
  </w:style>
  <w:style w:type="character" w:customStyle="1" w:styleId="Heading3Char">
    <w:name w:val="Heading 3 Char"/>
    <w:basedOn w:val="DefaultParagraphFont"/>
    <w:link w:val="Heading3"/>
    <w:uiPriority w:val="2"/>
    <w:rsid w:val="00AE39E1"/>
    <w:rPr>
      <w:rFonts w:eastAsiaTheme="majorEastAsia" w:cstheme="minorHAnsi"/>
      <w:b/>
      <w:color w:val="262626" w:themeColor="text1" w:themeTint="D9"/>
      <w:sz w:val="24"/>
      <w:szCs w:val="24"/>
    </w:rPr>
  </w:style>
  <w:style w:type="character" w:customStyle="1" w:styleId="Heading4Char">
    <w:name w:val="Heading 4 Char"/>
    <w:basedOn w:val="DefaultParagraphFont"/>
    <w:link w:val="Heading4"/>
    <w:uiPriority w:val="2"/>
    <w:rsid w:val="00C23BE0"/>
    <w:rPr>
      <w:rFonts w:eastAsiaTheme="majorEastAsia" w:cstheme="minorHAnsi"/>
      <w:b/>
      <w:color w:val="262626" w:themeColor="text1" w:themeTint="D9"/>
      <w:sz w:val="22"/>
      <w:szCs w:val="22"/>
    </w:rPr>
  </w:style>
  <w:style w:type="character" w:customStyle="1" w:styleId="Heading5Char">
    <w:name w:val="Heading 5 Char"/>
    <w:basedOn w:val="DefaultParagraphFont"/>
    <w:link w:val="Heading5"/>
    <w:uiPriority w:val="2"/>
    <w:rsid w:val="00857363"/>
    <w:rPr>
      <w:rFonts w:eastAsiaTheme="majorEastAsia" w:cstheme="majorBidi"/>
      <w:iCs/>
      <w:color w:val="3266AB"/>
      <w:sz w:val="22"/>
      <w:szCs w:val="22"/>
    </w:rPr>
  </w:style>
  <w:style w:type="character" w:customStyle="1" w:styleId="Heading6Char">
    <w:name w:val="Heading 6 Char"/>
    <w:basedOn w:val="DefaultParagraphFont"/>
    <w:link w:val="Heading6"/>
    <w:uiPriority w:val="2"/>
    <w:rsid w:val="006200EB"/>
    <w:rPr>
      <w:rFonts w:asciiTheme="majorHAnsi" w:eastAsiaTheme="majorEastAsia" w:hAnsiTheme="majorHAnsi" w:cstheme="majorBidi"/>
      <w:color w:val="3266AB"/>
      <w:sz w:val="22"/>
    </w:rPr>
  </w:style>
  <w:style w:type="character" w:customStyle="1" w:styleId="Heading7Char">
    <w:name w:val="Heading 7 Char"/>
    <w:basedOn w:val="DefaultParagraphFont"/>
    <w:link w:val="Heading7"/>
    <w:uiPriority w:val="2"/>
    <w:rsid w:val="006200EB"/>
    <w:rPr>
      <w:rFonts w:asciiTheme="majorHAnsi" w:eastAsiaTheme="majorEastAsia" w:hAnsiTheme="majorHAnsi" w:cstheme="majorBidi"/>
      <w:b/>
      <w:bCs/>
      <w:color w:val="3266AB"/>
      <w:sz w:val="22"/>
    </w:rPr>
  </w:style>
  <w:style w:type="character" w:customStyle="1" w:styleId="Heading8Char">
    <w:name w:val="Heading 8 Char"/>
    <w:basedOn w:val="DefaultParagraphFont"/>
    <w:link w:val="Heading8"/>
    <w:uiPriority w:val="2"/>
    <w:rsid w:val="006200EB"/>
    <w:rPr>
      <w:rFonts w:asciiTheme="majorHAnsi" w:eastAsiaTheme="majorEastAsia" w:hAnsiTheme="majorHAnsi" w:cstheme="majorBidi"/>
      <w:b/>
      <w:bCs/>
      <w:i/>
      <w:iCs/>
      <w:color w:val="3266AB"/>
      <w:sz w:val="20"/>
      <w:szCs w:val="20"/>
    </w:rPr>
  </w:style>
  <w:style w:type="character" w:customStyle="1" w:styleId="Heading9Char">
    <w:name w:val="Heading 9 Char"/>
    <w:basedOn w:val="DefaultParagraphFont"/>
    <w:link w:val="Heading9"/>
    <w:uiPriority w:val="2"/>
    <w:rsid w:val="006200EB"/>
    <w:rPr>
      <w:rFonts w:asciiTheme="majorHAnsi" w:eastAsiaTheme="majorEastAsia" w:hAnsiTheme="majorHAnsi" w:cstheme="majorBidi"/>
      <w:i/>
      <w:iCs/>
      <w:color w:val="3266AB"/>
      <w:sz w:val="20"/>
      <w:szCs w:val="20"/>
    </w:rPr>
  </w:style>
  <w:style w:type="paragraph" w:styleId="Subtitle">
    <w:name w:val="Subtitle"/>
    <w:basedOn w:val="Normal"/>
    <w:next w:val="Normal"/>
    <w:link w:val="SubtitleChar"/>
    <w:uiPriority w:val="19"/>
    <w:rsid w:val="0091141A"/>
    <w:pPr>
      <w:numPr>
        <w:ilvl w:val="1"/>
      </w:numPr>
      <w:spacing w:line="240" w:lineRule="auto"/>
    </w:pPr>
    <w:rPr>
      <w:rFonts w:eastAsiaTheme="majorEastAsia" w:cstheme="minorHAnsi"/>
      <w:noProof/>
      <w:color w:val="6C6C6C" w:themeColor="background2" w:themeShade="80"/>
      <w:sz w:val="28"/>
      <w:szCs w:val="30"/>
    </w:rPr>
  </w:style>
  <w:style w:type="character" w:customStyle="1" w:styleId="SubtitleChar">
    <w:name w:val="Subtitle Char"/>
    <w:basedOn w:val="DefaultParagraphFont"/>
    <w:link w:val="Subtitle"/>
    <w:uiPriority w:val="19"/>
    <w:rsid w:val="0091141A"/>
    <w:rPr>
      <w:rFonts w:eastAsiaTheme="majorEastAsia" w:cstheme="minorHAnsi"/>
      <w:noProof/>
      <w:color w:val="6C6C6C" w:themeColor="background2" w:themeShade="80"/>
      <w:sz w:val="28"/>
      <w:szCs w:val="30"/>
    </w:rPr>
  </w:style>
  <w:style w:type="paragraph" w:styleId="NoSpacing">
    <w:name w:val="No Spacing"/>
    <w:uiPriority w:val="98"/>
    <w:unhideWhenUsed/>
    <w:rsid w:val="00D525B8"/>
    <w:pPr>
      <w:spacing w:after="0" w:line="240" w:lineRule="auto"/>
    </w:pPr>
  </w:style>
  <w:style w:type="paragraph" w:styleId="Caption">
    <w:name w:val="caption"/>
    <w:basedOn w:val="Normal"/>
    <w:next w:val="Normal"/>
    <w:uiPriority w:val="35"/>
    <w:unhideWhenUsed/>
    <w:qFormat/>
    <w:rsid w:val="00D525B8"/>
    <w:pPr>
      <w:spacing w:line="240" w:lineRule="auto"/>
    </w:pPr>
    <w:rPr>
      <w:b/>
      <w:bCs/>
      <w:smallCaps/>
      <w:color w:val="595959" w:themeColor="text1" w:themeTint="A6"/>
    </w:rPr>
  </w:style>
  <w:style w:type="character" w:styleId="Strong">
    <w:name w:val="Strong"/>
    <w:basedOn w:val="DefaultParagraphFont"/>
    <w:uiPriority w:val="22"/>
    <w:unhideWhenUsed/>
    <w:rsid w:val="00D525B8"/>
    <w:rPr>
      <w:b/>
      <w:bCs/>
    </w:rPr>
  </w:style>
  <w:style w:type="character" w:styleId="Emphasis">
    <w:name w:val="Emphasis"/>
    <w:basedOn w:val="DefaultParagraphFont"/>
    <w:uiPriority w:val="20"/>
    <w:unhideWhenUsed/>
    <w:qFormat/>
    <w:rsid w:val="005C0F15"/>
    <w:rPr>
      <w:i/>
      <w:iCs/>
      <w:color w:val="auto"/>
    </w:rPr>
  </w:style>
  <w:style w:type="paragraph" w:styleId="Quote">
    <w:name w:val="Quote"/>
    <w:basedOn w:val="Normal"/>
    <w:next w:val="Normal"/>
    <w:link w:val="QuoteChar"/>
    <w:uiPriority w:val="16"/>
    <w:qFormat/>
    <w:rsid w:val="00C23BE0"/>
    <w:pPr>
      <w:spacing w:before="240"/>
      <w:ind w:left="720" w:right="720"/>
    </w:pPr>
    <w:rPr>
      <w:i/>
      <w:iCs/>
      <w:color w:val="007279" w:themeColor="accent1"/>
    </w:rPr>
  </w:style>
  <w:style w:type="character" w:customStyle="1" w:styleId="QuoteChar">
    <w:name w:val="Quote Char"/>
    <w:basedOn w:val="DefaultParagraphFont"/>
    <w:link w:val="Quote"/>
    <w:uiPriority w:val="16"/>
    <w:rsid w:val="00C23BE0"/>
    <w:rPr>
      <w:i/>
      <w:iCs/>
      <w:color w:val="007279" w:themeColor="accent1"/>
      <w:sz w:val="22"/>
    </w:rPr>
  </w:style>
  <w:style w:type="paragraph" w:styleId="IntenseQuote">
    <w:name w:val="Intense Quote"/>
    <w:basedOn w:val="Normal"/>
    <w:next w:val="Normal"/>
    <w:link w:val="IntenseQuoteChar"/>
    <w:uiPriority w:val="17"/>
    <w:qFormat/>
    <w:rsid w:val="00857363"/>
    <w:pPr>
      <w:spacing w:before="120"/>
      <w:ind w:left="720" w:right="720"/>
    </w:pPr>
    <w:rPr>
      <w:rFonts w:asciiTheme="majorHAnsi" w:eastAsiaTheme="majorEastAsia" w:hAnsiTheme="majorHAnsi" w:cstheme="majorBidi"/>
      <w:i/>
      <w:iCs/>
      <w:color w:val="3266AB"/>
      <w:sz w:val="32"/>
      <w:szCs w:val="32"/>
    </w:rPr>
  </w:style>
  <w:style w:type="character" w:customStyle="1" w:styleId="IntenseQuoteChar">
    <w:name w:val="Intense Quote Char"/>
    <w:basedOn w:val="DefaultParagraphFont"/>
    <w:link w:val="IntenseQuote"/>
    <w:uiPriority w:val="17"/>
    <w:rsid w:val="00857363"/>
    <w:rPr>
      <w:rFonts w:asciiTheme="majorHAnsi" w:eastAsiaTheme="majorEastAsia" w:hAnsiTheme="majorHAnsi" w:cstheme="majorBidi"/>
      <w:i/>
      <w:iCs/>
      <w:color w:val="3266AB"/>
      <w:sz w:val="32"/>
      <w:szCs w:val="32"/>
    </w:rPr>
  </w:style>
  <w:style w:type="character" w:styleId="SubtleEmphasis">
    <w:name w:val="Subtle Emphasis"/>
    <w:basedOn w:val="DefaultParagraphFont"/>
    <w:uiPriority w:val="19"/>
    <w:unhideWhenUsed/>
    <w:rsid w:val="00D525B8"/>
    <w:rPr>
      <w:i/>
      <w:iCs/>
    </w:rPr>
  </w:style>
  <w:style w:type="character" w:styleId="IntenseEmphasis">
    <w:name w:val="Intense Emphasis"/>
    <w:basedOn w:val="DefaultParagraphFont"/>
    <w:uiPriority w:val="21"/>
    <w:unhideWhenUsed/>
    <w:rsid w:val="00D525B8"/>
    <w:rPr>
      <w:b/>
      <w:bCs/>
      <w:i/>
      <w:iCs/>
    </w:rPr>
  </w:style>
  <w:style w:type="character" w:styleId="SubtleReference">
    <w:name w:val="Subtle Reference"/>
    <w:basedOn w:val="DefaultParagraphFont"/>
    <w:uiPriority w:val="31"/>
    <w:unhideWhenUsed/>
    <w:rsid w:val="00D525B8"/>
    <w:rPr>
      <w:smallCaps/>
      <w:color w:val="595959" w:themeColor="text1" w:themeTint="A6"/>
    </w:rPr>
  </w:style>
  <w:style w:type="character" w:styleId="IntenseReference">
    <w:name w:val="Intense Reference"/>
    <w:basedOn w:val="DefaultParagraphFont"/>
    <w:uiPriority w:val="32"/>
    <w:unhideWhenUsed/>
    <w:rsid w:val="006200EB"/>
    <w:rPr>
      <w:b/>
      <w:bCs/>
      <w:smallCaps/>
      <w:color w:val="3266AB"/>
    </w:rPr>
  </w:style>
  <w:style w:type="paragraph" w:styleId="TOCHeading">
    <w:name w:val="TOC Heading"/>
    <w:basedOn w:val="Heading1"/>
    <w:next w:val="Normal"/>
    <w:uiPriority w:val="39"/>
    <w:unhideWhenUsed/>
    <w:rsid w:val="00D525B8"/>
    <w:pPr>
      <w:outlineLvl w:val="9"/>
    </w:pPr>
  </w:style>
  <w:style w:type="paragraph" w:styleId="Header">
    <w:name w:val="header"/>
    <w:basedOn w:val="Normal"/>
    <w:link w:val="HeaderChar"/>
    <w:uiPriority w:val="99"/>
    <w:unhideWhenUsed/>
    <w:rsid w:val="00F95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7C6"/>
  </w:style>
  <w:style w:type="paragraph" w:styleId="Footer">
    <w:name w:val="footer"/>
    <w:basedOn w:val="Normal"/>
    <w:link w:val="FooterChar"/>
    <w:uiPriority w:val="99"/>
    <w:unhideWhenUsed/>
    <w:rsid w:val="00F95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7C6"/>
  </w:style>
  <w:style w:type="character" w:styleId="PlaceholderText">
    <w:name w:val="Placeholder Text"/>
    <w:basedOn w:val="DefaultParagraphFont"/>
    <w:uiPriority w:val="99"/>
    <w:semiHidden/>
    <w:rsid w:val="005226B9"/>
    <w:rPr>
      <w:color w:val="808080"/>
    </w:rPr>
  </w:style>
  <w:style w:type="paragraph" w:styleId="BalloonText">
    <w:name w:val="Balloon Text"/>
    <w:basedOn w:val="Normal"/>
    <w:link w:val="BalloonTextChar"/>
    <w:uiPriority w:val="99"/>
    <w:semiHidden/>
    <w:unhideWhenUsed/>
    <w:rsid w:val="0052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6B9"/>
    <w:rPr>
      <w:rFonts w:ascii="Segoe UI" w:hAnsi="Segoe UI" w:cs="Segoe UI"/>
      <w:sz w:val="18"/>
      <w:szCs w:val="18"/>
    </w:rPr>
  </w:style>
  <w:style w:type="paragraph" w:customStyle="1" w:styleId="CLASSIFICATION">
    <w:name w:val="CLASSIFICATION"/>
    <w:basedOn w:val="Normal"/>
    <w:link w:val="CLASSIFICATIONChar"/>
    <w:autoRedefine/>
    <w:uiPriority w:val="99"/>
    <w:unhideWhenUsed/>
    <w:rsid w:val="00F86700"/>
    <w:pPr>
      <w:jc w:val="center"/>
    </w:pPr>
    <w:rPr>
      <w:rFonts w:ascii="Segoe UI" w:hAnsi="Segoe UI"/>
      <w:caps/>
      <w:color w:val="C00000"/>
      <w:sz w:val="18"/>
    </w:rPr>
  </w:style>
  <w:style w:type="paragraph" w:customStyle="1" w:styleId="BOXHeading2">
    <w:name w:val="BOX Heading 2"/>
    <w:basedOn w:val="Heading2"/>
    <w:next w:val="BOXText"/>
    <w:uiPriority w:val="6"/>
    <w:qFormat/>
    <w:rsid w:val="0091141A"/>
    <w:pPr>
      <w:pBdr>
        <w:top w:val="single" w:sz="48" w:space="1" w:color="F2F2F2" w:themeColor="background1" w:themeShade="F2"/>
        <w:left w:val="single" w:sz="48" w:space="4" w:color="F2F2F2" w:themeColor="background1" w:themeShade="F2"/>
        <w:bottom w:val="single" w:sz="48" w:space="1" w:color="F2F2F2" w:themeColor="background1" w:themeShade="F2"/>
        <w:right w:val="single" w:sz="48" w:space="4" w:color="F2F2F2" w:themeColor="background1" w:themeShade="F2"/>
      </w:pBdr>
      <w:shd w:val="clear" w:color="auto" w:fill="F2F2F2" w:themeFill="background1" w:themeFillShade="F2"/>
      <w:ind w:left="227" w:right="227"/>
    </w:pPr>
  </w:style>
  <w:style w:type="character" w:customStyle="1" w:styleId="CLASSIFICATIONChar">
    <w:name w:val="CLASSIFICATION Char"/>
    <w:basedOn w:val="DefaultParagraphFont"/>
    <w:link w:val="CLASSIFICATION"/>
    <w:uiPriority w:val="99"/>
    <w:rsid w:val="00F86700"/>
    <w:rPr>
      <w:rFonts w:ascii="Segoe UI" w:hAnsi="Segoe UI"/>
      <w:caps/>
      <w:color w:val="C00000"/>
      <w:sz w:val="18"/>
    </w:rPr>
  </w:style>
  <w:style w:type="paragraph" w:customStyle="1" w:styleId="BOXText">
    <w:name w:val="BOX Text"/>
    <w:basedOn w:val="Normal"/>
    <w:next w:val="Normal"/>
    <w:uiPriority w:val="4"/>
    <w:qFormat/>
    <w:rsid w:val="00C23BE0"/>
    <w:pPr>
      <w:pBdr>
        <w:top w:val="single" w:sz="48" w:space="1" w:color="F2F2F2" w:themeColor="background1" w:themeShade="F2"/>
        <w:left w:val="single" w:sz="48" w:space="4" w:color="F2F2F2" w:themeColor="background1" w:themeShade="F2"/>
        <w:bottom w:val="single" w:sz="48" w:space="1" w:color="F2F2F2" w:themeColor="background1" w:themeShade="F2"/>
        <w:right w:val="single" w:sz="48" w:space="4" w:color="F2F2F2" w:themeColor="background1" w:themeShade="F2"/>
      </w:pBdr>
      <w:shd w:val="clear" w:color="auto" w:fill="F2F2F2" w:themeFill="background1" w:themeFillShade="F2"/>
      <w:tabs>
        <w:tab w:val="left" w:pos="3300"/>
      </w:tabs>
      <w:ind w:left="227" w:right="227"/>
    </w:pPr>
    <w:rPr>
      <w:szCs w:val="18"/>
    </w:rPr>
  </w:style>
  <w:style w:type="paragraph" w:customStyle="1" w:styleId="BOXBulletedList">
    <w:name w:val="BOX Bulleted List"/>
    <w:basedOn w:val="BOXText"/>
    <w:uiPriority w:val="5"/>
    <w:qFormat/>
    <w:rsid w:val="00BD171D"/>
    <w:pPr>
      <w:numPr>
        <w:numId w:val="1"/>
      </w:numPr>
      <w:ind w:left="511"/>
    </w:pPr>
  </w:style>
  <w:style w:type="table" w:styleId="TableGrid">
    <w:name w:val="Table Grid"/>
    <w:basedOn w:val="TableNormal"/>
    <w:uiPriority w:val="39"/>
    <w:rsid w:val="00BD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BD57F5"/>
    <w:pPr>
      <w:spacing w:after="0" w:line="240" w:lineRule="auto"/>
    </w:pPr>
    <w:tblPr>
      <w:tblStyleRowBandSize w:val="1"/>
      <w:tblStyleColBandSize w:val="1"/>
      <w:tblBorders>
        <w:top w:val="single" w:sz="4" w:space="0" w:color="15F1FF" w:themeColor="accent1" w:themeTint="99"/>
        <w:left w:val="single" w:sz="4" w:space="0" w:color="15F1FF" w:themeColor="accent1" w:themeTint="99"/>
        <w:bottom w:val="single" w:sz="4" w:space="0" w:color="15F1FF" w:themeColor="accent1" w:themeTint="99"/>
        <w:right w:val="single" w:sz="4" w:space="0" w:color="15F1FF" w:themeColor="accent1" w:themeTint="99"/>
        <w:insideH w:val="single" w:sz="4" w:space="0" w:color="15F1FF" w:themeColor="accent1" w:themeTint="99"/>
      </w:tblBorders>
    </w:tblPr>
    <w:tblStylePr w:type="firstRow">
      <w:rPr>
        <w:b/>
        <w:bCs/>
        <w:color w:val="FFFFFF" w:themeColor="background1"/>
      </w:rPr>
      <w:tblPr/>
      <w:tcPr>
        <w:tcBorders>
          <w:top w:val="single" w:sz="4" w:space="0" w:color="007279" w:themeColor="accent1"/>
          <w:left w:val="single" w:sz="4" w:space="0" w:color="007279" w:themeColor="accent1"/>
          <w:bottom w:val="single" w:sz="4" w:space="0" w:color="007279" w:themeColor="accent1"/>
          <w:right w:val="single" w:sz="4" w:space="0" w:color="007279" w:themeColor="accent1"/>
          <w:insideH w:val="nil"/>
        </w:tcBorders>
        <w:shd w:val="clear" w:color="auto" w:fill="007279" w:themeFill="accent1"/>
      </w:tcPr>
    </w:tblStylePr>
    <w:tblStylePr w:type="lastRow">
      <w:rPr>
        <w:b/>
        <w:bCs/>
      </w:rPr>
      <w:tblPr/>
      <w:tcPr>
        <w:tcBorders>
          <w:top w:val="double" w:sz="4" w:space="0" w:color="15F1FF" w:themeColor="accent1" w:themeTint="99"/>
        </w:tcBorders>
      </w:tcPr>
    </w:tblStylePr>
    <w:tblStylePr w:type="firstCol">
      <w:rPr>
        <w:b/>
        <w:bCs/>
      </w:rPr>
    </w:tblStylePr>
    <w:tblStylePr w:type="lastCol">
      <w:rPr>
        <w:b/>
        <w:bCs/>
      </w:rPr>
    </w:tblStylePr>
    <w:tblStylePr w:type="band1Vert">
      <w:tblPr/>
      <w:tcPr>
        <w:shd w:val="clear" w:color="auto" w:fill="B1FAFF" w:themeFill="accent1" w:themeFillTint="33"/>
      </w:tcPr>
    </w:tblStylePr>
    <w:tblStylePr w:type="band1Horz">
      <w:tblPr/>
      <w:tcPr>
        <w:shd w:val="clear" w:color="auto" w:fill="B1FAFF" w:themeFill="accent1" w:themeFillTint="33"/>
      </w:tcPr>
    </w:tblStylePr>
  </w:style>
  <w:style w:type="paragraph" w:customStyle="1" w:styleId="Figure">
    <w:name w:val="Figure"/>
    <w:basedOn w:val="Normal"/>
    <w:uiPriority w:val="2"/>
    <w:qFormat/>
    <w:rsid w:val="006147EB"/>
    <w:pPr>
      <w:numPr>
        <w:numId w:val="27"/>
      </w:numPr>
      <w:spacing w:before="240"/>
    </w:pPr>
    <w:rPr>
      <w:rFonts w:ascii="Segoe UI" w:hAnsi="Segoe UI" w:cs="Segoe UI"/>
      <w:color w:val="3266AB"/>
    </w:rPr>
  </w:style>
  <w:style w:type="paragraph" w:customStyle="1" w:styleId="TBLHeading">
    <w:name w:val="TBL Heading"/>
    <w:basedOn w:val="Normal"/>
    <w:autoRedefine/>
    <w:uiPriority w:val="11"/>
    <w:qFormat/>
    <w:rsid w:val="009615D2"/>
    <w:pPr>
      <w:spacing w:after="0" w:line="240" w:lineRule="auto"/>
    </w:pPr>
    <w:rPr>
      <w:rFonts w:ascii="Segoe UI" w:hAnsi="Segoe UI" w:cs="Segoe UI"/>
      <w:color w:val="FFFFFF" w:themeColor="background1"/>
      <w:sz w:val="18"/>
    </w:rPr>
  </w:style>
  <w:style w:type="paragraph" w:customStyle="1" w:styleId="TBLText">
    <w:name w:val="TBL Text"/>
    <w:basedOn w:val="Normal"/>
    <w:uiPriority w:val="9"/>
    <w:qFormat/>
    <w:rsid w:val="004D3335"/>
    <w:pPr>
      <w:spacing w:after="120" w:line="240" w:lineRule="auto"/>
    </w:pPr>
    <w:rPr>
      <w:sz w:val="18"/>
      <w:szCs w:val="18"/>
    </w:rPr>
  </w:style>
  <w:style w:type="paragraph" w:customStyle="1" w:styleId="TBLBulletedList">
    <w:name w:val="TBL Bulleted List"/>
    <w:basedOn w:val="TBLText"/>
    <w:uiPriority w:val="10"/>
    <w:qFormat/>
    <w:rsid w:val="00C23BE0"/>
    <w:pPr>
      <w:numPr>
        <w:numId w:val="12"/>
      </w:numPr>
      <w:spacing w:after="0"/>
      <w:ind w:left="204" w:hanging="204"/>
    </w:pPr>
  </w:style>
  <w:style w:type="paragraph" w:customStyle="1" w:styleId="TBLNumberedList">
    <w:name w:val="TBL Numbered List"/>
    <w:basedOn w:val="TBLText"/>
    <w:uiPriority w:val="10"/>
    <w:qFormat/>
    <w:rsid w:val="00C23BE0"/>
    <w:pPr>
      <w:numPr>
        <w:numId w:val="13"/>
      </w:numPr>
      <w:spacing w:after="0"/>
      <w:ind w:left="272" w:hanging="272"/>
    </w:pPr>
  </w:style>
  <w:style w:type="paragraph" w:customStyle="1" w:styleId="BOXHeading3">
    <w:name w:val="BOX Heading 3"/>
    <w:basedOn w:val="BOXHeading2"/>
    <w:next w:val="BOXText"/>
    <w:uiPriority w:val="6"/>
    <w:qFormat/>
    <w:rsid w:val="00857363"/>
    <w:pPr>
      <w:outlineLvl w:val="2"/>
    </w:pPr>
    <w:rPr>
      <w:b/>
      <w:sz w:val="24"/>
      <w:szCs w:val="26"/>
    </w:rPr>
  </w:style>
  <w:style w:type="paragraph" w:styleId="ListParagraph">
    <w:name w:val="List Paragraph"/>
    <w:basedOn w:val="Normal"/>
    <w:uiPriority w:val="34"/>
    <w:unhideWhenUsed/>
    <w:rsid w:val="005917FD"/>
    <w:pPr>
      <w:ind w:left="720"/>
      <w:contextualSpacing/>
    </w:pPr>
  </w:style>
  <w:style w:type="paragraph" w:customStyle="1" w:styleId="BulletedList-Level1">
    <w:name w:val="Bulleted List - Level 1"/>
    <w:basedOn w:val="ListParagraph"/>
    <w:uiPriority w:val="1"/>
    <w:qFormat/>
    <w:rsid w:val="00BD171D"/>
    <w:pPr>
      <w:numPr>
        <w:numId w:val="14"/>
      </w:numPr>
      <w:ind w:left="568" w:hanging="284"/>
    </w:pPr>
  </w:style>
  <w:style w:type="paragraph" w:customStyle="1" w:styleId="BulletedList-Level2">
    <w:name w:val="Bulleted List - Level 2"/>
    <w:basedOn w:val="BulletedList-Level1"/>
    <w:uiPriority w:val="1"/>
    <w:qFormat/>
    <w:rsid w:val="00BD171D"/>
    <w:pPr>
      <w:numPr>
        <w:numId w:val="30"/>
      </w:numPr>
    </w:pPr>
  </w:style>
  <w:style w:type="paragraph" w:customStyle="1" w:styleId="BulletedList-Level3">
    <w:name w:val="Bulleted List - Level 3"/>
    <w:basedOn w:val="ListParagraph"/>
    <w:uiPriority w:val="1"/>
    <w:qFormat/>
    <w:rsid w:val="00BD171D"/>
    <w:pPr>
      <w:numPr>
        <w:numId w:val="31"/>
      </w:numPr>
      <w:ind w:left="1135" w:hanging="284"/>
    </w:pPr>
  </w:style>
  <w:style w:type="paragraph" w:customStyle="1" w:styleId="NumberedList-Level1">
    <w:name w:val="Numbered List - Level 1"/>
    <w:basedOn w:val="ListParagraph"/>
    <w:uiPriority w:val="1"/>
    <w:qFormat/>
    <w:rsid w:val="00BD171D"/>
    <w:pPr>
      <w:numPr>
        <w:numId w:val="21"/>
      </w:numPr>
      <w:ind w:left="568" w:hanging="284"/>
    </w:pPr>
  </w:style>
  <w:style w:type="paragraph" w:customStyle="1" w:styleId="NumberedList-level2">
    <w:name w:val="Numbered List - level 2"/>
    <w:basedOn w:val="ListParagraph"/>
    <w:uiPriority w:val="1"/>
    <w:qFormat/>
    <w:rsid w:val="00BD171D"/>
    <w:pPr>
      <w:numPr>
        <w:ilvl w:val="1"/>
        <w:numId w:val="21"/>
      </w:numPr>
    </w:pPr>
  </w:style>
  <w:style w:type="paragraph" w:customStyle="1" w:styleId="NumberedList-Level3">
    <w:name w:val="Numbered List - Level 3"/>
    <w:basedOn w:val="ListParagraph"/>
    <w:uiPriority w:val="1"/>
    <w:qFormat/>
    <w:rsid w:val="00BD171D"/>
    <w:pPr>
      <w:numPr>
        <w:ilvl w:val="2"/>
        <w:numId w:val="21"/>
      </w:numPr>
    </w:pPr>
  </w:style>
  <w:style w:type="paragraph" w:customStyle="1" w:styleId="BoxDark-HeadingLevel1">
    <w:name w:val="Box Dark - Heading Level 1"/>
    <w:basedOn w:val="BOXHeading2"/>
    <w:uiPriority w:val="9"/>
    <w:rsid w:val="00311C2D"/>
    <w:pPr>
      <w:pBdr>
        <w:top w:val="single" w:sz="48" w:space="1" w:color="007279" w:themeColor="accent1"/>
        <w:left w:val="single" w:sz="48" w:space="4" w:color="007279" w:themeColor="accent1"/>
        <w:bottom w:val="single" w:sz="48" w:space="1" w:color="007279" w:themeColor="accent1"/>
        <w:right w:val="single" w:sz="48" w:space="4" w:color="007279" w:themeColor="accent1"/>
      </w:pBdr>
      <w:shd w:val="clear" w:color="auto" w:fill="007279" w:themeFill="accent1"/>
    </w:pPr>
    <w:rPr>
      <w:color w:val="FFFFFF" w:themeColor="background1"/>
    </w:rPr>
  </w:style>
  <w:style w:type="paragraph" w:styleId="TOC1">
    <w:name w:val="toc 1"/>
    <w:basedOn w:val="Normal"/>
    <w:next w:val="Normal"/>
    <w:autoRedefine/>
    <w:uiPriority w:val="39"/>
    <w:unhideWhenUsed/>
    <w:rsid w:val="00117A77"/>
    <w:pPr>
      <w:spacing w:after="100"/>
    </w:pPr>
  </w:style>
  <w:style w:type="paragraph" w:styleId="TOC2">
    <w:name w:val="toc 2"/>
    <w:basedOn w:val="Normal"/>
    <w:next w:val="Normal"/>
    <w:autoRedefine/>
    <w:uiPriority w:val="39"/>
    <w:unhideWhenUsed/>
    <w:rsid w:val="00117A77"/>
    <w:pPr>
      <w:spacing w:after="100"/>
      <w:ind w:left="220"/>
    </w:pPr>
  </w:style>
  <w:style w:type="paragraph" w:styleId="TOC3">
    <w:name w:val="toc 3"/>
    <w:basedOn w:val="Normal"/>
    <w:next w:val="Normal"/>
    <w:autoRedefine/>
    <w:uiPriority w:val="39"/>
    <w:unhideWhenUsed/>
    <w:rsid w:val="00117A77"/>
    <w:pPr>
      <w:spacing w:after="100"/>
      <w:ind w:left="440"/>
    </w:pPr>
  </w:style>
  <w:style w:type="character" w:styleId="Hyperlink">
    <w:name w:val="Hyperlink"/>
    <w:basedOn w:val="DefaultParagraphFont"/>
    <w:uiPriority w:val="99"/>
    <w:unhideWhenUsed/>
    <w:rsid w:val="00117A77"/>
    <w:rPr>
      <w:color w:val="007279" w:themeColor="hyperlink"/>
      <w:u w:val="single"/>
    </w:rPr>
  </w:style>
  <w:style w:type="paragraph" w:customStyle="1" w:styleId="BoxDark-HeadingLevel3">
    <w:name w:val="Box Dark - Heading Level 3"/>
    <w:basedOn w:val="BOXHeading3"/>
    <w:uiPriority w:val="9"/>
    <w:rsid w:val="00311C2D"/>
    <w:pPr>
      <w:pBdr>
        <w:top w:val="single" w:sz="48" w:space="1" w:color="007279" w:themeColor="accent1"/>
        <w:left w:val="single" w:sz="48" w:space="4" w:color="007279" w:themeColor="accent1"/>
        <w:bottom w:val="single" w:sz="48" w:space="1" w:color="007279" w:themeColor="accent1"/>
        <w:right w:val="single" w:sz="48" w:space="4" w:color="007279" w:themeColor="accent1"/>
      </w:pBdr>
      <w:shd w:val="clear" w:color="auto" w:fill="007279" w:themeFill="accent1"/>
    </w:pPr>
    <w:rPr>
      <w:color w:val="FFFFFF" w:themeColor="background1"/>
    </w:rPr>
  </w:style>
  <w:style w:type="paragraph" w:customStyle="1" w:styleId="BoxDark-Text">
    <w:name w:val="Box Dark - Text"/>
    <w:basedOn w:val="BOXText"/>
    <w:uiPriority w:val="7"/>
    <w:rsid w:val="00FE2C7F"/>
    <w:pPr>
      <w:pBdr>
        <w:top w:val="single" w:sz="48" w:space="1" w:color="007279" w:themeColor="accent1"/>
        <w:left w:val="single" w:sz="48" w:space="4" w:color="007279" w:themeColor="accent1"/>
        <w:bottom w:val="single" w:sz="48" w:space="1" w:color="007279" w:themeColor="accent1"/>
        <w:right w:val="single" w:sz="48" w:space="4" w:color="007279" w:themeColor="accent1"/>
      </w:pBdr>
      <w:shd w:val="clear" w:color="auto" w:fill="007279" w:themeFill="accent1"/>
    </w:pPr>
    <w:rPr>
      <w:rFonts w:ascii="Segoe UI Semilight" w:hAnsi="Segoe UI Semilight"/>
      <w:color w:val="FFFFFF" w:themeColor="background1"/>
    </w:rPr>
  </w:style>
  <w:style w:type="paragraph" w:customStyle="1" w:styleId="BoxDark-BulletedList">
    <w:name w:val="Box Dark - Bulleted List"/>
    <w:basedOn w:val="BOXBulletedList"/>
    <w:uiPriority w:val="8"/>
    <w:rsid w:val="00C23BE0"/>
    <w:pPr>
      <w:pBdr>
        <w:top w:val="single" w:sz="48" w:space="1" w:color="007279" w:themeColor="accent1"/>
        <w:left w:val="single" w:sz="48" w:space="4" w:color="007279" w:themeColor="accent1"/>
        <w:bottom w:val="single" w:sz="48" w:space="1" w:color="007279" w:themeColor="accent1"/>
        <w:right w:val="single" w:sz="48" w:space="4" w:color="007279" w:themeColor="accent1"/>
      </w:pBdr>
      <w:shd w:val="clear" w:color="auto" w:fill="007279" w:themeFill="accent1"/>
    </w:pPr>
    <w:rPr>
      <w:rFonts w:ascii="Segoe UI Semilight" w:hAnsi="Segoe UI Semilight"/>
      <w:color w:val="FFFFFF" w:themeColor="background1"/>
    </w:rPr>
  </w:style>
  <w:style w:type="paragraph" w:customStyle="1" w:styleId="BOXNumberedList">
    <w:name w:val="BOX Numbered List"/>
    <w:basedOn w:val="BOXText"/>
    <w:uiPriority w:val="5"/>
    <w:qFormat/>
    <w:rsid w:val="00653138"/>
    <w:pPr>
      <w:numPr>
        <w:numId w:val="28"/>
      </w:numPr>
    </w:pPr>
  </w:style>
  <w:style w:type="paragraph" w:customStyle="1" w:styleId="BoxDark-NumberedList">
    <w:name w:val="Box Dark - Numbered List"/>
    <w:basedOn w:val="BOXNumberedList"/>
    <w:uiPriority w:val="8"/>
    <w:rsid w:val="00C23BE0"/>
    <w:pPr>
      <w:numPr>
        <w:numId w:val="29"/>
      </w:numPr>
      <w:pBdr>
        <w:top w:val="single" w:sz="48" w:space="1" w:color="007279" w:themeColor="accent1"/>
        <w:left w:val="single" w:sz="48" w:space="4" w:color="007279" w:themeColor="accent1"/>
        <w:bottom w:val="single" w:sz="48" w:space="1" w:color="007279" w:themeColor="accent1"/>
        <w:right w:val="single" w:sz="48" w:space="4" w:color="007279" w:themeColor="accent1"/>
      </w:pBdr>
      <w:shd w:val="clear" w:color="auto" w:fill="007279" w:themeFill="accent1"/>
      <w:ind w:left="584" w:hanging="357"/>
    </w:pPr>
    <w:rPr>
      <w:color w:val="FFFFFF" w:themeColor="background1"/>
    </w:rPr>
  </w:style>
  <w:style w:type="table" w:customStyle="1" w:styleId="Custom1">
    <w:name w:val="Custom 1"/>
    <w:basedOn w:val="TableNormal"/>
    <w:uiPriority w:val="99"/>
    <w:rsid w:val="00665FB6"/>
    <w:pPr>
      <w:spacing w:after="0" w:line="240" w:lineRule="auto"/>
    </w:pPr>
    <w:rPr>
      <w:sz w:val="18"/>
    </w:rPr>
    <w:tblPr>
      <w:tblStyleRowBandSize w:val="1"/>
      <w:tblBorders>
        <w:top w:val="single" w:sz="4" w:space="0" w:color="007279" w:themeColor="accent1"/>
        <w:bottom w:val="single" w:sz="12" w:space="0" w:color="007279" w:themeColor="accent1"/>
        <w:insideH w:val="single" w:sz="4" w:space="0" w:color="007279" w:themeColor="accent1"/>
      </w:tblBorders>
      <w:tblCellMar>
        <w:top w:w="57" w:type="dxa"/>
        <w:bottom w:w="57" w:type="dxa"/>
      </w:tblCellMar>
    </w:tblPr>
    <w:tblStylePr w:type="firstRow">
      <w:rPr>
        <w:rFonts w:asciiTheme="minorHAnsi" w:hAnsiTheme="minorHAnsi"/>
        <w:b/>
        <w:sz w:val="18"/>
      </w:rPr>
      <w:tblPr/>
      <w:tcPr>
        <w:shd w:val="clear" w:color="auto" w:fill="007279" w:themeFill="accent1"/>
      </w:tcPr>
    </w:tblStylePr>
    <w:tblStylePr w:type="band1Horz">
      <w:tblPr/>
      <w:tcPr>
        <w:shd w:val="clear" w:color="auto" w:fill="D8D8D8" w:themeFill="background2"/>
      </w:tcPr>
    </w:tblStylePr>
  </w:style>
  <w:style w:type="table" w:customStyle="1" w:styleId="Style1">
    <w:name w:val="Style1"/>
    <w:basedOn w:val="Custom1"/>
    <w:uiPriority w:val="99"/>
    <w:rsid w:val="00D500C1"/>
    <w:tblPr>
      <w:tblBorders>
        <w:top w:val="none" w:sz="0" w:space="0" w:color="auto"/>
        <w:left w:val="single" w:sz="4" w:space="0" w:color="007279" w:themeColor="accent1"/>
        <w:bottom w:val="single" w:sz="4" w:space="0" w:color="007279" w:themeColor="accent1"/>
        <w:right w:val="single" w:sz="4" w:space="0" w:color="007279" w:themeColor="accent1"/>
        <w:insideH w:val="none" w:sz="0" w:space="0" w:color="auto"/>
        <w:insideV w:val="single" w:sz="4" w:space="0" w:color="007279" w:themeColor="accent1"/>
      </w:tblBorders>
    </w:tblPr>
    <w:tblStylePr w:type="firstRow">
      <w:rPr>
        <w:rFonts w:asciiTheme="minorHAnsi" w:hAnsiTheme="minorHAnsi"/>
        <w:b/>
        <w:sz w:val="18"/>
      </w:rPr>
      <w:tblPr/>
      <w:tcPr>
        <w:shd w:val="clear" w:color="auto" w:fill="007279" w:themeFill="accent1"/>
      </w:tcPr>
    </w:tblStylePr>
    <w:tblStylePr w:type="firstCol">
      <w:rPr>
        <w:b/>
      </w:rPr>
      <w:tblPr/>
      <w:tcPr>
        <w:shd w:val="clear" w:color="auto" w:fill="007279" w:themeFill="accent1"/>
      </w:tcPr>
    </w:tblStylePr>
    <w:tblStylePr w:type="band1Horz">
      <w:tblPr/>
      <w:tcPr>
        <w:shd w:val="clear" w:color="auto" w:fill="D8D8D8" w:themeFill="background2"/>
      </w:tcPr>
    </w:tblStylePr>
  </w:style>
  <w:style w:type="character" w:styleId="UnresolvedMention">
    <w:name w:val="Unresolved Mention"/>
    <w:basedOn w:val="DefaultParagraphFont"/>
    <w:uiPriority w:val="99"/>
    <w:semiHidden/>
    <w:unhideWhenUsed/>
    <w:rsid w:val="006C7E16"/>
    <w:rPr>
      <w:color w:val="605E5C"/>
      <w:shd w:val="clear" w:color="auto" w:fill="E1DFDD"/>
    </w:rPr>
  </w:style>
  <w:style w:type="paragraph" w:styleId="Revision">
    <w:name w:val="Revision"/>
    <w:hidden/>
    <w:uiPriority w:val="99"/>
    <w:semiHidden/>
    <w:rsid w:val="005F66F9"/>
    <w:pPr>
      <w:spacing w:after="0" w:line="240" w:lineRule="auto"/>
    </w:pPr>
    <w:rPr>
      <w:sz w:val="22"/>
    </w:rPr>
  </w:style>
  <w:style w:type="character" w:styleId="CommentReference">
    <w:name w:val="annotation reference"/>
    <w:basedOn w:val="DefaultParagraphFont"/>
    <w:uiPriority w:val="99"/>
    <w:semiHidden/>
    <w:unhideWhenUsed/>
    <w:rsid w:val="00810E90"/>
    <w:rPr>
      <w:sz w:val="16"/>
      <w:szCs w:val="16"/>
    </w:rPr>
  </w:style>
  <w:style w:type="paragraph" w:styleId="CommentText">
    <w:name w:val="annotation text"/>
    <w:basedOn w:val="Normal"/>
    <w:link w:val="CommentTextChar"/>
    <w:uiPriority w:val="99"/>
    <w:unhideWhenUsed/>
    <w:rsid w:val="00810E90"/>
    <w:pPr>
      <w:spacing w:line="240" w:lineRule="auto"/>
    </w:pPr>
    <w:rPr>
      <w:sz w:val="20"/>
      <w:szCs w:val="20"/>
    </w:rPr>
  </w:style>
  <w:style w:type="character" w:customStyle="1" w:styleId="CommentTextChar">
    <w:name w:val="Comment Text Char"/>
    <w:basedOn w:val="DefaultParagraphFont"/>
    <w:link w:val="CommentText"/>
    <w:uiPriority w:val="99"/>
    <w:rsid w:val="00810E90"/>
    <w:rPr>
      <w:sz w:val="20"/>
      <w:szCs w:val="20"/>
    </w:rPr>
  </w:style>
  <w:style w:type="paragraph" w:styleId="CommentSubject">
    <w:name w:val="annotation subject"/>
    <w:basedOn w:val="CommentText"/>
    <w:next w:val="CommentText"/>
    <w:link w:val="CommentSubjectChar"/>
    <w:uiPriority w:val="99"/>
    <w:semiHidden/>
    <w:unhideWhenUsed/>
    <w:rsid w:val="00810E90"/>
    <w:rPr>
      <w:b/>
      <w:bCs/>
    </w:rPr>
  </w:style>
  <w:style w:type="character" w:customStyle="1" w:styleId="CommentSubjectChar">
    <w:name w:val="Comment Subject Char"/>
    <w:basedOn w:val="CommentTextChar"/>
    <w:link w:val="CommentSubject"/>
    <w:uiPriority w:val="99"/>
    <w:semiHidden/>
    <w:rsid w:val="00810E90"/>
    <w:rPr>
      <w:b/>
      <w:bCs/>
      <w:sz w:val="20"/>
      <w:szCs w:val="20"/>
    </w:rPr>
  </w:style>
  <w:style w:type="character" w:styleId="FollowedHyperlink">
    <w:name w:val="FollowedHyperlink"/>
    <w:basedOn w:val="DefaultParagraphFont"/>
    <w:uiPriority w:val="99"/>
    <w:semiHidden/>
    <w:unhideWhenUsed/>
    <w:rsid w:val="000E5B4B"/>
    <w:rPr>
      <w:color w:val="007279" w:themeColor="followedHyperlink"/>
      <w:u w:val="single"/>
    </w:rPr>
  </w:style>
  <w:style w:type="table" w:customStyle="1" w:styleId="LightGrid-Accent21">
    <w:name w:val="Light Grid - Accent 21"/>
    <w:basedOn w:val="TableNormal"/>
    <w:next w:val="LightGrid-Accent2"/>
    <w:uiPriority w:val="62"/>
    <w:rsid w:val="00A17097"/>
    <w:pPr>
      <w:spacing w:after="0" w:line="240" w:lineRule="auto"/>
    </w:pPr>
    <w:rPr>
      <w:rFonts w:eastAsia="Times New Roman" w:cs="Times New Roman"/>
      <w:sz w:val="24"/>
      <w:szCs w:val="24"/>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auto"/>
    </w:tcPr>
    <w:tblStylePr w:type="firstRow">
      <w:pPr>
        <w:spacing w:before="0" w:after="0" w:line="240" w:lineRule="auto"/>
      </w:pPr>
      <w:rPr>
        <w:rFonts w:ascii="Bahnschrift" w:eastAsia="Times New Roman" w:hAnsi="Bahnschrift" w:cs="Times New Roman"/>
        <w:b/>
        <w:bCs/>
      </w:rPr>
      <w:tblPr/>
      <w:tcPr>
        <w:shd w:val="clear" w:color="auto" w:fill="CD0920"/>
      </w:tcPr>
    </w:tblStylePr>
    <w:tblStylePr w:type="lastRow">
      <w:pPr>
        <w:spacing w:before="0" w:after="0" w:line="240" w:lineRule="auto"/>
      </w:pPr>
      <w:rPr>
        <w:rFonts w:ascii="Bahnschrift" w:eastAsia="Times New Roman" w:hAnsi="Bahnschrif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ahnschrift" w:eastAsia="Times New Roman" w:hAnsi="Bahnschrift" w:cs="Times New Roman"/>
        <w:b/>
        <w:bCs/>
      </w:rPr>
    </w:tblStylePr>
    <w:tblStylePr w:type="lastCol">
      <w:rPr>
        <w:rFonts w:ascii="Bahnschrift" w:eastAsia="Times New Roman" w:hAnsi="Bahnschrif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2">
    <w:name w:val="Light Grid Accent 2"/>
    <w:basedOn w:val="TableNormal"/>
    <w:uiPriority w:val="62"/>
    <w:semiHidden/>
    <w:unhideWhenUsed/>
    <w:rsid w:val="00A17097"/>
    <w:pPr>
      <w:spacing w:after="0" w:line="240" w:lineRule="auto"/>
    </w:pPr>
    <w:tblPr>
      <w:tblStyleRowBandSize w:val="1"/>
      <w:tblStyleColBandSize w:val="1"/>
      <w:tblBorders>
        <w:top w:val="single" w:sz="8" w:space="0" w:color="1C2B39" w:themeColor="accent2"/>
        <w:left w:val="single" w:sz="8" w:space="0" w:color="1C2B39" w:themeColor="accent2"/>
        <w:bottom w:val="single" w:sz="8" w:space="0" w:color="1C2B39" w:themeColor="accent2"/>
        <w:right w:val="single" w:sz="8" w:space="0" w:color="1C2B39" w:themeColor="accent2"/>
        <w:insideH w:val="single" w:sz="8" w:space="0" w:color="1C2B39" w:themeColor="accent2"/>
        <w:insideV w:val="single" w:sz="8" w:space="0" w:color="1C2B3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C2B39" w:themeColor="accent2"/>
          <w:left w:val="single" w:sz="8" w:space="0" w:color="1C2B39" w:themeColor="accent2"/>
          <w:bottom w:val="single" w:sz="18" w:space="0" w:color="1C2B39" w:themeColor="accent2"/>
          <w:right w:val="single" w:sz="8" w:space="0" w:color="1C2B39" w:themeColor="accent2"/>
          <w:insideH w:val="nil"/>
          <w:insideV w:val="single" w:sz="8" w:space="0" w:color="1C2B3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C2B39" w:themeColor="accent2"/>
          <w:left w:val="single" w:sz="8" w:space="0" w:color="1C2B39" w:themeColor="accent2"/>
          <w:bottom w:val="single" w:sz="8" w:space="0" w:color="1C2B39" w:themeColor="accent2"/>
          <w:right w:val="single" w:sz="8" w:space="0" w:color="1C2B39" w:themeColor="accent2"/>
          <w:insideH w:val="nil"/>
          <w:insideV w:val="single" w:sz="8" w:space="0" w:color="1C2B3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C2B39" w:themeColor="accent2"/>
          <w:left w:val="single" w:sz="8" w:space="0" w:color="1C2B39" w:themeColor="accent2"/>
          <w:bottom w:val="single" w:sz="8" w:space="0" w:color="1C2B39" w:themeColor="accent2"/>
          <w:right w:val="single" w:sz="8" w:space="0" w:color="1C2B39" w:themeColor="accent2"/>
        </w:tcBorders>
      </w:tcPr>
    </w:tblStylePr>
    <w:tblStylePr w:type="band1Vert">
      <w:tblPr/>
      <w:tcPr>
        <w:tcBorders>
          <w:top w:val="single" w:sz="8" w:space="0" w:color="1C2B39" w:themeColor="accent2"/>
          <w:left w:val="single" w:sz="8" w:space="0" w:color="1C2B39" w:themeColor="accent2"/>
          <w:bottom w:val="single" w:sz="8" w:space="0" w:color="1C2B39" w:themeColor="accent2"/>
          <w:right w:val="single" w:sz="8" w:space="0" w:color="1C2B39" w:themeColor="accent2"/>
        </w:tcBorders>
        <w:shd w:val="clear" w:color="auto" w:fill="B8CADC" w:themeFill="accent2" w:themeFillTint="3F"/>
      </w:tcPr>
    </w:tblStylePr>
    <w:tblStylePr w:type="band1Horz">
      <w:tblPr/>
      <w:tcPr>
        <w:tcBorders>
          <w:top w:val="single" w:sz="8" w:space="0" w:color="1C2B39" w:themeColor="accent2"/>
          <w:left w:val="single" w:sz="8" w:space="0" w:color="1C2B39" w:themeColor="accent2"/>
          <w:bottom w:val="single" w:sz="8" w:space="0" w:color="1C2B39" w:themeColor="accent2"/>
          <w:right w:val="single" w:sz="8" w:space="0" w:color="1C2B39" w:themeColor="accent2"/>
          <w:insideV w:val="single" w:sz="8" w:space="0" w:color="1C2B39" w:themeColor="accent2"/>
        </w:tcBorders>
        <w:shd w:val="clear" w:color="auto" w:fill="B8CADC" w:themeFill="accent2" w:themeFillTint="3F"/>
      </w:tcPr>
    </w:tblStylePr>
    <w:tblStylePr w:type="band2Horz">
      <w:tblPr/>
      <w:tcPr>
        <w:tcBorders>
          <w:top w:val="single" w:sz="8" w:space="0" w:color="1C2B39" w:themeColor="accent2"/>
          <w:left w:val="single" w:sz="8" w:space="0" w:color="1C2B39" w:themeColor="accent2"/>
          <w:bottom w:val="single" w:sz="8" w:space="0" w:color="1C2B39" w:themeColor="accent2"/>
          <w:right w:val="single" w:sz="8" w:space="0" w:color="1C2B39" w:themeColor="accent2"/>
          <w:insideV w:val="single" w:sz="8" w:space="0" w:color="1C2B39" w:themeColor="accent2"/>
        </w:tcBorders>
      </w:tcPr>
    </w:tblStylePr>
  </w:style>
  <w:style w:type="paragraph" w:customStyle="1" w:styleId="Default">
    <w:name w:val="Default"/>
    <w:rsid w:val="008A3133"/>
    <w:pPr>
      <w:autoSpaceDE w:val="0"/>
      <w:autoSpaceDN w:val="0"/>
      <w:adjustRightInd w:val="0"/>
      <w:spacing w:after="0" w:line="240" w:lineRule="auto"/>
    </w:pPr>
    <w:rPr>
      <w:rFonts w:ascii="Inter Light" w:hAnsi="Inter Light" w:cs="Inter Light"/>
      <w:color w:val="000000"/>
      <w:sz w:val="24"/>
      <w:szCs w:val="24"/>
    </w:rPr>
  </w:style>
  <w:style w:type="character" w:customStyle="1" w:styleId="A9">
    <w:name w:val="A9"/>
    <w:uiPriority w:val="99"/>
    <w:rsid w:val="008A3133"/>
    <w:rPr>
      <w:rFonts w:cs="Inter Light"/>
      <w:color w:val="042534"/>
    </w:rPr>
  </w:style>
  <w:style w:type="table" w:customStyle="1" w:styleId="PMClinedrows">
    <w:name w:val="PM&amp;C (lined rows)"/>
    <w:basedOn w:val="TableNormal"/>
    <w:uiPriority w:val="99"/>
    <w:locked/>
    <w:rsid w:val="00C23BE0"/>
    <w:pPr>
      <w:spacing w:after="0" w:line="240" w:lineRule="auto"/>
    </w:pPr>
    <w:rPr>
      <w:rFonts w:ascii="Segoe UI Semilight" w:hAnsi="Segoe UI Semilight"/>
      <w:sz w:val="18"/>
      <w:szCs w:val="22"/>
    </w:rPr>
    <w:tblPr>
      <w:tblStyleRowBandSize w:val="1"/>
      <w:tblBorders>
        <w:top w:val="single" w:sz="4" w:space="0" w:color="007279" w:themeColor="accent1"/>
        <w:bottom w:val="single" w:sz="12" w:space="0" w:color="007279" w:themeColor="accent1"/>
        <w:insideH w:val="single" w:sz="4" w:space="0" w:color="007279" w:themeColor="accent1"/>
      </w:tblBorders>
      <w:tblCellMar>
        <w:top w:w="57" w:type="dxa"/>
        <w:bottom w:w="57" w:type="dxa"/>
      </w:tblCellMar>
    </w:tblPr>
    <w:tblStylePr w:type="firstRow">
      <w:rPr>
        <w:rFonts w:ascii="Segoe UI" w:hAnsi="Segoe UI"/>
        <w:b/>
        <w:sz w:val="18"/>
      </w:rPr>
      <w:tblPr/>
      <w:tcPr>
        <w:shd w:val="clear" w:color="auto" w:fill="007279" w:themeFill="accent1"/>
      </w:tcPr>
    </w:tblStylePr>
    <w:tblStylePr w:type="band1Horz">
      <w:tblPr/>
      <w:tcPr>
        <w:shd w:val="clear" w:color="auto" w:fill="D8D8D8" w:themeFill="background2"/>
      </w:tcPr>
    </w:tblStylePr>
  </w:style>
  <w:style w:type="table" w:customStyle="1" w:styleId="PMClinedcolumns">
    <w:name w:val="PM&amp;C (lined columns)"/>
    <w:basedOn w:val="PMClinedrows"/>
    <w:uiPriority w:val="99"/>
    <w:locked/>
    <w:rsid w:val="00C23BE0"/>
    <w:tblPr>
      <w:tblBorders>
        <w:top w:val="none" w:sz="0" w:space="0" w:color="auto"/>
        <w:left w:val="single" w:sz="4" w:space="0" w:color="007279" w:themeColor="accent1"/>
        <w:bottom w:val="single" w:sz="4" w:space="0" w:color="007279" w:themeColor="accent1"/>
        <w:right w:val="single" w:sz="4" w:space="0" w:color="007279" w:themeColor="accent1"/>
        <w:insideH w:val="none" w:sz="0" w:space="0" w:color="auto"/>
        <w:insideV w:val="single" w:sz="4" w:space="0" w:color="007279" w:themeColor="accent1"/>
      </w:tblBorders>
    </w:tblPr>
    <w:tblStylePr w:type="firstRow">
      <w:rPr>
        <w:rFonts w:ascii="Segoe UI" w:hAnsi="Segoe UI"/>
        <w:b/>
        <w:i w:val="0"/>
        <w:sz w:val="18"/>
      </w:rPr>
      <w:tblPr/>
      <w:tcPr>
        <w:shd w:val="clear" w:color="auto" w:fill="007279" w:themeFill="accent1"/>
      </w:tcPr>
    </w:tblStylePr>
    <w:tblStylePr w:type="firstCol">
      <w:rPr>
        <w:b/>
      </w:rPr>
      <w:tblPr/>
      <w:tcPr>
        <w:shd w:val="clear" w:color="auto" w:fill="007279" w:themeFill="accent1"/>
      </w:tcPr>
    </w:tblStylePr>
    <w:tblStylePr w:type="band1Horz">
      <w:tblPr/>
      <w:tcPr>
        <w:shd w:val="clear" w:color="auto" w:fill="D8D8D8" w:themeFill="background2"/>
      </w:tcPr>
    </w:tblStylePr>
  </w:style>
  <w:style w:type="paragraph" w:customStyle="1" w:styleId="BOXHeading1">
    <w:name w:val="BOX Heading 1"/>
    <w:basedOn w:val="Heading1"/>
    <w:next w:val="BOXText"/>
    <w:uiPriority w:val="6"/>
    <w:qFormat/>
    <w:rsid w:val="00C23BE0"/>
    <w:pPr>
      <w:pBdr>
        <w:top w:val="single" w:sz="48" w:space="1" w:color="F2F2F2" w:themeColor="background1" w:themeShade="F2"/>
        <w:left w:val="single" w:sz="48" w:space="4" w:color="F2F2F2" w:themeColor="background1" w:themeShade="F2"/>
        <w:bottom w:val="single" w:sz="48" w:space="1" w:color="F2F2F2" w:themeColor="background1" w:themeShade="F2"/>
        <w:right w:val="single" w:sz="48" w:space="4" w:color="F2F2F2" w:themeColor="background1" w:themeShade="F2"/>
      </w:pBdr>
      <w:shd w:val="clear" w:color="auto" w:fill="F2F2F2" w:themeFill="background1" w:themeFillShade="F2"/>
      <w:ind w:left="227" w:right="227"/>
    </w:pPr>
    <w:rPr>
      <w:rFonts w:asciiTheme="majorHAnsi" w:hAnsiTheme="majorHAnsi" w:cstheme="majorBidi"/>
      <w:b w:val="0"/>
      <w:bCs w:val="0"/>
      <w:noProof w:val="0"/>
      <w:sz w:val="48"/>
      <w:szCs w:val="40"/>
    </w:rPr>
  </w:style>
  <w:style w:type="paragraph" w:customStyle="1" w:styleId="BOXHeading4">
    <w:name w:val="BOX Heading 4"/>
    <w:basedOn w:val="Heading4"/>
    <w:next w:val="BOXText"/>
    <w:uiPriority w:val="6"/>
    <w:qFormat/>
    <w:rsid w:val="00C23BE0"/>
    <w:pPr>
      <w:pBdr>
        <w:top w:val="single" w:sz="48" w:space="1" w:color="F2F2F2" w:themeColor="background1" w:themeShade="F2"/>
        <w:left w:val="single" w:sz="48" w:space="4" w:color="F2F2F2" w:themeColor="background1" w:themeShade="F2"/>
        <w:bottom w:val="single" w:sz="48" w:space="1" w:color="F2F2F2" w:themeColor="background1" w:themeShade="F2"/>
        <w:right w:val="single" w:sz="48" w:space="4" w:color="F2F2F2" w:themeColor="background1" w:themeShade="F2"/>
      </w:pBdr>
      <w:shd w:val="clear" w:color="auto" w:fill="F2F2F2" w:themeFill="background1" w:themeFillShade="F2"/>
      <w:ind w:left="227" w:right="227"/>
    </w:pPr>
    <w:rPr>
      <w:rFonts w:ascii="Segoe UI Semilight" w:hAnsi="Segoe UI Semilight"/>
      <w:color w:val="363636" w:themeColor="background2" w:themeShade="40"/>
    </w:rPr>
  </w:style>
  <w:style w:type="paragraph" w:customStyle="1" w:styleId="Tables">
    <w:name w:val="Tables"/>
    <w:basedOn w:val="Normal"/>
    <w:qFormat/>
    <w:rsid w:val="00C23BE0"/>
    <w:rPr>
      <w:color w:val="007279" w:themeColor="accent1"/>
    </w:rPr>
  </w:style>
  <w:style w:type="paragraph" w:customStyle="1" w:styleId="2ndBoxbullet">
    <w:name w:val="2nd Box bullet"/>
    <w:basedOn w:val="BOXBulletedList"/>
    <w:qFormat/>
    <w:rsid w:val="00653138"/>
    <w:pPr>
      <w:numPr>
        <w:numId w:val="41"/>
      </w:numPr>
      <w:ind w:left="811" w:right="680"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185144">
      <w:bodyDiv w:val="1"/>
      <w:marLeft w:val="0"/>
      <w:marRight w:val="0"/>
      <w:marTop w:val="0"/>
      <w:marBottom w:val="0"/>
      <w:divBdr>
        <w:top w:val="none" w:sz="0" w:space="0" w:color="auto"/>
        <w:left w:val="none" w:sz="0" w:space="0" w:color="auto"/>
        <w:bottom w:val="none" w:sz="0" w:space="0" w:color="auto"/>
        <w:right w:val="none" w:sz="0" w:space="0" w:color="auto"/>
      </w:divBdr>
    </w:div>
    <w:div w:id="187383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ranet.ssp.pmc.gov.au/COM/OD/Pages/word-accessibility-checklist.aspx" TargetMode="External"/><Relationship Id="rId18" Type="http://schemas.openxmlformats.org/officeDocument/2006/relationships/hyperlink" Target="https://oia.pmc.gov.au/" TargetMode="External"/><Relationship Id="rId26" Type="http://schemas.openxmlformats.org/officeDocument/2006/relationships/hyperlink" Target="https://oia.pmc.gov.au/" TargetMode="External"/><Relationship Id="rId39" Type="http://schemas.openxmlformats.org/officeDocument/2006/relationships/footer" Target="footer2.xml"/><Relationship Id="rId21" Type="http://schemas.openxmlformats.org/officeDocument/2006/relationships/hyperlink" Target="mailto:Helpdesk-OIA@pmc.gov.au" TargetMode="External"/><Relationship Id="rId34" Type="http://schemas.openxmlformats.org/officeDocument/2006/relationships/hyperlink" Target="mailto:Helpdesk-OIA@pmc.gov.au"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oia.pmc.gov.au/" TargetMode="External"/><Relationship Id="rId20" Type="http://schemas.openxmlformats.org/officeDocument/2006/relationships/hyperlink" Target="https://oia.pmc.gov.au/" TargetMode="External"/><Relationship Id="rId29" Type="http://schemas.openxmlformats.org/officeDocument/2006/relationships/hyperlink" Target="mailto:Helpdesk-OIA@pmc.gov.a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oia.pmc.gov.au/" TargetMode="External"/><Relationship Id="rId32" Type="http://schemas.openxmlformats.org/officeDocument/2006/relationships/hyperlink" Target="https://evaluation.treasury.gov.au/about/commonwealth-evaluation-policy"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oia.pmc.gov.au/sites/default/files/2026-06/dashboard-impact-analysis-template.dotx" TargetMode="External"/><Relationship Id="rId23" Type="http://schemas.openxmlformats.org/officeDocument/2006/relationships/hyperlink" Target="mailto:Helpdesk-OIA@pmc.gov.au" TargetMode="External"/><Relationship Id="rId28" Type="http://schemas.openxmlformats.org/officeDocument/2006/relationships/hyperlink" Target="https://oia.pmc.gov.au/" TargetMode="External"/><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mailto:Helpdesk-OIA@pmc.gov.au" TargetMode="External"/><Relationship Id="rId31" Type="http://schemas.openxmlformats.org/officeDocument/2006/relationships/hyperlink" Target="mailto:Helpdesk-OIA@pm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ia.pmc.gov.au/resources/guidance-impact-analysis/new-australian-government-impact-analysis-framework" TargetMode="External"/><Relationship Id="rId22" Type="http://schemas.openxmlformats.org/officeDocument/2006/relationships/hyperlink" Target="https://oia.pmc.gov.au/" TargetMode="External"/><Relationship Id="rId27" Type="http://schemas.openxmlformats.org/officeDocument/2006/relationships/hyperlink" Target="mailto:Helpdesk-OIA@pmc.gov.au" TargetMode="External"/><Relationship Id="rId30" Type="http://schemas.openxmlformats.org/officeDocument/2006/relationships/hyperlink" Target="https://oia.pmc.gov.au/" TargetMode="External"/><Relationship Id="rId35" Type="http://schemas.openxmlformats.org/officeDocument/2006/relationships/hyperlink" Target="https://evaluation.treasury.gov.au/"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intranet.ssp.pmc.gov.au/COM/OD/Pages/accessibility-requirements.aspx" TargetMode="External"/><Relationship Id="rId17" Type="http://schemas.openxmlformats.org/officeDocument/2006/relationships/hyperlink" Target="mailto:Helpdesk-OIA@pmc.gov.au" TargetMode="External"/><Relationship Id="rId25" Type="http://schemas.openxmlformats.org/officeDocument/2006/relationships/hyperlink" Target="mailto:Helpdesk-OIA@pmc.gov.au" TargetMode="External"/><Relationship Id="rId33" Type="http://schemas.openxmlformats.org/officeDocument/2006/relationships/hyperlink" Target="https://oia.pmc.gov.au/" TargetMode="External"/><Relationship Id="rId3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6">
      <a:dk1>
        <a:srgbClr val="000000"/>
      </a:dk1>
      <a:lt1>
        <a:srgbClr val="FFFFFF"/>
      </a:lt1>
      <a:dk2>
        <a:srgbClr val="0F1F35"/>
      </a:dk2>
      <a:lt2>
        <a:srgbClr val="D8D8D8"/>
      </a:lt2>
      <a:accent1>
        <a:srgbClr val="007279"/>
      </a:accent1>
      <a:accent2>
        <a:srgbClr val="1C2B39"/>
      </a:accent2>
      <a:accent3>
        <a:srgbClr val="F26337"/>
      </a:accent3>
      <a:accent4>
        <a:srgbClr val="4BADB0"/>
      </a:accent4>
      <a:accent5>
        <a:srgbClr val="B75B53"/>
      </a:accent5>
      <a:accent6>
        <a:srgbClr val="FCB76C"/>
      </a:accent6>
      <a:hlink>
        <a:srgbClr val="007279"/>
      </a:hlink>
      <a:folHlink>
        <a:srgbClr val="007279"/>
      </a:folHlink>
    </a:clrScheme>
    <a:fontScheme name="PM&amp;C light">
      <a:majorFont>
        <a:latin typeface="Times New Roman"/>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F285619428CBE4886618267E9F1076D" ma:contentTypeVersion="33" ma:contentTypeDescription="Create a new document." ma:contentTypeScope="" ma:versionID="ca42fb49eba1a8c78b8ee12454d051e6">
  <xsd:schema xmlns:xsd="http://www.w3.org/2001/XMLSchema" xmlns:xs="http://www.w3.org/2001/XMLSchema" xmlns:p="http://schemas.microsoft.com/office/2006/metadata/properties" xmlns:ns1="http://schemas.microsoft.com/sharepoint/v3" xmlns:ns2="d0dfa800-9ef0-44cb-8a12-633e29de1e0b" xmlns:ns3="e771ab56-0c5d-40e7-b080-2686d2b89623" xmlns:ns4="ce530a30-1469-477c-a42f-e412a5d2cfe7" targetNamespace="http://schemas.microsoft.com/office/2006/metadata/properties" ma:root="true" ma:fieldsID="2564e00aa982f94144761137ec9a9e19" ns1:_="" ns2:_="" ns3:_="" ns4:_="">
    <xsd:import namespace="http://schemas.microsoft.com/sharepoint/v3"/>
    <xsd:import namespace="d0dfa800-9ef0-44cb-8a12-633e29de1e0b"/>
    <xsd:import namespace="e771ab56-0c5d-40e7-b080-2686d2b89623"/>
    <xsd:import namespace="ce530a30-1469-477c-a42f-e412a5d2cfe7"/>
    <xsd:element name="properties">
      <xsd:complexType>
        <xsd:sequence>
          <xsd:element name="documentManagement">
            <xsd:complexType>
              <xsd:all>
                <xsd:element ref="ns2:_dlc_DocId" minOccurs="0"/>
                <xsd:element ref="ns2:_dlc_DocIdUrl" minOccurs="0"/>
                <xsd:element ref="ns2:_dlc_DocIdPersistId" minOccurs="0"/>
                <xsd:element ref="ns2:i33d79d771804d3fbb0a7948c73bb64e" minOccurs="0"/>
                <xsd:element ref="ns2:TaxCatchAll" minOccurs="0"/>
                <xsd:element ref="ns2:b3c0f3586e914200b73ee5084f8aea6e" minOccurs="0"/>
                <xsd:element ref="ns3:ShareHubID" minOccurs="0"/>
                <xsd:element ref="ns2:TaxKeywordTaxHTField" minOccurs="0"/>
                <xsd:element ref="ns1:Comments"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OCR" minOccurs="0"/>
                <xsd:element ref="ns4:MediaServiceGenerationTime" minOccurs="0"/>
                <xsd:element ref="ns4:MediaServiceEventHashCod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dfa800-9ef0-44cb-8a12-633e29de1e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33d79d771804d3fbb0a7948c73bb64e" ma:index="12" ma:taxonomy="true" ma:internalName="i33d79d771804d3fbb0a7948c73bb64e" ma:taxonomyFieldName="SecurityClassification" ma:displayName="Security Classification" ma:default="1;#OFFICIAL|9e0ec9cb-4e7f-4d4a-bd32-1ee7525c6d87" ma:fieldId="{233d79d7-7180-4d3f-bb0a-7948c73bb64e}"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03e71626-501d-4005-9cdb-ece5cfae16ce}" ma:internalName="TaxCatchAll" ma:showField="CatchAllData" ma:web="d0dfa800-9ef0-44cb-8a12-633e29de1e0b">
      <xsd:complexType>
        <xsd:complexContent>
          <xsd:extension base="dms:MultiChoiceLookup">
            <xsd:sequence>
              <xsd:element name="Value" type="dms:Lookup" maxOccurs="unbounded" minOccurs="0" nillable="true"/>
            </xsd:sequence>
          </xsd:extension>
        </xsd:complexContent>
      </xsd:complexType>
    </xsd:element>
    <xsd:element name="b3c0f3586e914200b73ee5084f8aea6e" ma:index="15" nillable="true" ma:taxonomy="true" ma:internalName="b3c0f3586e914200b73ee5084f8aea6e" ma:taxonomyFieldName="InformationMarker" ma:displayName="Information Marker" ma:readOnly="false" ma:fieldId="{b3c0f358-6e91-4200-b73e-e5084f8aea6e}"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530a30-1469-477c-a42f-e412a5d2cfe7"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HubID xmlns="e771ab56-0c5d-40e7-b080-2686d2b89623">DOC23-384974</ShareHubID>
    <Comments xmlns="http://schemas.microsoft.com/sharepoint/v3" xsi:nil="true"/>
    <_dlc_DocId xmlns="d0dfa800-9ef0-44cb-8a12-633e29de1e0b">PMCdoc-213507164-73699</_dlc_DocId>
    <_dlc_DocIdUrl xmlns="d0dfa800-9ef0-44cb-8a12-633e29de1e0b">
      <Url>https://pmc01.sharepoint.com/sites/pmc-ms-cb/_layouts/15/DocIdRedir.aspx?ID=PMCdoc-213507164-73699</Url>
      <Description>PMCdoc-213507164-73699</Description>
    </_dlc_DocIdUrl>
    <TaxCatchAll xmlns="d0dfa800-9ef0-44cb-8a12-633e29de1e0b">
      <Value>4</Value>
    </TaxCatchAll>
    <lcf76f155ced4ddcb4097134ff3c332f xmlns="ce530a30-1469-477c-a42f-e412a5d2cfe7">
      <Terms xmlns="http://schemas.microsoft.com/office/infopath/2007/PartnerControls"/>
    </lcf76f155ced4ddcb4097134ff3c332f>
    <TaxKeywordTaxHTField xmlns="d0dfa800-9ef0-44cb-8a12-633e29de1e0b">
      <Terms xmlns="http://schemas.microsoft.com/office/infopath/2007/PartnerControls"/>
    </TaxKeywordTaxHTField>
    <i33d79d771804d3fbb0a7948c73bb64e xmlns="d0dfa800-9ef0-44cb-8a12-633e29de1e0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i33d79d771804d3fbb0a7948c73bb64e>
    <b3c0f3586e914200b73ee5084f8aea6e xmlns="d0dfa800-9ef0-44cb-8a12-633e29de1e0b">
      <Terms xmlns="http://schemas.microsoft.com/office/infopath/2007/PartnerControls"/>
    </b3c0f3586e914200b73ee5084f8aea6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AA0AD6-1636-4B94-8D9A-8DD3139AB2BB}">
  <ds:schemaRefs>
    <ds:schemaRef ds:uri="http://schemas.microsoft.com/sharepoint/events"/>
  </ds:schemaRefs>
</ds:datastoreItem>
</file>

<file path=customXml/itemProps2.xml><?xml version="1.0" encoding="utf-8"?>
<ds:datastoreItem xmlns:ds="http://schemas.openxmlformats.org/officeDocument/2006/customXml" ds:itemID="{BF948AF3-9D1E-4B59-AD2C-E590735CB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dfa800-9ef0-44cb-8a12-633e29de1e0b"/>
    <ds:schemaRef ds:uri="e771ab56-0c5d-40e7-b080-2686d2b89623"/>
    <ds:schemaRef ds:uri="ce530a30-1469-477c-a42f-e412a5d2c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C71C4E-D583-4961-A11E-67AEAFA18430}">
  <ds:schemaRefs>
    <ds:schemaRef ds:uri="http://schemas.openxmlformats.org/officeDocument/2006/bibliography"/>
  </ds:schemaRefs>
</ds:datastoreItem>
</file>

<file path=customXml/itemProps4.xml><?xml version="1.0" encoding="utf-8"?>
<ds:datastoreItem xmlns:ds="http://schemas.openxmlformats.org/officeDocument/2006/customXml" ds:itemID="{98E6694E-28A2-42E8-9ED1-83BF5D5E0358}">
  <ds:schemaRefs>
    <ds:schemaRef ds:uri="http://schemas.openxmlformats.org/package/2006/metadata/core-properties"/>
    <ds:schemaRef ds:uri="http://purl.org/dc/dcmitype/"/>
    <ds:schemaRef ds:uri="e771ab56-0c5d-40e7-b080-2686d2b89623"/>
    <ds:schemaRef ds:uri="http://schemas.microsoft.com/sharepoint/v3"/>
    <ds:schemaRef ds:uri="http://schemas.microsoft.com/office/2006/metadata/properties"/>
    <ds:schemaRef ds:uri="http://purl.org/dc/elements/1.1/"/>
    <ds:schemaRef ds:uri="http://purl.org/dc/terms/"/>
    <ds:schemaRef ds:uri="http://schemas.microsoft.com/office/2006/documentManagement/types"/>
    <ds:schemaRef ds:uri="http://schemas.microsoft.com/office/infopath/2007/PartnerControls"/>
    <ds:schemaRef ds:uri="ce530a30-1469-477c-a42f-e412a5d2cfe7"/>
    <ds:schemaRef ds:uri="d0dfa800-9ef0-44cb-8a12-633e29de1e0b"/>
    <ds:schemaRef ds:uri="http://www.w3.org/XML/1998/namespace"/>
  </ds:schemaRefs>
</ds:datastoreItem>
</file>

<file path=customXml/itemProps5.xml><?xml version="1.0" encoding="utf-8"?>
<ds:datastoreItem xmlns:ds="http://schemas.openxmlformats.org/officeDocument/2006/customXml" ds:itemID="{EC5696A4-FDC3-4DF3-9F6E-CEF5E83D1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14</Pages>
  <Words>2565</Words>
  <Characters>14625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17156</CharactersWithSpaces>
  <SharedDoc>false</SharedDoc>
  <HLinks>
    <vt:vector size="24" baseType="variant">
      <vt:variant>
        <vt:i4>6750315</vt:i4>
      </vt:variant>
      <vt:variant>
        <vt:i4>9</vt:i4>
      </vt:variant>
      <vt:variant>
        <vt:i4>0</vt:i4>
      </vt:variant>
      <vt:variant>
        <vt:i4>5</vt:i4>
      </vt:variant>
      <vt:variant>
        <vt:lpwstr>https://evaluation.treasury.gov.au/</vt:lpwstr>
      </vt:variant>
      <vt:variant>
        <vt:lpwstr/>
      </vt:variant>
      <vt:variant>
        <vt:i4>6750330</vt:i4>
      </vt:variant>
      <vt:variant>
        <vt:i4>6</vt:i4>
      </vt:variant>
      <vt:variant>
        <vt:i4>0</vt:i4>
      </vt:variant>
      <vt:variant>
        <vt:i4>5</vt:i4>
      </vt:variant>
      <vt:variant>
        <vt:lpwstr>https://www.finance.gov.au/government/managing-commonwealth-resources/implementing-charging-framework-rmg-302/australian-government-charging-policy</vt:lpwstr>
      </vt:variant>
      <vt:variant>
        <vt:lpwstr/>
      </vt:variant>
      <vt:variant>
        <vt:i4>7995489</vt:i4>
      </vt:variant>
      <vt:variant>
        <vt:i4>3</vt:i4>
      </vt:variant>
      <vt:variant>
        <vt:i4>0</vt:i4>
      </vt:variant>
      <vt:variant>
        <vt:i4>5</vt:i4>
      </vt:variant>
      <vt:variant>
        <vt:lpwstr>https://oia.pmc.gov.au/resources/guidance-assessing-impacts/regulatory-burden-measurement-framework</vt:lpwstr>
      </vt:variant>
      <vt:variant>
        <vt:lpwstr/>
      </vt:variant>
      <vt:variant>
        <vt:i4>3801151</vt:i4>
      </vt:variant>
      <vt:variant>
        <vt:i4>0</vt:i4>
      </vt:variant>
      <vt:variant>
        <vt:i4>0</vt:i4>
      </vt:variant>
      <vt:variant>
        <vt:i4>5</vt:i4>
      </vt:variant>
      <vt:variant>
        <vt:lpwstr>https://oia.pmc.gov.au/resources/guidance-assessing-impacts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Detailed Impact Analysis template</dc:title>
  <cp:keywords/>
  <dc:description/>
  <cp:revision>18</cp:revision>
  <dcterms:created xsi:type="dcterms:W3CDTF">2026-06-25T10:48:00Z</dcterms:created>
  <dcterms:modified xsi:type="dcterms:W3CDTF">2026-06-28T23:54:00Z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0x0101004F285619428CBE4886618267E9F1076D</vt:lpwstr>
  </property>
  <property fmtid="{D5CDD505-2E9C-101B-9397-08002B2CF9AE}" pid="3" name="SecurityClassification">
    <vt:lpwstr>4;#OFFICIAL|9e0ec9cb-4e7f-4d4a-bd32-1ee7525c6d87</vt:lpwstr>
  </property>
  <property fmtid="{D5CDD505-2E9C-101B-9397-08002B2CF9AE}" pid="4" name="_dlc_DocIdItemGuid">
    <vt:lpwstr>52cd7a0e-2854-4c9b-b787-8285913677fa</vt:lpwstr>
  </property>
  <property fmtid="{D5CDD505-2E9C-101B-9397-08002B2CF9AE}" pid="5" name="TaxKeyword">
    <vt:lpwstr/>
  </property>
  <property fmtid="{D5CDD505-2E9C-101B-9397-08002B2CF9AE}" pid="6" name="MediaServiceImageTags">
    <vt:lpwstr/>
  </property>
  <property fmtid="{D5CDD505-2E9C-101B-9397-08002B2CF9AE}" pid="7" name="InformationMarker">
    <vt:lpwstr/>
  </property>
  <property fmtid="{D5CDD505-2E9C-101B-9397-08002B2CF9AE}" pid="8" name="docLang">
    <vt:lpwstr>en</vt:lpwstr>
  </property>
  <property fmtid="{D5CDD505-2E9C-101B-9397-08002B2CF9AE}" pid="9" name="ESearchTags">
    <vt:lpwstr>18;#Cabinet|84cba657-17c1-4642-9e59-a0df180c2be5</vt:lpwstr>
  </property>
  <property fmtid="{D5CDD505-2E9C-101B-9397-08002B2CF9AE}" pid="10" name="PMC.ESearch.TagGeneratedTime">
    <vt:lpwstr>2023-08-01T16:55:34</vt:lpwstr>
  </property>
  <property fmtid="{D5CDD505-2E9C-101B-9397-08002B2CF9AE}" pid="11" name="HPRMSecurityLevel">
    <vt:lpwstr>57;#OFFICIAL|11463c70-78df-4e3b-b0ff-f66cd3cb26ec</vt:lpwstr>
  </property>
  <property fmtid="{D5CDD505-2E9C-101B-9397-08002B2CF9AE}" pid="12" name="h6abd8cff2fe46138e55bb3dfb66b0d8">
    <vt:lpwstr>Cabinet|84cba657-17c1-4642-9e59-a0df180c2be5</vt:lpwstr>
  </property>
  <property fmtid="{D5CDD505-2E9C-101B-9397-08002B2CF9AE}" pid="13" name="HPRMSecurityCaveat">
    <vt:lpwstr/>
  </property>
</Properties>
</file>