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4C5C9" w14:textId="77777777" w:rsidR="00130ADC" w:rsidRDefault="00130ADC" w:rsidP="00D044F4">
      <w:pPr>
        <w:pStyle w:val="Heading1"/>
      </w:pPr>
      <w:bookmarkStart w:id="0" w:name="_Toc329769812"/>
      <w:bookmarkStart w:id="1" w:name="_Toc329769939"/>
      <w:bookmarkStart w:id="2" w:name="_Toc330371011"/>
      <w:bookmarkStart w:id="3" w:name="_Toc330371850"/>
      <w:bookmarkStart w:id="4" w:name="_Toc331423696"/>
      <w:bookmarkStart w:id="5" w:name="_Toc331665802"/>
      <w:bookmarkStart w:id="6" w:name="_Toc334085936"/>
      <w:bookmarkStart w:id="7" w:name="_Toc334106934"/>
      <w:bookmarkStart w:id="8" w:name="_Toc334776865"/>
      <w:bookmarkStart w:id="9" w:name="_Toc334790438"/>
      <w:bookmarkStart w:id="10" w:name="_Toc336505282"/>
      <w:bookmarkStart w:id="11" w:name="_Toc336938929"/>
      <w:bookmarkStart w:id="12" w:name="_Toc337210529"/>
      <w:bookmarkStart w:id="13" w:name="_Toc338412891"/>
      <w:bookmarkStart w:id="14" w:name="_Toc338419100"/>
      <w:bookmarkStart w:id="15" w:name="_Toc338419164"/>
      <w:bookmarkStart w:id="16" w:name="_Toc339440854"/>
      <w:bookmarkStart w:id="17" w:name="_Toc339440925"/>
      <w:bookmarkStart w:id="18" w:name="_Toc340562848"/>
      <w:bookmarkStart w:id="19" w:name="_Toc340741195"/>
      <w:bookmarkStart w:id="20" w:name="_Toc340742525"/>
      <w:bookmarkStart w:id="21" w:name="_Toc340816904"/>
      <w:bookmarkStart w:id="22" w:name="_Toc341255148"/>
      <w:bookmarkStart w:id="23" w:name="_Toc341347250"/>
      <w:bookmarkStart w:id="24" w:name="_Toc341429725"/>
      <w:bookmarkStart w:id="25" w:name="_Toc341946134"/>
      <w:bookmarkStart w:id="26" w:name="_Toc342032033"/>
      <w:bookmarkStart w:id="27" w:name="_Toc343066832"/>
      <w:bookmarkStart w:id="28" w:name="_Toc343261518"/>
      <w:bookmarkStart w:id="29" w:name="_Toc343607087"/>
      <w:bookmarkStart w:id="30" w:name="_Toc347485396"/>
      <w:bookmarkStart w:id="31" w:name="_Toc348950634"/>
      <w:bookmarkStart w:id="32" w:name="_Toc348952778"/>
      <w:bookmarkStart w:id="33" w:name="_Toc349652165"/>
      <w:bookmarkStart w:id="34" w:name="_Toc349652265"/>
      <w:bookmarkStart w:id="35" w:name="_Toc349741803"/>
      <w:bookmarkStart w:id="36" w:name="_Toc351033510"/>
      <w:bookmarkStart w:id="37" w:name="_Toc351040429"/>
      <w:bookmarkStart w:id="38" w:name="_Toc351109336"/>
      <w:bookmarkStart w:id="39" w:name="_Toc351115091"/>
      <w:bookmarkStart w:id="40" w:name="_Toc353287152"/>
      <w:bookmarkStart w:id="41" w:name="_Toc353287308"/>
      <w:bookmarkStart w:id="42" w:name="_Toc353371044"/>
      <w:bookmarkStart w:id="43" w:name="_Toc353374429"/>
      <w:bookmarkStart w:id="44" w:name="_Toc353444646"/>
      <w:bookmarkStart w:id="45" w:name="_Toc353525859"/>
      <w:bookmarkStart w:id="46" w:name="_Toc355010386"/>
      <w:bookmarkStart w:id="47" w:name="_Toc356307524"/>
      <w:bookmarkStart w:id="48" w:name="_Toc356313198"/>
      <w:bookmarkStart w:id="49" w:name="_Toc357158733"/>
      <w:bookmarkStart w:id="50" w:name="_Toc357761796"/>
      <w:bookmarkStart w:id="51" w:name="_Toc359254344"/>
      <w:bookmarkStart w:id="52" w:name="_Toc361125038"/>
      <w:bookmarkStart w:id="53" w:name="_Toc361125109"/>
      <w:bookmarkStart w:id="54" w:name="_Toc361143007"/>
      <w:bookmarkStart w:id="55" w:name="_Toc362205722"/>
      <w:bookmarkStart w:id="56" w:name="_Toc362250091"/>
      <w:bookmarkStart w:id="57" w:name="_Toc362341053"/>
      <w:bookmarkStart w:id="58" w:name="_Toc362341072"/>
      <w:bookmarkStart w:id="59" w:name="_Toc362341103"/>
      <w:bookmarkStart w:id="60" w:name="_Toc362343440"/>
      <w:bookmarkStart w:id="61" w:name="_Toc363475029"/>
      <w:bookmarkStart w:id="62" w:name="_Toc363725628"/>
      <w:bookmarkStart w:id="63" w:name="_Toc363725774"/>
      <w:bookmarkStart w:id="64" w:name="_Toc363726435"/>
      <w:bookmarkStart w:id="65" w:name="_Toc364761057"/>
      <w:bookmarkStart w:id="66" w:name="_Toc365273842"/>
      <w:bookmarkStart w:id="67" w:name="_Toc367282597"/>
      <w:bookmarkStart w:id="68" w:name="_Toc367283591"/>
      <w:bookmarkStart w:id="69" w:name="_Toc367781072"/>
      <w:bookmarkStart w:id="70" w:name="_Toc367782736"/>
      <w:bookmarkStart w:id="71" w:name="_Toc369073509"/>
      <w:bookmarkStart w:id="72" w:name="_Toc372708779"/>
      <w:bookmarkStart w:id="73" w:name="_Toc372708814"/>
      <w:bookmarkStart w:id="74" w:name="_Toc372796395"/>
      <w:bookmarkStart w:id="75" w:name="_Toc372807316"/>
      <w:bookmarkStart w:id="76" w:name="_Toc373306749"/>
      <w:bookmarkStart w:id="77" w:name="_Toc373306970"/>
      <w:bookmarkStart w:id="78" w:name="_Toc373307616"/>
      <w:bookmarkStart w:id="79" w:name="_Toc373309337"/>
      <w:bookmarkStart w:id="80" w:name="_Toc373309728"/>
      <w:bookmarkStart w:id="81" w:name="_Toc376962641"/>
      <w:bookmarkStart w:id="82" w:name="_Toc379536792"/>
      <w:bookmarkStart w:id="83" w:name="_Toc379795062"/>
      <w:bookmarkStart w:id="84" w:name="_Toc379801135"/>
      <w:bookmarkStart w:id="85" w:name="_Toc379802373"/>
      <w:bookmarkStart w:id="86" w:name="_Toc383790358"/>
      <w:bookmarkStart w:id="87" w:name="_Toc384306615"/>
      <w:bookmarkStart w:id="88" w:name="_Toc384366785"/>
      <w:bookmarkStart w:id="89" w:name="_Toc387412046"/>
      <w:bookmarkStart w:id="90" w:name="_Toc391977607"/>
      <w:bookmarkStart w:id="91" w:name="_Toc391985271"/>
      <w:bookmarkStart w:id="92" w:name="_Toc391985775"/>
      <w:bookmarkStart w:id="93" w:name="_Toc391985813"/>
      <w:bookmarkStart w:id="94" w:name="_Toc392582652"/>
      <w:bookmarkStart w:id="95" w:name="_Toc392583991"/>
      <w:bookmarkStart w:id="96" w:name="_Toc392751702"/>
      <w:bookmarkStart w:id="97" w:name="_Toc392852654"/>
    </w:p>
    <w:p w14:paraId="0014C5CA" w14:textId="77777777" w:rsidR="00491FE6" w:rsidRPr="00E633AC" w:rsidRDefault="004C069D" w:rsidP="00E633AC">
      <w:pPr>
        <w:pStyle w:val="Heading1"/>
      </w:pPr>
      <w:bookmarkStart w:id="98" w:name="_Toc396743524"/>
      <w:bookmarkStart w:id="99" w:name="_Toc400100727"/>
      <w:bookmarkStart w:id="100" w:name="_Toc400101006"/>
      <w:bookmarkStart w:id="101" w:name="_Toc400104318"/>
      <w:bookmarkStart w:id="102" w:name="_Toc428954723"/>
      <w:bookmarkStart w:id="103" w:name="_Toc429569662"/>
      <w:bookmarkStart w:id="104" w:name="_Toc431304196"/>
      <w:bookmarkStart w:id="105" w:name="_Toc432065991"/>
      <w:bookmarkStart w:id="106" w:name="_Toc433796190"/>
      <w:bookmarkStart w:id="107" w:name="_Toc434404667"/>
      <w:bookmarkStart w:id="108" w:name="_Toc440527067"/>
      <w:bookmarkStart w:id="109" w:name="_Toc441740030"/>
      <w:bookmarkStart w:id="110" w:name="_Toc442184022"/>
      <w:bookmarkStart w:id="111" w:name="_Toc445381156"/>
      <w:bookmarkStart w:id="112" w:name="_Toc445912514"/>
      <w:bookmarkStart w:id="113" w:name="_Toc448236780"/>
      <w:bookmarkStart w:id="114" w:name="_Toc448329039"/>
      <w:bookmarkStart w:id="115" w:name="_Toc448925694"/>
      <w:bookmarkStart w:id="116" w:name="_Toc452383333"/>
      <w:bookmarkStart w:id="117" w:name="_Toc452383402"/>
      <w:bookmarkStart w:id="118" w:name="_Toc452733563"/>
      <w:bookmarkStart w:id="119" w:name="_Toc457809482"/>
      <w:bookmarkStart w:id="120" w:name="_Toc459818783"/>
      <w:bookmarkStart w:id="121" w:name="_Toc461110750"/>
      <w:bookmarkStart w:id="122" w:name="_Toc463961249"/>
      <w:bookmarkStart w:id="123" w:name="_Toc463967205"/>
      <w:bookmarkStart w:id="124" w:name="_Toc473644383"/>
      <w:bookmarkStart w:id="125" w:name="_Toc473899178"/>
      <w:bookmarkStart w:id="126" w:name="_Toc474840915"/>
      <w:bookmarkStart w:id="127" w:name="_Toc475345614"/>
      <w:bookmarkStart w:id="128" w:name="_Toc479345512"/>
      <w:r w:rsidRPr="00E633AC">
        <w:t>Australian Government Regulation Impact Statement status</w:t>
      </w:r>
      <w:bookmarkEnd w:id="0"/>
      <w:bookmarkEnd w:id="1"/>
      <w:bookmarkEnd w:id="2"/>
      <w:r w:rsidRPr="00E633AC">
        <w:t xml:space="preserve"> </w:t>
      </w:r>
      <w:bookmarkStart w:id="129" w:name="_Toc330371012"/>
      <w:r w:rsidRPr="00E633AC">
        <w:t>- by agency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129"/>
      <w:r w:rsidR="008649A9" w:rsidRPr="00E633AC">
        <w:t>: 2016</w:t>
      </w:r>
      <w:r w:rsidR="0034402A" w:rsidRPr="00E633AC">
        <w:t>–</w:t>
      </w:r>
      <w:r w:rsidR="00B451BB" w:rsidRPr="00E633AC">
        <w:t>1</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8649A9" w:rsidRPr="00E633AC">
        <w:t>7</w:t>
      </w:r>
      <w:bookmarkEnd w:id="120"/>
      <w:bookmarkEnd w:id="121"/>
      <w:bookmarkEnd w:id="122"/>
      <w:bookmarkEnd w:id="123"/>
      <w:bookmarkEnd w:id="124"/>
      <w:bookmarkEnd w:id="125"/>
      <w:bookmarkEnd w:id="126"/>
      <w:bookmarkEnd w:id="127"/>
      <w:bookmarkEnd w:id="128"/>
    </w:p>
    <w:p w14:paraId="4CADA1CA" w14:textId="7782C5E3" w:rsidR="003963C4" w:rsidRDefault="003963C4" w:rsidP="003963C4">
      <w:pPr>
        <w:pStyle w:val="BodyText1"/>
      </w:pPr>
      <w:r w:rsidRPr="00C66843">
        <w:t>The Office of Best Practice Regulation (OBPR) publishes Regulation Impact Statements (RISs) on its website as soon as practicable from the date of regulatory announcements, in consultation with the relevant agency</w:t>
      </w:r>
      <w:r w:rsidRPr="004C69C0">
        <w:t xml:space="preserve">. </w:t>
      </w:r>
      <w:r w:rsidR="00C754D9" w:rsidRPr="004C69C0">
        <w:t>Consequently, the RIS status</w:t>
      </w:r>
      <w:r w:rsidR="005211BD" w:rsidRPr="004C69C0">
        <w:t xml:space="preserve"> in aggregate and by agency is also reported ‘live’ in the following tables.</w:t>
      </w:r>
      <w:r w:rsidR="005211BD">
        <w:t xml:space="preserve"> </w:t>
      </w:r>
      <w:r w:rsidR="00061930">
        <w:t xml:space="preserve">This document is accurate as of 5 April 2019. </w:t>
      </w:r>
      <w:r>
        <w:t>RIS</w:t>
      </w:r>
      <w:r w:rsidRPr="00C66843">
        <w:t xml:space="preserve"> </w:t>
      </w:r>
      <w:hyperlink r:id="rId11" w:history="1">
        <w:r w:rsidRPr="00C66843">
          <w:rPr>
            <w:rStyle w:val="Hyperlink"/>
            <w:color w:val="auto"/>
          </w:rPr>
          <w:t>compliance for previous years</w:t>
        </w:r>
      </w:hyperlink>
      <w:r w:rsidRPr="00C66843">
        <w:t xml:space="preserve"> </w:t>
      </w:r>
      <w:r>
        <w:t>is also available on the OBPR website.</w:t>
      </w:r>
    </w:p>
    <w:p w14:paraId="22393F4D" w14:textId="349387EC" w:rsidR="00FA43A3" w:rsidRDefault="00AB28B8" w:rsidP="003963C4">
      <w:pPr>
        <w:pStyle w:val="BodyText1"/>
      </w:pPr>
      <w:r>
        <w:t>In 2016-17</w:t>
      </w:r>
      <w:r w:rsidR="00302ECE">
        <w:t xml:space="preserve">, </w:t>
      </w:r>
      <w:r>
        <w:t xml:space="preserve">the Australian Government </w:t>
      </w:r>
      <w:r w:rsidR="00FA43A3">
        <w:t xml:space="preserve">introduced </w:t>
      </w:r>
      <w:r w:rsidR="00F02538">
        <w:t>4</w:t>
      </w:r>
      <w:r w:rsidR="0056330F">
        <w:t>8</w:t>
      </w:r>
      <w:r w:rsidR="003963C4">
        <w:t xml:space="preserve"> </w:t>
      </w:r>
      <w:r>
        <w:t xml:space="preserve">proposals </w:t>
      </w:r>
      <w:r w:rsidR="008729FA">
        <w:t xml:space="preserve">for which </w:t>
      </w:r>
      <w:r>
        <w:t xml:space="preserve">a </w:t>
      </w:r>
      <w:r w:rsidR="00FA43A3">
        <w:t xml:space="preserve">standard form </w:t>
      </w:r>
      <w:r>
        <w:t>RIS</w:t>
      </w:r>
      <w:r w:rsidR="008729FA">
        <w:t xml:space="preserve"> was required</w:t>
      </w:r>
      <w:r>
        <w:t xml:space="preserve">. </w:t>
      </w:r>
      <w:r w:rsidR="003963C4">
        <w:t>RISs</w:t>
      </w:r>
      <w:r w:rsidR="00F02538">
        <w:t xml:space="preserve"> </w:t>
      </w:r>
      <w:r>
        <w:t xml:space="preserve">were prepared in </w:t>
      </w:r>
      <w:r w:rsidR="008B04BC">
        <w:t>3</w:t>
      </w:r>
      <w:r w:rsidR="0056330F">
        <w:t>5</w:t>
      </w:r>
      <w:r>
        <w:t xml:space="preserve"> cases</w:t>
      </w:r>
      <w:r w:rsidR="00FA43A3">
        <w:t xml:space="preserve">. The OBPR assessed 26 of these as consistent with best practice. In 12 cases, </w:t>
      </w:r>
      <w:r>
        <w:t xml:space="preserve">agencies </w:t>
      </w:r>
      <w:r w:rsidR="00FA43A3">
        <w:t xml:space="preserve">met the RIS requirements by </w:t>
      </w:r>
      <w:r>
        <w:t>certif</w:t>
      </w:r>
      <w:r w:rsidR="00FA43A3">
        <w:t>ying the analysis from an ind</w:t>
      </w:r>
      <w:r w:rsidR="00406F3A">
        <w:t>ependent review</w:t>
      </w:r>
      <w:r w:rsidR="00FA43A3">
        <w:t xml:space="preserve"> or similar RIS-like process. The OBPR does not assess the quality of analysis in such cases.</w:t>
      </w:r>
    </w:p>
    <w:p w14:paraId="5DD676D0" w14:textId="1BB5CCB7" w:rsidR="001A7307" w:rsidRDefault="00FA43A3" w:rsidP="003963C4">
      <w:pPr>
        <w:pStyle w:val="BodyText1"/>
      </w:pPr>
      <w:r>
        <w:t xml:space="preserve">The Prime Minister exempted one proposal from the </w:t>
      </w:r>
      <w:r w:rsidR="00AB28B8">
        <w:t>RIS requirements</w:t>
      </w:r>
      <w:r>
        <w:t xml:space="preserve"> due to exceptional circumstances. </w:t>
      </w:r>
      <w:r w:rsidR="00AB28B8">
        <w:t xml:space="preserve">A post-implementation review </w:t>
      </w:r>
      <w:r w:rsidR="00104A46">
        <w:t xml:space="preserve">(PIR) </w:t>
      </w:r>
      <w:r w:rsidR="00AB28B8">
        <w:t>will be required for th</w:t>
      </w:r>
      <w:r>
        <w:t>e</w:t>
      </w:r>
      <w:r w:rsidR="00AB28B8">
        <w:t xml:space="preserve"> proposal </w:t>
      </w:r>
      <w:r>
        <w:t xml:space="preserve">to </w:t>
      </w:r>
      <w:r w:rsidR="001A7307">
        <w:t xml:space="preserve">introduce a sugar industry code </w:t>
      </w:r>
      <w:r w:rsidR="00AB28B8">
        <w:t>within two years of its introduction.</w:t>
      </w:r>
    </w:p>
    <w:p w14:paraId="65B4CF6B" w14:textId="4CD874D4" w:rsidR="003963C4" w:rsidRDefault="003963C4" w:rsidP="003963C4">
      <w:pPr>
        <w:pStyle w:val="BodyText1"/>
      </w:pPr>
      <w:r w:rsidRPr="00C66843">
        <w:t>Under the March 2014 Australian Government</w:t>
      </w:r>
      <w:r w:rsidR="00AB28B8">
        <w:t>’s RIS</w:t>
      </w:r>
      <w:r w:rsidRPr="00C66843">
        <w:t xml:space="preserve"> process, the OBPR publishes </w:t>
      </w:r>
      <w:r w:rsidR="00AB28B8">
        <w:t>each</w:t>
      </w:r>
      <w:r w:rsidRPr="00C66843">
        <w:t xml:space="preserve"> RIS, the associated agency certification letter and the OBPR assessment letter. </w:t>
      </w:r>
      <w:r w:rsidR="00352D0C">
        <w:t xml:space="preserve">For certified reviews, the OBPR publishes the review and the agency certification letter. </w:t>
      </w:r>
      <w:r w:rsidRPr="00C66843">
        <w:t>A RIS can evolve during the policy development process, and can also be published for consultation at an early stage. The OBPR assesses RISs for compliance and best practice at the final decision point.</w:t>
      </w:r>
    </w:p>
    <w:p w14:paraId="72EC6CF6" w14:textId="77777777" w:rsidR="00616354" w:rsidRPr="00C66843" w:rsidRDefault="00616354" w:rsidP="003963C4">
      <w:pPr>
        <w:pStyle w:val="BodyText1"/>
      </w:pPr>
    </w:p>
    <w:p w14:paraId="0014C5CE" w14:textId="77777777" w:rsidR="00683A75" w:rsidRPr="00010B24" w:rsidRDefault="008B6C63" w:rsidP="008B04BC">
      <w:pPr>
        <w:pStyle w:val="TableHeading"/>
        <w:spacing w:after="240"/>
        <w:outlineLvl w:val="9"/>
      </w:pPr>
      <w:bookmarkStart w:id="130" w:name="_Toc428954724"/>
      <w:bookmarkStart w:id="131" w:name="_Toc429569663"/>
      <w:bookmarkStart w:id="132" w:name="_Toc431304197"/>
      <w:bookmarkStart w:id="133" w:name="_Toc432065992"/>
      <w:bookmarkStart w:id="134" w:name="_Toc433796191"/>
      <w:bookmarkStart w:id="135" w:name="_Toc434404668"/>
      <w:bookmarkStart w:id="136" w:name="_Toc440527068"/>
      <w:bookmarkStart w:id="137" w:name="_Toc441740031"/>
      <w:bookmarkStart w:id="138" w:name="_Toc442184023"/>
      <w:bookmarkStart w:id="139" w:name="_Toc445381157"/>
      <w:bookmarkStart w:id="140" w:name="_Toc445912515"/>
      <w:bookmarkStart w:id="141" w:name="_Toc448236781"/>
      <w:bookmarkStart w:id="142" w:name="_Toc448329040"/>
      <w:bookmarkStart w:id="143" w:name="_Toc448925695"/>
      <w:bookmarkStart w:id="144" w:name="_Toc452383334"/>
      <w:bookmarkStart w:id="145" w:name="_Toc452383403"/>
      <w:bookmarkStart w:id="146" w:name="_Toc452733564"/>
      <w:bookmarkStart w:id="147" w:name="_Toc457809483"/>
      <w:bookmarkStart w:id="148" w:name="_Toc459818784"/>
      <w:bookmarkStart w:id="149" w:name="_Toc461110751"/>
      <w:bookmarkStart w:id="150" w:name="_Toc463961250"/>
      <w:bookmarkStart w:id="151" w:name="_Toc463967206"/>
      <w:bookmarkStart w:id="152" w:name="_Toc473644384"/>
      <w:bookmarkStart w:id="153" w:name="_Toc473899179"/>
      <w:bookmarkStart w:id="154" w:name="_Toc474840916"/>
      <w:bookmarkStart w:id="155" w:name="_Toc475345615"/>
      <w:bookmarkStart w:id="156" w:name="_Toc479345513"/>
      <w:bookmarkStart w:id="157" w:name="_Toc479345874"/>
      <w:bookmarkStart w:id="158" w:name="_Toc480281436"/>
      <w:bookmarkStart w:id="159" w:name="_Toc387412049"/>
      <w:bookmarkStart w:id="160" w:name="_Toc391977610"/>
      <w:bookmarkStart w:id="161" w:name="_Toc391985274"/>
      <w:bookmarkStart w:id="162" w:name="_Toc391985778"/>
      <w:bookmarkStart w:id="163" w:name="_Toc391985816"/>
      <w:bookmarkStart w:id="164" w:name="_Toc392582655"/>
      <w:bookmarkStart w:id="165" w:name="_Toc392583994"/>
      <w:bookmarkStart w:id="166" w:name="_Toc392751705"/>
      <w:bookmarkStart w:id="167" w:name="_Toc392852657"/>
      <w:bookmarkStart w:id="168" w:name="_Toc396743525"/>
      <w:bookmarkStart w:id="169" w:name="_Toc400100728"/>
      <w:bookmarkStart w:id="170" w:name="_Toc400101007"/>
      <w:bookmarkStart w:id="171" w:name="_Toc400104319"/>
      <w:r>
        <w:t xml:space="preserve">RIS </w:t>
      </w:r>
      <w:r w:rsidR="00730ADC">
        <w:t xml:space="preserve">Summary of </w:t>
      </w:r>
      <w:r>
        <w:t>compliance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683A75" w:rsidRPr="00010B24">
        <w:t xml:space="preserve"> </w:t>
      </w:r>
      <w:bookmarkEnd w:id="159"/>
      <w:bookmarkEnd w:id="160"/>
      <w:bookmarkEnd w:id="161"/>
      <w:bookmarkEnd w:id="162"/>
      <w:bookmarkEnd w:id="163"/>
      <w:bookmarkEnd w:id="164"/>
      <w:bookmarkEnd w:id="165"/>
      <w:bookmarkEnd w:id="166"/>
      <w:bookmarkEnd w:id="167"/>
      <w:bookmarkEnd w:id="168"/>
      <w:bookmarkEnd w:id="169"/>
      <w:bookmarkEnd w:id="170"/>
      <w:bookmarkEnd w:id="171"/>
    </w:p>
    <w:tbl>
      <w:tblPr>
        <w:tblW w:w="0" w:type="auto"/>
        <w:jc w:val="center"/>
        <w:tblBorders>
          <w:top w:val="single" w:sz="2" w:space="0" w:color="A7B4BE"/>
          <w:bottom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Caption w:val="RIS summary of compliance"/>
        <w:tblDescription w:val="A table summarising the RIS compliance of proposals within the 2015-16 and 2016-17 financial years, listing the number of RISs compliant, meeting best practice, RISs for consultation, proposals granted exceptional circumstances and the estimated annual impact on regulatory burden. "/>
      </w:tblPr>
      <w:tblGrid>
        <w:gridCol w:w="2392"/>
        <w:gridCol w:w="1065"/>
        <w:gridCol w:w="1065"/>
        <w:gridCol w:w="1283"/>
        <w:gridCol w:w="760"/>
      </w:tblGrid>
      <w:tr w:rsidR="00707C33" w14:paraId="0014C5D7" w14:textId="77777777" w:rsidTr="005C3F29">
        <w:trPr>
          <w:tblHeader/>
          <w:jc w:val="center"/>
        </w:trPr>
        <w:tc>
          <w:tcPr>
            <w:tcW w:w="2392" w:type="dxa"/>
            <w:shd w:val="clear" w:color="auto" w:fill="FFCC99"/>
            <w:vAlign w:val="center"/>
          </w:tcPr>
          <w:p w14:paraId="0014C5CF" w14:textId="77777777" w:rsidR="00707C33" w:rsidRPr="0015777B" w:rsidRDefault="00707C33" w:rsidP="00F44E22">
            <w:pPr>
              <w:pStyle w:val="Tablecolumnheading"/>
            </w:pPr>
            <w:r>
              <w:t>Stage</w:t>
            </w:r>
          </w:p>
        </w:tc>
        <w:tc>
          <w:tcPr>
            <w:tcW w:w="1065" w:type="dxa"/>
            <w:tcBorders>
              <w:right w:val="nil"/>
            </w:tcBorders>
            <w:shd w:val="clear" w:color="auto" w:fill="FFCC99"/>
          </w:tcPr>
          <w:p w14:paraId="0014C5D0" w14:textId="77777777" w:rsidR="00707C33" w:rsidRPr="00A95FDB" w:rsidRDefault="00707C33" w:rsidP="00707C33">
            <w:pPr>
              <w:pStyle w:val="Tablecolumnheading"/>
            </w:pPr>
            <w:r w:rsidRPr="00A95FDB">
              <w:t>201</w:t>
            </w:r>
            <w:r w:rsidR="008649A9" w:rsidRPr="00A95FDB">
              <w:t>5</w:t>
            </w:r>
            <w:r w:rsidRPr="00A95FDB">
              <w:t>–1</w:t>
            </w:r>
            <w:r w:rsidR="008649A9" w:rsidRPr="00A95FDB">
              <w:t>6</w:t>
            </w:r>
          </w:p>
          <w:p w14:paraId="0014C5D1" w14:textId="77777777" w:rsidR="00707C33" w:rsidRPr="00A95FDB" w:rsidRDefault="00707C33" w:rsidP="00707C33">
            <w:pPr>
              <w:pStyle w:val="Tablecolumnheading"/>
            </w:pPr>
            <w:r w:rsidRPr="00A95FDB">
              <w:t>ratio</w:t>
            </w:r>
          </w:p>
        </w:tc>
        <w:tc>
          <w:tcPr>
            <w:tcW w:w="1065" w:type="dxa"/>
            <w:tcBorders>
              <w:left w:val="nil"/>
            </w:tcBorders>
            <w:shd w:val="clear" w:color="auto" w:fill="FFCC99"/>
          </w:tcPr>
          <w:p w14:paraId="0014C5D2" w14:textId="77777777" w:rsidR="00707C33" w:rsidRDefault="00707C33" w:rsidP="00F44E22">
            <w:pPr>
              <w:pStyle w:val="Tablecolumnheading"/>
            </w:pPr>
          </w:p>
          <w:p w14:paraId="0014C5D3" w14:textId="77777777" w:rsidR="00707C33" w:rsidRDefault="00707C33" w:rsidP="00F44E22">
            <w:pPr>
              <w:pStyle w:val="Tablecolumnheading"/>
            </w:pPr>
            <w:r>
              <w:t>%</w:t>
            </w:r>
          </w:p>
        </w:tc>
        <w:tc>
          <w:tcPr>
            <w:tcW w:w="1283" w:type="dxa"/>
            <w:tcBorders>
              <w:bottom w:val="single" w:sz="2" w:space="0" w:color="A7B4BE"/>
              <w:right w:val="nil"/>
            </w:tcBorders>
            <w:shd w:val="clear" w:color="auto" w:fill="FFCC99"/>
            <w:vAlign w:val="center"/>
          </w:tcPr>
          <w:p w14:paraId="0014C5D4" w14:textId="137BA1EC" w:rsidR="00707C33" w:rsidRPr="00766472" w:rsidRDefault="008649A9" w:rsidP="00F44E22">
            <w:pPr>
              <w:pStyle w:val="Tablecolumnheading"/>
            </w:pPr>
            <w:r w:rsidRPr="00766472">
              <w:t>2016–17</w:t>
            </w:r>
          </w:p>
          <w:p w14:paraId="0014C5D5" w14:textId="77777777" w:rsidR="00707C33" w:rsidRPr="00766472" w:rsidRDefault="00270BA5" w:rsidP="00F44E22">
            <w:pPr>
              <w:pStyle w:val="Tablecolumnheading"/>
            </w:pPr>
            <w:r w:rsidRPr="00766472">
              <w:t>R</w:t>
            </w:r>
            <w:r w:rsidR="00707C33" w:rsidRPr="00766472">
              <w:t>atio</w:t>
            </w:r>
          </w:p>
        </w:tc>
        <w:tc>
          <w:tcPr>
            <w:tcW w:w="760" w:type="dxa"/>
            <w:tcBorders>
              <w:left w:val="nil"/>
              <w:bottom w:val="single" w:sz="2" w:space="0" w:color="A7B4BE"/>
            </w:tcBorders>
            <w:shd w:val="clear" w:color="auto" w:fill="FFCC99"/>
            <w:vAlign w:val="bottom"/>
          </w:tcPr>
          <w:p w14:paraId="0014C5D6" w14:textId="77777777" w:rsidR="00707C33" w:rsidRPr="00766472" w:rsidRDefault="00707C33" w:rsidP="00F44E22">
            <w:pPr>
              <w:pStyle w:val="Tablecolumnheading"/>
            </w:pPr>
            <w:r w:rsidRPr="00766472">
              <w:t>%</w:t>
            </w:r>
          </w:p>
        </w:tc>
      </w:tr>
      <w:tr w:rsidR="005C3F29" w14:paraId="0014C5DD" w14:textId="77777777" w:rsidTr="005C3F29">
        <w:trPr>
          <w:tblHeader/>
          <w:jc w:val="center"/>
        </w:trPr>
        <w:tc>
          <w:tcPr>
            <w:tcW w:w="2392" w:type="dxa"/>
          </w:tcPr>
          <w:p w14:paraId="0014C5D8" w14:textId="1EEC7523" w:rsidR="005C3F29" w:rsidRPr="0032750F" w:rsidRDefault="001A7307" w:rsidP="001A7307">
            <w:pPr>
              <w:pStyle w:val="Tablebodytext"/>
              <w:rPr>
                <w:b/>
              </w:rPr>
            </w:pPr>
            <w:r>
              <w:rPr>
                <w:b/>
              </w:rPr>
              <w:t>C</w:t>
            </w:r>
            <w:r w:rsidR="00E05332">
              <w:rPr>
                <w:b/>
              </w:rPr>
              <w:t>ompliance</w:t>
            </w:r>
          </w:p>
        </w:tc>
        <w:tc>
          <w:tcPr>
            <w:tcW w:w="1065" w:type="dxa"/>
            <w:tcBorders>
              <w:right w:val="nil"/>
            </w:tcBorders>
          </w:tcPr>
          <w:p w14:paraId="0014C5D9" w14:textId="23D1494B" w:rsidR="005C3F29" w:rsidRPr="00C24CB7" w:rsidRDefault="005C3F29" w:rsidP="00085FE1">
            <w:pPr>
              <w:pStyle w:val="Tablebodytext"/>
            </w:pPr>
            <w:r w:rsidRPr="00C24CB7">
              <w:t>5</w:t>
            </w:r>
            <w:r w:rsidR="00085FE1">
              <w:t>8</w:t>
            </w:r>
            <w:r w:rsidRPr="00C24CB7">
              <w:t>/5</w:t>
            </w:r>
            <w:r w:rsidR="00085FE1">
              <w:t>8</w:t>
            </w:r>
          </w:p>
        </w:tc>
        <w:tc>
          <w:tcPr>
            <w:tcW w:w="1065" w:type="dxa"/>
            <w:tcBorders>
              <w:left w:val="nil"/>
            </w:tcBorders>
          </w:tcPr>
          <w:p w14:paraId="0014C5DA" w14:textId="77777777" w:rsidR="005C3F29" w:rsidRPr="00C24CB7" w:rsidRDefault="005C3F29" w:rsidP="004744AE">
            <w:pPr>
              <w:pStyle w:val="Tablebodytext"/>
            </w:pPr>
            <w:r w:rsidRPr="00C24CB7">
              <w:t>100</w:t>
            </w:r>
          </w:p>
        </w:tc>
        <w:tc>
          <w:tcPr>
            <w:tcW w:w="1283" w:type="dxa"/>
            <w:tcBorders>
              <w:right w:val="nil"/>
            </w:tcBorders>
          </w:tcPr>
          <w:p w14:paraId="0014C5DB" w14:textId="0BAC68C3" w:rsidR="005C3F29" w:rsidRPr="00766472" w:rsidRDefault="00F43EED" w:rsidP="0056330F">
            <w:pPr>
              <w:pStyle w:val="Tablebodytext"/>
            </w:pPr>
            <w:r w:rsidRPr="00910F44">
              <w:t>4</w:t>
            </w:r>
            <w:r w:rsidR="0056330F">
              <w:t>8</w:t>
            </w:r>
            <w:r w:rsidR="00F83D67" w:rsidRPr="00910F44">
              <w:t>/</w:t>
            </w:r>
            <w:r w:rsidRPr="00910F44">
              <w:t>4</w:t>
            </w:r>
            <w:r w:rsidR="0056330F">
              <w:t>8</w:t>
            </w:r>
          </w:p>
        </w:tc>
        <w:tc>
          <w:tcPr>
            <w:tcW w:w="760" w:type="dxa"/>
            <w:tcBorders>
              <w:left w:val="nil"/>
              <w:bottom w:val="single" w:sz="2" w:space="0" w:color="A7B4BE"/>
              <w:right w:val="nil"/>
            </w:tcBorders>
          </w:tcPr>
          <w:p w14:paraId="0014C5DC" w14:textId="77777777" w:rsidR="005C3F29" w:rsidRPr="00766472" w:rsidRDefault="005C3F29" w:rsidP="00F44E22">
            <w:pPr>
              <w:pStyle w:val="Tablebodytext"/>
            </w:pPr>
            <w:r w:rsidRPr="00766472">
              <w:t>100</w:t>
            </w:r>
          </w:p>
        </w:tc>
      </w:tr>
      <w:tr w:rsidR="005C3F29" w14:paraId="0014C5E3" w14:textId="77777777" w:rsidTr="005C3F29">
        <w:trPr>
          <w:tblHeader/>
          <w:jc w:val="center"/>
        </w:trPr>
        <w:tc>
          <w:tcPr>
            <w:tcW w:w="2392" w:type="dxa"/>
          </w:tcPr>
          <w:p w14:paraId="0014C5DE" w14:textId="0CC20C44" w:rsidR="005C3F29" w:rsidRDefault="005C3F29" w:rsidP="00AB4C08">
            <w:pPr>
              <w:pStyle w:val="Tablebodytext"/>
              <w:rPr>
                <w:b/>
              </w:rPr>
            </w:pPr>
            <w:r>
              <w:rPr>
                <w:b/>
              </w:rPr>
              <w:t>Best practice</w:t>
            </w:r>
            <w:r w:rsidR="0035158A">
              <w:rPr>
                <w:b/>
              </w:rPr>
              <w:t xml:space="preserve"> – RIS</w:t>
            </w:r>
            <w:r w:rsidR="00AB4C08">
              <w:rPr>
                <w:b/>
              </w:rPr>
              <w:t>s</w:t>
            </w:r>
          </w:p>
        </w:tc>
        <w:tc>
          <w:tcPr>
            <w:tcW w:w="1065" w:type="dxa"/>
            <w:tcBorders>
              <w:right w:val="nil"/>
            </w:tcBorders>
          </w:tcPr>
          <w:p w14:paraId="0014C5DF" w14:textId="3D629B1B" w:rsidR="005C3F29" w:rsidRPr="00CC3893" w:rsidRDefault="00C24CB7" w:rsidP="00664C2F">
            <w:pPr>
              <w:pStyle w:val="Tablebodytext"/>
            </w:pPr>
            <w:r w:rsidRPr="00CC3893">
              <w:t>3</w:t>
            </w:r>
            <w:r w:rsidR="00664C2F">
              <w:t>7</w:t>
            </w:r>
            <w:r w:rsidRPr="00CC3893">
              <w:t>/4</w:t>
            </w:r>
            <w:r w:rsidR="00664C2F">
              <w:t>9</w:t>
            </w:r>
          </w:p>
        </w:tc>
        <w:tc>
          <w:tcPr>
            <w:tcW w:w="1065" w:type="dxa"/>
            <w:tcBorders>
              <w:left w:val="nil"/>
            </w:tcBorders>
          </w:tcPr>
          <w:p w14:paraId="0014C5E0" w14:textId="34FE428C" w:rsidR="005C3F29" w:rsidRPr="00CC3893" w:rsidRDefault="005C3F29" w:rsidP="00AB4C08">
            <w:pPr>
              <w:pStyle w:val="Tablebodytext"/>
            </w:pPr>
            <w:r w:rsidRPr="00CC3893">
              <w:t>7</w:t>
            </w:r>
            <w:r w:rsidR="00AB4C08">
              <w:t>6</w:t>
            </w:r>
          </w:p>
        </w:tc>
        <w:tc>
          <w:tcPr>
            <w:tcW w:w="1283" w:type="dxa"/>
            <w:tcBorders>
              <w:right w:val="nil"/>
            </w:tcBorders>
          </w:tcPr>
          <w:p w14:paraId="0014C5E1" w14:textId="18ED7393" w:rsidR="005C3F29" w:rsidRPr="00166CEB" w:rsidRDefault="00CE371E" w:rsidP="001A7307">
            <w:pPr>
              <w:pStyle w:val="Tablebodytext"/>
            </w:pPr>
            <w:r>
              <w:t>2</w:t>
            </w:r>
            <w:r w:rsidR="001A7307">
              <w:t>6</w:t>
            </w:r>
            <w:r>
              <w:t>/3</w:t>
            </w:r>
            <w:r w:rsidR="001A7307">
              <w:t>5</w:t>
            </w:r>
          </w:p>
        </w:tc>
        <w:tc>
          <w:tcPr>
            <w:tcW w:w="760" w:type="dxa"/>
            <w:tcBorders>
              <w:left w:val="nil"/>
              <w:bottom w:val="single" w:sz="2" w:space="0" w:color="A7B4BE"/>
            </w:tcBorders>
          </w:tcPr>
          <w:p w14:paraId="0014C5E2" w14:textId="09EEA613" w:rsidR="005C3F29" w:rsidRPr="00166CEB" w:rsidRDefault="00DF5EA2" w:rsidP="001A7307">
            <w:pPr>
              <w:pStyle w:val="Tablebodytext"/>
            </w:pPr>
            <w:r>
              <w:t>7</w:t>
            </w:r>
            <w:r w:rsidR="001A7307">
              <w:t>4</w:t>
            </w:r>
          </w:p>
        </w:tc>
      </w:tr>
      <w:tr w:rsidR="001A7307" w14:paraId="1288506F" w14:textId="77777777" w:rsidTr="008D6419">
        <w:trPr>
          <w:tblHeader/>
          <w:jc w:val="center"/>
        </w:trPr>
        <w:tc>
          <w:tcPr>
            <w:tcW w:w="2392" w:type="dxa"/>
          </w:tcPr>
          <w:p w14:paraId="2FA6DD3D" w14:textId="52170AB7" w:rsidR="001A7307" w:rsidRDefault="001A7307" w:rsidP="001A7307">
            <w:pPr>
              <w:pStyle w:val="Tablebodytext"/>
              <w:rPr>
                <w:b/>
              </w:rPr>
            </w:pPr>
            <w:r>
              <w:rPr>
                <w:b/>
              </w:rPr>
              <w:t>Independent Reviews</w:t>
            </w:r>
          </w:p>
        </w:tc>
        <w:tc>
          <w:tcPr>
            <w:tcW w:w="2130" w:type="dxa"/>
            <w:gridSpan w:val="2"/>
          </w:tcPr>
          <w:p w14:paraId="2FBD4CC8" w14:textId="44648171" w:rsidR="001A7307" w:rsidRPr="00C24CB7" w:rsidRDefault="00664C2F" w:rsidP="00664C2F">
            <w:pPr>
              <w:pStyle w:val="Tablebodytext"/>
              <w:jc w:val="center"/>
            </w:pPr>
            <w:r>
              <w:t>9</w:t>
            </w:r>
          </w:p>
        </w:tc>
        <w:tc>
          <w:tcPr>
            <w:tcW w:w="2043" w:type="dxa"/>
            <w:gridSpan w:val="2"/>
          </w:tcPr>
          <w:p w14:paraId="454C132C" w14:textId="13645A31" w:rsidR="001A7307" w:rsidRDefault="001A7307" w:rsidP="001A7307">
            <w:pPr>
              <w:pStyle w:val="Tablebodytext"/>
              <w:jc w:val="center"/>
            </w:pPr>
            <w:r w:rsidRPr="00910F44">
              <w:t>1</w:t>
            </w:r>
            <w:r>
              <w:t>2</w:t>
            </w:r>
          </w:p>
        </w:tc>
      </w:tr>
      <w:tr w:rsidR="005C3F29" w14:paraId="0014C5E7" w14:textId="77777777" w:rsidTr="005C3F29">
        <w:trPr>
          <w:tblHeader/>
          <w:jc w:val="center"/>
        </w:trPr>
        <w:tc>
          <w:tcPr>
            <w:tcW w:w="2392" w:type="dxa"/>
          </w:tcPr>
          <w:p w14:paraId="0014C5E4" w14:textId="77777777" w:rsidR="005C3F29" w:rsidRPr="0032750F" w:rsidRDefault="005C3F29" w:rsidP="00F44E22">
            <w:pPr>
              <w:pStyle w:val="Tablebodytext"/>
              <w:rPr>
                <w:b/>
              </w:rPr>
            </w:pPr>
            <w:r>
              <w:rPr>
                <w:b/>
              </w:rPr>
              <w:t>RISs for consultation</w:t>
            </w:r>
          </w:p>
        </w:tc>
        <w:tc>
          <w:tcPr>
            <w:tcW w:w="2130" w:type="dxa"/>
            <w:gridSpan w:val="2"/>
            <w:vAlign w:val="center"/>
          </w:tcPr>
          <w:p w14:paraId="0014C5E5" w14:textId="52D5EEC5" w:rsidR="005C3F29" w:rsidRPr="004D2E22" w:rsidRDefault="005C3F29" w:rsidP="004744AE">
            <w:pPr>
              <w:pStyle w:val="Tablebodytext"/>
              <w:jc w:val="center"/>
              <w:rPr>
                <w:highlight w:val="red"/>
              </w:rPr>
            </w:pPr>
            <w:r w:rsidRPr="00C24CB7">
              <w:t>1</w:t>
            </w:r>
          </w:p>
        </w:tc>
        <w:tc>
          <w:tcPr>
            <w:tcW w:w="2043" w:type="dxa"/>
            <w:gridSpan w:val="2"/>
            <w:vAlign w:val="center"/>
          </w:tcPr>
          <w:p w14:paraId="0014C5E6" w14:textId="0D2FEECF" w:rsidR="005C3F29" w:rsidRPr="007674EF" w:rsidRDefault="00F5005D" w:rsidP="003E01CC">
            <w:pPr>
              <w:pStyle w:val="Tablebodytext"/>
              <w:jc w:val="center"/>
              <w:rPr>
                <w:highlight w:val="yellow"/>
              </w:rPr>
            </w:pPr>
            <w:r w:rsidRPr="00F5005D">
              <w:t>5</w:t>
            </w:r>
          </w:p>
        </w:tc>
      </w:tr>
      <w:tr w:rsidR="005C3F29" w14:paraId="0014C5EB" w14:textId="77777777" w:rsidTr="005C3F29">
        <w:trPr>
          <w:tblHeader/>
          <w:jc w:val="center"/>
        </w:trPr>
        <w:tc>
          <w:tcPr>
            <w:tcW w:w="2392" w:type="dxa"/>
          </w:tcPr>
          <w:p w14:paraId="0014C5E8" w14:textId="77777777" w:rsidR="005C3F29" w:rsidRPr="0032750F" w:rsidRDefault="005C3F29" w:rsidP="00F44E22">
            <w:pPr>
              <w:pStyle w:val="Tablebodytext"/>
              <w:rPr>
                <w:b/>
              </w:rPr>
            </w:pPr>
            <w:r w:rsidRPr="0032750F">
              <w:rPr>
                <w:b/>
              </w:rPr>
              <w:t>Exceptional circumstances</w:t>
            </w:r>
          </w:p>
        </w:tc>
        <w:tc>
          <w:tcPr>
            <w:tcW w:w="2130" w:type="dxa"/>
            <w:gridSpan w:val="2"/>
            <w:vAlign w:val="center"/>
          </w:tcPr>
          <w:p w14:paraId="0014C5E9" w14:textId="50C742C3" w:rsidR="005C3F29" w:rsidRPr="004D2E22" w:rsidRDefault="005C3F29" w:rsidP="004744AE">
            <w:pPr>
              <w:pStyle w:val="Tablebodytext"/>
              <w:jc w:val="center"/>
              <w:rPr>
                <w:highlight w:val="red"/>
              </w:rPr>
            </w:pPr>
            <w:r w:rsidRPr="00C24CB7">
              <w:t>0</w:t>
            </w:r>
          </w:p>
        </w:tc>
        <w:tc>
          <w:tcPr>
            <w:tcW w:w="2043" w:type="dxa"/>
            <w:gridSpan w:val="2"/>
            <w:vAlign w:val="center"/>
          </w:tcPr>
          <w:p w14:paraId="0014C5EA" w14:textId="4656990F" w:rsidR="005C3F29" w:rsidRPr="003E2652" w:rsidRDefault="00F85BC4" w:rsidP="00E56F55">
            <w:pPr>
              <w:pStyle w:val="Tablebodytext"/>
              <w:jc w:val="center"/>
              <w:rPr>
                <w:highlight w:val="yellow"/>
                <w:vertAlign w:val="superscript"/>
              </w:rPr>
            </w:pPr>
            <w:r w:rsidRPr="00766472">
              <w:t>1</w:t>
            </w:r>
            <w:r w:rsidR="00E56F55">
              <w:rPr>
                <w:vertAlign w:val="superscript"/>
              </w:rPr>
              <w:t>a</w:t>
            </w:r>
          </w:p>
        </w:tc>
      </w:tr>
      <w:tr w:rsidR="005C3F29" w14:paraId="0014C5EF" w14:textId="77777777" w:rsidTr="005C3F29">
        <w:trPr>
          <w:tblHeader/>
          <w:jc w:val="center"/>
        </w:trPr>
        <w:tc>
          <w:tcPr>
            <w:tcW w:w="2392" w:type="dxa"/>
          </w:tcPr>
          <w:p w14:paraId="0014C5EC" w14:textId="4E035D38" w:rsidR="005C3F29" w:rsidRPr="0032750F" w:rsidRDefault="005C3F29" w:rsidP="00E56F55">
            <w:pPr>
              <w:pStyle w:val="Tablebodytext"/>
              <w:rPr>
                <w:b/>
              </w:rPr>
            </w:pPr>
            <w:r>
              <w:rPr>
                <w:b/>
              </w:rPr>
              <w:t>Estimated annual impact on Regulatory Burden</w:t>
            </w:r>
            <w:r w:rsidR="00E56F55">
              <w:rPr>
                <w:b/>
                <w:vertAlign w:val="superscript"/>
              </w:rPr>
              <w:t>bc</w:t>
            </w:r>
          </w:p>
        </w:tc>
        <w:tc>
          <w:tcPr>
            <w:tcW w:w="2130" w:type="dxa"/>
            <w:gridSpan w:val="2"/>
            <w:vAlign w:val="center"/>
          </w:tcPr>
          <w:p w14:paraId="0014C5ED" w14:textId="78F98F7C" w:rsidR="005C3F29" w:rsidRPr="004D2E22" w:rsidRDefault="005C3F29" w:rsidP="00E56F55">
            <w:pPr>
              <w:pStyle w:val="Tablebodytext"/>
              <w:jc w:val="center"/>
              <w:rPr>
                <w:highlight w:val="red"/>
              </w:rPr>
            </w:pPr>
            <w:r w:rsidRPr="00C24CB7">
              <w:t>-$1</w:t>
            </w:r>
            <w:r w:rsidR="00406F3A">
              <w:t>,</w:t>
            </w:r>
            <w:r w:rsidR="00C44718">
              <w:t>424.5</w:t>
            </w:r>
            <w:bookmarkStart w:id="172" w:name="_GoBack"/>
            <w:bookmarkEnd w:id="172"/>
            <w:r w:rsidRPr="00C24CB7">
              <w:t xml:space="preserve"> million</w:t>
            </w:r>
            <w:r w:rsidR="00E56F55">
              <w:rPr>
                <w:vertAlign w:val="superscript"/>
              </w:rPr>
              <w:t>d</w:t>
            </w:r>
          </w:p>
        </w:tc>
        <w:tc>
          <w:tcPr>
            <w:tcW w:w="2043" w:type="dxa"/>
            <w:gridSpan w:val="2"/>
            <w:vAlign w:val="center"/>
          </w:tcPr>
          <w:p w14:paraId="0014C5EE" w14:textId="25C28B9A" w:rsidR="005C3F29" w:rsidRPr="007674EF" w:rsidRDefault="00AB28B8" w:rsidP="0056330F">
            <w:pPr>
              <w:pStyle w:val="Tablebodytext"/>
              <w:jc w:val="center"/>
              <w:rPr>
                <w:color w:val="FF0000"/>
                <w:highlight w:val="yellow"/>
              </w:rPr>
            </w:pPr>
            <w:r>
              <w:t>+$</w:t>
            </w:r>
            <w:r w:rsidR="007A4A0D">
              <w:t>307</w:t>
            </w:r>
            <w:r w:rsidR="009669FD">
              <w:t>.</w:t>
            </w:r>
            <w:r w:rsidR="00657B63">
              <w:t>4</w:t>
            </w:r>
            <w:r w:rsidR="005C3F29" w:rsidRPr="0011774B">
              <w:t xml:space="preserve"> million</w:t>
            </w:r>
            <w:r w:rsidR="00E56F55">
              <w:rPr>
                <w:vertAlign w:val="superscript"/>
              </w:rPr>
              <w:t>d</w:t>
            </w:r>
          </w:p>
        </w:tc>
      </w:tr>
      <w:tr w:rsidR="008B04BC" w14:paraId="26279BD7" w14:textId="77777777" w:rsidTr="008B04BC">
        <w:trPr>
          <w:tblHeader/>
          <w:jc w:val="center"/>
        </w:trPr>
        <w:tc>
          <w:tcPr>
            <w:tcW w:w="2392" w:type="dxa"/>
            <w:tcBorders>
              <w:left w:val="single" w:sz="12" w:space="0" w:color="FFFFFF"/>
              <w:bottom w:val="single" w:sz="12" w:space="0" w:color="FFFFFF"/>
              <w:right w:val="single" w:sz="12" w:space="0" w:color="FFFFFF"/>
            </w:tcBorders>
          </w:tcPr>
          <w:p w14:paraId="51355F4E" w14:textId="77777777" w:rsidR="008B04BC" w:rsidRDefault="008B04BC" w:rsidP="00E56F55">
            <w:pPr>
              <w:pStyle w:val="Tablebodytext"/>
              <w:rPr>
                <w:b/>
              </w:rPr>
            </w:pPr>
          </w:p>
        </w:tc>
        <w:tc>
          <w:tcPr>
            <w:tcW w:w="2130" w:type="dxa"/>
            <w:gridSpan w:val="2"/>
            <w:tcBorders>
              <w:left w:val="single" w:sz="12" w:space="0" w:color="FFFFFF"/>
              <w:bottom w:val="single" w:sz="12" w:space="0" w:color="FFFFFF"/>
              <w:right w:val="single" w:sz="12" w:space="0" w:color="FFFFFF"/>
            </w:tcBorders>
            <w:vAlign w:val="center"/>
          </w:tcPr>
          <w:p w14:paraId="079619C4" w14:textId="77777777" w:rsidR="008B04BC" w:rsidRPr="00C24CB7" w:rsidRDefault="008B04BC" w:rsidP="00E56F55">
            <w:pPr>
              <w:pStyle w:val="Tablebodytext"/>
              <w:jc w:val="center"/>
            </w:pPr>
          </w:p>
        </w:tc>
        <w:tc>
          <w:tcPr>
            <w:tcW w:w="2043" w:type="dxa"/>
            <w:gridSpan w:val="2"/>
            <w:tcBorders>
              <w:left w:val="single" w:sz="12" w:space="0" w:color="FFFFFF"/>
              <w:bottom w:val="single" w:sz="12" w:space="0" w:color="FFFFFF"/>
            </w:tcBorders>
            <w:vAlign w:val="center"/>
          </w:tcPr>
          <w:p w14:paraId="2467334B" w14:textId="77777777" w:rsidR="008B04BC" w:rsidRDefault="008B04BC" w:rsidP="007A4A0D">
            <w:pPr>
              <w:pStyle w:val="Tablebodytext"/>
              <w:jc w:val="center"/>
            </w:pPr>
          </w:p>
        </w:tc>
      </w:tr>
    </w:tbl>
    <w:p w14:paraId="340D7E77" w14:textId="4BA88859" w:rsidR="00E56F55" w:rsidRDefault="00E56F55" w:rsidP="00E56F55">
      <w:pPr>
        <w:pStyle w:val="Sourcenotetext"/>
      </w:pPr>
      <w:r>
        <w:t>a Included in total count RIS compliance</w:t>
      </w:r>
    </w:p>
    <w:p w14:paraId="04B958C0" w14:textId="78B17414" w:rsidR="00E56F55" w:rsidRDefault="00E56F55" w:rsidP="00E56F55">
      <w:pPr>
        <w:pStyle w:val="Sourcenotetext"/>
      </w:pPr>
      <w:r>
        <w:t>b Positive number represents an increase in regulatory burden.</w:t>
      </w:r>
    </w:p>
    <w:p w14:paraId="558E7618" w14:textId="4FCF6FC9" w:rsidR="00E56F55" w:rsidRDefault="00E56F55" w:rsidP="00E56F55">
      <w:pPr>
        <w:pStyle w:val="Sourcenotetext"/>
      </w:pPr>
      <w:r>
        <w:t>c Regulatory burden in RISs are estimated using the Commonwealth Regulatory Burden Measurement framework and are assumed to be spread over 10 years. The estimate is based on RISs published at the final decision point.</w:t>
      </w:r>
    </w:p>
    <w:p w14:paraId="55556756" w14:textId="5BFF1DFC" w:rsidR="00E56F55" w:rsidRDefault="00E56F55" w:rsidP="00E56F55">
      <w:pPr>
        <w:pStyle w:val="Sourcenotetext"/>
      </w:pPr>
      <w:r>
        <w:t xml:space="preserve">d The total estimated annual impact on regulatory burden may differ from the other figures in this document due to rounding. </w:t>
      </w:r>
    </w:p>
    <w:p w14:paraId="2AA1F2DE" w14:textId="5CA0FF1A" w:rsidR="00CE371E" w:rsidRPr="00B100C6" w:rsidRDefault="00CE371E" w:rsidP="00683A75">
      <w:pPr>
        <w:pStyle w:val="Sourcenotetext"/>
      </w:pPr>
    </w:p>
    <w:p w14:paraId="0014C5F3" w14:textId="3DB4ABAC" w:rsidR="00730ADC" w:rsidRDefault="00730ADC" w:rsidP="00C75B08">
      <w:pPr>
        <w:pStyle w:val="TableHeading"/>
        <w:outlineLvl w:val="9"/>
      </w:pPr>
      <w:r>
        <w:br w:type="page"/>
      </w:r>
      <w:bookmarkStart w:id="173" w:name="_Toc428954725"/>
      <w:bookmarkStart w:id="174" w:name="_Toc429569664"/>
      <w:bookmarkStart w:id="175" w:name="_Toc431304198"/>
      <w:bookmarkStart w:id="176" w:name="_Toc432065993"/>
      <w:bookmarkStart w:id="177" w:name="_Toc433796192"/>
      <w:bookmarkStart w:id="178" w:name="_Toc434404669"/>
      <w:bookmarkStart w:id="179" w:name="_Toc440527069"/>
      <w:bookmarkStart w:id="180" w:name="_Toc441740032"/>
      <w:bookmarkStart w:id="181" w:name="_Toc442184024"/>
      <w:bookmarkStart w:id="182" w:name="_Toc445381158"/>
      <w:bookmarkStart w:id="183" w:name="_Toc445912516"/>
      <w:bookmarkStart w:id="184" w:name="_Toc448236782"/>
      <w:bookmarkStart w:id="185" w:name="_Toc448329041"/>
      <w:bookmarkStart w:id="186" w:name="_Toc448925696"/>
      <w:bookmarkStart w:id="187" w:name="_Toc452383335"/>
      <w:bookmarkStart w:id="188" w:name="_Toc452383404"/>
      <w:bookmarkStart w:id="189" w:name="_Toc452733565"/>
      <w:bookmarkStart w:id="190" w:name="_Toc457809484"/>
      <w:bookmarkStart w:id="191" w:name="_Toc459818785"/>
      <w:bookmarkStart w:id="192" w:name="_Toc461110752"/>
      <w:bookmarkStart w:id="193" w:name="_Toc463961251"/>
      <w:bookmarkStart w:id="194" w:name="_Toc463967207"/>
      <w:bookmarkStart w:id="195" w:name="_Toc473644385"/>
      <w:bookmarkStart w:id="196" w:name="_Toc473899180"/>
      <w:bookmarkStart w:id="197" w:name="_Toc474840917"/>
      <w:bookmarkStart w:id="198" w:name="_Toc475345616"/>
      <w:bookmarkStart w:id="199" w:name="_Toc479345514"/>
      <w:bookmarkStart w:id="200" w:name="_Toc479345875"/>
      <w:bookmarkStart w:id="201" w:name="_Toc480281437"/>
      <w:r w:rsidRPr="006C375A">
        <w:lastRenderedPageBreak/>
        <w:t>Regulation Impact State</w:t>
      </w:r>
      <w:r w:rsidR="00F70A00" w:rsidRPr="00FB1AED">
        <w:t>ment compliance 2016-17</w:t>
      </w:r>
      <w:r w:rsidRPr="00FB1AED">
        <w:t xml:space="preserve"> (by proposal)</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FB1AED">
        <w:t xml:space="preserve"> </w:t>
      </w:r>
    </w:p>
    <w:tbl>
      <w:tblPr>
        <w:tblW w:w="10065" w:type="dxa"/>
        <w:tblInd w:w="-142" w:type="dxa"/>
        <w:tblLayout w:type="fixed"/>
        <w:tblCellMar>
          <w:left w:w="0" w:type="dxa"/>
          <w:right w:w="0" w:type="dxa"/>
        </w:tblCellMar>
        <w:tblLook w:val="0000" w:firstRow="0" w:lastRow="0" w:firstColumn="0" w:lastColumn="0" w:noHBand="0" w:noVBand="0"/>
        <w:tblCaption w:val="Regulation Impact Statement compliance 2016-17"/>
        <w:tblDescription w:val="The RIS compliance of proposals within the current financial year, listed by agency."/>
      </w:tblPr>
      <w:tblGrid>
        <w:gridCol w:w="5245"/>
        <w:gridCol w:w="1420"/>
        <w:gridCol w:w="1105"/>
        <w:gridCol w:w="1104"/>
        <w:gridCol w:w="1191"/>
      </w:tblGrid>
      <w:tr w:rsidR="00730ADC" w14:paraId="0014C5F9" w14:textId="77777777" w:rsidTr="00212A04">
        <w:trPr>
          <w:tblHeader/>
        </w:trPr>
        <w:tc>
          <w:tcPr>
            <w:tcW w:w="5245" w:type="dxa"/>
            <w:shd w:val="clear" w:color="auto" w:fill="F4973F"/>
            <w:vAlign w:val="center"/>
          </w:tcPr>
          <w:p w14:paraId="0014C5F4" w14:textId="77777777" w:rsidR="00730ADC" w:rsidRDefault="00730ADC" w:rsidP="00631829">
            <w:pPr>
              <w:pStyle w:val="TableParagraph"/>
              <w:kinsoku w:val="0"/>
              <w:overflowPunct w:val="0"/>
              <w:spacing w:beforeLines="60" w:before="144" w:after="60"/>
              <w:ind w:left="85"/>
            </w:pPr>
          </w:p>
        </w:tc>
        <w:tc>
          <w:tcPr>
            <w:tcW w:w="1420" w:type="dxa"/>
            <w:shd w:val="clear" w:color="auto" w:fill="F4973F"/>
            <w:vAlign w:val="center"/>
          </w:tcPr>
          <w:p w14:paraId="0014C5F5" w14:textId="77777777" w:rsidR="00730ADC" w:rsidRDefault="00730ADC" w:rsidP="00631829">
            <w:pPr>
              <w:pStyle w:val="TableParagraph"/>
              <w:kinsoku w:val="0"/>
              <w:overflowPunct w:val="0"/>
              <w:spacing w:beforeLines="60" w:before="144" w:after="60"/>
              <w:jc w:val="center"/>
            </w:pPr>
            <w:r>
              <w:rPr>
                <w:rFonts w:ascii="Arial" w:hAnsi="Arial" w:cs="Arial"/>
                <w:color w:val="FFFFFF"/>
                <w:w w:val="105"/>
                <w:sz w:val="18"/>
                <w:szCs w:val="18"/>
              </w:rPr>
              <w:t>RIS Compliance</w:t>
            </w:r>
          </w:p>
        </w:tc>
        <w:tc>
          <w:tcPr>
            <w:tcW w:w="1105" w:type="dxa"/>
            <w:shd w:val="clear" w:color="auto" w:fill="F4973F"/>
            <w:vAlign w:val="center"/>
          </w:tcPr>
          <w:p w14:paraId="0014C5F6" w14:textId="77777777" w:rsidR="00730ADC" w:rsidRDefault="00730ADC" w:rsidP="00631829">
            <w:pPr>
              <w:pStyle w:val="TableParagraph"/>
              <w:kinsoku w:val="0"/>
              <w:overflowPunct w:val="0"/>
              <w:spacing w:beforeLines="60" w:before="144" w:after="60"/>
              <w:jc w:val="center"/>
              <w:rPr>
                <w:rFonts w:ascii="Arial" w:hAnsi="Arial" w:cs="Arial"/>
                <w:color w:val="FFFFFF"/>
                <w:w w:val="105"/>
                <w:sz w:val="18"/>
                <w:szCs w:val="18"/>
              </w:rPr>
            </w:pPr>
            <w:r>
              <w:rPr>
                <w:rFonts w:ascii="Arial" w:hAnsi="Arial" w:cs="Arial"/>
                <w:color w:val="FFFFFF"/>
                <w:w w:val="105"/>
                <w:sz w:val="18"/>
                <w:szCs w:val="18"/>
              </w:rPr>
              <w:t xml:space="preserve">Best </w:t>
            </w:r>
            <w:r>
              <w:rPr>
                <w:rFonts w:ascii="Arial" w:hAnsi="Arial" w:cs="Arial"/>
                <w:color w:val="FFFFFF"/>
                <w:w w:val="105"/>
                <w:sz w:val="18"/>
                <w:szCs w:val="18"/>
              </w:rPr>
              <w:br/>
              <w:t>practice</w:t>
            </w:r>
          </w:p>
        </w:tc>
        <w:tc>
          <w:tcPr>
            <w:tcW w:w="1104" w:type="dxa"/>
            <w:shd w:val="clear" w:color="auto" w:fill="F4973F"/>
            <w:vAlign w:val="center"/>
          </w:tcPr>
          <w:p w14:paraId="0014C5F7" w14:textId="77777777" w:rsidR="00730ADC" w:rsidRDefault="00730ADC" w:rsidP="00631829">
            <w:pPr>
              <w:pStyle w:val="TableParagraph"/>
              <w:kinsoku w:val="0"/>
              <w:overflowPunct w:val="0"/>
              <w:spacing w:beforeLines="60" w:before="144" w:after="60"/>
              <w:jc w:val="center"/>
            </w:pPr>
            <w:r>
              <w:rPr>
                <w:rFonts w:ascii="Arial" w:hAnsi="Arial" w:cs="Arial"/>
                <w:color w:val="FFFFFF"/>
                <w:w w:val="105"/>
                <w:sz w:val="18"/>
                <w:szCs w:val="18"/>
              </w:rPr>
              <w:t xml:space="preserve">PIR </w:t>
            </w:r>
            <w:r>
              <w:rPr>
                <w:rFonts w:ascii="Arial" w:hAnsi="Arial" w:cs="Arial"/>
                <w:color w:val="FFFFFF"/>
                <w:w w:val="105"/>
                <w:sz w:val="18"/>
                <w:szCs w:val="18"/>
              </w:rPr>
              <w:br/>
              <w:t>required</w:t>
            </w:r>
          </w:p>
        </w:tc>
        <w:tc>
          <w:tcPr>
            <w:tcW w:w="1191" w:type="dxa"/>
            <w:shd w:val="clear" w:color="auto" w:fill="F4973F"/>
            <w:vAlign w:val="center"/>
          </w:tcPr>
          <w:p w14:paraId="0014C5F8" w14:textId="77777777" w:rsidR="00730ADC" w:rsidRDefault="00730ADC" w:rsidP="00B350E4">
            <w:pPr>
              <w:pStyle w:val="TableParagraph"/>
              <w:kinsoku w:val="0"/>
              <w:overflowPunct w:val="0"/>
              <w:spacing w:beforeLines="60" w:before="144" w:after="60"/>
              <w:jc w:val="center"/>
              <w:rPr>
                <w:rFonts w:ascii="Arial" w:hAnsi="Arial" w:cs="Arial"/>
                <w:color w:val="FFFFFF"/>
                <w:w w:val="105"/>
                <w:sz w:val="18"/>
                <w:szCs w:val="18"/>
              </w:rPr>
            </w:pPr>
            <w:r>
              <w:rPr>
                <w:rFonts w:ascii="Arial" w:hAnsi="Arial" w:cs="Arial"/>
                <w:color w:val="FFFFFF"/>
                <w:w w:val="105"/>
                <w:sz w:val="18"/>
                <w:szCs w:val="18"/>
              </w:rPr>
              <w:t xml:space="preserve">Regulatory </w:t>
            </w:r>
            <w:r w:rsidR="00F96E4B">
              <w:rPr>
                <w:rFonts w:ascii="Arial" w:hAnsi="Arial" w:cs="Arial"/>
                <w:color w:val="FFFFFF"/>
                <w:w w:val="105"/>
                <w:sz w:val="18"/>
                <w:szCs w:val="18"/>
              </w:rPr>
              <w:t>B</w:t>
            </w:r>
            <w:r w:rsidR="000066BC">
              <w:rPr>
                <w:rFonts w:ascii="Arial" w:hAnsi="Arial" w:cs="Arial"/>
                <w:color w:val="FFFFFF"/>
                <w:w w:val="105"/>
                <w:sz w:val="18"/>
                <w:szCs w:val="18"/>
              </w:rPr>
              <w:t>urden</w:t>
            </w:r>
            <w:r>
              <w:rPr>
                <w:rFonts w:ascii="Arial" w:hAnsi="Arial" w:cs="Arial"/>
                <w:color w:val="FFFFFF"/>
                <w:w w:val="105"/>
                <w:sz w:val="18"/>
                <w:szCs w:val="18"/>
              </w:rPr>
              <w:t xml:space="preserve"> ($m)</w:t>
            </w:r>
          </w:p>
        </w:tc>
      </w:tr>
      <w:tr w:rsidR="00D832A2" w:rsidRPr="0051060E" w14:paraId="4FDB100F" w14:textId="77777777" w:rsidTr="00212A04">
        <w:trPr>
          <w:trHeight w:hRule="exact" w:val="525"/>
        </w:trPr>
        <w:tc>
          <w:tcPr>
            <w:tcW w:w="5245" w:type="dxa"/>
            <w:shd w:val="clear" w:color="auto" w:fill="FDE9D9" w:themeFill="accent6" w:themeFillTint="33"/>
            <w:vAlign w:val="center"/>
          </w:tcPr>
          <w:p w14:paraId="6F6C4199" w14:textId="3DD7B28A" w:rsidR="00D832A2" w:rsidRPr="0051060E" w:rsidRDefault="00D832A2" w:rsidP="00C45F11">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Agriculture and Water Resources</w:t>
            </w:r>
          </w:p>
        </w:tc>
        <w:tc>
          <w:tcPr>
            <w:tcW w:w="1420" w:type="dxa"/>
            <w:shd w:val="clear" w:color="auto" w:fill="FDE9D9" w:themeFill="accent6" w:themeFillTint="33"/>
            <w:vAlign w:val="center"/>
          </w:tcPr>
          <w:p w14:paraId="271D774E" w14:textId="2D024025" w:rsidR="00D832A2" w:rsidRPr="0051060E" w:rsidRDefault="00185D53" w:rsidP="00185D53">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4</w:t>
            </w:r>
            <w:r w:rsidR="00D832A2" w:rsidRPr="0051060E">
              <w:rPr>
                <w:rFonts w:ascii="Arial" w:hAnsi="Arial" w:cs="Arial"/>
                <w:b/>
                <w:spacing w:val="-3"/>
                <w:sz w:val="18"/>
                <w:szCs w:val="18"/>
              </w:rPr>
              <w:t>/</w:t>
            </w:r>
            <w:r w:rsidRPr="0051060E">
              <w:rPr>
                <w:rFonts w:ascii="Arial" w:hAnsi="Arial" w:cs="Arial"/>
                <w:b/>
                <w:spacing w:val="-3"/>
                <w:sz w:val="18"/>
                <w:szCs w:val="18"/>
              </w:rPr>
              <w:t>4</w:t>
            </w:r>
          </w:p>
        </w:tc>
        <w:tc>
          <w:tcPr>
            <w:tcW w:w="1105" w:type="dxa"/>
            <w:shd w:val="clear" w:color="auto" w:fill="FDE9D9" w:themeFill="accent6" w:themeFillTint="33"/>
            <w:vAlign w:val="center"/>
          </w:tcPr>
          <w:p w14:paraId="3076B464" w14:textId="43458844" w:rsidR="00D832A2" w:rsidRPr="0051060E" w:rsidRDefault="00185D53" w:rsidP="00185D53">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4</w:t>
            </w:r>
            <w:r w:rsidR="00D832A2" w:rsidRPr="0051060E">
              <w:rPr>
                <w:rFonts w:ascii="Arial" w:hAnsi="Arial" w:cs="Arial"/>
                <w:b/>
                <w:spacing w:val="-3"/>
                <w:sz w:val="18"/>
                <w:szCs w:val="18"/>
              </w:rPr>
              <w:t>/</w:t>
            </w:r>
            <w:r w:rsidRPr="0051060E">
              <w:rPr>
                <w:rFonts w:ascii="Arial" w:hAnsi="Arial" w:cs="Arial"/>
                <w:b/>
                <w:spacing w:val="-3"/>
                <w:sz w:val="18"/>
                <w:szCs w:val="18"/>
              </w:rPr>
              <w:t>4</w:t>
            </w:r>
          </w:p>
        </w:tc>
        <w:tc>
          <w:tcPr>
            <w:tcW w:w="1104" w:type="dxa"/>
            <w:shd w:val="clear" w:color="auto" w:fill="FDE9D9" w:themeFill="accent6" w:themeFillTint="33"/>
            <w:vAlign w:val="center"/>
          </w:tcPr>
          <w:p w14:paraId="54F33DFD" w14:textId="77777777" w:rsidR="00D832A2" w:rsidRPr="0051060E" w:rsidRDefault="00D832A2" w:rsidP="00C45F11">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129DEEB3" w14:textId="2D821657" w:rsidR="00D832A2" w:rsidRPr="0051060E" w:rsidRDefault="00D832A2" w:rsidP="008A3E22">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w:t>
            </w:r>
            <w:r w:rsidR="008A3E22" w:rsidRPr="0051060E">
              <w:rPr>
                <w:rFonts w:ascii="Arial" w:hAnsi="Arial" w:cs="Arial"/>
                <w:b/>
                <w:spacing w:val="-3"/>
                <w:sz w:val="18"/>
                <w:szCs w:val="18"/>
              </w:rPr>
              <w:t>2</w:t>
            </w:r>
            <w:r w:rsidRPr="0051060E">
              <w:rPr>
                <w:rFonts w:ascii="Arial" w:hAnsi="Arial" w:cs="Arial"/>
                <w:b/>
                <w:spacing w:val="-3"/>
                <w:sz w:val="18"/>
                <w:szCs w:val="18"/>
              </w:rPr>
              <w:t>.</w:t>
            </w:r>
            <w:r w:rsidR="008A3E22" w:rsidRPr="0051060E">
              <w:rPr>
                <w:rFonts w:ascii="Arial" w:hAnsi="Arial" w:cs="Arial"/>
                <w:b/>
                <w:spacing w:val="-3"/>
                <w:sz w:val="18"/>
                <w:szCs w:val="18"/>
              </w:rPr>
              <w:t>5</w:t>
            </w:r>
          </w:p>
        </w:tc>
      </w:tr>
      <w:tr w:rsidR="008A3E22" w14:paraId="557DD427" w14:textId="77777777" w:rsidTr="00212A04">
        <w:trPr>
          <w:trHeight w:hRule="exact" w:val="525"/>
        </w:trPr>
        <w:tc>
          <w:tcPr>
            <w:tcW w:w="5245" w:type="dxa"/>
            <w:shd w:val="clear" w:color="auto" w:fill="auto"/>
            <w:vAlign w:val="center"/>
          </w:tcPr>
          <w:p w14:paraId="4298F5AF" w14:textId="00CB5562" w:rsidR="008A3E22" w:rsidRDefault="008A3E22" w:rsidP="00C45F11">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Horticulture Code of Conduct</w:t>
            </w:r>
            <w:r w:rsidR="00EF78A9">
              <w:rPr>
                <w:rFonts w:ascii="Arial" w:hAnsi="Arial" w:cs="Arial"/>
                <w:spacing w:val="-3"/>
                <w:sz w:val="18"/>
                <w:szCs w:val="18"/>
              </w:rPr>
              <w:t xml:space="preserve"> – </w:t>
            </w:r>
            <w:r w:rsidR="00EF78A9" w:rsidRPr="00910F44">
              <w:rPr>
                <w:rFonts w:ascii="Arial" w:hAnsi="Arial" w:cs="Arial"/>
                <w:spacing w:val="-3"/>
                <w:sz w:val="18"/>
                <w:szCs w:val="18"/>
              </w:rPr>
              <w:t>Independent Review</w:t>
            </w:r>
          </w:p>
        </w:tc>
        <w:tc>
          <w:tcPr>
            <w:tcW w:w="1420" w:type="dxa"/>
            <w:shd w:val="clear" w:color="auto" w:fill="auto"/>
            <w:vAlign w:val="center"/>
          </w:tcPr>
          <w:p w14:paraId="01160249" w14:textId="6BDDD1AE" w:rsidR="008A3E22" w:rsidRPr="00CE2207" w:rsidRDefault="00EF78A9"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4462577A" w14:textId="1DEFA367" w:rsidR="008A3E22" w:rsidRPr="00EF78A9" w:rsidRDefault="008A3E22" w:rsidP="00074ED4">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shd w:val="clear" w:color="auto" w:fill="auto"/>
            <w:vAlign w:val="center"/>
          </w:tcPr>
          <w:p w14:paraId="0BC2BC91" w14:textId="247A9CA6" w:rsidR="008A3E22" w:rsidRDefault="008A3E22"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48C8AC11" w14:textId="7473A5D1" w:rsidR="008A3E22" w:rsidRPr="00CE2207" w:rsidRDefault="008A3E22" w:rsidP="005E2A73">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$2.5</w:t>
            </w:r>
          </w:p>
        </w:tc>
      </w:tr>
      <w:tr w:rsidR="00D832A2" w14:paraId="5C8B8028" w14:textId="77777777" w:rsidTr="00212A04">
        <w:trPr>
          <w:trHeight w:hRule="exact" w:val="525"/>
        </w:trPr>
        <w:tc>
          <w:tcPr>
            <w:tcW w:w="5245" w:type="dxa"/>
            <w:shd w:val="clear" w:color="auto" w:fill="auto"/>
            <w:vAlign w:val="center"/>
          </w:tcPr>
          <w:p w14:paraId="2203F0C9" w14:textId="5CD2AC47" w:rsidR="00D832A2" w:rsidRPr="00CE2207" w:rsidRDefault="00D832A2" w:rsidP="00C45F11">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 xml:space="preserve">Imported Food Reforms </w:t>
            </w:r>
          </w:p>
        </w:tc>
        <w:tc>
          <w:tcPr>
            <w:tcW w:w="1420" w:type="dxa"/>
            <w:shd w:val="clear" w:color="auto" w:fill="auto"/>
            <w:vAlign w:val="center"/>
          </w:tcPr>
          <w:p w14:paraId="0C3900A0" w14:textId="77777777" w:rsidR="00D832A2" w:rsidRPr="00CE2207" w:rsidRDefault="00D832A2" w:rsidP="00C45F11">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Compliant</w:t>
            </w:r>
          </w:p>
        </w:tc>
        <w:tc>
          <w:tcPr>
            <w:tcW w:w="1105" w:type="dxa"/>
            <w:shd w:val="clear" w:color="auto" w:fill="auto"/>
            <w:vAlign w:val="center"/>
          </w:tcPr>
          <w:p w14:paraId="01D9B70C" w14:textId="77777777" w:rsidR="00D832A2" w:rsidRPr="00CE2207" w:rsidRDefault="00D832A2"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184FEE53" w14:textId="77777777" w:rsidR="00D832A2" w:rsidRPr="00CE2207" w:rsidRDefault="00D832A2"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4D76AB03" w14:textId="2544DF60" w:rsidR="00D832A2" w:rsidRPr="00CE2207" w:rsidRDefault="00D832A2" w:rsidP="005E2A73">
            <w:pPr>
              <w:pStyle w:val="TableParagraph"/>
              <w:kinsoku w:val="0"/>
              <w:overflowPunct w:val="0"/>
              <w:spacing w:before="54"/>
              <w:ind w:right="227"/>
              <w:jc w:val="right"/>
              <w:rPr>
                <w:rFonts w:ascii="Arial" w:hAnsi="Arial" w:cs="Arial"/>
                <w:spacing w:val="-3"/>
                <w:sz w:val="18"/>
                <w:szCs w:val="18"/>
              </w:rPr>
            </w:pPr>
            <w:r w:rsidRPr="00CE2207">
              <w:rPr>
                <w:rFonts w:ascii="Arial" w:hAnsi="Arial" w:cs="Arial"/>
                <w:spacing w:val="-3"/>
                <w:sz w:val="18"/>
                <w:szCs w:val="18"/>
              </w:rPr>
              <w:t>$</w:t>
            </w:r>
            <w:r w:rsidR="005E2A73">
              <w:rPr>
                <w:rFonts w:ascii="Arial" w:hAnsi="Arial" w:cs="Arial"/>
                <w:spacing w:val="-3"/>
                <w:sz w:val="18"/>
                <w:szCs w:val="18"/>
              </w:rPr>
              <w:t>0</w:t>
            </w:r>
            <w:r w:rsidRPr="00CE2207">
              <w:rPr>
                <w:rFonts w:ascii="Arial" w:hAnsi="Arial" w:cs="Arial"/>
                <w:spacing w:val="-3"/>
                <w:sz w:val="18"/>
                <w:szCs w:val="18"/>
              </w:rPr>
              <w:t>.</w:t>
            </w:r>
            <w:r w:rsidR="005E2A73">
              <w:rPr>
                <w:rFonts w:ascii="Arial" w:hAnsi="Arial" w:cs="Arial"/>
                <w:spacing w:val="-3"/>
                <w:sz w:val="18"/>
                <w:szCs w:val="18"/>
              </w:rPr>
              <w:t>0</w:t>
            </w:r>
          </w:p>
        </w:tc>
      </w:tr>
      <w:tr w:rsidR="001B04D1" w14:paraId="5E531C35" w14:textId="77777777" w:rsidTr="00212A04">
        <w:trPr>
          <w:trHeight w:hRule="exact" w:val="525"/>
        </w:trPr>
        <w:tc>
          <w:tcPr>
            <w:tcW w:w="5245" w:type="dxa"/>
            <w:shd w:val="clear" w:color="auto" w:fill="auto"/>
            <w:vAlign w:val="center"/>
          </w:tcPr>
          <w:p w14:paraId="6DB5EC08" w14:textId="042552DE" w:rsidR="001B04D1" w:rsidRDefault="001B04D1" w:rsidP="00C45F11">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Regulation to Establish Levy and Charges on Melons</w:t>
            </w:r>
          </w:p>
        </w:tc>
        <w:tc>
          <w:tcPr>
            <w:tcW w:w="1420" w:type="dxa"/>
            <w:shd w:val="clear" w:color="auto" w:fill="auto"/>
            <w:vAlign w:val="center"/>
          </w:tcPr>
          <w:p w14:paraId="772CDEC5" w14:textId="6CE12F23" w:rsidR="001B04D1" w:rsidRPr="00CE2207" w:rsidRDefault="001B04D1"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0F6B331D" w14:textId="66A44242" w:rsidR="001B04D1" w:rsidRDefault="001B04D1"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1E94A9A4" w14:textId="3B40749F" w:rsidR="001B04D1" w:rsidRDefault="001B04D1"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483CC4B5" w14:textId="2798C503" w:rsidR="001B04D1" w:rsidRPr="00CE2207" w:rsidRDefault="001B04D1" w:rsidP="005E2A73">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4007ED" w14:paraId="2889D1BC" w14:textId="77777777" w:rsidTr="00212A04">
        <w:trPr>
          <w:trHeight w:hRule="exact" w:val="525"/>
        </w:trPr>
        <w:tc>
          <w:tcPr>
            <w:tcW w:w="5245" w:type="dxa"/>
            <w:shd w:val="clear" w:color="auto" w:fill="auto"/>
            <w:vAlign w:val="center"/>
          </w:tcPr>
          <w:p w14:paraId="2E961078" w14:textId="05265215" w:rsidR="004007ED" w:rsidRDefault="004007ED" w:rsidP="00C45F11">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Tea Tree Oil Levy</w:t>
            </w:r>
          </w:p>
        </w:tc>
        <w:tc>
          <w:tcPr>
            <w:tcW w:w="1420" w:type="dxa"/>
            <w:shd w:val="clear" w:color="auto" w:fill="auto"/>
            <w:vAlign w:val="center"/>
          </w:tcPr>
          <w:p w14:paraId="4E0296E5" w14:textId="2A27AA00" w:rsidR="004007ED" w:rsidRPr="00CE2207" w:rsidRDefault="004007ED"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5463BE16" w14:textId="4EB18895" w:rsidR="004007ED" w:rsidRDefault="004007ED"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1180253E" w14:textId="0BD19A04" w:rsidR="004007ED" w:rsidRDefault="004007ED" w:rsidP="00C45F11">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7C21676E" w14:textId="5BCDB250" w:rsidR="004007ED" w:rsidRPr="00CE2207" w:rsidRDefault="004007ED" w:rsidP="005E2A73">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B01273" w:rsidRPr="0051060E" w14:paraId="71D6CFC8" w14:textId="77777777" w:rsidTr="00212A04">
        <w:trPr>
          <w:trHeight w:hRule="exact" w:val="525"/>
        </w:trPr>
        <w:tc>
          <w:tcPr>
            <w:tcW w:w="5245" w:type="dxa"/>
            <w:shd w:val="clear" w:color="auto" w:fill="FDE9D9" w:themeFill="accent6" w:themeFillTint="33"/>
            <w:vAlign w:val="center"/>
          </w:tcPr>
          <w:p w14:paraId="188B2F90" w14:textId="2A146D64" w:rsidR="00B01273" w:rsidRPr="0051060E" w:rsidRDefault="00B01273" w:rsidP="004744AE">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Attorney-General’s Department</w:t>
            </w:r>
          </w:p>
        </w:tc>
        <w:tc>
          <w:tcPr>
            <w:tcW w:w="1420" w:type="dxa"/>
            <w:shd w:val="clear" w:color="auto" w:fill="FDE9D9" w:themeFill="accent6" w:themeFillTint="33"/>
            <w:vAlign w:val="center"/>
          </w:tcPr>
          <w:p w14:paraId="2EAC558B" w14:textId="0DAFC3DB" w:rsidR="00B01273" w:rsidRPr="0051060E" w:rsidRDefault="00B01273" w:rsidP="004744AE">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5" w:type="dxa"/>
            <w:shd w:val="clear" w:color="auto" w:fill="FDE9D9" w:themeFill="accent6" w:themeFillTint="33"/>
            <w:vAlign w:val="center"/>
          </w:tcPr>
          <w:p w14:paraId="245A921C" w14:textId="2AF973CA" w:rsidR="00B01273" w:rsidRPr="0051060E" w:rsidRDefault="00B01273" w:rsidP="00E437F4">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4" w:type="dxa"/>
            <w:shd w:val="clear" w:color="auto" w:fill="FDE9D9" w:themeFill="accent6" w:themeFillTint="33"/>
            <w:vAlign w:val="center"/>
          </w:tcPr>
          <w:p w14:paraId="41A40321" w14:textId="77777777" w:rsidR="00B01273" w:rsidRPr="0051060E" w:rsidRDefault="00B01273" w:rsidP="004744AE">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4C18E35A" w14:textId="66D6F9DB" w:rsidR="00B01273" w:rsidRPr="0051060E" w:rsidRDefault="00B01273" w:rsidP="00F2082A">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$6.3</w:t>
            </w:r>
          </w:p>
        </w:tc>
      </w:tr>
      <w:tr w:rsidR="005C6972" w14:paraId="3C2DBE16" w14:textId="77777777" w:rsidTr="00212A04">
        <w:trPr>
          <w:trHeight w:hRule="exact" w:val="525"/>
        </w:trPr>
        <w:tc>
          <w:tcPr>
            <w:tcW w:w="5245" w:type="dxa"/>
            <w:shd w:val="clear" w:color="auto" w:fill="auto"/>
            <w:vAlign w:val="center"/>
          </w:tcPr>
          <w:p w14:paraId="3232FA81" w14:textId="6CB568B9" w:rsidR="005C6972" w:rsidRPr="00CE2207" w:rsidRDefault="005C6972" w:rsidP="005C6972">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 xml:space="preserve">Notifiable Data Breaches </w:t>
            </w:r>
          </w:p>
        </w:tc>
        <w:tc>
          <w:tcPr>
            <w:tcW w:w="1420" w:type="dxa"/>
            <w:shd w:val="clear" w:color="auto" w:fill="auto"/>
            <w:vAlign w:val="center"/>
          </w:tcPr>
          <w:p w14:paraId="68C0E700" w14:textId="067F616B" w:rsidR="005C6972" w:rsidRPr="00CE2207" w:rsidRDefault="005C6972" w:rsidP="005C6972">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Compliant</w:t>
            </w:r>
          </w:p>
        </w:tc>
        <w:tc>
          <w:tcPr>
            <w:tcW w:w="1105" w:type="dxa"/>
            <w:shd w:val="clear" w:color="auto" w:fill="auto"/>
            <w:vAlign w:val="center"/>
          </w:tcPr>
          <w:p w14:paraId="4B6AD76C" w14:textId="5FC90209" w:rsidR="005C6972" w:rsidRPr="00CE2207" w:rsidRDefault="005C6972" w:rsidP="005C6972">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5CD71DB4" w14:textId="3D600E01" w:rsidR="005C6972" w:rsidRPr="00CE2207" w:rsidRDefault="005C6972" w:rsidP="005C6972">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439B6991" w14:textId="29060412" w:rsidR="005C6972" w:rsidRPr="00CE2207" w:rsidRDefault="005C6972" w:rsidP="005C6972">
            <w:pPr>
              <w:pStyle w:val="TableParagraph"/>
              <w:kinsoku w:val="0"/>
              <w:overflowPunct w:val="0"/>
              <w:spacing w:before="54"/>
              <w:ind w:right="227"/>
              <w:jc w:val="right"/>
              <w:rPr>
                <w:rFonts w:ascii="Arial" w:hAnsi="Arial" w:cs="Arial"/>
                <w:spacing w:val="-3"/>
                <w:sz w:val="18"/>
                <w:szCs w:val="18"/>
              </w:rPr>
            </w:pPr>
            <w:r w:rsidRPr="00CE2207">
              <w:rPr>
                <w:rFonts w:ascii="Arial" w:hAnsi="Arial" w:cs="Arial"/>
                <w:spacing w:val="-3"/>
                <w:sz w:val="18"/>
                <w:szCs w:val="18"/>
              </w:rPr>
              <w:t>$6.3</w:t>
            </w:r>
          </w:p>
        </w:tc>
      </w:tr>
      <w:tr w:rsidR="005C6972" w:rsidRPr="0051060E" w14:paraId="36E3C225" w14:textId="77777777" w:rsidTr="00212A04">
        <w:trPr>
          <w:trHeight w:hRule="exact" w:val="525"/>
        </w:trPr>
        <w:tc>
          <w:tcPr>
            <w:tcW w:w="5245" w:type="dxa"/>
            <w:shd w:val="clear" w:color="auto" w:fill="FDE9D9" w:themeFill="accent6" w:themeFillTint="33"/>
            <w:vAlign w:val="center"/>
          </w:tcPr>
          <w:p w14:paraId="3EF3225A" w14:textId="7FD7738A" w:rsidR="005C6972" w:rsidRPr="0051060E" w:rsidRDefault="005C6972" w:rsidP="005C6972">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Communications and the Arts</w:t>
            </w:r>
          </w:p>
        </w:tc>
        <w:tc>
          <w:tcPr>
            <w:tcW w:w="1420" w:type="dxa"/>
            <w:shd w:val="clear" w:color="auto" w:fill="FDE9D9" w:themeFill="accent6" w:themeFillTint="33"/>
            <w:vAlign w:val="center"/>
          </w:tcPr>
          <w:p w14:paraId="1079AC31" w14:textId="50EA71C3" w:rsidR="005C6972" w:rsidRPr="0051060E" w:rsidRDefault="006E04B1" w:rsidP="00254820">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5/5</w:t>
            </w:r>
          </w:p>
        </w:tc>
        <w:tc>
          <w:tcPr>
            <w:tcW w:w="1105" w:type="dxa"/>
            <w:shd w:val="clear" w:color="auto" w:fill="FDE9D9" w:themeFill="accent6" w:themeFillTint="33"/>
            <w:vAlign w:val="center"/>
          </w:tcPr>
          <w:p w14:paraId="26CF90F2" w14:textId="42272EB3" w:rsidR="005C6972" w:rsidRPr="0051060E" w:rsidRDefault="006E04B1" w:rsidP="005C6972">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5/5</w:t>
            </w:r>
          </w:p>
        </w:tc>
        <w:tc>
          <w:tcPr>
            <w:tcW w:w="1104" w:type="dxa"/>
            <w:shd w:val="clear" w:color="auto" w:fill="FDE9D9" w:themeFill="accent6" w:themeFillTint="33"/>
            <w:vAlign w:val="center"/>
          </w:tcPr>
          <w:p w14:paraId="03F84FC9" w14:textId="77777777" w:rsidR="005C6972" w:rsidRPr="0051060E" w:rsidRDefault="005C6972" w:rsidP="005C6972">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68198A83" w14:textId="799BB0B6" w:rsidR="005C6972" w:rsidRPr="0051060E" w:rsidRDefault="00254820" w:rsidP="00657B63">
            <w:pPr>
              <w:pStyle w:val="TableParagraph"/>
              <w:kinsoku w:val="0"/>
              <w:overflowPunct w:val="0"/>
              <w:spacing w:before="54"/>
              <w:ind w:right="227"/>
              <w:jc w:val="right"/>
              <w:rPr>
                <w:rFonts w:ascii="Arial" w:hAnsi="Arial" w:cs="Arial"/>
                <w:b/>
                <w:spacing w:val="-3"/>
                <w:sz w:val="18"/>
                <w:szCs w:val="18"/>
              </w:rPr>
            </w:pPr>
            <w:r>
              <w:rPr>
                <w:rFonts w:ascii="Arial" w:hAnsi="Arial" w:cs="Arial"/>
                <w:b/>
                <w:spacing w:val="-3"/>
                <w:sz w:val="18"/>
                <w:szCs w:val="18"/>
              </w:rPr>
              <w:t>-</w:t>
            </w:r>
            <w:r w:rsidR="005C6972" w:rsidRPr="0051060E">
              <w:rPr>
                <w:rFonts w:ascii="Arial" w:hAnsi="Arial" w:cs="Arial"/>
                <w:b/>
                <w:spacing w:val="-3"/>
                <w:sz w:val="18"/>
                <w:szCs w:val="18"/>
              </w:rPr>
              <w:t>$0.</w:t>
            </w:r>
            <w:r w:rsidR="00657B63">
              <w:rPr>
                <w:rFonts w:ascii="Arial" w:hAnsi="Arial" w:cs="Arial"/>
                <w:b/>
                <w:spacing w:val="-3"/>
                <w:sz w:val="18"/>
                <w:szCs w:val="18"/>
              </w:rPr>
              <w:t>8</w:t>
            </w:r>
          </w:p>
        </w:tc>
      </w:tr>
      <w:tr w:rsidR="005C6972" w14:paraId="27198E91" w14:textId="77777777" w:rsidTr="00212A04">
        <w:trPr>
          <w:trHeight w:hRule="exact" w:val="525"/>
        </w:trPr>
        <w:tc>
          <w:tcPr>
            <w:tcW w:w="5245" w:type="dxa"/>
            <w:shd w:val="clear" w:color="auto" w:fill="FFFFFF" w:themeFill="background1"/>
            <w:vAlign w:val="center"/>
          </w:tcPr>
          <w:p w14:paraId="265A375D" w14:textId="770D29F0" w:rsidR="005C6972" w:rsidRPr="00133101" w:rsidRDefault="005C6972" w:rsidP="005C6972">
            <w:pPr>
              <w:pStyle w:val="TableParagraph"/>
              <w:kinsoku w:val="0"/>
              <w:overflowPunct w:val="0"/>
              <w:spacing w:before="54" w:line="254" w:lineRule="auto"/>
              <w:ind w:left="170" w:right="102"/>
              <w:rPr>
                <w:rFonts w:ascii="Arial" w:hAnsi="Arial" w:cs="Arial"/>
                <w:spacing w:val="-3"/>
                <w:sz w:val="18"/>
                <w:szCs w:val="18"/>
                <w:highlight w:val="yellow"/>
              </w:rPr>
            </w:pPr>
            <w:r w:rsidRPr="00680193">
              <w:rPr>
                <w:rFonts w:ascii="Arial" w:hAnsi="Arial" w:cs="Arial"/>
                <w:spacing w:val="-3"/>
                <w:sz w:val="18"/>
                <w:szCs w:val="18"/>
              </w:rPr>
              <w:t>Extending the Carrier Licence Conditions Declaration 2014</w:t>
            </w:r>
          </w:p>
        </w:tc>
        <w:tc>
          <w:tcPr>
            <w:tcW w:w="1420" w:type="dxa"/>
            <w:shd w:val="clear" w:color="auto" w:fill="FFFFFF" w:themeFill="background1"/>
            <w:vAlign w:val="center"/>
          </w:tcPr>
          <w:p w14:paraId="6E0AC1A0" w14:textId="0858EA21" w:rsidR="005C6972" w:rsidRPr="00565B1B" w:rsidRDefault="005C6972" w:rsidP="005C6972">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Compliant</w:t>
            </w:r>
          </w:p>
        </w:tc>
        <w:tc>
          <w:tcPr>
            <w:tcW w:w="1105" w:type="dxa"/>
            <w:shd w:val="clear" w:color="auto" w:fill="FFFFFF" w:themeFill="background1"/>
            <w:vAlign w:val="center"/>
          </w:tcPr>
          <w:p w14:paraId="2DB304F9" w14:textId="05389BF6" w:rsidR="005C6972" w:rsidRPr="00565B1B" w:rsidRDefault="005C6972" w:rsidP="005C6972">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FFFFFF" w:themeFill="background1"/>
            <w:vAlign w:val="center"/>
          </w:tcPr>
          <w:p w14:paraId="47D282DF" w14:textId="67C3EBE7" w:rsidR="005C6972" w:rsidRPr="00565B1B" w:rsidRDefault="005C6972" w:rsidP="005C6972">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 xml:space="preserve">No </w:t>
            </w:r>
          </w:p>
        </w:tc>
        <w:tc>
          <w:tcPr>
            <w:tcW w:w="1191" w:type="dxa"/>
            <w:shd w:val="clear" w:color="auto" w:fill="FFFFFF" w:themeFill="background1"/>
            <w:vAlign w:val="center"/>
          </w:tcPr>
          <w:p w14:paraId="71F38A9D" w14:textId="4AA11242" w:rsidR="005C6972" w:rsidRPr="00565B1B" w:rsidRDefault="005C6972" w:rsidP="005C6972">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56330F" w14:paraId="0B502F84" w14:textId="77777777" w:rsidTr="00212A04">
        <w:trPr>
          <w:trHeight w:hRule="exact" w:val="525"/>
        </w:trPr>
        <w:tc>
          <w:tcPr>
            <w:tcW w:w="5245" w:type="dxa"/>
            <w:shd w:val="clear" w:color="auto" w:fill="FFFFFF" w:themeFill="background1"/>
            <w:vAlign w:val="center"/>
          </w:tcPr>
          <w:p w14:paraId="47CEB335" w14:textId="5B81F888" w:rsidR="0056330F" w:rsidRPr="00680193"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456CE1">
              <w:rPr>
                <w:rFonts w:ascii="Arial" w:hAnsi="Arial" w:cs="Arial"/>
                <w:spacing w:val="-3"/>
                <w:sz w:val="18"/>
                <w:szCs w:val="18"/>
              </w:rPr>
              <w:t>Funding the Regional Broadband Scheme</w:t>
            </w:r>
          </w:p>
        </w:tc>
        <w:tc>
          <w:tcPr>
            <w:tcW w:w="1420" w:type="dxa"/>
            <w:shd w:val="clear" w:color="auto" w:fill="FFFFFF" w:themeFill="background1"/>
            <w:vAlign w:val="center"/>
          </w:tcPr>
          <w:p w14:paraId="5FBDDA42" w14:textId="2428665B" w:rsidR="0056330F" w:rsidRPr="00CE2207" w:rsidRDefault="0056330F" w:rsidP="0056330F">
            <w:pPr>
              <w:pStyle w:val="TableParagraph"/>
              <w:kinsoku w:val="0"/>
              <w:overflowPunct w:val="0"/>
              <w:spacing w:before="54"/>
              <w:jc w:val="center"/>
              <w:rPr>
                <w:rFonts w:ascii="Arial" w:hAnsi="Arial" w:cs="Arial"/>
                <w:spacing w:val="-3"/>
                <w:sz w:val="18"/>
                <w:szCs w:val="18"/>
              </w:rPr>
            </w:pPr>
            <w:r w:rsidRPr="00456CE1">
              <w:rPr>
                <w:rFonts w:ascii="Arial" w:hAnsi="Arial" w:cs="Arial"/>
                <w:spacing w:val="-3"/>
                <w:sz w:val="18"/>
                <w:szCs w:val="18"/>
              </w:rPr>
              <w:t>Compliant</w:t>
            </w:r>
          </w:p>
        </w:tc>
        <w:tc>
          <w:tcPr>
            <w:tcW w:w="1105" w:type="dxa"/>
            <w:shd w:val="clear" w:color="auto" w:fill="FFFFFF" w:themeFill="background1"/>
            <w:vAlign w:val="center"/>
          </w:tcPr>
          <w:p w14:paraId="116B064C" w14:textId="3CEB6895" w:rsidR="0056330F" w:rsidRDefault="0056330F" w:rsidP="0056330F">
            <w:pPr>
              <w:pStyle w:val="TableParagraph"/>
              <w:kinsoku w:val="0"/>
              <w:overflowPunct w:val="0"/>
              <w:spacing w:before="54"/>
              <w:jc w:val="center"/>
              <w:rPr>
                <w:rFonts w:ascii="Arial" w:hAnsi="Arial" w:cs="Arial"/>
                <w:spacing w:val="-3"/>
                <w:sz w:val="18"/>
                <w:szCs w:val="18"/>
              </w:rPr>
            </w:pPr>
            <w:r w:rsidRPr="00456CE1">
              <w:rPr>
                <w:rFonts w:ascii="Arial" w:hAnsi="Arial" w:cs="Arial"/>
                <w:spacing w:val="-3"/>
                <w:sz w:val="18"/>
                <w:szCs w:val="18"/>
              </w:rPr>
              <w:t>Yes</w:t>
            </w:r>
          </w:p>
        </w:tc>
        <w:tc>
          <w:tcPr>
            <w:tcW w:w="1104" w:type="dxa"/>
            <w:shd w:val="clear" w:color="auto" w:fill="FFFFFF" w:themeFill="background1"/>
            <w:vAlign w:val="center"/>
          </w:tcPr>
          <w:p w14:paraId="51DD4FCD" w14:textId="2E17E676" w:rsidR="0056330F" w:rsidRDefault="0056330F" w:rsidP="0056330F">
            <w:pPr>
              <w:pStyle w:val="TableParagraph"/>
              <w:kinsoku w:val="0"/>
              <w:overflowPunct w:val="0"/>
              <w:spacing w:before="54"/>
              <w:jc w:val="center"/>
              <w:rPr>
                <w:rFonts w:ascii="Arial" w:hAnsi="Arial" w:cs="Arial"/>
                <w:spacing w:val="-3"/>
                <w:sz w:val="18"/>
                <w:szCs w:val="18"/>
              </w:rPr>
            </w:pPr>
            <w:r w:rsidRPr="00456CE1">
              <w:rPr>
                <w:rFonts w:ascii="Arial" w:hAnsi="Arial" w:cs="Arial"/>
                <w:spacing w:val="-3"/>
                <w:sz w:val="18"/>
                <w:szCs w:val="18"/>
              </w:rPr>
              <w:t>No</w:t>
            </w:r>
          </w:p>
        </w:tc>
        <w:tc>
          <w:tcPr>
            <w:tcW w:w="1191" w:type="dxa"/>
            <w:shd w:val="clear" w:color="auto" w:fill="FFFFFF" w:themeFill="background1"/>
            <w:vAlign w:val="center"/>
          </w:tcPr>
          <w:p w14:paraId="324B3C2C" w14:textId="3A0E4AFE" w:rsidR="0056330F" w:rsidRDefault="0056330F" w:rsidP="00657B63">
            <w:pPr>
              <w:pStyle w:val="TableParagraph"/>
              <w:kinsoku w:val="0"/>
              <w:overflowPunct w:val="0"/>
              <w:spacing w:before="54"/>
              <w:ind w:right="227"/>
              <w:jc w:val="right"/>
              <w:rPr>
                <w:rFonts w:ascii="Arial" w:hAnsi="Arial" w:cs="Arial"/>
                <w:spacing w:val="-3"/>
                <w:sz w:val="18"/>
                <w:szCs w:val="18"/>
              </w:rPr>
            </w:pPr>
            <w:r w:rsidRPr="00456CE1">
              <w:rPr>
                <w:rFonts w:ascii="Arial" w:hAnsi="Arial" w:cs="Arial"/>
                <w:spacing w:val="-3"/>
                <w:sz w:val="18"/>
                <w:szCs w:val="18"/>
              </w:rPr>
              <w:t>$0.</w:t>
            </w:r>
            <w:r w:rsidR="00657B63">
              <w:rPr>
                <w:rFonts w:ascii="Arial" w:hAnsi="Arial" w:cs="Arial"/>
                <w:spacing w:val="-3"/>
                <w:sz w:val="18"/>
                <w:szCs w:val="18"/>
              </w:rPr>
              <w:t>0</w:t>
            </w:r>
          </w:p>
        </w:tc>
      </w:tr>
      <w:tr w:rsidR="0056330F" w14:paraId="1E882FFA" w14:textId="77777777" w:rsidTr="00212A04">
        <w:trPr>
          <w:trHeight w:hRule="exact" w:val="525"/>
        </w:trPr>
        <w:tc>
          <w:tcPr>
            <w:tcW w:w="5245" w:type="dxa"/>
            <w:shd w:val="clear" w:color="auto" w:fill="FFFFFF" w:themeFill="background1"/>
            <w:vAlign w:val="center"/>
          </w:tcPr>
          <w:p w14:paraId="06280AE8" w14:textId="461EEA78" w:rsidR="0056330F" w:rsidRPr="00133101" w:rsidRDefault="0056330F" w:rsidP="0056330F">
            <w:pPr>
              <w:pStyle w:val="TableParagraph"/>
              <w:kinsoku w:val="0"/>
              <w:overflowPunct w:val="0"/>
              <w:spacing w:before="54" w:line="254" w:lineRule="auto"/>
              <w:ind w:left="170" w:right="102"/>
              <w:rPr>
                <w:rFonts w:ascii="Arial" w:hAnsi="Arial" w:cs="Arial"/>
                <w:spacing w:val="-3"/>
                <w:sz w:val="18"/>
                <w:szCs w:val="18"/>
                <w:highlight w:val="yellow"/>
              </w:rPr>
            </w:pPr>
            <w:r>
              <w:rPr>
                <w:rFonts w:ascii="Arial" w:hAnsi="Arial" w:cs="Arial"/>
                <w:spacing w:val="-3"/>
                <w:sz w:val="18"/>
                <w:szCs w:val="18"/>
              </w:rPr>
              <w:t>Interactive Gambling Restrictions</w:t>
            </w:r>
          </w:p>
        </w:tc>
        <w:tc>
          <w:tcPr>
            <w:tcW w:w="1420" w:type="dxa"/>
            <w:shd w:val="clear" w:color="auto" w:fill="FFFFFF" w:themeFill="background1"/>
            <w:vAlign w:val="center"/>
          </w:tcPr>
          <w:p w14:paraId="4937278B" w14:textId="58D0A3CE" w:rsidR="0056330F" w:rsidRPr="00565B1B" w:rsidRDefault="0056330F" w:rsidP="0056330F">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Compliant</w:t>
            </w:r>
          </w:p>
        </w:tc>
        <w:tc>
          <w:tcPr>
            <w:tcW w:w="1105" w:type="dxa"/>
            <w:shd w:val="clear" w:color="auto" w:fill="FFFFFF" w:themeFill="background1"/>
            <w:vAlign w:val="center"/>
          </w:tcPr>
          <w:p w14:paraId="63F4E15A" w14:textId="77777777" w:rsidR="0056330F" w:rsidRPr="00565B1B"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FFFFFF" w:themeFill="background1"/>
            <w:vAlign w:val="center"/>
          </w:tcPr>
          <w:p w14:paraId="44761C14" w14:textId="77777777" w:rsidR="0056330F" w:rsidRPr="00565B1B"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 xml:space="preserve">No </w:t>
            </w:r>
          </w:p>
        </w:tc>
        <w:tc>
          <w:tcPr>
            <w:tcW w:w="1191" w:type="dxa"/>
            <w:shd w:val="clear" w:color="auto" w:fill="FFFFFF" w:themeFill="background1"/>
            <w:vAlign w:val="center"/>
          </w:tcPr>
          <w:p w14:paraId="021FF1B4" w14:textId="77777777" w:rsidR="0056330F" w:rsidRPr="00565B1B"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56330F" w14:paraId="42C4E0BB" w14:textId="77777777" w:rsidTr="00212A04">
        <w:trPr>
          <w:trHeight w:hRule="exact" w:val="525"/>
        </w:trPr>
        <w:tc>
          <w:tcPr>
            <w:tcW w:w="5245" w:type="dxa"/>
            <w:shd w:val="clear" w:color="auto" w:fill="FFFFFF" w:themeFill="background1"/>
            <w:vAlign w:val="center"/>
          </w:tcPr>
          <w:p w14:paraId="5FF62346" w14:textId="4AF83DD0"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Reform of Anti-Siphoning Scheme</w:t>
            </w:r>
          </w:p>
        </w:tc>
        <w:tc>
          <w:tcPr>
            <w:tcW w:w="1420" w:type="dxa"/>
            <w:shd w:val="clear" w:color="auto" w:fill="FFFFFF" w:themeFill="background1"/>
            <w:vAlign w:val="center"/>
          </w:tcPr>
          <w:p w14:paraId="00B41ED5" w14:textId="1A6F4149"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190F8229" w14:textId="29ABC92A"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FFFFFF" w:themeFill="background1"/>
            <w:vAlign w:val="center"/>
          </w:tcPr>
          <w:p w14:paraId="03011BE4" w14:textId="4AE31404"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5C97B342" w14:textId="0D437A6D"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56330F" w14:paraId="180E044F" w14:textId="77777777" w:rsidTr="00212A04">
        <w:trPr>
          <w:trHeight w:hRule="exact" w:val="743"/>
        </w:trPr>
        <w:tc>
          <w:tcPr>
            <w:tcW w:w="5245" w:type="dxa"/>
            <w:shd w:val="clear" w:color="auto" w:fill="FFFFFF" w:themeFill="background1"/>
            <w:vAlign w:val="center"/>
          </w:tcPr>
          <w:p w14:paraId="4D548A5F" w14:textId="43C876EB"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Response to the Vertigan Review of the Regulatory Arrangement for the NBN</w:t>
            </w:r>
          </w:p>
        </w:tc>
        <w:tc>
          <w:tcPr>
            <w:tcW w:w="1420" w:type="dxa"/>
            <w:shd w:val="clear" w:color="auto" w:fill="FFFFFF" w:themeFill="background1"/>
            <w:vAlign w:val="center"/>
          </w:tcPr>
          <w:p w14:paraId="3F4D3B6C" w14:textId="1FEBBE7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10ED8111" w14:textId="31F6984C"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FFFFFF" w:themeFill="background1"/>
            <w:vAlign w:val="center"/>
          </w:tcPr>
          <w:p w14:paraId="027D330F" w14:textId="7242258E"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181C7DAD" w14:textId="1E4E27BD"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-$0.8</w:t>
            </w:r>
          </w:p>
        </w:tc>
      </w:tr>
      <w:tr w:rsidR="0056330F" w:rsidRPr="0051060E" w14:paraId="74C94AF8" w14:textId="77777777" w:rsidTr="00212A04">
        <w:trPr>
          <w:trHeight w:hRule="exact" w:val="525"/>
        </w:trPr>
        <w:tc>
          <w:tcPr>
            <w:tcW w:w="5245" w:type="dxa"/>
            <w:shd w:val="clear" w:color="auto" w:fill="FDE9D9" w:themeFill="accent6" w:themeFillTint="33"/>
            <w:vAlign w:val="center"/>
          </w:tcPr>
          <w:p w14:paraId="4B0CF9BD" w14:textId="25B12E2D" w:rsidR="0056330F" w:rsidRPr="0051060E" w:rsidRDefault="0056330F" w:rsidP="0056330F">
            <w:pPr>
              <w:pStyle w:val="TableParagraph"/>
              <w:kinsoku w:val="0"/>
              <w:overflowPunct w:val="0"/>
              <w:spacing w:before="54" w:line="254" w:lineRule="auto"/>
              <w:ind w:left="170" w:right="102"/>
              <w:rPr>
                <w:rFonts w:ascii="Arial" w:hAnsi="Arial" w:cs="Arial"/>
                <w:b/>
                <w:color w:val="000000" w:themeColor="text1"/>
                <w:spacing w:val="-3"/>
                <w:sz w:val="18"/>
                <w:szCs w:val="18"/>
              </w:rPr>
            </w:pPr>
            <w:r w:rsidRPr="0051060E">
              <w:rPr>
                <w:rFonts w:ascii="Arial" w:hAnsi="Arial" w:cs="Arial"/>
                <w:b/>
                <w:color w:val="000000" w:themeColor="text1"/>
                <w:spacing w:val="-3"/>
                <w:sz w:val="18"/>
                <w:szCs w:val="18"/>
              </w:rPr>
              <w:t>Department of Education and Training</w:t>
            </w:r>
          </w:p>
        </w:tc>
        <w:tc>
          <w:tcPr>
            <w:tcW w:w="1420" w:type="dxa"/>
            <w:shd w:val="clear" w:color="auto" w:fill="FDE9D9" w:themeFill="accent6" w:themeFillTint="33"/>
            <w:vAlign w:val="center"/>
          </w:tcPr>
          <w:p w14:paraId="4BD5A5EB" w14:textId="4A6BEA2E" w:rsidR="0056330F" w:rsidRPr="0051060E" w:rsidRDefault="0056330F" w:rsidP="0056330F">
            <w:pPr>
              <w:pStyle w:val="TableParagraph"/>
              <w:kinsoku w:val="0"/>
              <w:overflowPunct w:val="0"/>
              <w:spacing w:before="54"/>
              <w:jc w:val="center"/>
              <w:rPr>
                <w:rFonts w:ascii="Arial" w:hAnsi="Arial" w:cs="Arial"/>
                <w:b/>
                <w:color w:val="000000" w:themeColor="text1"/>
                <w:spacing w:val="-3"/>
                <w:sz w:val="18"/>
                <w:szCs w:val="18"/>
              </w:rPr>
            </w:pPr>
            <w:r w:rsidRPr="0051060E">
              <w:rPr>
                <w:rFonts w:ascii="Arial" w:hAnsi="Arial" w:cs="Arial"/>
                <w:b/>
                <w:color w:val="000000" w:themeColor="text1"/>
                <w:spacing w:val="-3"/>
                <w:sz w:val="18"/>
                <w:szCs w:val="18"/>
              </w:rPr>
              <w:t>2/2</w:t>
            </w:r>
          </w:p>
        </w:tc>
        <w:tc>
          <w:tcPr>
            <w:tcW w:w="1105" w:type="dxa"/>
            <w:shd w:val="clear" w:color="auto" w:fill="FDE9D9" w:themeFill="accent6" w:themeFillTint="33"/>
            <w:vAlign w:val="center"/>
          </w:tcPr>
          <w:p w14:paraId="5E4B158A" w14:textId="3FE4C21E" w:rsidR="0056330F" w:rsidRPr="0051060E" w:rsidRDefault="0056330F" w:rsidP="0056330F">
            <w:pPr>
              <w:pStyle w:val="TableParagraph"/>
              <w:kinsoku w:val="0"/>
              <w:overflowPunct w:val="0"/>
              <w:spacing w:before="54"/>
              <w:jc w:val="center"/>
              <w:rPr>
                <w:rFonts w:ascii="Arial" w:hAnsi="Arial" w:cs="Arial"/>
                <w:b/>
                <w:color w:val="000000" w:themeColor="text1"/>
                <w:spacing w:val="-3"/>
                <w:sz w:val="18"/>
                <w:szCs w:val="18"/>
              </w:rPr>
            </w:pPr>
            <w:r w:rsidRPr="0051060E">
              <w:rPr>
                <w:rFonts w:ascii="Arial" w:hAnsi="Arial" w:cs="Arial"/>
                <w:b/>
                <w:color w:val="000000" w:themeColor="text1"/>
                <w:spacing w:val="-3"/>
                <w:sz w:val="18"/>
                <w:szCs w:val="18"/>
              </w:rPr>
              <w:t>1/2</w:t>
            </w:r>
          </w:p>
        </w:tc>
        <w:tc>
          <w:tcPr>
            <w:tcW w:w="1104" w:type="dxa"/>
            <w:shd w:val="clear" w:color="auto" w:fill="FDE9D9" w:themeFill="accent6" w:themeFillTint="33"/>
            <w:vAlign w:val="center"/>
          </w:tcPr>
          <w:p w14:paraId="018641ED" w14:textId="77777777" w:rsidR="0056330F" w:rsidRPr="0051060E" w:rsidRDefault="0056330F" w:rsidP="0056330F">
            <w:pPr>
              <w:pStyle w:val="TableParagraph"/>
              <w:kinsoku w:val="0"/>
              <w:overflowPunct w:val="0"/>
              <w:spacing w:before="54"/>
              <w:jc w:val="center"/>
              <w:rPr>
                <w:rFonts w:ascii="Arial" w:hAnsi="Arial" w:cs="Arial"/>
                <w:b/>
                <w:color w:val="000000" w:themeColor="text1"/>
                <w:spacing w:val="-3"/>
                <w:sz w:val="18"/>
                <w:szCs w:val="18"/>
              </w:rPr>
            </w:pPr>
          </w:p>
        </w:tc>
        <w:tc>
          <w:tcPr>
            <w:tcW w:w="1191" w:type="dxa"/>
            <w:shd w:val="clear" w:color="auto" w:fill="FDE9D9" w:themeFill="accent6" w:themeFillTint="33"/>
            <w:vAlign w:val="center"/>
          </w:tcPr>
          <w:p w14:paraId="169BDF11" w14:textId="6E34FC1C" w:rsidR="0056330F" w:rsidRPr="0051060E" w:rsidRDefault="0056330F" w:rsidP="0056330F">
            <w:pPr>
              <w:pStyle w:val="TableParagraph"/>
              <w:kinsoku w:val="0"/>
              <w:overflowPunct w:val="0"/>
              <w:spacing w:before="54"/>
              <w:ind w:right="227"/>
              <w:jc w:val="right"/>
              <w:rPr>
                <w:rFonts w:ascii="Arial" w:hAnsi="Arial" w:cs="Arial"/>
                <w:b/>
                <w:color w:val="000000" w:themeColor="text1"/>
                <w:spacing w:val="-3"/>
                <w:sz w:val="18"/>
                <w:szCs w:val="18"/>
              </w:rPr>
            </w:pPr>
            <w:r w:rsidRPr="0051060E">
              <w:rPr>
                <w:rFonts w:ascii="Arial" w:hAnsi="Arial" w:cs="Arial"/>
                <w:b/>
                <w:color w:val="000000" w:themeColor="text1"/>
                <w:spacing w:val="-3"/>
                <w:sz w:val="18"/>
                <w:szCs w:val="18"/>
              </w:rPr>
              <w:t>$1.0</w:t>
            </w:r>
          </w:p>
        </w:tc>
      </w:tr>
      <w:tr w:rsidR="0056330F" w14:paraId="38D846D9" w14:textId="77777777" w:rsidTr="00212A04">
        <w:trPr>
          <w:trHeight w:hRule="exact" w:val="525"/>
        </w:trPr>
        <w:tc>
          <w:tcPr>
            <w:tcW w:w="5245" w:type="dxa"/>
            <w:shd w:val="clear" w:color="auto" w:fill="auto"/>
            <w:vAlign w:val="center"/>
          </w:tcPr>
          <w:p w14:paraId="3336AECC" w14:textId="29154625" w:rsidR="0056330F" w:rsidRPr="00CE2207"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48018A">
              <w:rPr>
                <w:rFonts w:ascii="Arial" w:hAnsi="Arial" w:cs="Arial"/>
                <w:spacing w:val="-3"/>
                <w:sz w:val="18"/>
                <w:szCs w:val="18"/>
              </w:rPr>
              <w:t>VET FEE</w:t>
            </w:r>
            <w:r>
              <w:rPr>
                <w:rFonts w:ascii="Arial" w:hAnsi="Arial" w:cs="Arial"/>
                <w:spacing w:val="-3"/>
                <w:sz w:val="18"/>
                <w:szCs w:val="18"/>
              </w:rPr>
              <w:t>-</w:t>
            </w:r>
            <w:r w:rsidRPr="0048018A">
              <w:rPr>
                <w:rFonts w:ascii="Arial" w:hAnsi="Arial" w:cs="Arial"/>
                <w:spacing w:val="-3"/>
                <w:sz w:val="18"/>
                <w:szCs w:val="18"/>
              </w:rPr>
              <w:t>HELP Redesign</w:t>
            </w:r>
          </w:p>
        </w:tc>
        <w:tc>
          <w:tcPr>
            <w:tcW w:w="1420" w:type="dxa"/>
            <w:shd w:val="clear" w:color="auto" w:fill="auto"/>
            <w:vAlign w:val="center"/>
          </w:tcPr>
          <w:p w14:paraId="53DC9EA7" w14:textId="24139E62" w:rsidR="0056330F" w:rsidRPr="00CE2207" w:rsidRDefault="0056330F" w:rsidP="0056330F">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Compliant</w:t>
            </w:r>
          </w:p>
        </w:tc>
        <w:tc>
          <w:tcPr>
            <w:tcW w:w="1105" w:type="dxa"/>
            <w:shd w:val="clear" w:color="auto" w:fill="auto"/>
            <w:vAlign w:val="center"/>
          </w:tcPr>
          <w:p w14:paraId="51BF3EA4" w14:textId="1FAFD96A" w:rsidR="0056330F" w:rsidRPr="00CE2207" w:rsidRDefault="0056330F" w:rsidP="0056330F">
            <w:pPr>
              <w:pStyle w:val="TableParagraph"/>
              <w:kinsoku w:val="0"/>
              <w:overflowPunct w:val="0"/>
              <w:spacing w:before="54"/>
              <w:jc w:val="center"/>
              <w:rPr>
                <w:rFonts w:ascii="Arial" w:hAnsi="Arial" w:cs="Arial"/>
                <w:spacing w:val="-3"/>
                <w:sz w:val="18"/>
                <w:szCs w:val="18"/>
              </w:rPr>
            </w:pPr>
            <w:r w:rsidRPr="008E73B2">
              <w:rPr>
                <w:rFonts w:ascii="Arial" w:hAnsi="Arial" w:cs="Arial"/>
                <w:spacing w:val="-3"/>
                <w:sz w:val="18"/>
                <w:szCs w:val="18"/>
              </w:rPr>
              <w:t>No</w:t>
            </w:r>
          </w:p>
        </w:tc>
        <w:tc>
          <w:tcPr>
            <w:tcW w:w="1104" w:type="dxa"/>
            <w:shd w:val="clear" w:color="auto" w:fill="auto"/>
            <w:vAlign w:val="center"/>
          </w:tcPr>
          <w:p w14:paraId="30D2E87B" w14:textId="43EE9CB0" w:rsidR="0056330F" w:rsidRPr="00CE2207" w:rsidRDefault="0056330F" w:rsidP="0056330F">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No</w:t>
            </w:r>
          </w:p>
        </w:tc>
        <w:tc>
          <w:tcPr>
            <w:tcW w:w="1191" w:type="dxa"/>
            <w:shd w:val="clear" w:color="auto" w:fill="auto"/>
            <w:vAlign w:val="center"/>
          </w:tcPr>
          <w:p w14:paraId="262D746D" w14:textId="4D45CED5" w:rsidR="0056330F" w:rsidRPr="00CE2207" w:rsidRDefault="0056330F" w:rsidP="0056330F">
            <w:pPr>
              <w:pStyle w:val="TableParagraph"/>
              <w:kinsoku w:val="0"/>
              <w:overflowPunct w:val="0"/>
              <w:spacing w:before="54"/>
              <w:ind w:right="227"/>
              <w:jc w:val="right"/>
              <w:rPr>
                <w:rFonts w:ascii="Arial" w:hAnsi="Arial" w:cs="Arial"/>
                <w:spacing w:val="-3"/>
                <w:sz w:val="18"/>
                <w:szCs w:val="18"/>
              </w:rPr>
            </w:pPr>
            <w:r w:rsidRPr="00CE2207">
              <w:rPr>
                <w:rFonts w:ascii="Arial" w:hAnsi="Arial" w:cs="Arial"/>
                <w:spacing w:val="-3"/>
                <w:sz w:val="18"/>
                <w:szCs w:val="18"/>
              </w:rPr>
              <w:t>-$0.9</w:t>
            </w:r>
          </w:p>
        </w:tc>
      </w:tr>
      <w:tr w:rsidR="0056330F" w14:paraId="67144A94" w14:textId="77777777" w:rsidTr="00212A04">
        <w:trPr>
          <w:trHeight w:hRule="exact" w:val="743"/>
        </w:trPr>
        <w:tc>
          <w:tcPr>
            <w:tcW w:w="5245" w:type="dxa"/>
            <w:shd w:val="clear" w:color="auto" w:fill="auto"/>
            <w:vAlign w:val="center"/>
          </w:tcPr>
          <w:p w14:paraId="6F667AE8" w14:textId="53A0502C" w:rsidR="0056330F" w:rsidRPr="0048018A"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Replacement of Australian Recognised Trade Certificate Program</w:t>
            </w:r>
          </w:p>
        </w:tc>
        <w:tc>
          <w:tcPr>
            <w:tcW w:w="1420" w:type="dxa"/>
            <w:shd w:val="clear" w:color="auto" w:fill="auto"/>
            <w:vAlign w:val="center"/>
          </w:tcPr>
          <w:p w14:paraId="4985FE35" w14:textId="2BF8A569"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34760EB2" w14:textId="52A732BA" w:rsidR="0056330F" w:rsidRPr="008E73B2"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301E9B88" w14:textId="365084E9"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21417438" w14:textId="279340D6" w:rsidR="0056330F" w:rsidRPr="00CE2207"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$1.9</w:t>
            </w:r>
          </w:p>
        </w:tc>
      </w:tr>
      <w:tr w:rsidR="0056330F" w:rsidRPr="0051060E" w14:paraId="37894985" w14:textId="77777777" w:rsidTr="00212A04">
        <w:trPr>
          <w:trHeight w:hRule="exact" w:val="525"/>
        </w:trPr>
        <w:tc>
          <w:tcPr>
            <w:tcW w:w="5245" w:type="dxa"/>
            <w:shd w:val="clear" w:color="auto" w:fill="FDE9D9" w:themeFill="accent6" w:themeFillTint="33"/>
            <w:vAlign w:val="center"/>
          </w:tcPr>
          <w:p w14:paraId="62158A24" w14:textId="41941B1B"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Employment</w:t>
            </w:r>
          </w:p>
        </w:tc>
        <w:tc>
          <w:tcPr>
            <w:tcW w:w="1420" w:type="dxa"/>
            <w:shd w:val="clear" w:color="auto" w:fill="FDE9D9" w:themeFill="accent6" w:themeFillTint="33"/>
            <w:vAlign w:val="center"/>
          </w:tcPr>
          <w:p w14:paraId="6F616AE1" w14:textId="3E8121A8"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5/5</w:t>
            </w:r>
          </w:p>
        </w:tc>
        <w:tc>
          <w:tcPr>
            <w:tcW w:w="1105" w:type="dxa"/>
            <w:shd w:val="clear" w:color="auto" w:fill="FDE9D9" w:themeFill="accent6" w:themeFillTint="33"/>
            <w:vAlign w:val="center"/>
          </w:tcPr>
          <w:p w14:paraId="074E37D9" w14:textId="364BAAB3"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5/5</w:t>
            </w:r>
          </w:p>
        </w:tc>
        <w:tc>
          <w:tcPr>
            <w:tcW w:w="1104" w:type="dxa"/>
            <w:shd w:val="clear" w:color="auto" w:fill="FDE9D9" w:themeFill="accent6" w:themeFillTint="33"/>
            <w:vAlign w:val="center"/>
          </w:tcPr>
          <w:p w14:paraId="5EC127EB" w14:textId="77777777" w:rsidR="0056330F" w:rsidRPr="0051060E" w:rsidRDefault="0056330F" w:rsidP="0056330F">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33254308" w14:textId="2519D7F9"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Pr>
                <w:rFonts w:ascii="Arial" w:hAnsi="Arial" w:cs="Arial"/>
                <w:b/>
                <w:spacing w:val="-3"/>
                <w:sz w:val="18"/>
                <w:szCs w:val="18"/>
              </w:rPr>
              <w:t>-$1.2</w:t>
            </w:r>
          </w:p>
        </w:tc>
      </w:tr>
      <w:tr w:rsidR="0056330F" w14:paraId="49D48C20" w14:textId="77777777" w:rsidTr="00212A04">
        <w:trPr>
          <w:trHeight w:hRule="exact" w:val="525"/>
        </w:trPr>
        <w:tc>
          <w:tcPr>
            <w:tcW w:w="5245" w:type="dxa"/>
            <w:shd w:val="clear" w:color="auto" w:fill="auto"/>
            <w:vAlign w:val="center"/>
          </w:tcPr>
          <w:p w14:paraId="662A8C3E" w14:textId="63A5F735"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2017-18 Indigenous Employment Measures</w:t>
            </w:r>
          </w:p>
        </w:tc>
        <w:tc>
          <w:tcPr>
            <w:tcW w:w="1420" w:type="dxa"/>
            <w:shd w:val="clear" w:color="auto" w:fill="auto"/>
            <w:vAlign w:val="center"/>
          </w:tcPr>
          <w:p w14:paraId="09530550" w14:textId="7067810A"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50FF78EC" w14:textId="38BF1EDA"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73CECBAD" w14:textId="6C62F4E1"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5F6892CC" w14:textId="1CB2E7A0"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$0.5</w:t>
            </w:r>
          </w:p>
        </w:tc>
      </w:tr>
      <w:tr w:rsidR="0056330F" w14:paraId="70EF3564" w14:textId="77777777" w:rsidTr="00212A04">
        <w:trPr>
          <w:trHeight w:hRule="exact" w:val="743"/>
        </w:trPr>
        <w:tc>
          <w:tcPr>
            <w:tcW w:w="5245" w:type="dxa"/>
            <w:shd w:val="clear" w:color="auto" w:fill="auto"/>
            <w:vAlign w:val="center"/>
          </w:tcPr>
          <w:p w14:paraId="64ACD8C8" w14:textId="02109E93"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 xml:space="preserve">Amending the </w:t>
            </w:r>
            <w:r w:rsidRPr="00C426D7">
              <w:rPr>
                <w:rFonts w:ascii="Arial" w:hAnsi="Arial" w:cs="Arial"/>
                <w:i/>
                <w:spacing w:val="-3"/>
                <w:sz w:val="18"/>
                <w:szCs w:val="18"/>
              </w:rPr>
              <w:t>Fair Work Act 2009</w:t>
            </w:r>
            <w:r>
              <w:rPr>
                <w:rFonts w:ascii="Arial" w:hAnsi="Arial" w:cs="Arial"/>
                <w:spacing w:val="-3"/>
                <w:sz w:val="18"/>
                <w:szCs w:val="18"/>
              </w:rPr>
              <w:t xml:space="preserve"> to Protect Vulnerable Workers – </w:t>
            </w:r>
            <w:r w:rsidRPr="00910F44">
              <w:rPr>
                <w:rFonts w:ascii="Arial" w:hAnsi="Arial" w:cs="Arial"/>
                <w:spacing w:val="-3"/>
                <w:sz w:val="18"/>
                <w:szCs w:val="18"/>
              </w:rPr>
              <w:t>Independent Review</w:t>
            </w:r>
          </w:p>
        </w:tc>
        <w:tc>
          <w:tcPr>
            <w:tcW w:w="1420" w:type="dxa"/>
            <w:shd w:val="clear" w:color="auto" w:fill="auto"/>
            <w:vAlign w:val="center"/>
          </w:tcPr>
          <w:p w14:paraId="56054BEB" w14:textId="7777777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243E595A" w14:textId="65AEC7D1" w:rsidR="0056330F" w:rsidRPr="00AD7705" w:rsidRDefault="0056330F" w:rsidP="0056330F">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shd w:val="clear" w:color="auto" w:fill="auto"/>
            <w:vAlign w:val="center"/>
          </w:tcPr>
          <w:p w14:paraId="06F6A984" w14:textId="7777777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3FD1DBEF" w14:textId="77777777"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$1.6</w:t>
            </w:r>
          </w:p>
        </w:tc>
      </w:tr>
      <w:tr w:rsidR="0056330F" w14:paraId="1E0529A0" w14:textId="77777777" w:rsidTr="00212A04">
        <w:trPr>
          <w:trHeight w:hRule="exact" w:val="743"/>
        </w:trPr>
        <w:tc>
          <w:tcPr>
            <w:tcW w:w="5245" w:type="dxa"/>
            <w:shd w:val="clear" w:color="auto" w:fill="auto"/>
            <w:vAlign w:val="center"/>
          </w:tcPr>
          <w:p w14:paraId="7362D058" w14:textId="1B590223" w:rsidR="0056330F" w:rsidRPr="0048018A"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EF78A9">
              <w:rPr>
                <w:rFonts w:ascii="Arial" w:hAnsi="Arial" w:cs="Arial"/>
                <w:spacing w:val="-3"/>
                <w:sz w:val="18"/>
                <w:szCs w:val="18"/>
              </w:rPr>
              <w:t>Amendments to Fair Work Legislation - TURC Response</w:t>
            </w:r>
            <w:r>
              <w:rPr>
                <w:rFonts w:ascii="Arial" w:hAnsi="Arial" w:cs="Arial"/>
                <w:spacing w:val="-3"/>
                <w:sz w:val="18"/>
                <w:szCs w:val="18"/>
              </w:rPr>
              <w:t xml:space="preserve"> – </w:t>
            </w:r>
            <w:r w:rsidRPr="00910F44">
              <w:rPr>
                <w:rFonts w:ascii="Arial" w:hAnsi="Arial" w:cs="Arial"/>
                <w:spacing w:val="-3"/>
                <w:sz w:val="18"/>
                <w:szCs w:val="18"/>
              </w:rPr>
              <w:t>Independent Review</w:t>
            </w:r>
          </w:p>
        </w:tc>
        <w:tc>
          <w:tcPr>
            <w:tcW w:w="1420" w:type="dxa"/>
            <w:shd w:val="clear" w:color="auto" w:fill="auto"/>
            <w:vAlign w:val="center"/>
          </w:tcPr>
          <w:p w14:paraId="30DFACD7" w14:textId="6EC584BC"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0FF68B1A" w14:textId="50011BF9" w:rsidR="0056330F" w:rsidRPr="00AD7705" w:rsidRDefault="0056330F" w:rsidP="0056330F">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shd w:val="clear" w:color="auto" w:fill="auto"/>
            <w:vAlign w:val="center"/>
          </w:tcPr>
          <w:p w14:paraId="00431381" w14:textId="5FB7F2A1"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284FF20A" w14:textId="2569EEE6"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$0.3</w:t>
            </w:r>
          </w:p>
        </w:tc>
      </w:tr>
      <w:tr w:rsidR="0056330F" w14:paraId="2B00AFDD" w14:textId="77777777" w:rsidTr="00212A04">
        <w:trPr>
          <w:trHeight w:hRule="exact" w:val="525"/>
        </w:trPr>
        <w:tc>
          <w:tcPr>
            <w:tcW w:w="5245" w:type="dxa"/>
            <w:shd w:val="clear" w:color="auto" w:fill="auto"/>
            <w:vAlign w:val="center"/>
          </w:tcPr>
          <w:p w14:paraId="47035A40" w14:textId="4655A9BA" w:rsidR="0056330F" w:rsidRPr="00CE2207"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48018A">
              <w:rPr>
                <w:rFonts w:ascii="Arial" w:hAnsi="Arial" w:cs="Arial"/>
                <w:spacing w:val="-3"/>
                <w:sz w:val="18"/>
                <w:szCs w:val="18"/>
              </w:rPr>
              <w:t xml:space="preserve">Seacare </w:t>
            </w:r>
            <w:r w:rsidRPr="00995C01">
              <w:rPr>
                <w:rFonts w:ascii="Arial" w:hAnsi="Arial" w:cs="Arial"/>
                <w:spacing w:val="-3"/>
                <w:sz w:val="18"/>
                <w:szCs w:val="18"/>
              </w:rPr>
              <w:t>Reforms</w:t>
            </w:r>
          </w:p>
        </w:tc>
        <w:tc>
          <w:tcPr>
            <w:tcW w:w="1420" w:type="dxa"/>
            <w:shd w:val="clear" w:color="auto" w:fill="auto"/>
            <w:vAlign w:val="center"/>
          </w:tcPr>
          <w:p w14:paraId="66AA2C4E" w14:textId="20DE787E" w:rsidR="0056330F" w:rsidRPr="00CE2207" w:rsidRDefault="0056330F" w:rsidP="0056330F">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Compliant</w:t>
            </w:r>
          </w:p>
        </w:tc>
        <w:tc>
          <w:tcPr>
            <w:tcW w:w="1105" w:type="dxa"/>
            <w:shd w:val="clear" w:color="auto" w:fill="auto"/>
            <w:vAlign w:val="center"/>
          </w:tcPr>
          <w:p w14:paraId="29728B1F" w14:textId="11C13CD6"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2A4FF57C" w14:textId="3D47A706"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58896BFD" w14:textId="00DF5D63" w:rsidR="0056330F" w:rsidRPr="00CE2207"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$0.1</w:t>
            </w:r>
          </w:p>
        </w:tc>
      </w:tr>
      <w:tr w:rsidR="0056330F" w14:paraId="6099015F" w14:textId="77777777" w:rsidTr="00212A04">
        <w:trPr>
          <w:trHeight w:hRule="exact" w:val="525"/>
        </w:trPr>
        <w:tc>
          <w:tcPr>
            <w:tcW w:w="5245" w:type="dxa"/>
            <w:shd w:val="clear" w:color="auto" w:fill="auto"/>
            <w:vAlign w:val="center"/>
          </w:tcPr>
          <w:p w14:paraId="28CA54F9" w14:textId="66446CC9"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680193">
              <w:rPr>
                <w:rFonts w:ascii="Arial" w:hAnsi="Arial" w:cs="Arial"/>
                <w:spacing w:val="-3"/>
                <w:sz w:val="18"/>
                <w:szCs w:val="18"/>
              </w:rPr>
              <w:t>Youth Employment Package</w:t>
            </w:r>
          </w:p>
        </w:tc>
        <w:tc>
          <w:tcPr>
            <w:tcW w:w="1420" w:type="dxa"/>
            <w:shd w:val="clear" w:color="auto" w:fill="auto"/>
            <w:vAlign w:val="center"/>
          </w:tcPr>
          <w:p w14:paraId="752AAF58" w14:textId="6A0E53BA"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0195A97A" w14:textId="42AEF850"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65934D03" w14:textId="4D78E490"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5EFE65EC" w14:textId="1B618D65"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-$3.7</w:t>
            </w:r>
          </w:p>
        </w:tc>
      </w:tr>
      <w:tr w:rsidR="0056330F" w:rsidRPr="0051060E" w14:paraId="041A6D0B" w14:textId="77777777" w:rsidTr="00212A04">
        <w:trPr>
          <w:trHeight w:hRule="exact" w:val="525"/>
        </w:trPr>
        <w:tc>
          <w:tcPr>
            <w:tcW w:w="5245" w:type="dxa"/>
            <w:shd w:val="clear" w:color="auto" w:fill="FDE9D9" w:themeFill="accent6" w:themeFillTint="33"/>
            <w:vAlign w:val="center"/>
          </w:tcPr>
          <w:p w14:paraId="7EFFC126" w14:textId="51F79768"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Foreign Affairs and Trade</w:t>
            </w:r>
          </w:p>
        </w:tc>
        <w:tc>
          <w:tcPr>
            <w:tcW w:w="1420" w:type="dxa"/>
            <w:shd w:val="clear" w:color="auto" w:fill="FDE9D9" w:themeFill="accent6" w:themeFillTint="33"/>
            <w:vAlign w:val="center"/>
          </w:tcPr>
          <w:p w14:paraId="34A1C591" w14:textId="32748FD4"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5" w:type="dxa"/>
            <w:shd w:val="clear" w:color="auto" w:fill="FDE9D9" w:themeFill="accent6" w:themeFillTint="33"/>
            <w:vAlign w:val="center"/>
          </w:tcPr>
          <w:p w14:paraId="3D2521C5" w14:textId="3B1B4301"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4" w:type="dxa"/>
            <w:shd w:val="clear" w:color="auto" w:fill="FDE9D9" w:themeFill="accent6" w:themeFillTint="33"/>
            <w:vAlign w:val="center"/>
          </w:tcPr>
          <w:p w14:paraId="548D5117" w14:textId="77777777" w:rsidR="0056330F" w:rsidRPr="0051060E" w:rsidRDefault="0056330F" w:rsidP="0056330F">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4C6CC6FB" w14:textId="1F336F88"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$0.0</w:t>
            </w:r>
          </w:p>
        </w:tc>
      </w:tr>
      <w:tr w:rsidR="0056330F" w14:paraId="3A46165C" w14:textId="77777777" w:rsidTr="00212A04">
        <w:trPr>
          <w:trHeight w:hRule="exact" w:val="741"/>
        </w:trPr>
        <w:tc>
          <w:tcPr>
            <w:tcW w:w="5245" w:type="dxa"/>
            <w:shd w:val="clear" w:color="auto" w:fill="auto"/>
            <w:vAlign w:val="center"/>
          </w:tcPr>
          <w:p w14:paraId="04D5FB05" w14:textId="12F9D937" w:rsidR="0056330F" w:rsidRPr="00CE2207"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5E6DD4">
              <w:rPr>
                <w:rFonts w:ascii="Arial" w:hAnsi="Arial" w:cs="Arial"/>
                <w:spacing w:val="-3"/>
                <w:sz w:val="18"/>
                <w:szCs w:val="18"/>
              </w:rPr>
              <w:t>Amending the Singapore Australia Free Trade Agreement</w:t>
            </w:r>
            <w:r>
              <w:rPr>
                <w:rFonts w:ascii="Arial" w:hAnsi="Arial" w:cs="Arial"/>
                <w:spacing w:val="-3"/>
                <w:sz w:val="18"/>
                <w:szCs w:val="18"/>
              </w:rPr>
              <w:t xml:space="preserve"> – </w:t>
            </w:r>
            <w:r w:rsidRPr="00910F44">
              <w:rPr>
                <w:rFonts w:ascii="Arial" w:hAnsi="Arial" w:cs="Arial"/>
                <w:spacing w:val="-3"/>
                <w:sz w:val="18"/>
                <w:szCs w:val="18"/>
              </w:rPr>
              <w:t>Independent Review</w:t>
            </w:r>
          </w:p>
        </w:tc>
        <w:tc>
          <w:tcPr>
            <w:tcW w:w="1420" w:type="dxa"/>
            <w:shd w:val="clear" w:color="auto" w:fill="auto"/>
            <w:vAlign w:val="center"/>
          </w:tcPr>
          <w:p w14:paraId="200B8EE3" w14:textId="0A6485B9" w:rsidR="0056330F" w:rsidRPr="00CE2207"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76756A69" w14:textId="0D6E8440" w:rsidR="0056330F" w:rsidRPr="00AD7705" w:rsidRDefault="0056330F" w:rsidP="0056330F">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shd w:val="clear" w:color="auto" w:fill="auto"/>
            <w:vAlign w:val="center"/>
          </w:tcPr>
          <w:p w14:paraId="11803715" w14:textId="77777777" w:rsidR="0056330F" w:rsidRPr="00CE2207" w:rsidRDefault="0056330F" w:rsidP="0056330F">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No</w:t>
            </w:r>
          </w:p>
        </w:tc>
        <w:tc>
          <w:tcPr>
            <w:tcW w:w="1191" w:type="dxa"/>
            <w:shd w:val="clear" w:color="auto" w:fill="auto"/>
            <w:vAlign w:val="center"/>
          </w:tcPr>
          <w:p w14:paraId="7ECDDA8C" w14:textId="75CC70E3" w:rsidR="0056330F" w:rsidRPr="00CE2207"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56330F" w:rsidRPr="0051060E" w14:paraId="0014C605" w14:textId="77777777" w:rsidTr="00212A04">
        <w:trPr>
          <w:trHeight w:hRule="exact" w:val="525"/>
        </w:trPr>
        <w:tc>
          <w:tcPr>
            <w:tcW w:w="5245" w:type="dxa"/>
            <w:shd w:val="clear" w:color="auto" w:fill="FDE9D9" w:themeFill="accent6" w:themeFillTint="33"/>
            <w:vAlign w:val="center"/>
          </w:tcPr>
          <w:p w14:paraId="0014C600" w14:textId="77777777"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Health</w:t>
            </w:r>
          </w:p>
        </w:tc>
        <w:tc>
          <w:tcPr>
            <w:tcW w:w="1420" w:type="dxa"/>
            <w:shd w:val="clear" w:color="auto" w:fill="FDE9D9" w:themeFill="accent6" w:themeFillTint="33"/>
            <w:vAlign w:val="center"/>
          </w:tcPr>
          <w:p w14:paraId="0014C601" w14:textId="58D4D575"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4/4</w:t>
            </w:r>
          </w:p>
        </w:tc>
        <w:tc>
          <w:tcPr>
            <w:tcW w:w="1105" w:type="dxa"/>
            <w:shd w:val="clear" w:color="auto" w:fill="FDE9D9" w:themeFill="accent6" w:themeFillTint="33"/>
            <w:vAlign w:val="center"/>
          </w:tcPr>
          <w:p w14:paraId="0014C602" w14:textId="7EFC39EC"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3/4</w:t>
            </w:r>
          </w:p>
        </w:tc>
        <w:tc>
          <w:tcPr>
            <w:tcW w:w="1104" w:type="dxa"/>
            <w:shd w:val="clear" w:color="auto" w:fill="FDE9D9" w:themeFill="accent6" w:themeFillTint="33"/>
            <w:vAlign w:val="center"/>
          </w:tcPr>
          <w:p w14:paraId="0014C603" w14:textId="77777777" w:rsidR="0056330F" w:rsidRPr="0051060E" w:rsidRDefault="0056330F" w:rsidP="0056330F">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0014C604" w14:textId="0EC9450B"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-$60.6</w:t>
            </w:r>
          </w:p>
        </w:tc>
      </w:tr>
      <w:tr w:rsidR="0056330F" w14:paraId="1848D4C2" w14:textId="77777777" w:rsidTr="00212A04">
        <w:trPr>
          <w:trHeight w:hRule="exact" w:val="510"/>
        </w:trPr>
        <w:tc>
          <w:tcPr>
            <w:tcW w:w="5245" w:type="dxa"/>
            <w:shd w:val="clear" w:color="auto" w:fill="auto"/>
            <w:vAlign w:val="center"/>
          </w:tcPr>
          <w:p w14:paraId="4263EA70" w14:textId="3FE6AC37"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Changes to My Health Record System</w:t>
            </w:r>
          </w:p>
        </w:tc>
        <w:tc>
          <w:tcPr>
            <w:tcW w:w="1420" w:type="dxa"/>
            <w:shd w:val="clear" w:color="auto" w:fill="auto"/>
            <w:vAlign w:val="center"/>
          </w:tcPr>
          <w:p w14:paraId="0E2596E5" w14:textId="0F699E1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531A7840" w14:textId="61E27F3E"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39841DC5" w14:textId="493851C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1C76E556" w14:textId="691E088B" w:rsidR="0056330F" w:rsidRPr="00766472" w:rsidRDefault="0056330F" w:rsidP="0056330F">
            <w:pPr>
              <w:pStyle w:val="TableParagraph"/>
              <w:kinsoku w:val="0"/>
              <w:overflowPunct w:val="0"/>
              <w:spacing w:before="54"/>
              <w:ind w:right="227"/>
              <w:jc w:val="right"/>
              <w:rPr>
                <w:rFonts w:ascii="Arial" w:hAnsi="Arial" w:cs="Arial"/>
                <w:spacing w:val="-3"/>
                <w:sz w:val="18"/>
                <w:szCs w:val="18"/>
              </w:rPr>
            </w:pPr>
            <w:r w:rsidRPr="00766472">
              <w:rPr>
                <w:rFonts w:ascii="Arial" w:hAnsi="Arial" w:cs="Arial"/>
                <w:spacing w:val="-3"/>
                <w:sz w:val="18"/>
                <w:szCs w:val="18"/>
              </w:rPr>
              <w:t>$3.1</w:t>
            </w:r>
          </w:p>
        </w:tc>
      </w:tr>
      <w:tr w:rsidR="0056330F" w14:paraId="0014C60B" w14:textId="77777777" w:rsidTr="00212A04">
        <w:trPr>
          <w:trHeight w:hRule="exact" w:val="510"/>
        </w:trPr>
        <w:tc>
          <w:tcPr>
            <w:tcW w:w="5245" w:type="dxa"/>
            <w:shd w:val="clear" w:color="auto" w:fill="auto"/>
            <w:vAlign w:val="center"/>
          </w:tcPr>
          <w:p w14:paraId="0014C606" w14:textId="77777777"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Clearer Labels for Medicines</w:t>
            </w:r>
          </w:p>
        </w:tc>
        <w:tc>
          <w:tcPr>
            <w:tcW w:w="1420" w:type="dxa"/>
            <w:shd w:val="clear" w:color="auto" w:fill="auto"/>
            <w:vAlign w:val="center"/>
          </w:tcPr>
          <w:p w14:paraId="0014C607" w14:textId="7777777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0014C608" w14:textId="7777777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0014C609" w14:textId="77777777"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0014C60A" w14:textId="77777777"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$1.1</w:t>
            </w:r>
          </w:p>
        </w:tc>
      </w:tr>
      <w:tr w:rsidR="0056330F" w14:paraId="54F34CDE" w14:textId="77777777" w:rsidTr="00212A04">
        <w:trPr>
          <w:trHeight w:hRule="exact" w:val="510"/>
        </w:trPr>
        <w:tc>
          <w:tcPr>
            <w:tcW w:w="5245" w:type="dxa"/>
            <w:shd w:val="clear" w:color="auto" w:fill="auto"/>
            <w:vAlign w:val="center"/>
          </w:tcPr>
          <w:p w14:paraId="20602CFA" w14:textId="4BF64330"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680193">
              <w:rPr>
                <w:rFonts w:ascii="Arial" w:hAnsi="Arial" w:cs="Arial"/>
                <w:spacing w:val="-3"/>
                <w:sz w:val="18"/>
                <w:szCs w:val="18"/>
              </w:rPr>
              <w:t>Codeine Re-scheduling</w:t>
            </w:r>
          </w:p>
        </w:tc>
        <w:tc>
          <w:tcPr>
            <w:tcW w:w="1420" w:type="dxa"/>
            <w:shd w:val="clear" w:color="auto" w:fill="auto"/>
            <w:vAlign w:val="center"/>
          </w:tcPr>
          <w:p w14:paraId="24AA43F8" w14:textId="417C7229"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32FE5012" w14:textId="46F359EE" w:rsidR="0056330F" w:rsidRDefault="0056330F" w:rsidP="0056330F">
            <w:pPr>
              <w:pStyle w:val="TableParagraph"/>
              <w:kinsoku w:val="0"/>
              <w:overflowPunct w:val="0"/>
              <w:spacing w:before="54"/>
              <w:jc w:val="center"/>
              <w:rPr>
                <w:rFonts w:ascii="Arial" w:hAnsi="Arial" w:cs="Arial"/>
                <w:spacing w:val="-3"/>
                <w:sz w:val="18"/>
                <w:szCs w:val="18"/>
              </w:rPr>
            </w:pPr>
            <w:r w:rsidRPr="00BA7893">
              <w:rPr>
                <w:rFonts w:ascii="Arial" w:hAnsi="Arial" w:cs="Arial"/>
                <w:spacing w:val="-3"/>
                <w:sz w:val="18"/>
                <w:szCs w:val="18"/>
              </w:rPr>
              <w:t>No</w:t>
            </w:r>
          </w:p>
        </w:tc>
        <w:tc>
          <w:tcPr>
            <w:tcW w:w="1104" w:type="dxa"/>
            <w:shd w:val="clear" w:color="auto" w:fill="auto"/>
            <w:vAlign w:val="center"/>
          </w:tcPr>
          <w:p w14:paraId="6152873F" w14:textId="00CDC838"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361B6B62" w14:textId="491B4BAC"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$10.2</w:t>
            </w:r>
          </w:p>
        </w:tc>
      </w:tr>
      <w:tr w:rsidR="0056330F" w14:paraId="70340A63" w14:textId="77777777" w:rsidTr="00212A04">
        <w:trPr>
          <w:trHeight w:hRule="exact" w:val="737"/>
        </w:trPr>
        <w:tc>
          <w:tcPr>
            <w:tcW w:w="5245" w:type="dxa"/>
            <w:shd w:val="clear" w:color="auto" w:fill="auto"/>
            <w:vAlign w:val="center"/>
          </w:tcPr>
          <w:p w14:paraId="4570D87A" w14:textId="3BB6FF68"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sidRPr="00EF78A9">
              <w:rPr>
                <w:rFonts w:ascii="Arial" w:hAnsi="Arial" w:cs="Arial"/>
                <w:spacing w:val="-3"/>
                <w:sz w:val="18"/>
                <w:szCs w:val="18"/>
              </w:rPr>
              <w:t>Government Response to the Reviews of Medicines and Medical Devices Regulation</w:t>
            </w:r>
            <w:r>
              <w:rPr>
                <w:rFonts w:ascii="Arial" w:hAnsi="Arial" w:cs="Arial"/>
                <w:spacing w:val="-3"/>
                <w:sz w:val="18"/>
                <w:szCs w:val="18"/>
              </w:rPr>
              <w:t xml:space="preserve"> – </w:t>
            </w:r>
            <w:r w:rsidRPr="00910F44">
              <w:rPr>
                <w:rFonts w:ascii="Arial" w:hAnsi="Arial" w:cs="Arial"/>
                <w:spacing w:val="-3"/>
                <w:sz w:val="18"/>
                <w:szCs w:val="18"/>
              </w:rPr>
              <w:t>Independent Review</w:t>
            </w:r>
          </w:p>
        </w:tc>
        <w:tc>
          <w:tcPr>
            <w:tcW w:w="1420" w:type="dxa"/>
            <w:shd w:val="clear" w:color="auto" w:fill="auto"/>
            <w:vAlign w:val="center"/>
          </w:tcPr>
          <w:p w14:paraId="152D9451" w14:textId="31BDCFD4"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109FB2A8" w14:textId="5288F2AD" w:rsidR="0056330F" w:rsidRPr="00AD7705" w:rsidRDefault="0056330F" w:rsidP="0056330F">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shd w:val="clear" w:color="auto" w:fill="auto"/>
            <w:vAlign w:val="center"/>
          </w:tcPr>
          <w:p w14:paraId="59959898" w14:textId="2DF2B4D0"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5B0BD695" w14:textId="053F0A49"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-$75.0</w:t>
            </w:r>
          </w:p>
        </w:tc>
      </w:tr>
      <w:tr w:rsidR="0056330F" w:rsidRPr="0051060E" w14:paraId="460B258C" w14:textId="77777777" w:rsidTr="00212A04">
        <w:trPr>
          <w:trHeight w:hRule="exact" w:val="525"/>
        </w:trPr>
        <w:tc>
          <w:tcPr>
            <w:tcW w:w="5245" w:type="dxa"/>
            <w:shd w:val="clear" w:color="auto" w:fill="FDE9D9" w:themeFill="accent6" w:themeFillTint="33"/>
            <w:vAlign w:val="center"/>
          </w:tcPr>
          <w:p w14:paraId="72BCBDB3" w14:textId="5F49498B"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Immigration and Border Protection</w:t>
            </w:r>
          </w:p>
        </w:tc>
        <w:tc>
          <w:tcPr>
            <w:tcW w:w="1420" w:type="dxa"/>
            <w:shd w:val="clear" w:color="auto" w:fill="FDE9D9" w:themeFill="accent6" w:themeFillTint="33"/>
            <w:vAlign w:val="center"/>
          </w:tcPr>
          <w:p w14:paraId="4DC67C87" w14:textId="1DCA38B6" w:rsidR="0056330F" w:rsidRPr="0051060E" w:rsidRDefault="0056330F" w:rsidP="0056330F">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2/2</w:t>
            </w:r>
          </w:p>
        </w:tc>
        <w:tc>
          <w:tcPr>
            <w:tcW w:w="1105" w:type="dxa"/>
            <w:shd w:val="clear" w:color="auto" w:fill="FDE9D9" w:themeFill="accent6" w:themeFillTint="33"/>
            <w:vAlign w:val="center"/>
          </w:tcPr>
          <w:p w14:paraId="52A434AA" w14:textId="5E4B3387" w:rsidR="0056330F" w:rsidRPr="0051060E" w:rsidRDefault="008D6419" w:rsidP="008D6419">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0</w:t>
            </w:r>
            <w:r w:rsidR="0056330F">
              <w:rPr>
                <w:rFonts w:ascii="Arial" w:hAnsi="Arial" w:cs="Arial"/>
                <w:b/>
                <w:spacing w:val="-3"/>
                <w:sz w:val="18"/>
                <w:szCs w:val="18"/>
              </w:rPr>
              <w:t>/2</w:t>
            </w:r>
          </w:p>
        </w:tc>
        <w:tc>
          <w:tcPr>
            <w:tcW w:w="1104" w:type="dxa"/>
            <w:shd w:val="clear" w:color="auto" w:fill="FDE9D9" w:themeFill="accent6" w:themeFillTint="33"/>
            <w:vAlign w:val="center"/>
          </w:tcPr>
          <w:p w14:paraId="00852DA3" w14:textId="77777777" w:rsidR="0056330F" w:rsidRPr="0051060E" w:rsidRDefault="0056330F" w:rsidP="0056330F">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10346B75" w14:textId="2310489C"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$44.2</w:t>
            </w:r>
          </w:p>
        </w:tc>
      </w:tr>
      <w:tr w:rsidR="0056330F" w14:paraId="61C36E98" w14:textId="77777777" w:rsidTr="00212A04">
        <w:trPr>
          <w:trHeight w:hRule="exact" w:val="510"/>
        </w:trPr>
        <w:tc>
          <w:tcPr>
            <w:tcW w:w="5245" w:type="dxa"/>
            <w:shd w:val="clear" w:color="auto" w:fill="auto"/>
            <w:vAlign w:val="center"/>
          </w:tcPr>
          <w:p w14:paraId="2DBC0057" w14:textId="1DA63781" w:rsidR="0056330F" w:rsidRPr="00CE2207" w:rsidRDefault="0056330F" w:rsidP="0056330F">
            <w:pPr>
              <w:pStyle w:val="TableParagraph"/>
              <w:kinsoku w:val="0"/>
              <w:overflowPunct w:val="0"/>
              <w:spacing w:before="54" w:line="254" w:lineRule="auto"/>
              <w:ind w:left="170" w:right="102"/>
              <w:rPr>
                <w:rFonts w:ascii="Arial" w:hAnsi="Arial" w:cs="Arial"/>
                <w:b/>
                <w:spacing w:val="-3"/>
                <w:sz w:val="18"/>
                <w:szCs w:val="18"/>
              </w:rPr>
            </w:pPr>
            <w:r>
              <w:rPr>
                <w:rFonts w:ascii="Arial" w:hAnsi="Arial" w:cs="Arial"/>
                <w:spacing w:val="-3"/>
                <w:sz w:val="18"/>
                <w:szCs w:val="18"/>
              </w:rPr>
              <w:t>Abolition and Replacement of 457 Visa</w:t>
            </w:r>
          </w:p>
        </w:tc>
        <w:tc>
          <w:tcPr>
            <w:tcW w:w="1420" w:type="dxa"/>
            <w:shd w:val="clear" w:color="auto" w:fill="auto"/>
            <w:vAlign w:val="center"/>
          </w:tcPr>
          <w:p w14:paraId="2065DAAE" w14:textId="48A439B1" w:rsidR="0056330F" w:rsidRPr="00BB54D1" w:rsidRDefault="0056330F" w:rsidP="0056330F">
            <w:pPr>
              <w:pStyle w:val="TableParagraph"/>
              <w:kinsoku w:val="0"/>
              <w:overflowPunct w:val="0"/>
              <w:spacing w:before="54"/>
              <w:jc w:val="center"/>
              <w:rPr>
                <w:rFonts w:ascii="Arial" w:hAnsi="Arial" w:cs="Arial"/>
                <w:b/>
                <w:spacing w:val="-3"/>
                <w:sz w:val="18"/>
                <w:szCs w:val="18"/>
              </w:rPr>
            </w:pPr>
            <w:r>
              <w:rPr>
                <w:rFonts w:ascii="Arial" w:hAnsi="Arial" w:cs="Arial"/>
                <w:spacing w:val="-3"/>
                <w:sz w:val="18"/>
                <w:szCs w:val="18"/>
              </w:rPr>
              <w:t>Compliant</w:t>
            </w:r>
          </w:p>
        </w:tc>
        <w:tc>
          <w:tcPr>
            <w:tcW w:w="1105" w:type="dxa"/>
            <w:shd w:val="clear" w:color="auto" w:fill="auto"/>
            <w:vAlign w:val="center"/>
          </w:tcPr>
          <w:p w14:paraId="7E830D37" w14:textId="3D17C69B" w:rsidR="0056330F" w:rsidRPr="00BB54D1" w:rsidRDefault="0056330F" w:rsidP="0056330F">
            <w:pPr>
              <w:pStyle w:val="TableParagraph"/>
              <w:kinsoku w:val="0"/>
              <w:overflowPunct w:val="0"/>
              <w:spacing w:before="54"/>
              <w:jc w:val="center"/>
              <w:rPr>
                <w:rFonts w:ascii="Arial" w:hAnsi="Arial" w:cs="Arial"/>
                <w:b/>
                <w:spacing w:val="-3"/>
                <w:sz w:val="18"/>
                <w:szCs w:val="18"/>
              </w:rPr>
            </w:pPr>
            <w:r w:rsidRPr="00BA7893">
              <w:rPr>
                <w:rFonts w:ascii="Arial" w:hAnsi="Arial" w:cs="Arial"/>
                <w:spacing w:val="-3"/>
                <w:sz w:val="18"/>
                <w:szCs w:val="18"/>
              </w:rPr>
              <w:t>No</w:t>
            </w:r>
          </w:p>
        </w:tc>
        <w:tc>
          <w:tcPr>
            <w:tcW w:w="1104" w:type="dxa"/>
            <w:shd w:val="clear" w:color="auto" w:fill="auto"/>
            <w:vAlign w:val="center"/>
          </w:tcPr>
          <w:p w14:paraId="049EE62E" w14:textId="1D35E84E" w:rsidR="0056330F" w:rsidRPr="00BB54D1" w:rsidRDefault="0056330F" w:rsidP="0056330F">
            <w:pPr>
              <w:pStyle w:val="TableParagraph"/>
              <w:kinsoku w:val="0"/>
              <w:overflowPunct w:val="0"/>
              <w:spacing w:before="54"/>
              <w:jc w:val="center"/>
              <w:rPr>
                <w:rFonts w:ascii="Arial" w:hAnsi="Arial" w:cs="Arial"/>
                <w:b/>
                <w:spacing w:val="-3"/>
                <w:sz w:val="18"/>
                <w:szCs w:val="18"/>
              </w:rPr>
            </w:pPr>
            <w:r>
              <w:rPr>
                <w:rFonts w:ascii="Arial" w:hAnsi="Arial" w:cs="Arial"/>
                <w:spacing w:val="-3"/>
                <w:sz w:val="18"/>
                <w:szCs w:val="18"/>
              </w:rPr>
              <w:t>No</w:t>
            </w:r>
          </w:p>
        </w:tc>
        <w:tc>
          <w:tcPr>
            <w:tcW w:w="1191" w:type="dxa"/>
            <w:shd w:val="clear" w:color="auto" w:fill="auto"/>
            <w:vAlign w:val="center"/>
          </w:tcPr>
          <w:p w14:paraId="5EF1151A" w14:textId="0BDCA533" w:rsidR="0056330F" w:rsidRPr="00BB54D1" w:rsidRDefault="0056330F" w:rsidP="0056330F">
            <w:pPr>
              <w:pStyle w:val="TableParagraph"/>
              <w:kinsoku w:val="0"/>
              <w:overflowPunct w:val="0"/>
              <w:spacing w:before="54"/>
              <w:ind w:right="227"/>
              <w:jc w:val="right"/>
              <w:rPr>
                <w:rFonts w:ascii="Arial" w:hAnsi="Arial" w:cs="Arial"/>
                <w:b/>
                <w:spacing w:val="-3"/>
                <w:sz w:val="18"/>
                <w:szCs w:val="18"/>
              </w:rPr>
            </w:pPr>
            <w:r>
              <w:rPr>
                <w:rFonts w:ascii="Arial" w:hAnsi="Arial" w:cs="Arial"/>
                <w:spacing w:val="-3"/>
                <w:sz w:val="18"/>
                <w:szCs w:val="18"/>
              </w:rPr>
              <w:t>-$1.2</w:t>
            </w:r>
          </w:p>
        </w:tc>
      </w:tr>
      <w:tr w:rsidR="0056330F" w:rsidRPr="00DB7A09" w14:paraId="3BDA3470" w14:textId="77777777" w:rsidTr="00212A04">
        <w:trPr>
          <w:trHeight w:hRule="exact" w:val="737"/>
        </w:trPr>
        <w:tc>
          <w:tcPr>
            <w:tcW w:w="5245" w:type="dxa"/>
            <w:shd w:val="clear" w:color="auto" w:fill="auto"/>
            <w:vAlign w:val="center"/>
          </w:tcPr>
          <w:p w14:paraId="613AF5A8" w14:textId="19F19C07" w:rsidR="0056330F" w:rsidRPr="005C6972" w:rsidRDefault="0056330F" w:rsidP="0056330F">
            <w:pPr>
              <w:pStyle w:val="TableParagraph"/>
              <w:kinsoku w:val="0"/>
              <w:overflowPunct w:val="0"/>
              <w:spacing w:before="54" w:line="254" w:lineRule="auto"/>
              <w:ind w:left="170" w:right="102"/>
              <w:rPr>
                <w:rFonts w:ascii="Arial" w:hAnsi="Arial" w:cs="Arial"/>
                <w:color w:val="000000" w:themeColor="text1"/>
                <w:spacing w:val="-3"/>
                <w:sz w:val="18"/>
                <w:szCs w:val="18"/>
                <w:highlight w:val="yellow"/>
              </w:rPr>
            </w:pPr>
            <w:r w:rsidRPr="00EF78A9">
              <w:rPr>
                <w:rFonts w:ascii="Arial" w:hAnsi="Arial" w:cs="Arial"/>
                <w:color w:val="000000" w:themeColor="text1"/>
                <w:spacing w:val="-3"/>
                <w:sz w:val="18"/>
                <w:szCs w:val="18"/>
              </w:rPr>
              <w:t xml:space="preserve">Strengthening the Requirements for Australian Citizenship – </w:t>
            </w:r>
            <w:r w:rsidRPr="00910F44">
              <w:rPr>
                <w:rFonts w:ascii="Arial" w:hAnsi="Arial" w:cs="Arial"/>
                <w:color w:val="000000" w:themeColor="text1"/>
                <w:spacing w:val="-3"/>
                <w:sz w:val="18"/>
                <w:szCs w:val="18"/>
              </w:rPr>
              <w:t>Independent Review</w:t>
            </w:r>
          </w:p>
        </w:tc>
        <w:tc>
          <w:tcPr>
            <w:tcW w:w="1420" w:type="dxa"/>
            <w:shd w:val="clear" w:color="auto" w:fill="auto"/>
            <w:vAlign w:val="center"/>
          </w:tcPr>
          <w:p w14:paraId="2DEF1535" w14:textId="3D1FA139" w:rsidR="0056330F" w:rsidRPr="00EF78A9" w:rsidRDefault="0056330F" w:rsidP="0056330F">
            <w:pPr>
              <w:pStyle w:val="TableParagraph"/>
              <w:kinsoku w:val="0"/>
              <w:overflowPunct w:val="0"/>
              <w:spacing w:before="54"/>
              <w:jc w:val="center"/>
              <w:rPr>
                <w:rFonts w:ascii="Arial" w:hAnsi="Arial" w:cs="Arial"/>
                <w:color w:val="000000" w:themeColor="text1"/>
                <w:spacing w:val="-3"/>
                <w:sz w:val="18"/>
                <w:szCs w:val="18"/>
              </w:rPr>
            </w:pPr>
            <w:r w:rsidRPr="00EF78A9">
              <w:rPr>
                <w:rFonts w:ascii="Arial" w:hAnsi="Arial" w:cs="Arial"/>
                <w:color w:val="000000" w:themeColor="text1"/>
                <w:spacing w:val="-3"/>
                <w:sz w:val="18"/>
                <w:szCs w:val="18"/>
              </w:rPr>
              <w:t>Compliant</w:t>
            </w:r>
          </w:p>
        </w:tc>
        <w:tc>
          <w:tcPr>
            <w:tcW w:w="1105" w:type="dxa"/>
            <w:shd w:val="clear" w:color="auto" w:fill="auto"/>
            <w:vAlign w:val="center"/>
          </w:tcPr>
          <w:p w14:paraId="480D70AA" w14:textId="547D453A" w:rsidR="0056330F" w:rsidRPr="00AD7705" w:rsidRDefault="0056330F" w:rsidP="0056330F">
            <w:pPr>
              <w:pStyle w:val="TableParagraph"/>
              <w:kinsoku w:val="0"/>
              <w:overflowPunct w:val="0"/>
              <w:spacing w:before="54"/>
              <w:jc w:val="center"/>
              <w:rPr>
                <w:rFonts w:ascii="Arial" w:hAnsi="Arial" w:cs="Arial"/>
                <w:color w:val="000000" w:themeColor="text1"/>
                <w:spacing w:val="-3"/>
                <w:sz w:val="18"/>
                <w:szCs w:val="18"/>
                <w:vertAlign w:val="superscript"/>
              </w:rPr>
            </w:pPr>
            <w:r w:rsidRPr="00EF78A9">
              <w:rPr>
                <w:rFonts w:ascii="Arial" w:hAnsi="Arial" w:cs="Arial"/>
                <w:color w:val="000000" w:themeColor="text1"/>
                <w:spacing w:val="-3"/>
                <w:sz w:val="18"/>
                <w:szCs w:val="18"/>
              </w:rPr>
              <w:t>No</w:t>
            </w:r>
          </w:p>
        </w:tc>
        <w:tc>
          <w:tcPr>
            <w:tcW w:w="1104" w:type="dxa"/>
            <w:shd w:val="clear" w:color="auto" w:fill="auto"/>
            <w:vAlign w:val="center"/>
          </w:tcPr>
          <w:p w14:paraId="46A7FE80" w14:textId="688B1D6D" w:rsidR="0056330F" w:rsidRPr="00EF78A9" w:rsidRDefault="0056330F" w:rsidP="0056330F">
            <w:pPr>
              <w:pStyle w:val="TableParagraph"/>
              <w:kinsoku w:val="0"/>
              <w:overflowPunct w:val="0"/>
              <w:spacing w:before="54"/>
              <w:jc w:val="center"/>
              <w:rPr>
                <w:rFonts w:ascii="Arial" w:hAnsi="Arial" w:cs="Arial"/>
                <w:color w:val="000000" w:themeColor="text1"/>
                <w:spacing w:val="-3"/>
                <w:sz w:val="18"/>
                <w:szCs w:val="18"/>
              </w:rPr>
            </w:pPr>
            <w:r w:rsidRPr="00EF78A9">
              <w:rPr>
                <w:rFonts w:ascii="Arial" w:hAnsi="Arial" w:cs="Arial"/>
                <w:color w:val="000000" w:themeColor="text1"/>
                <w:spacing w:val="-3"/>
                <w:sz w:val="18"/>
                <w:szCs w:val="18"/>
              </w:rPr>
              <w:t>No</w:t>
            </w:r>
          </w:p>
        </w:tc>
        <w:tc>
          <w:tcPr>
            <w:tcW w:w="1191" w:type="dxa"/>
            <w:shd w:val="clear" w:color="auto" w:fill="auto"/>
            <w:vAlign w:val="center"/>
          </w:tcPr>
          <w:p w14:paraId="35DB5F0D" w14:textId="3BF4D5A9" w:rsidR="0056330F" w:rsidRPr="00DB7A09" w:rsidRDefault="0056330F" w:rsidP="0056330F">
            <w:pPr>
              <w:pStyle w:val="TableParagraph"/>
              <w:kinsoku w:val="0"/>
              <w:overflowPunct w:val="0"/>
              <w:spacing w:before="54"/>
              <w:ind w:right="227"/>
              <w:jc w:val="right"/>
              <w:rPr>
                <w:rFonts w:ascii="Arial" w:hAnsi="Arial" w:cs="Arial"/>
                <w:color w:val="000000" w:themeColor="text1"/>
                <w:spacing w:val="-3"/>
                <w:sz w:val="18"/>
                <w:szCs w:val="18"/>
              </w:rPr>
            </w:pPr>
            <w:r w:rsidRPr="00DB7A09">
              <w:rPr>
                <w:rFonts w:ascii="Arial" w:hAnsi="Arial" w:cs="Arial"/>
                <w:color w:val="000000" w:themeColor="text1"/>
                <w:spacing w:val="-3"/>
                <w:sz w:val="18"/>
                <w:szCs w:val="18"/>
              </w:rPr>
              <w:t>$45.4</w:t>
            </w:r>
          </w:p>
        </w:tc>
      </w:tr>
      <w:tr w:rsidR="0056330F" w:rsidRPr="0051060E" w14:paraId="12205BC8" w14:textId="77777777" w:rsidTr="00212A04">
        <w:trPr>
          <w:trHeight w:hRule="exact" w:val="525"/>
        </w:trPr>
        <w:tc>
          <w:tcPr>
            <w:tcW w:w="5245" w:type="dxa"/>
            <w:shd w:val="clear" w:color="auto" w:fill="FDE9D9" w:themeFill="accent6" w:themeFillTint="33"/>
            <w:vAlign w:val="center"/>
          </w:tcPr>
          <w:p w14:paraId="48EAAB52" w14:textId="2CCEE828"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sidRPr="00FC2410">
              <w:rPr>
                <w:rFonts w:ascii="Arial" w:hAnsi="Arial" w:cs="Arial"/>
                <w:b/>
                <w:spacing w:val="-3"/>
                <w:sz w:val="18"/>
                <w:szCs w:val="18"/>
              </w:rPr>
              <w:t xml:space="preserve">Department of Industry, </w:t>
            </w:r>
            <w:r>
              <w:rPr>
                <w:rFonts w:ascii="Arial" w:hAnsi="Arial" w:cs="Arial"/>
                <w:b/>
                <w:spacing w:val="-3"/>
                <w:sz w:val="18"/>
                <w:szCs w:val="18"/>
              </w:rPr>
              <w:t>I</w:t>
            </w:r>
            <w:r w:rsidRPr="00FC2410">
              <w:rPr>
                <w:rFonts w:ascii="Arial" w:hAnsi="Arial" w:cs="Arial"/>
                <w:b/>
                <w:spacing w:val="-3"/>
                <w:sz w:val="18"/>
                <w:szCs w:val="18"/>
              </w:rPr>
              <w:t xml:space="preserve">nnovation and </w:t>
            </w:r>
            <w:r>
              <w:rPr>
                <w:rFonts w:ascii="Arial" w:hAnsi="Arial" w:cs="Arial"/>
                <w:b/>
                <w:spacing w:val="-3"/>
                <w:sz w:val="18"/>
                <w:szCs w:val="18"/>
              </w:rPr>
              <w:t>S</w:t>
            </w:r>
            <w:r w:rsidRPr="00FC2410">
              <w:rPr>
                <w:rFonts w:ascii="Arial" w:hAnsi="Arial" w:cs="Arial"/>
                <w:b/>
                <w:spacing w:val="-3"/>
                <w:sz w:val="18"/>
                <w:szCs w:val="18"/>
              </w:rPr>
              <w:t>cience</w:t>
            </w:r>
          </w:p>
        </w:tc>
        <w:tc>
          <w:tcPr>
            <w:tcW w:w="1420" w:type="dxa"/>
            <w:shd w:val="clear" w:color="auto" w:fill="FDE9D9" w:themeFill="accent6" w:themeFillTint="33"/>
            <w:vAlign w:val="center"/>
          </w:tcPr>
          <w:p w14:paraId="6DBB4C84" w14:textId="18AD1FB3"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FC2410">
              <w:rPr>
                <w:rFonts w:ascii="Arial" w:hAnsi="Arial" w:cs="Arial"/>
                <w:b/>
                <w:spacing w:val="-3"/>
                <w:sz w:val="18"/>
                <w:szCs w:val="18"/>
              </w:rPr>
              <w:t>1/1</w:t>
            </w:r>
          </w:p>
        </w:tc>
        <w:tc>
          <w:tcPr>
            <w:tcW w:w="1105" w:type="dxa"/>
            <w:shd w:val="clear" w:color="auto" w:fill="FDE9D9" w:themeFill="accent6" w:themeFillTint="33"/>
            <w:vAlign w:val="center"/>
          </w:tcPr>
          <w:p w14:paraId="45735B17" w14:textId="44A5CF59"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FC2410">
              <w:rPr>
                <w:rFonts w:ascii="Arial" w:hAnsi="Arial" w:cs="Arial"/>
                <w:b/>
                <w:spacing w:val="-3"/>
                <w:sz w:val="18"/>
                <w:szCs w:val="18"/>
              </w:rPr>
              <w:t>1/1</w:t>
            </w:r>
          </w:p>
        </w:tc>
        <w:tc>
          <w:tcPr>
            <w:tcW w:w="1104" w:type="dxa"/>
            <w:shd w:val="clear" w:color="auto" w:fill="FDE9D9" w:themeFill="accent6" w:themeFillTint="33"/>
            <w:vAlign w:val="center"/>
          </w:tcPr>
          <w:p w14:paraId="757A5400" w14:textId="77777777" w:rsidR="0056330F" w:rsidRPr="0051060E" w:rsidRDefault="0056330F" w:rsidP="0056330F">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70F56B40" w14:textId="28106173"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sidRPr="00FC2410">
              <w:rPr>
                <w:rFonts w:ascii="Arial" w:hAnsi="Arial" w:cs="Arial"/>
                <w:b/>
                <w:spacing w:val="-3"/>
                <w:sz w:val="18"/>
                <w:szCs w:val="18"/>
              </w:rPr>
              <w:t>$0.2</w:t>
            </w:r>
          </w:p>
        </w:tc>
      </w:tr>
      <w:tr w:rsidR="0056330F" w:rsidRPr="0051060E" w14:paraId="2CFA1061" w14:textId="77777777" w:rsidTr="00212A04">
        <w:trPr>
          <w:trHeight w:hRule="exact" w:val="510"/>
        </w:trPr>
        <w:tc>
          <w:tcPr>
            <w:tcW w:w="5245" w:type="dxa"/>
            <w:shd w:val="clear" w:color="auto" w:fill="auto"/>
            <w:vAlign w:val="center"/>
          </w:tcPr>
          <w:p w14:paraId="6C0DD0FB" w14:textId="177743A2"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Pr>
                <w:rFonts w:ascii="Arial" w:hAnsi="Arial" w:cs="Arial"/>
                <w:spacing w:val="-3"/>
                <w:sz w:val="18"/>
                <w:szCs w:val="18"/>
              </w:rPr>
              <w:t>Australian Domestic Gas Security Mechanism</w:t>
            </w:r>
          </w:p>
        </w:tc>
        <w:tc>
          <w:tcPr>
            <w:tcW w:w="1420" w:type="dxa"/>
            <w:shd w:val="clear" w:color="auto" w:fill="auto"/>
            <w:vAlign w:val="center"/>
          </w:tcPr>
          <w:p w14:paraId="6917212C" w14:textId="556A62EF" w:rsidR="0056330F" w:rsidRPr="0051060E" w:rsidRDefault="0056330F" w:rsidP="0056330F">
            <w:pPr>
              <w:pStyle w:val="TableParagraph"/>
              <w:kinsoku w:val="0"/>
              <w:overflowPunct w:val="0"/>
              <w:spacing w:before="54"/>
              <w:jc w:val="center"/>
              <w:rPr>
                <w:rFonts w:ascii="Arial" w:hAnsi="Arial" w:cs="Arial"/>
                <w:b/>
                <w:spacing w:val="-3"/>
                <w:sz w:val="18"/>
                <w:szCs w:val="18"/>
              </w:rPr>
            </w:pPr>
            <w:r>
              <w:rPr>
                <w:rFonts w:ascii="Arial" w:hAnsi="Arial" w:cs="Arial"/>
                <w:spacing w:val="-3"/>
                <w:sz w:val="18"/>
                <w:szCs w:val="18"/>
              </w:rPr>
              <w:t>Compliant</w:t>
            </w:r>
          </w:p>
        </w:tc>
        <w:tc>
          <w:tcPr>
            <w:tcW w:w="1105" w:type="dxa"/>
            <w:shd w:val="clear" w:color="auto" w:fill="auto"/>
            <w:vAlign w:val="center"/>
          </w:tcPr>
          <w:p w14:paraId="376075B8" w14:textId="6D6256CB" w:rsidR="0056330F" w:rsidRPr="0051060E" w:rsidRDefault="0056330F" w:rsidP="0056330F">
            <w:pPr>
              <w:pStyle w:val="TableParagraph"/>
              <w:kinsoku w:val="0"/>
              <w:overflowPunct w:val="0"/>
              <w:spacing w:before="54"/>
              <w:jc w:val="center"/>
              <w:rPr>
                <w:rFonts w:ascii="Arial" w:hAnsi="Arial" w:cs="Arial"/>
                <w:b/>
                <w:spacing w:val="-3"/>
                <w:sz w:val="18"/>
                <w:szCs w:val="18"/>
              </w:rPr>
            </w:pPr>
            <w:r>
              <w:rPr>
                <w:rFonts w:ascii="Arial" w:hAnsi="Arial" w:cs="Arial"/>
                <w:spacing w:val="-3"/>
                <w:sz w:val="18"/>
                <w:szCs w:val="18"/>
              </w:rPr>
              <w:t>Yes</w:t>
            </w:r>
          </w:p>
        </w:tc>
        <w:tc>
          <w:tcPr>
            <w:tcW w:w="1104" w:type="dxa"/>
            <w:shd w:val="clear" w:color="auto" w:fill="auto"/>
            <w:vAlign w:val="center"/>
          </w:tcPr>
          <w:p w14:paraId="0A90DA6E" w14:textId="70A8A021" w:rsidR="0056330F" w:rsidRPr="0051060E" w:rsidRDefault="0056330F" w:rsidP="0056330F">
            <w:pPr>
              <w:pStyle w:val="TableParagraph"/>
              <w:kinsoku w:val="0"/>
              <w:overflowPunct w:val="0"/>
              <w:spacing w:before="54"/>
              <w:jc w:val="center"/>
              <w:rPr>
                <w:rFonts w:ascii="Arial" w:hAnsi="Arial" w:cs="Arial"/>
                <w:b/>
                <w:spacing w:val="-3"/>
                <w:sz w:val="18"/>
                <w:szCs w:val="18"/>
              </w:rPr>
            </w:pPr>
            <w:r>
              <w:rPr>
                <w:rFonts w:ascii="Arial" w:hAnsi="Arial" w:cs="Arial"/>
                <w:spacing w:val="-3"/>
                <w:sz w:val="18"/>
                <w:szCs w:val="18"/>
              </w:rPr>
              <w:t>No</w:t>
            </w:r>
          </w:p>
        </w:tc>
        <w:tc>
          <w:tcPr>
            <w:tcW w:w="1191" w:type="dxa"/>
            <w:shd w:val="clear" w:color="auto" w:fill="auto"/>
            <w:vAlign w:val="center"/>
          </w:tcPr>
          <w:p w14:paraId="7218657B" w14:textId="101411E5"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Pr>
                <w:rFonts w:ascii="Arial" w:hAnsi="Arial" w:cs="Arial"/>
                <w:spacing w:val="-3"/>
                <w:sz w:val="18"/>
                <w:szCs w:val="18"/>
              </w:rPr>
              <w:t>$0.2</w:t>
            </w:r>
          </w:p>
        </w:tc>
      </w:tr>
      <w:tr w:rsidR="0056330F" w:rsidRPr="0051060E" w14:paraId="4AF1E260" w14:textId="77777777" w:rsidTr="00212A04">
        <w:trPr>
          <w:trHeight w:hRule="exact" w:val="525"/>
        </w:trPr>
        <w:tc>
          <w:tcPr>
            <w:tcW w:w="5245" w:type="dxa"/>
            <w:shd w:val="clear" w:color="auto" w:fill="FDE9D9" w:themeFill="accent6" w:themeFillTint="33"/>
            <w:vAlign w:val="center"/>
          </w:tcPr>
          <w:p w14:paraId="79DFCBA2" w14:textId="328B4CAA" w:rsidR="0056330F" w:rsidRPr="0051060E" w:rsidRDefault="0056330F" w:rsidP="0056330F">
            <w:pPr>
              <w:pStyle w:val="TableParagraph"/>
              <w:kinsoku w:val="0"/>
              <w:overflowPunct w:val="0"/>
              <w:spacing w:before="54" w:line="254" w:lineRule="auto"/>
              <w:ind w:left="170" w:right="102"/>
              <w:rPr>
                <w:rFonts w:ascii="Arial" w:hAnsi="Arial" w:cs="Arial"/>
                <w:b/>
                <w:spacing w:val="-3"/>
                <w:sz w:val="18"/>
                <w:szCs w:val="18"/>
              </w:rPr>
            </w:pPr>
            <w:r w:rsidRPr="0051060E">
              <w:rPr>
                <w:rFonts w:ascii="Arial" w:hAnsi="Arial" w:cs="Arial"/>
                <w:b/>
                <w:spacing w:val="-3"/>
                <w:sz w:val="18"/>
                <w:szCs w:val="18"/>
              </w:rPr>
              <w:t>Department of Infrastructure and Regional Development</w:t>
            </w:r>
          </w:p>
        </w:tc>
        <w:tc>
          <w:tcPr>
            <w:tcW w:w="1420" w:type="dxa"/>
            <w:shd w:val="clear" w:color="auto" w:fill="FDE9D9" w:themeFill="accent6" w:themeFillTint="33"/>
            <w:vAlign w:val="center"/>
          </w:tcPr>
          <w:p w14:paraId="19940AC7" w14:textId="5F55FADC"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5" w:type="dxa"/>
            <w:shd w:val="clear" w:color="auto" w:fill="FDE9D9" w:themeFill="accent6" w:themeFillTint="33"/>
            <w:vAlign w:val="center"/>
          </w:tcPr>
          <w:p w14:paraId="5F6E309C" w14:textId="260A11EC" w:rsidR="0056330F" w:rsidRPr="0051060E" w:rsidRDefault="0056330F" w:rsidP="0056330F">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4" w:type="dxa"/>
            <w:shd w:val="clear" w:color="auto" w:fill="FDE9D9" w:themeFill="accent6" w:themeFillTint="33"/>
            <w:vAlign w:val="center"/>
          </w:tcPr>
          <w:p w14:paraId="214BB2FB" w14:textId="77777777" w:rsidR="0056330F" w:rsidRPr="0051060E" w:rsidRDefault="0056330F" w:rsidP="0056330F">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701E06A5" w14:textId="1C261C88" w:rsidR="0056330F" w:rsidRPr="0051060E" w:rsidRDefault="0056330F" w:rsidP="0056330F">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$0.5</w:t>
            </w:r>
          </w:p>
        </w:tc>
      </w:tr>
      <w:tr w:rsidR="0056330F" w14:paraId="34E32132" w14:textId="77777777" w:rsidTr="00212A04">
        <w:trPr>
          <w:trHeight w:hRule="exact" w:val="510"/>
        </w:trPr>
        <w:tc>
          <w:tcPr>
            <w:tcW w:w="5245" w:type="dxa"/>
            <w:shd w:val="clear" w:color="auto" w:fill="auto"/>
            <w:vAlign w:val="center"/>
          </w:tcPr>
          <w:p w14:paraId="3CE1E6BB" w14:textId="011BE042" w:rsidR="0056330F" w:rsidRDefault="0056330F" w:rsidP="0056330F">
            <w:pPr>
              <w:pStyle w:val="TableParagraph"/>
              <w:kinsoku w:val="0"/>
              <w:overflowPunct w:val="0"/>
              <w:spacing w:before="54" w:line="254" w:lineRule="auto"/>
              <w:ind w:left="170" w:right="102"/>
              <w:rPr>
                <w:rFonts w:ascii="Arial" w:hAnsi="Arial" w:cs="Arial"/>
                <w:spacing w:val="-3"/>
                <w:sz w:val="18"/>
                <w:szCs w:val="18"/>
              </w:rPr>
            </w:pPr>
            <w:r>
              <w:rPr>
                <w:rFonts w:ascii="Arial" w:hAnsi="Arial" w:cs="Arial"/>
                <w:spacing w:val="-3"/>
                <w:sz w:val="18"/>
                <w:szCs w:val="18"/>
              </w:rPr>
              <w:t>Enhancing US-Bound Air Cargo Security</w:t>
            </w:r>
          </w:p>
        </w:tc>
        <w:tc>
          <w:tcPr>
            <w:tcW w:w="1420" w:type="dxa"/>
            <w:shd w:val="clear" w:color="auto" w:fill="auto"/>
            <w:vAlign w:val="center"/>
          </w:tcPr>
          <w:p w14:paraId="415D67DB" w14:textId="60956816"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auto"/>
            <w:vAlign w:val="center"/>
          </w:tcPr>
          <w:p w14:paraId="376600D2" w14:textId="14A83799"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auto"/>
            <w:vAlign w:val="center"/>
          </w:tcPr>
          <w:p w14:paraId="5F3A3DF9" w14:textId="353B1E9A" w:rsidR="0056330F" w:rsidRDefault="0056330F" w:rsidP="0056330F">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auto"/>
            <w:vAlign w:val="center"/>
          </w:tcPr>
          <w:p w14:paraId="58685073" w14:textId="1CDFEFC0" w:rsidR="0056330F" w:rsidRDefault="0056330F" w:rsidP="0056330F">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$0.5</w:t>
            </w:r>
          </w:p>
        </w:tc>
      </w:tr>
      <w:tr w:rsidR="00BA2600" w14:paraId="3BB7C7EE" w14:textId="77777777" w:rsidTr="00212A04">
        <w:tblPrEx>
          <w:tblLook w:val="04A0" w:firstRow="1" w:lastRow="0" w:firstColumn="1" w:lastColumn="0" w:noHBand="0" w:noVBand="1"/>
        </w:tblPrEx>
        <w:trPr>
          <w:trHeight w:hRule="exact" w:val="525"/>
        </w:trPr>
        <w:tc>
          <w:tcPr>
            <w:tcW w:w="5245" w:type="dxa"/>
            <w:shd w:val="clear" w:color="auto" w:fill="FDE9D9"/>
            <w:vAlign w:val="center"/>
          </w:tcPr>
          <w:p w14:paraId="00BDB7B1" w14:textId="0A2CF00E" w:rsidR="00BA2600" w:rsidRDefault="00BA2600" w:rsidP="00BA2600">
            <w:pPr>
              <w:pStyle w:val="TableParagraph"/>
              <w:kinsoku w:val="0"/>
              <w:overflowPunct w:val="0"/>
              <w:spacing w:before="54" w:line="252" w:lineRule="auto"/>
              <w:ind w:left="170" w:right="102"/>
              <w:rPr>
                <w:rFonts w:ascii="Arial" w:hAnsi="Arial" w:cs="Arial"/>
                <w:b/>
                <w:spacing w:val="-3"/>
                <w:sz w:val="18"/>
                <w:szCs w:val="18"/>
              </w:rPr>
            </w:pPr>
            <w:r w:rsidRPr="0051060E">
              <w:rPr>
                <w:rFonts w:ascii="Arial" w:hAnsi="Arial" w:cs="Arial"/>
                <w:b/>
                <w:spacing w:val="-3"/>
                <w:sz w:val="18"/>
                <w:szCs w:val="18"/>
              </w:rPr>
              <w:t>Department of Social Services</w:t>
            </w:r>
          </w:p>
        </w:tc>
        <w:tc>
          <w:tcPr>
            <w:tcW w:w="1420" w:type="dxa"/>
            <w:shd w:val="clear" w:color="auto" w:fill="FDE9D9"/>
            <w:vAlign w:val="center"/>
          </w:tcPr>
          <w:p w14:paraId="093CAEA3" w14:textId="7901FB36" w:rsidR="00BA2600"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5" w:type="dxa"/>
            <w:shd w:val="clear" w:color="auto" w:fill="FDE9D9"/>
            <w:vAlign w:val="center"/>
          </w:tcPr>
          <w:p w14:paraId="78045291" w14:textId="5C0F3450" w:rsidR="00BA2600" w:rsidRPr="00BB54D1"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1/1</w:t>
            </w:r>
          </w:p>
        </w:tc>
        <w:tc>
          <w:tcPr>
            <w:tcW w:w="1104" w:type="dxa"/>
            <w:shd w:val="clear" w:color="auto" w:fill="FDE9D9"/>
            <w:vAlign w:val="center"/>
          </w:tcPr>
          <w:p w14:paraId="58E08896" w14:textId="77777777" w:rsidR="00BA2600" w:rsidRPr="00BB54D1" w:rsidRDefault="00BA2600" w:rsidP="00BA2600">
            <w:pPr>
              <w:pStyle w:val="TableParagraph"/>
              <w:kinsoku w:val="0"/>
              <w:overflowPunct w:val="0"/>
              <w:spacing w:before="54"/>
              <w:jc w:val="center"/>
              <w:rPr>
                <w:rFonts w:ascii="Arial" w:hAnsi="Arial" w:cs="Arial"/>
                <w:spacing w:val="-3"/>
                <w:sz w:val="18"/>
                <w:szCs w:val="18"/>
              </w:rPr>
            </w:pPr>
          </w:p>
        </w:tc>
        <w:tc>
          <w:tcPr>
            <w:tcW w:w="1191" w:type="dxa"/>
            <w:shd w:val="clear" w:color="auto" w:fill="FDE9D9"/>
            <w:vAlign w:val="center"/>
          </w:tcPr>
          <w:p w14:paraId="38E4C71F" w14:textId="4E56B7E7" w:rsidR="00BA2600" w:rsidRPr="00BB54D1" w:rsidRDefault="00BA2600" w:rsidP="00BA2600">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-$42.6</w:t>
            </w:r>
          </w:p>
        </w:tc>
      </w:tr>
      <w:tr w:rsidR="00BA2600" w14:paraId="26EFFD6E" w14:textId="77777777" w:rsidTr="00BA2600">
        <w:tblPrEx>
          <w:tblLook w:val="04A0" w:firstRow="1" w:lastRow="0" w:firstColumn="1" w:lastColumn="0" w:noHBand="0" w:noVBand="1"/>
        </w:tblPrEx>
        <w:trPr>
          <w:trHeight w:hRule="exact" w:val="525"/>
        </w:trPr>
        <w:tc>
          <w:tcPr>
            <w:tcW w:w="5245" w:type="dxa"/>
            <w:shd w:val="clear" w:color="auto" w:fill="auto"/>
            <w:vAlign w:val="center"/>
          </w:tcPr>
          <w:p w14:paraId="32B7CEB9" w14:textId="6FDA06C3" w:rsidR="00BA2600" w:rsidRDefault="00BA2600" w:rsidP="00BA2600">
            <w:pPr>
              <w:pStyle w:val="TableParagraph"/>
              <w:kinsoku w:val="0"/>
              <w:overflowPunct w:val="0"/>
              <w:spacing w:before="54" w:line="252" w:lineRule="auto"/>
              <w:ind w:left="170" w:right="102"/>
              <w:rPr>
                <w:rFonts w:ascii="Arial" w:hAnsi="Arial" w:cs="Arial"/>
                <w:b/>
                <w:spacing w:val="-3"/>
                <w:sz w:val="18"/>
                <w:szCs w:val="18"/>
              </w:rPr>
            </w:pPr>
            <w:r>
              <w:rPr>
                <w:rFonts w:ascii="Arial" w:hAnsi="Arial" w:cs="Arial"/>
                <w:spacing w:val="-3"/>
                <w:sz w:val="18"/>
                <w:szCs w:val="18"/>
              </w:rPr>
              <w:t>New Disability Employment Services Program from 2018</w:t>
            </w:r>
          </w:p>
        </w:tc>
        <w:tc>
          <w:tcPr>
            <w:tcW w:w="1420" w:type="dxa"/>
            <w:shd w:val="clear" w:color="auto" w:fill="auto"/>
            <w:vAlign w:val="center"/>
          </w:tcPr>
          <w:p w14:paraId="50826081" w14:textId="1A424B9F" w:rsidR="00BA2600" w:rsidRDefault="00BA2600" w:rsidP="00BA2600">
            <w:pPr>
              <w:pStyle w:val="TableParagraph"/>
              <w:kinsoku w:val="0"/>
              <w:overflowPunct w:val="0"/>
              <w:spacing w:before="54"/>
              <w:jc w:val="center"/>
              <w:rPr>
                <w:rFonts w:ascii="Arial" w:hAnsi="Arial" w:cs="Arial"/>
                <w:b/>
                <w:spacing w:val="-3"/>
                <w:sz w:val="18"/>
                <w:szCs w:val="18"/>
              </w:rPr>
            </w:pPr>
            <w:r w:rsidRPr="00CE2207">
              <w:rPr>
                <w:rFonts w:ascii="Arial" w:hAnsi="Arial" w:cs="Arial"/>
                <w:spacing w:val="-3"/>
                <w:sz w:val="18"/>
                <w:szCs w:val="18"/>
              </w:rPr>
              <w:t>Compliant</w:t>
            </w:r>
          </w:p>
        </w:tc>
        <w:tc>
          <w:tcPr>
            <w:tcW w:w="1105" w:type="dxa"/>
            <w:shd w:val="clear" w:color="auto" w:fill="auto"/>
            <w:vAlign w:val="center"/>
          </w:tcPr>
          <w:p w14:paraId="34BD11C6" w14:textId="7C5BD213" w:rsidR="00BA2600" w:rsidRPr="00BB54D1" w:rsidRDefault="00BA2600" w:rsidP="00BA2600">
            <w:pPr>
              <w:pStyle w:val="TableParagraph"/>
              <w:kinsoku w:val="0"/>
              <w:overflowPunct w:val="0"/>
              <w:spacing w:before="54"/>
              <w:jc w:val="center"/>
              <w:rPr>
                <w:rFonts w:ascii="Arial" w:hAnsi="Arial" w:cs="Arial"/>
                <w:b/>
                <w:spacing w:val="-3"/>
                <w:sz w:val="18"/>
                <w:szCs w:val="18"/>
              </w:rPr>
            </w:pPr>
            <w:r>
              <w:rPr>
                <w:rFonts w:ascii="Arial" w:hAnsi="Arial" w:cs="Arial"/>
                <w:spacing w:val="-3"/>
                <w:sz w:val="18"/>
                <w:szCs w:val="18"/>
              </w:rPr>
              <w:t>Yes</w:t>
            </w:r>
          </w:p>
        </w:tc>
        <w:tc>
          <w:tcPr>
            <w:tcW w:w="1104" w:type="dxa"/>
            <w:shd w:val="clear" w:color="auto" w:fill="auto"/>
            <w:vAlign w:val="center"/>
          </w:tcPr>
          <w:p w14:paraId="545FBBC2" w14:textId="69970F65" w:rsidR="00BA2600" w:rsidRPr="00BB54D1" w:rsidRDefault="00BA2600" w:rsidP="00BA2600">
            <w:pPr>
              <w:pStyle w:val="TableParagraph"/>
              <w:kinsoku w:val="0"/>
              <w:overflowPunct w:val="0"/>
              <w:spacing w:before="54"/>
              <w:jc w:val="center"/>
              <w:rPr>
                <w:rFonts w:ascii="Arial" w:hAnsi="Arial" w:cs="Arial"/>
                <w:spacing w:val="-3"/>
                <w:sz w:val="18"/>
                <w:szCs w:val="18"/>
              </w:rPr>
            </w:pPr>
            <w:r w:rsidRPr="00CE2207">
              <w:rPr>
                <w:rFonts w:ascii="Arial" w:hAnsi="Arial" w:cs="Arial"/>
                <w:spacing w:val="-3"/>
                <w:sz w:val="18"/>
                <w:szCs w:val="18"/>
              </w:rPr>
              <w:t>No</w:t>
            </w:r>
          </w:p>
        </w:tc>
        <w:tc>
          <w:tcPr>
            <w:tcW w:w="1191" w:type="dxa"/>
            <w:shd w:val="clear" w:color="auto" w:fill="auto"/>
            <w:vAlign w:val="center"/>
          </w:tcPr>
          <w:p w14:paraId="77B2F1B7" w14:textId="6336967E" w:rsidR="00BA2600" w:rsidRPr="00BB54D1" w:rsidRDefault="00BA2600" w:rsidP="00BA2600">
            <w:pPr>
              <w:pStyle w:val="TableParagraph"/>
              <w:kinsoku w:val="0"/>
              <w:overflowPunct w:val="0"/>
              <w:spacing w:before="54"/>
              <w:ind w:right="227"/>
              <w:jc w:val="right"/>
              <w:rPr>
                <w:rFonts w:ascii="Arial" w:hAnsi="Arial" w:cs="Arial"/>
                <w:b/>
                <w:spacing w:val="-3"/>
                <w:sz w:val="18"/>
                <w:szCs w:val="18"/>
              </w:rPr>
            </w:pPr>
            <w:r>
              <w:rPr>
                <w:rFonts w:ascii="Arial" w:hAnsi="Arial" w:cs="Arial"/>
                <w:spacing w:val="-3"/>
                <w:sz w:val="18"/>
                <w:szCs w:val="18"/>
              </w:rPr>
              <w:t>-$42.6</w:t>
            </w:r>
          </w:p>
        </w:tc>
      </w:tr>
      <w:tr w:rsidR="00BA2600" w14:paraId="0014C611" w14:textId="77777777" w:rsidTr="00212A04">
        <w:tblPrEx>
          <w:tblLook w:val="04A0" w:firstRow="1" w:lastRow="0" w:firstColumn="1" w:lastColumn="0" w:noHBand="0" w:noVBand="1"/>
        </w:tblPrEx>
        <w:trPr>
          <w:trHeight w:hRule="exact" w:val="525"/>
        </w:trPr>
        <w:tc>
          <w:tcPr>
            <w:tcW w:w="5245" w:type="dxa"/>
            <w:shd w:val="clear" w:color="auto" w:fill="FDE9D9"/>
            <w:vAlign w:val="center"/>
            <w:hideMark/>
          </w:tcPr>
          <w:p w14:paraId="0014C60C" w14:textId="3B9318F6" w:rsidR="00BA2600" w:rsidRDefault="00BA2600" w:rsidP="00BA2600">
            <w:pPr>
              <w:pStyle w:val="TableParagraph"/>
              <w:kinsoku w:val="0"/>
              <w:overflowPunct w:val="0"/>
              <w:spacing w:before="54" w:line="252" w:lineRule="auto"/>
              <w:ind w:left="170" w:right="102"/>
              <w:rPr>
                <w:rFonts w:ascii="Arial" w:hAnsi="Arial" w:cs="Arial"/>
                <w:b/>
                <w:spacing w:val="-3"/>
                <w:sz w:val="18"/>
                <w:szCs w:val="18"/>
              </w:rPr>
            </w:pPr>
            <w:r>
              <w:rPr>
                <w:rFonts w:ascii="Arial" w:hAnsi="Arial" w:cs="Arial"/>
                <w:b/>
                <w:spacing w:val="-3"/>
                <w:sz w:val="18"/>
                <w:szCs w:val="18"/>
              </w:rPr>
              <w:t>Treasury Portfolio</w:t>
            </w:r>
          </w:p>
        </w:tc>
        <w:tc>
          <w:tcPr>
            <w:tcW w:w="1420" w:type="dxa"/>
            <w:shd w:val="clear" w:color="auto" w:fill="FDE9D9"/>
            <w:vAlign w:val="center"/>
            <w:hideMark/>
          </w:tcPr>
          <w:p w14:paraId="0014C60D" w14:textId="169E254E" w:rsidR="00BA2600" w:rsidRPr="00BB54D1" w:rsidRDefault="00BA2600" w:rsidP="00F855C5">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2</w:t>
            </w:r>
            <w:r w:rsidR="00F855C5">
              <w:rPr>
                <w:rFonts w:ascii="Arial" w:hAnsi="Arial" w:cs="Arial"/>
                <w:b/>
                <w:spacing w:val="-3"/>
                <w:sz w:val="18"/>
                <w:szCs w:val="18"/>
              </w:rPr>
              <w:t>1</w:t>
            </w:r>
            <w:r>
              <w:rPr>
                <w:rFonts w:ascii="Arial" w:hAnsi="Arial" w:cs="Arial"/>
                <w:b/>
                <w:spacing w:val="-3"/>
                <w:sz w:val="18"/>
                <w:szCs w:val="18"/>
              </w:rPr>
              <w:t>/2</w:t>
            </w:r>
            <w:r w:rsidR="00F855C5">
              <w:rPr>
                <w:rFonts w:ascii="Arial" w:hAnsi="Arial" w:cs="Arial"/>
                <w:b/>
                <w:spacing w:val="-3"/>
                <w:sz w:val="18"/>
                <w:szCs w:val="18"/>
              </w:rPr>
              <w:t>1</w:t>
            </w:r>
          </w:p>
        </w:tc>
        <w:tc>
          <w:tcPr>
            <w:tcW w:w="1105" w:type="dxa"/>
            <w:shd w:val="clear" w:color="auto" w:fill="FDE9D9"/>
            <w:vAlign w:val="center"/>
            <w:hideMark/>
          </w:tcPr>
          <w:p w14:paraId="0014C60E" w14:textId="448C498D" w:rsidR="00BA2600" w:rsidRPr="00BB54D1" w:rsidRDefault="00F855C5" w:rsidP="00F855C5">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14</w:t>
            </w:r>
            <w:r w:rsidR="00BA2600" w:rsidRPr="00BB54D1">
              <w:rPr>
                <w:rFonts w:ascii="Arial" w:hAnsi="Arial" w:cs="Arial"/>
                <w:b/>
                <w:spacing w:val="-3"/>
                <w:sz w:val="18"/>
                <w:szCs w:val="18"/>
              </w:rPr>
              <w:t>/</w:t>
            </w:r>
            <w:r w:rsidR="00BA2600">
              <w:rPr>
                <w:rFonts w:ascii="Arial" w:hAnsi="Arial" w:cs="Arial"/>
                <w:b/>
                <w:spacing w:val="-3"/>
                <w:sz w:val="18"/>
                <w:szCs w:val="18"/>
              </w:rPr>
              <w:t>20</w:t>
            </w:r>
          </w:p>
        </w:tc>
        <w:tc>
          <w:tcPr>
            <w:tcW w:w="1104" w:type="dxa"/>
            <w:shd w:val="clear" w:color="auto" w:fill="FDE9D9"/>
            <w:vAlign w:val="center"/>
          </w:tcPr>
          <w:p w14:paraId="0014C60F" w14:textId="77777777" w:rsidR="00BA2600" w:rsidRPr="00BB54D1" w:rsidRDefault="00BA2600" w:rsidP="00BA2600">
            <w:pPr>
              <w:pStyle w:val="TableParagraph"/>
              <w:kinsoku w:val="0"/>
              <w:overflowPunct w:val="0"/>
              <w:spacing w:before="54"/>
              <w:jc w:val="center"/>
              <w:rPr>
                <w:rFonts w:ascii="Arial" w:hAnsi="Arial" w:cs="Arial"/>
                <w:spacing w:val="-3"/>
                <w:sz w:val="18"/>
                <w:szCs w:val="18"/>
              </w:rPr>
            </w:pPr>
          </w:p>
        </w:tc>
        <w:tc>
          <w:tcPr>
            <w:tcW w:w="1191" w:type="dxa"/>
            <w:shd w:val="clear" w:color="auto" w:fill="FDE9D9"/>
            <w:vAlign w:val="center"/>
            <w:hideMark/>
          </w:tcPr>
          <w:p w14:paraId="0014C610" w14:textId="01E8742B" w:rsidR="00BA2600" w:rsidRPr="00BB54D1" w:rsidRDefault="00BA2600" w:rsidP="00BA2600">
            <w:pPr>
              <w:pStyle w:val="TableParagraph"/>
              <w:kinsoku w:val="0"/>
              <w:overflowPunct w:val="0"/>
              <w:spacing w:before="54"/>
              <w:ind w:right="227"/>
              <w:jc w:val="right"/>
              <w:rPr>
                <w:rFonts w:ascii="Arial" w:hAnsi="Arial" w:cs="Arial"/>
                <w:b/>
                <w:spacing w:val="-3"/>
                <w:sz w:val="18"/>
                <w:szCs w:val="18"/>
              </w:rPr>
            </w:pPr>
            <w:r w:rsidRPr="00BB54D1">
              <w:rPr>
                <w:rFonts w:ascii="Arial" w:hAnsi="Arial" w:cs="Arial"/>
                <w:b/>
                <w:spacing w:val="-3"/>
                <w:sz w:val="18"/>
                <w:szCs w:val="18"/>
              </w:rPr>
              <w:t>$</w:t>
            </w:r>
            <w:r>
              <w:rPr>
                <w:rFonts w:ascii="Arial" w:hAnsi="Arial" w:cs="Arial"/>
                <w:b/>
                <w:spacing w:val="-3"/>
                <w:sz w:val="18"/>
                <w:szCs w:val="18"/>
              </w:rPr>
              <w:t>349.1</w:t>
            </w:r>
          </w:p>
        </w:tc>
      </w:tr>
      <w:tr w:rsidR="00BA2600" w:rsidRPr="0051060E" w14:paraId="0B1FE630" w14:textId="77777777" w:rsidTr="00212A04">
        <w:tblPrEx>
          <w:tblLook w:val="04A0" w:firstRow="1" w:lastRow="0" w:firstColumn="1" w:lastColumn="0" w:noHBand="0" w:noVBand="1"/>
        </w:tblPrEx>
        <w:trPr>
          <w:trHeight w:hRule="exact" w:val="525"/>
        </w:trPr>
        <w:tc>
          <w:tcPr>
            <w:tcW w:w="5245" w:type="dxa"/>
            <w:shd w:val="clear" w:color="auto" w:fill="FDE9D9"/>
            <w:vAlign w:val="center"/>
            <w:hideMark/>
          </w:tcPr>
          <w:p w14:paraId="1BF2DCC7" w14:textId="280C2652" w:rsidR="00BA2600" w:rsidRPr="0051060E" w:rsidRDefault="00BA2600" w:rsidP="00BA2600">
            <w:pPr>
              <w:pStyle w:val="TableParagraph"/>
              <w:kinsoku w:val="0"/>
              <w:overflowPunct w:val="0"/>
              <w:spacing w:before="54" w:line="252" w:lineRule="auto"/>
              <w:ind w:left="170" w:right="102"/>
              <w:rPr>
                <w:rFonts w:ascii="Arial" w:hAnsi="Arial" w:cs="Arial"/>
                <w:b/>
                <w:spacing w:val="-3"/>
                <w:sz w:val="18"/>
                <w:szCs w:val="18"/>
              </w:rPr>
            </w:pPr>
            <w:r w:rsidRPr="0051060E">
              <w:rPr>
                <w:rFonts w:ascii="Arial" w:hAnsi="Arial" w:cs="Arial"/>
                <w:b/>
                <w:spacing w:val="-3"/>
                <w:sz w:val="18"/>
                <w:szCs w:val="18"/>
              </w:rPr>
              <w:t xml:space="preserve">Australian </w:t>
            </w:r>
            <w:r>
              <w:rPr>
                <w:rFonts w:ascii="Arial" w:hAnsi="Arial" w:cs="Arial"/>
                <w:b/>
                <w:spacing w:val="-3"/>
                <w:sz w:val="18"/>
                <w:szCs w:val="18"/>
              </w:rPr>
              <w:t>Accounting Standards Board</w:t>
            </w:r>
          </w:p>
        </w:tc>
        <w:tc>
          <w:tcPr>
            <w:tcW w:w="1420" w:type="dxa"/>
            <w:shd w:val="clear" w:color="auto" w:fill="FDE9D9"/>
            <w:vAlign w:val="center"/>
            <w:hideMark/>
          </w:tcPr>
          <w:p w14:paraId="4F0C828D" w14:textId="645BB353" w:rsidR="00BA2600" w:rsidRPr="0051060E" w:rsidRDefault="00BA2600" w:rsidP="00BA2600">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1/1</w:t>
            </w:r>
          </w:p>
        </w:tc>
        <w:tc>
          <w:tcPr>
            <w:tcW w:w="1105" w:type="dxa"/>
            <w:shd w:val="clear" w:color="auto" w:fill="FDE9D9"/>
            <w:vAlign w:val="center"/>
            <w:hideMark/>
          </w:tcPr>
          <w:p w14:paraId="2DF94745" w14:textId="1C06FDAB" w:rsidR="00BA2600" w:rsidRPr="0051060E" w:rsidRDefault="00BA2600" w:rsidP="00BA2600">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1/1</w:t>
            </w:r>
          </w:p>
        </w:tc>
        <w:tc>
          <w:tcPr>
            <w:tcW w:w="1104" w:type="dxa"/>
            <w:shd w:val="clear" w:color="auto" w:fill="FDE9D9"/>
            <w:vAlign w:val="center"/>
          </w:tcPr>
          <w:p w14:paraId="4F2FF90F" w14:textId="77777777" w:rsidR="00BA2600" w:rsidRPr="0051060E" w:rsidRDefault="00BA2600" w:rsidP="00BA2600">
            <w:pPr>
              <w:pStyle w:val="TableParagraph"/>
              <w:kinsoku w:val="0"/>
              <w:overflowPunct w:val="0"/>
              <w:spacing w:before="54"/>
              <w:jc w:val="center"/>
              <w:rPr>
                <w:rFonts w:ascii="Arial" w:hAnsi="Arial" w:cs="Arial"/>
                <w:b/>
                <w:spacing w:val="-3"/>
                <w:sz w:val="18"/>
                <w:szCs w:val="18"/>
              </w:rPr>
            </w:pPr>
          </w:p>
        </w:tc>
        <w:tc>
          <w:tcPr>
            <w:tcW w:w="1191" w:type="dxa"/>
            <w:shd w:val="clear" w:color="auto" w:fill="FDE9D9"/>
            <w:vAlign w:val="center"/>
            <w:hideMark/>
          </w:tcPr>
          <w:p w14:paraId="7E7289DD" w14:textId="2E22A6B4" w:rsidR="00BA2600" w:rsidRPr="0051060E" w:rsidRDefault="00BA2600" w:rsidP="00BA2600">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w:t>
            </w:r>
            <w:r>
              <w:rPr>
                <w:rFonts w:ascii="Arial" w:hAnsi="Arial" w:cs="Arial"/>
                <w:b/>
                <w:spacing w:val="-3"/>
                <w:sz w:val="18"/>
                <w:szCs w:val="18"/>
              </w:rPr>
              <w:t>13.2</w:t>
            </w:r>
          </w:p>
        </w:tc>
      </w:tr>
      <w:tr w:rsidR="00BA2600" w14:paraId="5F66F071" w14:textId="77777777" w:rsidTr="00212A04">
        <w:tblPrEx>
          <w:tblLook w:val="04A0" w:firstRow="1" w:lastRow="0" w:firstColumn="1" w:lastColumn="0" w:noHBand="0" w:noVBand="1"/>
        </w:tblPrEx>
        <w:trPr>
          <w:trHeight w:hRule="exact" w:val="737"/>
        </w:trPr>
        <w:tc>
          <w:tcPr>
            <w:tcW w:w="5245" w:type="dxa"/>
            <w:vAlign w:val="center"/>
          </w:tcPr>
          <w:p w14:paraId="0D018454" w14:textId="77777777" w:rsidR="00BA2600" w:rsidRDefault="00BA2600" w:rsidP="00BA2600">
            <w:pPr>
              <w:pStyle w:val="TableParagraph"/>
              <w:kinsoku w:val="0"/>
              <w:overflowPunct w:val="0"/>
              <w:spacing w:before="120" w:line="252" w:lineRule="auto"/>
              <w:ind w:left="170" w:right="102"/>
              <w:rPr>
                <w:rFonts w:ascii="Arial" w:hAnsi="Arial" w:cs="Arial"/>
                <w:spacing w:val="-3"/>
                <w:sz w:val="18"/>
                <w:szCs w:val="18"/>
              </w:rPr>
            </w:pPr>
            <w:r w:rsidRPr="004C0698">
              <w:rPr>
                <w:rFonts w:ascii="Arial" w:hAnsi="Arial" w:cs="Arial"/>
                <w:spacing w:val="-3"/>
                <w:sz w:val="18"/>
                <w:szCs w:val="18"/>
              </w:rPr>
              <w:t>AASB 1058 Income of Not-for-Profit Entities</w:t>
            </w:r>
            <w:r>
              <w:rPr>
                <w:rFonts w:ascii="Arial" w:hAnsi="Arial" w:cs="Arial"/>
                <w:spacing w:val="-3"/>
                <w:sz w:val="18"/>
                <w:szCs w:val="18"/>
              </w:rPr>
              <w:t xml:space="preserve"> </w:t>
            </w:r>
            <w:r w:rsidRPr="00910F44">
              <w:rPr>
                <w:rFonts w:ascii="Arial" w:hAnsi="Arial" w:cs="Arial"/>
                <w:spacing w:val="-3"/>
                <w:sz w:val="18"/>
                <w:szCs w:val="18"/>
              </w:rPr>
              <w:t>– Independent Review</w:t>
            </w:r>
          </w:p>
        </w:tc>
        <w:tc>
          <w:tcPr>
            <w:tcW w:w="1420" w:type="dxa"/>
            <w:vAlign w:val="center"/>
          </w:tcPr>
          <w:p w14:paraId="0E3E3F7E" w14:textId="77777777" w:rsidR="00BA2600" w:rsidRPr="00D826C8" w:rsidRDefault="00BA2600" w:rsidP="00BA2600">
            <w:pPr>
              <w:pStyle w:val="TableParagraph"/>
              <w:kinsoku w:val="0"/>
              <w:overflowPunct w:val="0"/>
              <w:spacing w:before="54"/>
              <w:jc w:val="center"/>
              <w:rPr>
                <w:rFonts w:ascii="Arial" w:hAnsi="Arial" w:cs="Arial"/>
                <w:spacing w:val="-3"/>
                <w:sz w:val="18"/>
                <w:szCs w:val="18"/>
                <w:highlight w:val="yellow"/>
              </w:rPr>
            </w:pPr>
            <w:r w:rsidRPr="004C0698">
              <w:rPr>
                <w:rFonts w:ascii="Arial" w:hAnsi="Arial" w:cs="Arial"/>
                <w:spacing w:val="-3"/>
                <w:sz w:val="18"/>
                <w:szCs w:val="18"/>
              </w:rPr>
              <w:t>Compliant</w:t>
            </w:r>
          </w:p>
        </w:tc>
        <w:tc>
          <w:tcPr>
            <w:tcW w:w="1105" w:type="dxa"/>
            <w:vAlign w:val="center"/>
          </w:tcPr>
          <w:p w14:paraId="0516885D" w14:textId="77777777" w:rsidR="00BA2600" w:rsidRPr="00AD7705" w:rsidRDefault="00BA2600" w:rsidP="00BA2600">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vAlign w:val="center"/>
          </w:tcPr>
          <w:p w14:paraId="4C7A051E"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0023259F" w14:textId="77777777"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$13.2</w:t>
            </w:r>
          </w:p>
        </w:tc>
      </w:tr>
      <w:tr w:rsidR="00BA2600" w:rsidRPr="0051060E" w14:paraId="0014C617" w14:textId="77777777" w:rsidTr="00212A04">
        <w:tblPrEx>
          <w:tblLook w:val="04A0" w:firstRow="1" w:lastRow="0" w:firstColumn="1" w:lastColumn="0" w:noHBand="0" w:noVBand="1"/>
        </w:tblPrEx>
        <w:trPr>
          <w:trHeight w:hRule="exact" w:val="525"/>
        </w:trPr>
        <w:tc>
          <w:tcPr>
            <w:tcW w:w="5245" w:type="dxa"/>
            <w:shd w:val="clear" w:color="auto" w:fill="FDE9D9"/>
            <w:vAlign w:val="center"/>
            <w:hideMark/>
          </w:tcPr>
          <w:p w14:paraId="0014C612" w14:textId="77777777" w:rsidR="00BA2600" w:rsidRPr="0051060E" w:rsidRDefault="00BA2600" w:rsidP="00BA2600">
            <w:pPr>
              <w:pStyle w:val="TableParagraph"/>
              <w:kinsoku w:val="0"/>
              <w:overflowPunct w:val="0"/>
              <w:spacing w:before="54" w:line="252" w:lineRule="auto"/>
              <w:ind w:left="170" w:right="102"/>
              <w:rPr>
                <w:rFonts w:ascii="Arial" w:hAnsi="Arial" w:cs="Arial"/>
                <w:b/>
                <w:spacing w:val="-3"/>
                <w:sz w:val="18"/>
                <w:szCs w:val="18"/>
              </w:rPr>
            </w:pPr>
            <w:r w:rsidRPr="0051060E">
              <w:rPr>
                <w:rFonts w:ascii="Arial" w:hAnsi="Arial" w:cs="Arial"/>
                <w:b/>
                <w:spacing w:val="-3"/>
                <w:sz w:val="18"/>
                <w:szCs w:val="18"/>
              </w:rPr>
              <w:t>Australian Competition and Consumer Commission</w:t>
            </w:r>
          </w:p>
        </w:tc>
        <w:tc>
          <w:tcPr>
            <w:tcW w:w="1420" w:type="dxa"/>
            <w:shd w:val="clear" w:color="auto" w:fill="FDE9D9"/>
            <w:vAlign w:val="center"/>
            <w:hideMark/>
          </w:tcPr>
          <w:p w14:paraId="0014C613" w14:textId="3AF689EE" w:rsidR="00BA2600" w:rsidRPr="0051060E"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2/2</w:t>
            </w:r>
          </w:p>
        </w:tc>
        <w:tc>
          <w:tcPr>
            <w:tcW w:w="1105" w:type="dxa"/>
            <w:shd w:val="clear" w:color="auto" w:fill="FDE9D9"/>
            <w:vAlign w:val="center"/>
            <w:hideMark/>
          </w:tcPr>
          <w:p w14:paraId="0014C614" w14:textId="65445A36" w:rsidR="00BA2600" w:rsidRPr="0051060E"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2/2</w:t>
            </w:r>
          </w:p>
        </w:tc>
        <w:tc>
          <w:tcPr>
            <w:tcW w:w="1104" w:type="dxa"/>
            <w:shd w:val="clear" w:color="auto" w:fill="FDE9D9"/>
            <w:vAlign w:val="center"/>
          </w:tcPr>
          <w:p w14:paraId="0014C615" w14:textId="77777777" w:rsidR="00BA2600" w:rsidRPr="0051060E" w:rsidRDefault="00BA2600" w:rsidP="00BA2600">
            <w:pPr>
              <w:pStyle w:val="TableParagraph"/>
              <w:kinsoku w:val="0"/>
              <w:overflowPunct w:val="0"/>
              <w:spacing w:before="54"/>
              <w:jc w:val="center"/>
              <w:rPr>
                <w:rFonts w:ascii="Arial" w:hAnsi="Arial" w:cs="Arial"/>
                <w:b/>
                <w:spacing w:val="-3"/>
                <w:sz w:val="18"/>
                <w:szCs w:val="18"/>
              </w:rPr>
            </w:pPr>
          </w:p>
        </w:tc>
        <w:tc>
          <w:tcPr>
            <w:tcW w:w="1191" w:type="dxa"/>
            <w:shd w:val="clear" w:color="auto" w:fill="FDE9D9"/>
            <w:vAlign w:val="center"/>
            <w:hideMark/>
          </w:tcPr>
          <w:p w14:paraId="0014C616" w14:textId="77777777" w:rsidR="00BA2600" w:rsidRPr="0051060E" w:rsidRDefault="00BA2600" w:rsidP="00BA2600">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$1.2</w:t>
            </w:r>
          </w:p>
        </w:tc>
      </w:tr>
      <w:tr w:rsidR="00BA2600" w14:paraId="6357D890" w14:textId="77777777" w:rsidTr="00212A04">
        <w:tblPrEx>
          <w:tblLook w:val="04A0" w:firstRow="1" w:lastRow="0" w:firstColumn="1" w:lastColumn="0" w:noHBand="0" w:noVBand="1"/>
        </w:tblPrEx>
        <w:trPr>
          <w:trHeight w:hRule="exact" w:val="510"/>
        </w:trPr>
        <w:tc>
          <w:tcPr>
            <w:tcW w:w="5245" w:type="dxa"/>
            <w:vAlign w:val="center"/>
            <w:hideMark/>
          </w:tcPr>
          <w:p w14:paraId="086593D2" w14:textId="210C4B47"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sidRPr="00EF78A9">
              <w:rPr>
                <w:rFonts w:ascii="Arial" w:hAnsi="Arial" w:cs="Arial"/>
                <w:spacing w:val="-3"/>
                <w:sz w:val="18"/>
                <w:szCs w:val="18"/>
              </w:rPr>
              <w:t>Declaration of Wholesale ADSL</w:t>
            </w:r>
            <w:r>
              <w:rPr>
                <w:rFonts w:ascii="Arial" w:hAnsi="Arial" w:cs="Arial"/>
                <w:spacing w:val="-3"/>
                <w:sz w:val="18"/>
                <w:szCs w:val="18"/>
              </w:rPr>
              <w:t xml:space="preserve"> – </w:t>
            </w:r>
            <w:r w:rsidRPr="00910F44">
              <w:rPr>
                <w:rFonts w:ascii="Arial" w:hAnsi="Arial" w:cs="Arial"/>
                <w:spacing w:val="-3"/>
                <w:sz w:val="18"/>
                <w:szCs w:val="18"/>
              </w:rPr>
              <w:t>Independent Review</w:t>
            </w:r>
          </w:p>
        </w:tc>
        <w:tc>
          <w:tcPr>
            <w:tcW w:w="1420" w:type="dxa"/>
            <w:vAlign w:val="center"/>
            <w:hideMark/>
          </w:tcPr>
          <w:p w14:paraId="3BE49ADC" w14:textId="6955B8E4"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hideMark/>
          </w:tcPr>
          <w:p w14:paraId="4C15ACE8" w14:textId="2C033A04" w:rsidR="00BA2600" w:rsidRPr="00AD7705" w:rsidRDefault="00BA2600" w:rsidP="00BA2600">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vAlign w:val="center"/>
            <w:hideMark/>
          </w:tcPr>
          <w:p w14:paraId="769728F4"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hideMark/>
          </w:tcPr>
          <w:p w14:paraId="200B0F54" w14:textId="77777777"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$0.0</w:t>
            </w:r>
          </w:p>
        </w:tc>
      </w:tr>
      <w:tr w:rsidR="00BA2600" w14:paraId="0014C61D" w14:textId="77777777" w:rsidTr="00212A04">
        <w:tblPrEx>
          <w:tblLook w:val="04A0" w:firstRow="1" w:lastRow="0" w:firstColumn="1" w:lastColumn="0" w:noHBand="0" w:noVBand="1"/>
        </w:tblPrEx>
        <w:trPr>
          <w:trHeight w:hRule="exact" w:val="510"/>
        </w:trPr>
        <w:tc>
          <w:tcPr>
            <w:tcW w:w="5245" w:type="dxa"/>
            <w:vAlign w:val="center"/>
            <w:hideMark/>
          </w:tcPr>
          <w:p w14:paraId="0014C618" w14:textId="0869FB55" w:rsidR="00BA2600" w:rsidRPr="00925302" w:rsidRDefault="00BA2600" w:rsidP="00BA2600">
            <w:pPr>
              <w:pStyle w:val="TableParagraph"/>
              <w:kinsoku w:val="0"/>
              <w:overflowPunct w:val="0"/>
              <w:spacing w:before="54" w:line="252" w:lineRule="auto"/>
              <w:ind w:left="170" w:right="102"/>
              <w:rPr>
                <w:rFonts w:ascii="Arial" w:hAnsi="Arial" w:cs="Arial"/>
                <w:spacing w:val="-3"/>
                <w:sz w:val="18"/>
                <w:szCs w:val="18"/>
                <w:highlight w:val="yellow"/>
              </w:rPr>
            </w:pPr>
            <w:r w:rsidRPr="00EF78A9">
              <w:rPr>
                <w:rFonts w:ascii="Arial" w:hAnsi="Arial" w:cs="Arial"/>
                <w:spacing w:val="-3"/>
                <w:sz w:val="18"/>
                <w:szCs w:val="18"/>
              </w:rPr>
              <w:t xml:space="preserve">Superfast Broadband Declaration – </w:t>
            </w:r>
            <w:r w:rsidRPr="00910F44">
              <w:rPr>
                <w:rFonts w:ascii="Arial" w:hAnsi="Arial" w:cs="Arial"/>
                <w:spacing w:val="-3"/>
                <w:sz w:val="18"/>
                <w:szCs w:val="18"/>
              </w:rPr>
              <w:t>Independent Review</w:t>
            </w:r>
          </w:p>
        </w:tc>
        <w:tc>
          <w:tcPr>
            <w:tcW w:w="1420" w:type="dxa"/>
            <w:vAlign w:val="center"/>
            <w:hideMark/>
          </w:tcPr>
          <w:p w14:paraId="0014C619" w14:textId="6BC86503"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hideMark/>
          </w:tcPr>
          <w:p w14:paraId="0014C61A" w14:textId="409E2E1D" w:rsidR="00BA2600" w:rsidRPr="00AD7705" w:rsidRDefault="00BA2600" w:rsidP="00BA2600">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vAlign w:val="center"/>
            <w:hideMark/>
          </w:tcPr>
          <w:p w14:paraId="0014C61B"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hideMark/>
          </w:tcPr>
          <w:p w14:paraId="0014C61C" w14:textId="77777777"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$1.2</w:t>
            </w:r>
          </w:p>
        </w:tc>
      </w:tr>
      <w:tr w:rsidR="00BA2600" w14:paraId="238E4040" w14:textId="77777777" w:rsidTr="00212A04">
        <w:tblPrEx>
          <w:tblLook w:val="04A0" w:firstRow="1" w:lastRow="0" w:firstColumn="1" w:lastColumn="0" w:noHBand="0" w:noVBand="1"/>
        </w:tblPrEx>
        <w:trPr>
          <w:trHeight w:hRule="exact" w:val="510"/>
        </w:trPr>
        <w:tc>
          <w:tcPr>
            <w:tcW w:w="5245" w:type="dxa"/>
            <w:vAlign w:val="center"/>
          </w:tcPr>
          <w:p w14:paraId="58E42CDD" w14:textId="77777777" w:rsidR="00BA2600" w:rsidRPr="00EF78A9" w:rsidRDefault="00BA2600" w:rsidP="00BA2600">
            <w:pPr>
              <w:pStyle w:val="TableParagraph"/>
              <w:kinsoku w:val="0"/>
              <w:overflowPunct w:val="0"/>
              <w:spacing w:before="54" w:line="252" w:lineRule="auto"/>
              <w:ind w:left="170" w:right="102"/>
              <w:rPr>
                <w:rFonts w:ascii="Arial" w:hAnsi="Arial" w:cs="Arial"/>
                <w:spacing w:val="-3"/>
                <w:sz w:val="18"/>
                <w:szCs w:val="18"/>
              </w:rPr>
            </w:pPr>
          </w:p>
        </w:tc>
        <w:tc>
          <w:tcPr>
            <w:tcW w:w="1420" w:type="dxa"/>
            <w:vAlign w:val="center"/>
          </w:tcPr>
          <w:p w14:paraId="4499FB51" w14:textId="77777777" w:rsidR="00BA2600" w:rsidRDefault="00BA2600" w:rsidP="00BA2600">
            <w:pPr>
              <w:pStyle w:val="TableParagraph"/>
              <w:kinsoku w:val="0"/>
              <w:overflowPunct w:val="0"/>
              <w:spacing w:before="54"/>
              <w:jc w:val="center"/>
              <w:rPr>
                <w:rFonts w:ascii="Arial" w:hAnsi="Arial" w:cs="Arial"/>
                <w:spacing w:val="-3"/>
                <w:sz w:val="18"/>
                <w:szCs w:val="18"/>
              </w:rPr>
            </w:pPr>
          </w:p>
        </w:tc>
        <w:tc>
          <w:tcPr>
            <w:tcW w:w="1105" w:type="dxa"/>
            <w:vAlign w:val="center"/>
          </w:tcPr>
          <w:p w14:paraId="624B34E1" w14:textId="77777777" w:rsidR="00BA2600" w:rsidRDefault="00BA2600" w:rsidP="00BA2600">
            <w:pPr>
              <w:pStyle w:val="TableParagraph"/>
              <w:kinsoku w:val="0"/>
              <w:overflowPunct w:val="0"/>
              <w:spacing w:before="54"/>
              <w:jc w:val="center"/>
              <w:rPr>
                <w:rFonts w:ascii="Arial" w:hAnsi="Arial" w:cs="Arial"/>
                <w:spacing w:val="-3"/>
                <w:sz w:val="18"/>
                <w:szCs w:val="18"/>
              </w:rPr>
            </w:pPr>
          </w:p>
        </w:tc>
        <w:tc>
          <w:tcPr>
            <w:tcW w:w="1104" w:type="dxa"/>
            <w:vAlign w:val="center"/>
          </w:tcPr>
          <w:p w14:paraId="7A388F80" w14:textId="77777777" w:rsidR="00BA2600" w:rsidRDefault="00BA2600" w:rsidP="00BA2600">
            <w:pPr>
              <w:pStyle w:val="TableParagraph"/>
              <w:kinsoku w:val="0"/>
              <w:overflowPunct w:val="0"/>
              <w:spacing w:before="54"/>
              <w:jc w:val="center"/>
              <w:rPr>
                <w:rFonts w:ascii="Arial" w:hAnsi="Arial" w:cs="Arial"/>
                <w:spacing w:val="-3"/>
                <w:sz w:val="18"/>
                <w:szCs w:val="18"/>
              </w:rPr>
            </w:pPr>
          </w:p>
        </w:tc>
        <w:tc>
          <w:tcPr>
            <w:tcW w:w="1191" w:type="dxa"/>
            <w:vAlign w:val="center"/>
          </w:tcPr>
          <w:p w14:paraId="66E613B0" w14:textId="77777777" w:rsidR="00BA2600" w:rsidRDefault="00BA2600" w:rsidP="00BA2600">
            <w:pPr>
              <w:pStyle w:val="TableParagraph"/>
              <w:kinsoku w:val="0"/>
              <w:overflowPunct w:val="0"/>
              <w:spacing w:before="54"/>
              <w:ind w:right="227"/>
              <w:jc w:val="right"/>
              <w:rPr>
                <w:rFonts w:ascii="Arial" w:hAnsi="Arial" w:cs="Arial"/>
                <w:spacing w:val="-3"/>
                <w:sz w:val="18"/>
                <w:szCs w:val="18"/>
              </w:rPr>
            </w:pPr>
          </w:p>
        </w:tc>
      </w:tr>
      <w:tr w:rsidR="00BA2600" w:rsidRPr="0051060E" w14:paraId="5356901E" w14:textId="77777777" w:rsidTr="00212A04">
        <w:trPr>
          <w:trHeight w:hRule="exact" w:val="525"/>
        </w:trPr>
        <w:tc>
          <w:tcPr>
            <w:tcW w:w="5245" w:type="dxa"/>
            <w:shd w:val="clear" w:color="auto" w:fill="FDE9D9" w:themeFill="accent6" w:themeFillTint="33"/>
            <w:vAlign w:val="center"/>
          </w:tcPr>
          <w:p w14:paraId="2E6B462A" w14:textId="3AE3C01E" w:rsidR="00BA2600" w:rsidRPr="0051060E" w:rsidRDefault="00BA2600" w:rsidP="00BA2600">
            <w:pPr>
              <w:pStyle w:val="TableParagraph"/>
              <w:kinsoku w:val="0"/>
              <w:overflowPunct w:val="0"/>
              <w:spacing w:before="54" w:line="252" w:lineRule="auto"/>
              <w:ind w:left="170" w:right="102"/>
              <w:rPr>
                <w:rFonts w:ascii="Arial" w:hAnsi="Arial" w:cs="Arial"/>
                <w:b/>
                <w:spacing w:val="-3"/>
                <w:sz w:val="18"/>
                <w:szCs w:val="18"/>
              </w:rPr>
            </w:pPr>
            <w:r w:rsidRPr="0051060E">
              <w:rPr>
                <w:rFonts w:ascii="Arial" w:hAnsi="Arial" w:cs="Arial"/>
                <w:b/>
                <w:spacing w:val="-3"/>
                <w:sz w:val="18"/>
                <w:szCs w:val="18"/>
              </w:rPr>
              <w:t>Australian Prudential Regulation Authority</w:t>
            </w:r>
          </w:p>
        </w:tc>
        <w:tc>
          <w:tcPr>
            <w:tcW w:w="1420" w:type="dxa"/>
            <w:shd w:val="clear" w:color="auto" w:fill="FDE9D9" w:themeFill="accent6" w:themeFillTint="33"/>
            <w:vAlign w:val="center"/>
          </w:tcPr>
          <w:p w14:paraId="646F763F" w14:textId="7D55F8A5" w:rsidR="00BA2600" w:rsidRPr="0051060E"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3/3</w:t>
            </w:r>
          </w:p>
        </w:tc>
        <w:tc>
          <w:tcPr>
            <w:tcW w:w="1105" w:type="dxa"/>
            <w:shd w:val="clear" w:color="auto" w:fill="FDE9D9" w:themeFill="accent6" w:themeFillTint="33"/>
            <w:vAlign w:val="center"/>
          </w:tcPr>
          <w:p w14:paraId="2318498C" w14:textId="56FE710F" w:rsidR="00BA2600" w:rsidRPr="0051060E"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2/3</w:t>
            </w:r>
          </w:p>
        </w:tc>
        <w:tc>
          <w:tcPr>
            <w:tcW w:w="1104" w:type="dxa"/>
            <w:shd w:val="clear" w:color="auto" w:fill="FDE9D9" w:themeFill="accent6" w:themeFillTint="33"/>
            <w:vAlign w:val="center"/>
          </w:tcPr>
          <w:p w14:paraId="75CA4098" w14:textId="77777777" w:rsidR="00BA2600" w:rsidRPr="0051060E" w:rsidRDefault="00BA2600" w:rsidP="00BA2600">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6B1D0505" w14:textId="6B2F20A4" w:rsidR="00BA2600" w:rsidRPr="0051060E" w:rsidRDefault="00BA2600" w:rsidP="00BA2600">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-$17.6</w:t>
            </w:r>
          </w:p>
        </w:tc>
      </w:tr>
      <w:tr w:rsidR="00BA2600" w14:paraId="58803132" w14:textId="77777777" w:rsidTr="00212A04">
        <w:tblPrEx>
          <w:tblLook w:val="04A0" w:firstRow="1" w:lastRow="0" w:firstColumn="1" w:lastColumn="0" w:noHBand="0" w:noVBand="1"/>
        </w:tblPrEx>
        <w:trPr>
          <w:trHeight w:hRule="exact" w:val="525"/>
        </w:trPr>
        <w:tc>
          <w:tcPr>
            <w:tcW w:w="5245" w:type="dxa"/>
            <w:vAlign w:val="center"/>
          </w:tcPr>
          <w:p w14:paraId="28992200" w14:textId="3C801601"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Implementing the Net Stable Funding Ratio in Australia</w:t>
            </w:r>
          </w:p>
        </w:tc>
        <w:tc>
          <w:tcPr>
            <w:tcW w:w="1420" w:type="dxa"/>
            <w:vAlign w:val="center"/>
          </w:tcPr>
          <w:p w14:paraId="15BA1B44"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1FB4BB33" w14:textId="77777777" w:rsidR="00BA2600" w:rsidRDefault="00BA2600" w:rsidP="00BA2600">
            <w:pPr>
              <w:pStyle w:val="TableParagraph"/>
              <w:kinsoku w:val="0"/>
              <w:overflowPunct w:val="0"/>
              <w:spacing w:before="54"/>
              <w:jc w:val="center"/>
              <w:rPr>
                <w:rFonts w:ascii="Arial" w:hAnsi="Arial" w:cs="Arial"/>
                <w:spacing w:val="-3"/>
                <w:sz w:val="18"/>
                <w:szCs w:val="18"/>
              </w:rPr>
            </w:pPr>
            <w:r w:rsidRPr="008E73B2">
              <w:rPr>
                <w:rFonts w:ascii="Arial" w:hAnsi="Arial" w:cs="Arial"/>
                <w:spacing w:val="-3"/>
                <w:sz w:val="18"/>
                <w:szCs w:val="18"/>
              </w:rPr>
              <w:t>No</w:t>
            </w:r>
          </w:p>
        </w:tc>
        <w:tc>
          <w:tcPr>
            <w:tcW w:w="1104" w:type="dxa"/>
            <w:vAlign w:val="center"/>
          </w:tcPr>
          <w:p w14:paraId="737E4F8B" w14:textId="16E2A7CE"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91" w:type="dxa"/>
            <w:vAlign w:val="center"/>
          </w:tcPr>
          <w:p w14:paraId="4FBE744B" w14:textId="77777777"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$2.4</w:t>
            </w:r>
          </w:p>
        </w:tc>
      </w:tr>
      <w:tr w:rsidR="00BA2600" w14:paraId="0814DD65" w14:textId="77777777" w:rsidTr="00212A04">
        <w:tblPrEx>
          <w:tblLook w:val="04A0" w:firstRow="1" w:lastRow="0" w:firstColumn="1" w:lastColumn="0" w:noHBand="0" w:noVBand="1"/>
        </w:tblPrEx>
        <w:trPr>
          <w:trHeight w:hRule="exact" w:val="525"/>
        </w:trPr>
        <w:tc>
          <w:tcPr>
            <w:tcW w:w="5245" w:type="dxa"/>
            <w:vAlign w:val="center"/>
          </w:tcPr>
          <w:p w14:paraId="79E7840C" w14:textId="16FA691A" w:rsidR="00BA2600" w:rsidRDefault="00BA2600" w:rsidP="00BA2600">
            <w:pPr>
              <w:pStyle w:val="TableParagraph"/>
              <w:kinsoku w:val="0"/>
              <w:overflowPunct w:val="0"/>
              <w:spacing w:before="120" w:line="252" w:lineRule="auto"/>
              <w:ind w:left="170" w:right="102"/>
              <w:rPr>
                <w:rFonts w:ascii="Arial" w:hAnsi="Arial" w:cs="Arial"/>
                <w:spacing w:val="-3"/>
                <w:sz w:val="18"/>
                <w:szCs w:val="18"/>
              </w:rPr>
            </w:pPr>
            <w:r>
              <w:rPr>
                <w:rFonts w:ascii="Arial" w:hAnsi="Arial" w:cs="Arial"/>
                <w:spacing w:val="-3"/>
                <w:sz w:val="18"/>
                <w:szCs w:val="18"/>
              </w:rPr>
              <w:t>Margining and Risk Mitigation for Non-Centrally Cleared Derivatives</w:t>
            </w:r>
          </w:p>
          <w:p w14:paraId="41C1B1A7" w14:textId="77777777" w:rsidR="00BA2600" w:rsidRDefault="00BA2600" w:rsidP="00BA2600">
            <w:pPr>
              <w:pStyle w:val="TableParagraph"/>
              <w:kinsoku w:val="0"/>
              <w:overflowPunct w:val="0"/>
              <w:spacing w:before="120" w:line="252" w:lineRule="auto"/>
              <w:ind w:left="170" w:right="102"/>
              <w:rPr>
                <w:rFonts w:ascii="Arial" w:hAnsi="Arial" w:cs="Arial"/>
                <w:spacing w:val="-3"/>
                <w:sz w:val="18"/>
                <w:szCs w:val="18"/>
              </w:rPr>
            </w:pPr>
          </w:p>
          <w:p w14:paraId="3EC91FB8" w14:textId="77777777" w:rsidR="00BA2600" w:rsidRDefault="00BA2600" w:rsidP="00BA2600">
            <w:pPr>
              <w:pStyle w:val="TableParagraph"/>
              <w:kinsoku w:val="0"/>
              <w:overflowPunct w:val="0"/>
              <w:spacing w:before="120" w:line="252" w:lineRule="auto"/>
              <w:ind w:left="170" w:right="102"/>
              <w:rPr>
                <w:rFonts w:ascii="Arial" w:hAnsi="Arial" w:cs="Arial"/>
                <w:spacing w:val="-3"/>
                <w:sz w:val="18"/>
                <w:szCs w:val="18"/>
              </w:rPr>
            </w:pPr>
          </w:p>
          <w:p w14:paraId="44D2BDB2" w14:textId="77777777" w:rsidR="00BA2600" w:rsidRDefault="00BA2600" w:rsidP="00BA2600">
            <w:pPr>
              <w:pStyle w:val="TableParagraph"/>
              <w:kinsoku w:val="0"/>
              <w:overflowPunct w:val="0"/>
              <w:spacing w:before="120" w:line="252" w:lineRule="auto"/>
              <w:ind w:left="170" w:right="102"/>
              <w:rPr>
                <w:rFonts w:ascii="Arial" w:hAnsi="Arial" w:cs="Arial"/>
                <w:spacing w:val="-3"/>
                <w:sz w:val="18"/>
                <w:szCs w:val="18"/>
              </w:rPr>
            </w:pPr>
          </w:p>
        </w:tc>
        <w:tc>
          <w:tcPr>
            <w:tcW w:w="1420" w:type="dxa"/>
            <w:vAlign w:val="center"/>
          </w:tcPr>
          <w:p w14:paraId="63C4260F" w14:textId="77777777" w:rsidR="00BA2600" w:rsidRDefault="00BA2600" w:rsidP="00BA2600">
            <w:pPr>
              <w:pStyle w:val="TableParagraph"/>
              <w:kinsoku w:val="0"/>
              <w:overflowPunct w:val="0"/>
              <w:spacing w:before="120"/>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76F509D4" w14:textId="77777777" w:rsidR="00BA2600" w:rsidRDefault="00BA2600" w:rsidP="00BA2600">
            <w:pPr>
              <w:pStyle w:val="TableParagraph"/>
              <w:kinsoku w:val="0"/>
              <w:overflowPunct w:val="0"/>
              <w:spacing w:before="120"/>
              <w:jc w:val="center"/>
              <w:rPr>
                <w:rFonts w:ascii="Arial" w:hAnsi="Arial" w:cs="Arial"/>
                <w:spacing w:val="-3"/>
                <w:sz w:val="18"/>
                <w:szCs w:val="18"/>
              </w:rPr>
            </w:pPr>
            <w:r>
              <w:rPr>
                <w:rFonts w:ascii="Arial" w:hAnsi="Arial" w:cs="Arial"/>
                <w:spacing w:val="-3"/>
                <w:sz w:val="18"/>
                <w:szCs w:val="18"/>
              </w:rPr>
              <w:t>Yes</w:t>
            </w:r>
          </w:p>
        </w:tc>
        <w:tc>
          <w:tcPr>
            <w:tcW w:w="1104" w:type="dxa"/>
            <w:vAlign w:val="center"/>
          </w:tcPr>
          <w:p w14:paraId="3186F7F0" w14:textId="77777777" w:rsidR="00BA2600" w:rsidRDefault="00BA2600" w:rsidP="00BA2600">
            <w:pPr>
              <w:pStyle w:val="TableParagraph"/>
              <w:kinsoku w:val="0"/>
              <w:overflowPunct w:val="0"/>
              <w:spacing w:before="120"/>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21E277A6" w14:textId="77777777" w:rsidR="00BA2600" w:rsidRDefault="00BA2600" w:rsidP="00BA2600">
            <w:pPr>
              <w:pStyle w:val="TableParagraph"/>
              <w:kinsoku w:val="0"/>
              <w:overflowPunct w:val="0"/>
              <w:spacing w:before="120"/>
              <w:ind w:right="227"/>
              <w:jc w:val="right"/>
              <w:rPr>
                <w:rFonts w:ascii="Arial" w:hAnsi="Arial" w:cs="Arial"/>
                <w:spacing w:val="-3"/>
                <w:sz w:val="18"/>
                <w:szCs w:val="18"/>
              </w:rPr>
            </w:pPr>
            <w:r>
              <w:rPr>
                <w:rFonts w:ascii="Arial" w:hAnsi="Arial" w:cs="Arial"/>
                <w:spacing w:val="-3"/>
                <w:sz w:val="18"/>
                <w:szCs w:val="18"/>
              </w:rPr>
              <w:t>-$24.6</w:t>
            </w:r>
          </w:p>
        </w:tc>
      </w:tr>
      <w:tr w:rsidR="00BA2600" w14:paraId="0316F99F" w14:textId="77777777" w:rsidTr="00212A04">
        <w:tblPrEx>
          <w:tblLook w:val="04A0" w:firstRow="1" w:lastRow="0" w:firstColumn="1" w:lastColumn="0" w:noHBand="0" w:noVBand="1"/>
        </w:tblPrEx>
        <w:trPr>
          <w:trHeight w:hRule="exact" w:val="737"/>
        </w:trPr>
        <w:tc>
          <w:tcPr>
            <w:tcW w:w="5245" w:type="dxa"/>
            <w:vAlign w:val="center"/>
          </w:tcPr>
          <w:p w14:paraId="118F4119" w14:textId="0689A57F" w:rsidR="00BA2600" w:rsidRDefault="00BA2600" w:rsidP="00BA2600">
            <w:pPr>
              <w:pStyle w:val="TableParagraph"/>
              <w:kinsoku w:val="0"/>
              <w:overflowPunct w:val="0"/>
              <w:spacing w:before="50" w:line="252" w:lineRule="auto"/>
              <w:ind w:left="170" w:right="102"/>
              <w:rPr>
                <w:rFonts w:ascii="Arial" w:hAnsi="Arial" w:cs="Arial"/>
                <w:spacing w:val="-3"/>
                <w:sz w:val="18"/>
                <w:szCs w:val="18"/>
              </w:rPr>
            </w:pPr>
            <w:r w:rsidRPr="004C0698">
              <w:rPr>
                <w:rFonts w:ascii="Arial" w:hAnsi="Arial" w:cs="Arial"/>
                <w:spacing w:val="-3"/>
                <w:sz w:val="18"/>
                <w:szCs w:val="18"/>
              </w:rPr>
              <w:t>Prudential Standard APS 120: Securitisation</w:t>
            </w:r>
            <w:r>
              <w:rPr>
                <w:rFonts w:ascii="Arial" w:hAnsi="Arial" w:cs="Arial"/>
                <w:spacing w:val="-3"/>
                <w:sz w:val="18"/>
                <w:szCs w:val="18"/>
              </w:rPr>
              <w:t xml:space="preserve"> – </w:t>
            </w:r>
            <w:r w:rsidRPr="00910F44">
              <w:rPr>
                <w:rFonts w:ascii="Arial" w:hAnsi="Arial" w:cs="Arial"/>
                <w:spacing w:val="-3"/>
                <w:sz w:val="18"/>
                <w:szCs w:val="18"/>
              </w:rPr>
              <w:t>Independent Review</w:t>
            </w:r>
          </w:p>
        </w:tc>
        <w:tc>
          <w:tcPr>
            <w:tcW w:w="1420" w:type="dxa"/>
            <w:vAlign w:val="center"/>
          </w:tcPr>
          <w:p w14:paraId="3FC11853" w14:textId="5B816366"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6DCF037D" w14:textId="01623189" w:rsidR="00BA2600" w:rsidRPr="00AD7705" w:rsidRDefault="00BA2600" w:rsidP="00BA2600">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Yes</w:t>
            </w:r>
          </w:p>
        </w:tc>
        <w:tc>
          <w:tcPr>
            <w:tcW w:w="1104" w:type="dxa"/>
            <w:vAlign w:val="center"/>
          </w:tcPr>
          <w:p w14:paraId="39C5BC5C"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71D7E91D" w14:textId="4EE80469"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$4.6</w:t>
            </w:r>
          </w:p>
        </w:tc>
      </w:tr>
      <w:tr w:rsidR="00BA2600" w:rsidRPr="0051060E" w14:paraId="246DA344" w14:textId="77777777" w:rsidTr="00212A04">
        <w:tblPrEx>
          <w:tblLook w:val="04A0" w:firstRow="1" w:lastRow="0" w:firstColumn="1" w:lastColumn="0" w:noHBand="0" w:noVBand="1"/>
        </w:tblPrEx>
        <w:trPr>
          <w:trHeight w:hRule="exact" w:val="525"/>
        </w:trPr>
        <w:tc>
          <w:tcPr>
            <w:tcW w:w="5245" w:type="dxa"/>
            <w:shd w:val="clear" w:color="auto" w:fill="FDE9D9" w:themeFill="accent6" w:themeFillTint="33"/>
            <w:vAlign w:val="center"/>
          </w:tcPr>
          <w:p w14:paraId="71C08B36" w14:textId="7D4046BF" w:rsidR="00BA2600" w:rsidRPr="0051060E" w:rsidRDefault="00BA2600" w:rsidP="00BA2600">
            <w:pPr>
              <w:pStyle w:val="TableParagraph"/>
              <w:kinsoku w:val="0"/>
              <w:overflowPunct w:val="0"/>
              <w:spacing w:before="54" w:line="252" w:lineRule="auto"/>
              <w:ind w:left="170" w:right="102"/>
              <w:rPr>
                <w:rFonts w:ascii="Arial" w:hAnsi="Arial" w:cs="Arial"/>
                <w:b/>
                <w:spacing w:val="-3"/>
                <w:sz w:val="18"/>
                <w:szCs w:val="18"/>
              </w:rPr>
            </w:pPr>
            <w:r w:rsidRPr="0051060E">
              <w:rPr>
                <w:rFonts w:ascii="Arial" w:hAnsi="Arial" w:cs="Arial"/>
                <w:b/>
                <w:spacing w:val="-3"/>
                <w:sz w:val="18"/>
                <w:szCs w:val="18"/>
              </w:rPr>
              <w:t>Australian Securities and Investments Commission</w:t>
            </w:r>
          </w:p>
        </w:tc>
        <w:tc>
          <w:tcPr>
            <w:tcW w:w="1420" w:type="dxa"/>
            <w:shd w:val="clear" w:color="auto" w:fill="FDE9D9" w:themeFill="accent6" w:themeFillTint="33"/>
            <w:vAlign w:val="center"/>
          </w:tcPr>
          <w:p w14:paraId="02A9945A" w14:textId="75112450" w:rsidR="00BA2600" w:rsidRPr="0051060E"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2/2</w:t>
            </w:r>
          </w:p>
        </w:tc>
        <w:tc>
          <w:tcPr>
            <w:tcW w:w="1105" w:type="dxa"/>
            <w:shd w:val="clear" w:color="auto" w:fill="FDE9D9" w:themeFill="accent6" w:themeFillTint="33"/>
            <w:vAlign w:val="center"/>
          </w:tcPr>
          <w:p w14:paraId="3EACEC3B" w14:textId="037576B5" w:rsidR="00BA2600" w:rsidRPr="0051060E" w:rsidRDefault="00BA2600" w:rsidP="00BA2600">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2/2</w:t>
            </w:r>
          </w:p>
        </w:tc>
        <w:tc>
          <w:tcPr>
            <w:tcW w:w="1104" w:type="dxa"/>
            <w:shd w:val="clear" w:color="auto" w:fill="FDE9D9" w:themeFill="accent6" w:themeFillTint="33"/>
            <w:vAlign w:val="center"/>
          </w:tcPr>
          <w:p w14:paraId="0AEF5B5F" w14:textId="77777777" w:rsidR="00BA2600" w:rsidRPr="0051060E" w:rsidRDefault="00BA2600" w:rsidP="00BA2600">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1B90FE04" w14:textId="3263FB5B" w:rsidR="00BA2600" w:rsidRPr="0051060E" w:rsidRDefault="00BA2600" w:rsidP="00BA2600">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$67.6</w:t>
            </w:r>
          </w:p>
        </w:tc>
      </w:tr>
      <w:tr w:rsidR="00BA2600" w14:paraId="716E2CC3" w14:textId="77777777" w:rsidTr="00212A04">
        <w:tblPrEx>
          <w:tblLook w:val="04A0" w:firstRow="1" w:lastRow="0" w:firstColumn="1" w:lastColumn="0" w:noHBand="0" w:noVBand="1"/>
        </w:tblPrEx>
        <w:trPr>
          <w:trHeight w:hRule="exact" w:val="850"/>
        </w:trPr>
        <w:tc>
          <w:tcPr>
            <w:tcW w:w="5245" w:type="dxa"/>
            <w:vAlign w:val="center"/>
          </w:tcPr>
          <w:p w14:paraId="654AE5C8" w14:textId="73DB40E1" w:rsidR="00BA2600" w:rsidRDefault="00BA2600" w:rsidP="00BA2600">
            <w:pPr>
              <w:pStyle w:val="TableParagraph"/>
              <w:kinsoku w:val="0"/>
              <w:overflowPunct w:val="0"/>
              <w:spacing w:before="120" w:line="252" w:lineRule="auto"/>
              <w:ind w:left="170" w:right="102"/>
              <w:rPr>
                <w:rFonts w:ascii="Arial" w:hAnsi="Arial" w:cs="Arial"/>
                <w:spacing w:val="-3"/>
                <w:sz w:val="18"/>
                <w:szCs w:val="18"/>
              </w:rPr>
            </w:pPr>
            <w:r>
              <w:rPr>
                <w:rFonts w:ascii="Arial" w:hAnsi="Arial" w:cs="Arial"/>
                <w:spacing w:val="-3"/>
                <w:sz w:val="18"/>
                <w:szCs w:val="18"/>
              </w:rPr>
              <w:t xml:space="preserve">Providing conditional relief from the </w:t>
            </w:r>
            <w:r w:rsidRPr="00CE2207">
              <w:rPr>
                <w:rFonts w:ascii="Arial" w:hAnsi="Arial" w:cs="Arial"/>
                <w:i/>
                <w:spacing w:val="-3"/>
                <w:sz w:val="18"/>
                <w:szCs w:val="18"/>
              </w:rPr>
              <w:t>Corporations Act 2001</w:t>
            </w:r>
            <w:r>
              <w:rPr>
                <w:rFonts w:ascii="Arial" w:hAnsi="Arial" w:cs="Arial"/>
                <w:spacing w:val="-3"/>
                <w:sz w:val="18"/>
                <w:szCs w:val="18"/>
              </w:rPr>
              <w:t xml:space="preserve"> to Charitable Schemes and the Collection of School Enrolment Deposits</w:t>
            </w:r>
          </w:p>
        </w:tc>
        <w:tc>
          <w:tcPr>
            <w:tcW w:w="1420" w:type="dxa"/>
            <w:vAlign w:val="center"/>
          </w:tcPr>
          <w:p w14:paraId="055E04FF" w14:textId="21A5BDCF" w:rsidR="00BA2600" w:rsidRDefault="00BA2600" w:rsidP="00BA2600">
            <w:pPr>
              <w:pStyle w:val="TableParagraph"/>
              <w:kinsoku w:val="0"/>
              <w:overflowPunct w:val="0"/>
              <w:spacing w:before="120"/>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02F26E3A" w14:textId="6E6F7468" w:rsidR="00BA2600" w:rsidRDefault="00BA2600" w:rsidP="00BA2600">
            <w:pPr>
              <w:pStyle w:val="TableParagraph"/>
              <w:kinsoku w:val="0"/>
              <w:overflowPunct w:val="0"/>
              <w:spacing w:before="120"/>
              <w:jc w:val="center"/>
              <w:rPr>
                <w:rFonts w:ascii="Arial" w:hAnsi="Arial" w:cs="Arial"/>
                <w:spacing w:val="-3"/>
                <w:sz w:val="18"/>
                <w:szCs w:val="18"/>
              </w:rPr>
            </w:pPr>
            <w:r>
              <w:rPr>
                <w:rFonts w:ascii="Arial" w:hAnsi="Arial" w:cs="Arial"/>
                <w:spacing w:val="-3"/>
                <w:sz w:val="18"/>
                <w:szCs w:val="18"/>
              </w:rPr>
              <w:t>Yes</w:t>
            </w:r>
          </w:p>
        </w:tc>
        <w:tc>
          <w:tcPr>
            <w:tcW w:w="1104" w:type="dxa"/>
            <w:vAlign w:val="center"/>
          </w:tcPr>
          <w:p w14:paraId="297B5467" w14:textId="44D19B30" w:rsidR="00BA2600" w:rsidRDefault="00BA2600" w:rsidP="00BA2600">
            <w:pPr>
              <w:pStyle w:val="TableParagraph"/>
              <w:kinsoku w:val="0"/>
              <w:overflowPunct w:val="0"/>
              <w:spacing w:before="120"/>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7B61C923" w14:textId="14619608" w:rsidR="00BA2600" w:rsidRDefault="00BA2600" w:rsidP="00BA2600">
            <w:pPr>
              <w:pStyle w:val="TableParagraph"/>
              <w:kinsoku w:val="0"/>
              <w:overflowPunct w:val="0"/>
              <w:spacing w:before="120"/>
              <w:ind w:right="227"/>
              <w:jc w:val="right"/>
              <w:rPr>
                <w:rFonts w:ascii="Arial" w:hAnsi="Arial" w:cs="Arial"/>
                <w:spacing w:val="-3"/>
                <w:sz w:val="18"/>
                <w:szCs w:val="18"/>
              </w:rPr>
            </w:pPr>
            <w:r>
              <w:rPr>
                <w:rFonts w:ascii="Arial" w:hAnsi="Arial" w:cs="Arial"/>
                <w:spacing w:val="-3"/>
                <w:sz w:val="18"/>
                <w:szCs w:val="18"/>
              </w:rPr>
              <w:t>$66.4</w:t>
            </w:r>
          </w:p>
        </w:tc>
      </w:tr>
      <w:tr w:rsidR="00BA2600" w14:paraId="00CE053D" w14:textId="77777777" w:rsidTr="00212A04">
        <w:tblPrEx>
          <w:tblLook w:val="04A0" w:firstRow="1" w:lastRow="0" w:firstColumn="1" w:lastColumn="0" w:noHBand="0" w:noVBand="1"/>
        </w:tblPrEx>
        <w:trPr>
          <w:trHeight w:hRule="exact" w:val="527"/>
        </w:trPr>
        <w:tc>
          <w:tcPr>
            <w:tcW w:w="5245" w:type="dxa"/>
            <w:vAlign w:val="center"/>
          </w:tcPr>
          <w:p w14:paraId="4A6E141D" w14:textId="77777777" w:rsidR="00BA2600" w:rsidRDefault="00BA2600" w:rsidP="00BA2600">
            <w:pPr>
              <w:pStyle w:val="TableParagraph"/>
              <w:kinsoku w:val="0"/>
              <w:overflowPunct w:val="0"/>
              <w:spacing w:before="50" w:line="252" w:lineRule="auto"/>
              <w:ind w:left="170" w:right="102"/>
              <w:rPr>
                <w:rFonts w:ascii="Arial" w:hAnsi="Arial" w:cs="Arial"/>
                <w:spacing w:val="-3"/>
                <w:sz w:val="18"/>
                <w:szCs w:val="18"/>
              </w:rPr>
            </w:pPr>
            <w:r>
              <w:rPr>
                <w:rFonts w:ascii="Arial" w:hAnsi="Arial" w:cs="Arial"/>
                <w:spacing w:val="-3"/>
                <w:sz w:val="18"/>
                <w:szCs w:val="18"/>
              </w:rPr>
              <w:t>Risk Management Systems of Responsible Entities</w:t>
            </w:r>
          </w:p>
        </w:tc>
        <w:tc>
          <w:tcPr>
            <w:tcW w:w="1420" w:type="dxa"/>
            <w:vAlign w:val="center"/>
          </w:tcPr>
          <w:p w14:paraId="7C067DB7"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2011C5E0"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vAlign w:val="center"/>
          </w:tcPr>
          <w:p w14:paraId="64E0E788"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231F3F59" w14:textId="40EAF9E9"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$1.2</w:t>
            </w:r>
          </w:p>
        </w:tc>
      </w:tr>
      <w:tr w:rsidR="00BA2600" w:rsidRPr="0051060E" w14:paraId="14CD40D6" w14:textId="77777777" w:rsidTr="00212A04">
        <w:tblPrEx>
          <w:tblLook w:val="04A0" w:firstRow="1" w:lastRow="0" w:firstColumn="1" w:lastColumn="0" w:noHBand="0" w:noVBand="1"/>
        </w:tblPrEx>
        <w:trPr>
          <w:trHeight w:hRule="exact" w:val="525"/>
        </w:trPr>
        <w:tc>
          <w:tcPr>
            <w:tcW w:w="5245" w:type="dxa"/>
            <w:shd w:val="clear" w:color="auto" w:fill="FDE9D9" w:themeFill="accent6" w:themeFillTint="33"/>
            <w:vAlign w:val="center"/>
          </w:tcPr>
          <w:p w14:paraId="7FF369EA" w14:textId="6C70A044" w:rsidR="00BA2600" w:rsidRPr="0051060E" w:rsidRDefault="00BA2600" w:rsidP="00BA2600">
            <w:pPr>
              <w:pStyle w:val="TableParagraph"/>
              <w:kinsoku w:val="0"/>
              <w:overflowPunct w:val="0"/>
              <w:spacing w:before="54" w:line="252" w:lineRule="auto"/>
              <w:ind w:left="170" w:right="102"/>
              <w:rPr>
                <w:rFonts w:ascii="Arial" w:hAnsi="Arial" w:cs="Arial"/>
                <w:b/>
                <w:spacing w:val="-3"/>
                <w:sz w:val="18"/>
                <w:szCs w:val="18"/>
              </w:rPr>
            </w:pPr>
            <w:r w:rsidRPr="0051060E">
              <w:rPr>
                <w:rFonts w:ascii="Arial" w:hAnsi="Arial" w:cs="Arial"/>
                <w:b/>
                <w:spacing w:val="-3"/>
                <w:sz w:val="18"/>
                <w:szCs w:val="18"/>
              </w:rPr>
              <w:t>Department of the Treasury</w:t>
            </w:r>
          </w:p>
        </w:tc>
        <w:tc>
          <w:tcPr>
            <w:tcW w:w="1420" w:type="dxa"/>
            <w:shd w:val="clear" w:color="auto" w:fill="FDE9D9" w:themeFill="accent6" w:themeFillTint="33"/>
            <w:vAlign w:val="center"/>
          </w:tcPr>
          <w:p w14:paraId="38332653" w14:textId="2C3959AD" w:rsidR="00BA2600" w:rsidRPr="0051060E" w:rsidRDefault="00BA2600" w:rsidP="00F855C5">
            <w:pPr>
              <w:pStyle w:val="TableParagraph"/>
              <w:kinsoku w:val="0"/>
              <w:overflowPunct w:val="0"/>
              <w:spacing w:before="54"/>
              <w:jc w:val="center"/>
              <w:rPr>
                <w:rFonts w:ascii="Arial" w:hAnsi="Arial" w:cs="Arial"/>
                <w:b/>
                <w:spacing w:val="-3"/>
                <w:sz w:val="18"/>
                <w:szCs w:val="18"/>
              </w:rPr>
            </w:pPr>
            <w:r w:rsidRPr="0051060E">
              <w:rPr>
                <w:rFonts w:ascii="Arial" w:hAnsi="Arial" w:cs="Arial"/>
                <w:b/>
                <w:spacing w:val="-3"/>
                <w:sz w:val="18"/>
                <w:szCs w:val="18"/>
              </w:rPr>
              <w:t>1</w:t>
            </w:r>
            <w:r w:rsidR="00F855C5">
              <w:rPr>
                <w:rFonts w:ascii="Arial" w:hAnsi="Arial" w:cs="Arial"/>
                <w:b/>
                <w:spacing w:val="-3"/>
                <w:sz w:val="18"/>
                <w:szCs w:val="18"/>
              </w:rPr>
              <w:t>3</w:t>
            </w:r>
            <w:r>
              <w:rPr>
                <w:rFonts w:ascii="Arial" w:hAnsi="Arial" w:cs="Arial"/>
                <w:b/>
                <w:spacing w:val="-3"/>
                <w:sz w:val="18"/>
                <w:szCs w:val="18"/>
              </w:rPr>
              <w:t>/1</w:t>
            </w:r>
            <w:r w:rsidR="00F855C5">
              <w:rPr>
                <w:rFonts w:ascii="Arial" w:hAnsi="Arial" w:cs="Arial"/>
                <w:b/>
                <w:spacing w:val="-3"/>
                <w:sz w:val="18"/>
                <w:szCs w:val="18"/>
              </w:rPr>
              <w:t>3</w:t>
            </w:r>
          </w:p>
        </w:tc>
        <w:tc>
          <w:tcPr>
            <w:tcW w:w="1105" w:type="dxa"/>
            <w:shd w:val="clear" w:color="auto" w:fill="FDE9D9" w:themeFill="accent6" w:themeFillTint="33"/>
            <w:vAlign w:val="center"/>
          </w:tcPr>
          <w:p w14:paraId="1D5222C9" w14:textId="004E6C1B" w:rsidR="00BA2600" w:rsidRPr="0051060E" w:rsidRDefault="00F855C5" w:rsidP="00F855C5">
            <w:pPr>
              <w:pStyle w:val="TableParagraph"/>
              <w:kinsoku w:val="0"/>
              <w:overflowPunct w:val="0"/>
              <w:spacing w:before="54"/>
              <w:jc w:val="center"/>
              <w:rPr>
                <w:rFonts w:ascii="Arial" w:hAnsi="Arial" w:cs="Arial"/>
                <w:b/>
                <w:spacing w:val="-3"/>
                <w:sz w:val="18"/>
                <w:szCs w:val="18"/>
              </w:rPr>
            </w:pPr>
            <w:r>
              <w:rPr>
                <w:rFonts w:ascii="Arial" w:hAnsi="Arial" w:cs="Arial"/>
                <w:b/>
                <w:spacing w:val="-3"/>
                <w:sz w:val="18"/>
                <w:szCs w:val="18"/>
              </w:rPr>
              <w:t>7</w:t>
            </w:r>
            <w:r w:rsidR="00BA2600">
              <w:rPr>
                <w:rFonts w:ascii="Arial" w:hAnsi="Arial" w:cs="Arial"/>
                <w:b/>
                <w:spacing w:val="-3"/>
                <w:sz w:val="18"/>
                <w:szCs w:val="18"/>
              </w:rPr>
              <w:t>/12</w:t>
            </w:r>
          </w:p>
        </w:tc>
        <w:tc>
          <w:tcPr>
            <w:tcW w:w="1104" w:type="dxa"/>
            <w:shd w:val="clear" w:color="auto" w:fill="FDE9D9" w:themeFill="accent6" w:themeFillTint="33"/>
            <w:vAlign w:val="center"/>
          </w:tcPr>
          <w:p w14:paraId="730D2A52" w14:textId="77777777" w:rsidR="00BA2600" w:rsidRPr="0051060E" w:rsidRDefault="00BA2600" w:rsidP="00BA2600">
            <w:pPr>
              <w:pStyle w:val="TableParagraph"/>
              <w:kinsoku w:val="0"/>
              <w:overflowPunct w:val="0"/>
              <w:spacing w:before="54"/>
              <w:jc w:val="center"/>
              <w:rPr>
                <w:rFonts w:ascii="Arial" w:hAnsi="Arial" w:cs="Arial"/>
                <w:b/>
                <w:spacing w:val="-3"/>
                <w:sz w:val="18"/>
                <w:szCs w:val="18"/>
              </w:rPr>
            </w:pPr>
          </w:p>
        </w:tc>
        <w:tc>
          <w:tcPr>
            <w:tcW w:w="1191" w:type="dxa"/>
            <w:shd w:val="clear" w:color="auto" w:fill="FDE9D9" w:themeFill="accent6" w:themeFillTint="33"/>
            <w:vAlign w:val="center"/>
          </w:tcPr>
          <w:p w14:paraId="5B1D798F" w14:textId="3D2E69D9" w:rsidR="00BA2600" w:rsidRPr="0051060E" w:rsidRDefault="00BA2600" w:rsidP="00BA2600">
            <w:pPr>
              <w:pStyle w:val="TableParagraph"/>
              <w:kinsoku w:val="0"/>
              <w:overflowPunct w:val="0"/>
              <w:spacing w:before="54"/>
              <w:ind w:right="227"/>
              <w:jc w:val="right"/>
              <w:rPr>
                <w:rFonts w:ascii="Arial" w:hAnsi="Arial" w:cs="Arial"/>
                <w:b/>
                <w:spacing w:val="-3"/>
                <w:sz w:val="18"/>
                <w:szCs w:val="18"/>
              </w:rPr>
            </w:pPr>
            <w:r w:rsidRPr="0051060E">
              <w:rPr>
                <w:rFonts w:ascii="Arial" w:hAnsi="Arial" w:cs="Arial"/>
                <w:b/>
                <w:spacing w:val="-3"/>
                <w:sz w:val="18"/>
                <w:szCs w:val="18"/>
              </w:rPr>
              <w:t>$</w:t>
            </w:r>
            <w:r>
              <w:rPr>
                <w:rFonts w:ascii="Arial" w:hAnsi="Arial" w:cs="Arial"/>
                <w:b/>
                <w:spacing w:val="-3"/>
                <w:sz w:val="18"/>
                <w:szCs w:val="18"/>
              </w:rPr>
              <w:t>293.5</w:t>
            </w:r>
          </w:p>
        </w:tc>
      </w:tr>
      <w:tr w:rsidR="00BA2600" w14:paraId="3126AF32" w14:textId="77777777" w:rsidTr="00212A04">
        <w:tblPrEx>
          <w:tblLook w:val="04A0" w:firstRow="1" w:lastRow="0" w:firstColumn="1" w:lastColumn="0" w:noHBand="0" w:noVBand="1"/>
        </w:tblPrEx>
        <w:trPr>
          <w:trHeight w:hRule="exact" w:val="525"/>
        </w:trPr>
        <w:tc>
          <w:tcPr>
            <w:tcW w:w="5245" w:type="dxa"/>
            <w:vAlign w:val="center"/>
          </w:tcPr>
          <w:p w14:paraId="5819DDEF" w14:textId="38FDAB54"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sidRPr="00680193">
              <w:rPr>
                <w:rFonts w:ascii="Arial" w:hAnsi="Arial" w:cs="Arial"/>
                <w:spacing w:val="-3"/>
                <w:sz w:val="18"/>
                <w:szCs w:val="18"/>
              </w:rPr>
              <w:t>Crowd Sourced Equity Funding</w:t>
            </w:r>
            <w:r>
              <w:rPr>
                <w:rFonts w:ascii="Arial" w:hAnsi="Arial" w:cs="Arial"/>
                <w:spacing w:val="-3"/>
                <w:sz w:val="18"/>
                <w:szCs w:val="18"/>
              </w:rPr>
              <w:t xml:space="preserve"> </w:t>
            </w:r>
          </w:p>
        </w:tc>
        <w:tc>
          <w:tcPr>
            <w:tcW w:w="1420" w:type="dxa"/>
            <w:vAlign w:val="center"/>
          </w:tcPr>
          <w:p w14:paraId="7363FD8D" w14:textId="09A0390C"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5E03015B" w14:textId="3AED4433"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vAlign w:val="center"/>
          </w:tcPr>
          <w:p w14:paraId="3457F8EB" w14:textId="3B5E3451"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2DF528B0" w14:textId="2DB07BFF"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$50.9</w:t>
            </w:r>
          </w:p>
        </w:tc>
      </w:tr>
      <w:tr w:rsidR="00BA2600" w14:paraId="00E8A5F8"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0CB199AC" w14:textId="2B9A4E23"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sidRPr="00287769">
              <w:rPr>
                <w:rFonts w:ascii="Arial" w:hAnsi="Arial" w:cs="Arial"/>
                <w:spacing w:val="-3"/>
                <w:sz w:val="18"/>
                <w:szCs w:val="18"/>
              </w:rPr>
              <w:t>Extending immediate deductibility threshold for small businesses</w:t>
            </w:r>
            <w:r>
              <w:rPr>
                <w:rFonts w:ascii="Arial" w:hAnsi="Arial" w:cs="Arial"/>
                <w:spacing w:val="-3"/>
                <w:sz w:val="18"/>
                <w:szCs w:val="18"/>
              </w:rPr>
              <w:t xml:space="preserve"> – Independent Review</w:t>
            </w:r>
          </w:p>
        </w:tc>
        <w:tc>
          <w:tcPr>
            <w:tcW w:w="1420" w:type="dxa"/>
            <w:shd w:val="clear" w:color="auto" w:fill="FFFFFF" w:themeFill="background1"/>
            <w:vAlign w:val="center"/>
          </w:tcPr>
          <w:p w14:paraId="14612405" w14:textId="59B4548D"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6DAF80B2" w14:textId="7A23CD6C" w:rsidR="00BA2600" w:rsidRDefault="00BA2600" w:rsidP="00BA2600">
            <w:pPr>
              <w:pStyle w:val="TableParagraph"/>
              <w:kinsoku w:val="0"/>
              <w:overflowPunct w:val="0"/>
              <w:spacing w:before="54"/>
              <w:jc w:val="center"/>
              <w:rPr>
                <w:rFonts w:ascii="Arial" w:hAnsi="Arial" w:cs="Arial"/>
                <w:spacing w:val="-3"/>
                <w:sz w:val="18"/>
                <w:szCs w:val="18"/>
              </w:rPr>
            </w:pPr>
            <w:r w:rsidRPr="00287769">
              <w:rPr>
                <w:rFonts w:ascii="Arial" w:hAnsi="Arial" w:cs="Arial"/>
                <w:spacing w:val="-3"/>
                <w:sz w:val="18"/>
                <w:szCs w:val="18"/>
              </w:rPr>
              <w:t>Yes</w:t>
            </w:r>
          </w:p>
        </w:tc>
        <w:tc>
          <w:tcPr>
            <w:tcW w:w="1104" w:type="dxa"/>
            <w:shd w:val="clear" w:color="auto" w:fill="FFFFFF" w:themeFill="background1"/>
            <w:vAlign w:val="center"/>
          </w:tcPr>
          <w:p w14:paraId="00E9254E" w14:textId="429EA84E" w:rsidR="00BA2600" w:rsidRDefault="00BA2600" w:rsidP="00BA2600">
            <w:pPr>
              <w:pStyle w:val="TableParagraph"/>
              <w:kinsoku w:val="0"/>
              <w:overflowPunct w:val="0"/>
              <w:spacing w:before="54"/>
              <w:jc w:val="center"/>
              <w:rPr>
                <w:rFonts w:ascii="Arial" w:hAnsi="Arial" w:cs="Arial"/>
                <w:spacing w:val="-3"/>
                <w:sz w:val="18"/>
                <w:szCs w:val="18"/>
              </w:rPr>
            </w:pPr>
            <w:r w:rsidRPr="00287769">
              <w:rPr>
                <w:rFonts w:ascii="Arial" w:hAnsi="Arial" w:cs="Arial"/>
                <w:spacing w:val="-3"/>
                <w:sz w:val="18"/>
                <w:szCs w:val="18"/>
              </w:rPr>
              <w:t>No</w:t>
            </w:r>
          </w:p>
        </w:tc>
        <w:tc>
          <w:tcPr>
            <w:tcW w:w="1191" w:type="dxa"/>
            <w:shd w:val="clear" w:color="auto" w:fill="FFFFFF" w:themeFill="background1"/>
            <w:vAlign w:val="center"/>
          </w:tcPr>
          <w:p w14:paraId="0B48BF89" w14:textId="1A20EF52" w:rsidR="00BA2600" w:rsidRDefault="00BA2600" w:rsidP="00BA2600">
            <w:pPr>
              <w:pStyle w:val="TableParagraph"/>
              <w:kinsoku w:val="0"/>
              <w:overflowPunct w:val="0"/>
              <w:spacing w:before="54"/>
              <w:ind w:right="227"/>
              <w:jc w:val="right"/>
              <w:rPr>
                <w:rFonts w:ascii="Arial" w:hAnsi="Arial" w:cs="Arial"/>
                <w:spacing w:val="-3"/>
                <w:sz w:val="18"/>
                <w:szCs w:val="18"/>
              </w:rPr>
            </w:pPr>
            <w:r w:rsidRPr="00287769">
              <w:rPr>
                <w:rFonts w:ascii="Arial" w:hAnsi="Arial" w:cs="Arial"/>
                <w:spacing w:val="-3"/>
                <w:sz w:val="18"/>
                <w:szCs w:val="18"/>
              </w:rPr>
              <w:t>-</w:t>
            </w:r>
            <w:r>
              <w:rPr>
                <w:rFonts w:ascii="Arial" w:hAnsi="Arial" w:cs="Arial"/>
                <w:spacing w:val="-3"/>
                <w:sz w:val="18"/>
                <w:szCs w:val="18"/>
              </w:rPr>
              <w:t>$</w:t>
            </w:r>
            <w:r w:rsidRPr="00287769">
              <w:rPr>
                <w:rFonts w:ascii="Arial" w:hAnsi="Arial" w:cs="Arial"/>
                <w:spacing w:val="-3"/>
                <w:sz w:val="18"/>
                <w:szCs w:val="18"/>
              </w:rPr>
              <w:t>2.4</w:t>
            </w:r>
          </w:p>
        </w:tc>
      </w:tr>
      <w:tr w:rsidR="00BA2600" w14:paraId="423CD211" w14:textId="77777777" w:rsidTr="00212A04">
        <w:tblPrEx>
          <w:tblLook w:val="04A0" w:firstRow="1" w:lastRow="0" w:firstColumn="1" w:lastColumn="0" w:noHBand="0" w:noVBand="1"/>
        </w:tblPrEx>
        <w:trPr>
          <w:trHeight w:hRule="exact" w:val="525"/>
        </w:trPr>
        <w:tc>
          <w:tcPr>
            <w:tcW w:w="5245" w:type="dxa"/>
            <w:vAlign w:val="center"/>
          </w:tcPr>
          <w:p w14:paraId="6A3AE88B" w14:textId="5F707FF2"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Increase in Tobacco Excises</w:t>
            </w:r>
          </w:p>
        </w:tc>
        <w:tc>
          <w:tcPr>
            <w:tcW w:w="1420" w:type="dxa"/>
            <w:vAlign w:val="center"/>
          </w:tcPr>
          <w:p w14:paraId="70F8150E" w14:textId="3773C8CA"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784C9DE3" w14:textId="0C564E31"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vAlign w:val="center"/>
          </w:tcPr>
          <w:p w14:paraId="2E520B92" w14:textId="660258E2"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1C92AE7E" w14:textId="4C1BBEB8"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$0.3</w:t>
            </w:r>
          </w:p>
        </w:tc>
      </w:tr>
      <w:tr w:rsidR="00BA2600" w14:paraId="436AE27F" w14:textId="77777777" w:rsidTr="00212A04">
        <w:tblPrEx>
          <w:tblLook w:val="04A0" w:firstRow="1" w:lastRow="0" w:firstColumn="1" w:lastColumn="0" w:noHBand="0" w:noVBand="1"/>
        </w:tblPrEx>
        <w:trPr>
          <w:trHeight w:hRule="exact" w:val="743"/>
        </w:trPr>
        <w:tc>
          <w:tcPr>
            <w:tcW w:w="5245" w:type="dxa"/>
            <w:vAlign w:val="center"/>
          </w:tcPr>
          <w:p w14:paraId="6A599153" w14:textId="625F3A62"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sidRPr="00AE00FD">
              <w:rPr>
                <w:rFonts w:ascii="Arial" w:hAnsi="Arial" w:cs="Arial"/>
                <w:spacing w:val="-3"/>
                <w:sz w:val="18"/>
                <w:szCs w:val="18"/>
              </w:rPr>
              <w:t>Industry funding for Australian Securities and Investments Commission</w:t>
            </w:r>
          </w:p>
        </w:tc>
        <w:tc>
          <w:tcPr>
            <w:tcW w:w="1420" w:type="dxa"/>
            <w:vAlign w:val="center"/>
          </w:tcPr>
          <w:p w14:paraId="092913EB" w14:textId="7AF7BDD5"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07EDCE07" w14:textId="4D90D05A"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04" w:type="dxa"/>
            <w:vAlign w:val="center"/>
          </w:tcPr>
          <w:p w14:paraId="4905AA19" w14:textId="3ABAB8AD"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795B6CD3" w14:textId="36B3CC3D"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$8.8</w:t>
            </w:r>
          </w:p>
        </w:tc>
      </w:tr>
      <w:tr w:rsidR="00BA2600" w14:paraId="24D03E5D"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3FDC0921" w14:textId="77777777"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Introduce a Diverted Profits Tax</w:t>
            </w:r>
          </w:p>
        </w:tc>
        <w:tc>
          <w:tcPr>
            <w:tcW w:w="1420" w:type="dxa"/>
            <w:shd w:val="clear" w:color="auto" w:fill="FFFFFF" w:themeFill="background1"/>
            <w:vAlign w:val="center"/>
          </w:tcPr>
          <w:p w14:paraId="7756FD0B"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5F3688D4"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FFFFFF" w:themeFill="background1"/>
            <w:vAlign w:val="center"/>
          </w:tcPr>
          <w:p w14:paraId="4A2C1431" w14:textId="7777777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180F7A37" w14:textId="77777777"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$16.4</w:t>
            </w:r>
          </w:p>
        </w:tc>
      </w:tr>
      <w:tr w:rsidR="00BA2600" w14:paraId="6C39BF6C" w14:textId="77777777" w:rsidTr="00212A04">
        <w:tblPrEx>
          <w:tblLook w:val="04A0" w:firstRow="1" w:lastRow="0" w:firstColumn="1" w:lastColumn="0" w:noHBand="0" w:noVBand="1"/>
        </w:tblPrEx>
        <w:trPr>
          <w:trHeight w:hRule="exact" w:val="525"/>
        </w:trPr>
        <w:tc>
          <w:tcPr>
            <w:tcW w:w="5245" w:type="dxa"/>
            <w:vAlign w:val="center"/>
          </w:tcPr>
          <w:p w14:paraId="740A4746" w14:textId="34737351"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Lower Business Taxes</w:t>
            </w:r>
          </w:p>
        </w:tc>
        <w:tc>
          <w:tcPr>
            <w:tcW w:w="1420" w:type="dxa"/>
            <w:vAlign w:val="center"/>
          </w:tcPr>
          <w:p w14:paraId="495D4230" w14:textId="44F3446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19C10BB9" w14:textId="14582364" w:rsidR="00BA2600" w:rsidRDefault="00BA2600" w:rsidP="00BA2600">
            <w:pPr>
              <w:pStyle w:val="TableParagraph"/>
              <w:kinsoku w:val="0"/>
              <w:overflowPunct w:val="0"/>
              <w:spacing w:before="54"/>
              <w:jc w:val="center"/>
              <w:rPr>
                <w:rFonts w:ascii="Arial" w:hAnsi="Arial" w:cs="Arial"/>
                <w:spacing w:val="-3"/>
                <w:sz w:val="18"/>
                <w:szCs w:val="18"/>
              </w:rPr>
            </w:pPr>
            <w:r w:rsidRPr="008E73B2">
              <w:rPr>
                <w:rFonts w:ascii="Arial" w:hAnsi="Arial" w:cs="Arial"/>
                <w:spacing w:val="-3"/>
                <w:sz w:val="18"/>
                <w:szCs w:val="18"/>
              </w:rPr>
              <w:t>No</w:t>
            </w:r>
          </w:p>
        </w:tc>
        <w:tc>
          <w:tcPr>
            <w:tcW w:w="1104" w:type="dxa"/>
            <w:vAlign w:val="center"/>
          </w:tcPr>
          <w:p w14:paraId="1DEB7B58" w14:textId="145277F7"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vAlign w:val="center"/>
          </w:tcPr>
          <w:p w14:paraId="6DE7AF37" w14:textId="7F7B337E"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-$32.0</w:t>
            </w:r>
          </w:p>
        </w:tc>
      </w:tr>
      <w:tr w:rsidR="00BA2600" w14:paraId="4455DD8F"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5BDD8D80" w14:textId="55B38050"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Major Bank Levy</w:t>
            </w:r>
          </w:p>
        </w:tc>
        <w:tc>
          <w:tcPr>
            <w:tcW w:w="1420" w:type="dxa"/>
            <w:shd w:val="clear" w:color="auto" w:fill="FFFFFF" w:themeFill="background1"/>
            <w:vAlign w:val="center"/>
          </w:tcPr>
          <w:p w14:paraId="5D8A5498" w14:textId="4A64DF15"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1EDC370B" w14:textId="47EA75BE" w:rsidR="00BA2600" w:rsidRDefault="00BA2600" w:rsidP="00BA2600">
            <w:pPr>
              <w:pStyle w:val="TableParagraph"/>
              <w:kinsoku w:val="0"/>
              <w:overflowPunct w:val="0"/>
              <w:spacing w:before="54"/>
              <w:jc w:val="center"/>
              <w:rPr>
                <w:rFonts w:ascii="Arial" w:hAnsi="Arial" w:cs="Arial"/>
                <w:spacing w:val="-3"/>
                <w:sz w:val="18"/>
                <w:szCs w:val="18"/>
              </w:rPr>
            </w:pPr>
            <w:r w:rsidRPr="008E73B2">
              <w:rPr>
                <w:rFonts w:ascii="Arial" w:hAnsi="Arial" w:cs="Arial"/>
                <w:spacing w:val="-3"/>
                <w:sz w:val="18"/>
                <w:szCs w:val="18"/>
              </w:rPr>
              <w:t>No</w:t>
            </w:r>
          </w:p>
        </w:tc>
        <w:tc>
          <w:tcPr>
            <w:tcW w:w="1104" w:type="dxa"/>
            <w:shd w:val="clear" w:color="auto" w:fill="FFFFFF" w:themeFill="background1"/>
            <w:vAlign w:val="center"/>
          </w:tcPr>
          <w:p w14:paraId="01386316" w14:textId="45972169"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6B3DFE68" w14:textId="6DBDED98"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$1.5</w:t>
            </w:r>
          </w:p>
        </w:tc>
      </w:tr>
      <w:tr w:rsidR="00BA2600" w14:paraId="152B4EEB"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6C672D06" w14:textId="44196C03" w:rsidR="00BA2600" w:rsidRPr="005078BC" w:rsidRDefault="00BA2600" w:rsidP="00BA2600">
            <w:pPr>
              <w:pStyle w:val="TableParagraph"/>
              <w:kinsoku w:val="0"/>
              <w:overflowPunct w:val="0"/>
              <w:spacing w:before="54" w:line="252" w:lineRule="auto"/>
              <w:ind w:left="170" w:right="102"/>
              <w:rPr>
                <w:rFonts w:ascii="Arial" w:hAnsi="Arial" w:cs="Arial"/>
                <w:spacing w:val="-3"/>
                <w:sz w:val="18"/>
                <w:szCs w:val="18"/>
              </w:rPr>
            </w:pPr>
            <w:r w:rsidRPr="00395CB7">
              <w:rPr>
                <w:rFonts w:ascii="Arial" w:hAnsi="Arial" w:cs="Arial"/>
                <w:spacing w:val="-3"/>
                <w:sz w:val="18"/>
                <w:szCs w:val="18"/>
              </w:rPr>
              <w:t>Reforms to raise the professional standard of financial advisers</w:t>
            </w:r>
            <w:r>
              <w:rPr>
                <w:rFonts w:ascii="Arial" w:hAnsi="Arial" w:cs="Arial"/>
                <w:spacing w:val="-3"/>
                <w:sz w:val="18"/>
                <w:szCs w:val="18"/>
              </w:rPr>
              <w:t xml:space="preserve"> – </w:t>
            </w:r>
            <w:r w:rsidRPr="00910F44">
              <w:rPr>
                <w:rFonts w:ascii="Arial" w:hAnsi="Arial" w:cs="Arial"/>
                <w:spacing w:val="-3"/>
                <w:sz w:val="18"/>
                <w:szCs w:val="18"/>
              </w:rPr>
              <w:t>Independent Review</w:t>
            </w:r>
          </w:p>
        </w:tc>
        <w:tc>
          <w:tcPr>
            <w:tcW w:w="1420" w:type="dxa"/>
            <w:shd w:val="clear" w:color="auto" w:fill="FFFFFF" w:themeFill="background1"/>
            <w:vAlign w:val="center"/>
          </w:tcPr>
          <w:p w14:paraId="4D373C29" w14:textId="6D50ED97" w:rsidR="00BA2600" w:rsidRPr="005078BC" w:rsidRDefault="00BA2600" w:rsidP="00BA2600">
            <w:pPr>
              <w:pStyle w:val="TableParagraph"/>
              <w:kinsoku w:val="0"/>
              <w:overflowPunct w:val="0"/>
              <w:spacing w:before="54"/>
              <w:jc w:val="center"/>
              <w:rPr>
                <w:rFonts w:ascii="Arial" w:hAnsi="Arial" w:cs="Arial"/>
                <w:spacing w:val="-3"/>
                <w:sz w:val="18"/>
                <w:szCs w:val="18"/>
              </w:rPr>
            </w:pPr>
            <w:r w:rsidRPr="00395CB7">
              <w:rPr>
                <w:rFonts w:ascii="Arial" w:hAnsi="Arial" w:cs="Arial"/>
                <w:spacing w:val="-3"/>
                <w:sz w:val="18"/>
                <w:szCs w:val="18"/>
              </w:rPr>
              <w:t>Compliant</w:t>
            </w:r>
          </w:p>
        </w:tc>
        <w:tc>
          <w:tcPr>
            <w:tcW w:w="1105" w:type="dxa"/>
            <w:shd w:val="clear" w:color="auto" w:fill="FFFFFF" w:themeFill="background1"/>
            <w:vAlign w:val="center"/>
          </w:tcPr>
          <w:p w14:paraId="5B0BC9D5" w14:textId="43156B3F" w:rsidR="00BA2600" w:rsidRPr="00AD7705" w:rsidRDefault="00BA2600" w:rsidP="00BA2600">
            <w:pPr>
              <w:pStyle w:val="TableParagraph"/>
              <w:kinsoku w:val="0"/>
              <w:overflowPunct w:val="0"/>
              <w:spacing w:before="54"/>
              <w:jc w:val="center"/>
              <w:rPr>
                <w:rFonts w:ascii="Arial" w:hAnsi="Arial" w:cs="Arial"/>
                <w:spacing w:val="-3"/>
                <w:sz w:val="18"/>
                <w:szCs w:val="18"/>
                <w:vertAlign w:val="superscript"/>
              </w:rPr>
            </w:pPr>
            <w:r w:rsidRPr="00395CB7">
              <w:rPr>
                <w:rFonts w:ascii="Arial" w:hAnsi="Arial" w:cs="Arial"/>
                <w:spacing w:val="-3"/>
                <w:sz w:val="18"/>
                <w:szCs w:val="18"/>
              </w:rPr>
              <w:t>Yes</w:t>
            </w:r>
          </w:p>
        </w:tc>
        <w:tc>
          <w:tcPr>
            <w:tcW w:w="1104" w:type="dxa"/>
            <w:shd w:val="clear" w:color="auto" w:fill="FFFFFF" w:themeFill="background1"/>
            <w:vAlign w:val="center"/>
          </w:tcPr>
          <w:p w14:paraId="6E4AE185" w14:textId="0BFD21B7" w:rsidR="00BA2600" w:rsidRPr="00395CB7" w:rsidRDefault="00BA2600" w:rsidP="00BA2600">
            <w:pPr>
              <w:pStyle w:val="TableParagraph"/>
              <w:kinsoku w:val="0"/>
              <w:overflowPunct w:val="0"/>
              <w:spacing w:before="54"/>
              <w:jc w:val="center"/>
              <w:rPr>
                <w:rFonts w:ascii="Arial" w:hAnsi="Arial" w:cs="Arial"/>
                <w:spacing w:val="-3"/>
                <w:sz w:val="18"/>
                <w:szCs w:val="18"/>
              </w:rPr>
            </w:pPr>
            <w:r w:rsidRPr="00395CB7">
              <w:rPr>
                <w:rFonts w:ascii="Arial" w:hAnsi="Arial" w:cs="Arial"/>
                <w:spacing w:val="-3"/>
                <w:sz w:val="18"/>
                <w:szCs w:val="18"/>
              </w:rPr>
              <w:t>No</w:t>
            </w:r>
          </w:p>
        </w:tc>
        <w:tc>
          <w:tcPr>
            <w:tcW w:w="1191" w:type="dxa"/>
            <w:shd w:val="clear" w:color="auto" w:fill="FFFFFF" w:themeFill="background1"/>
            <w:vAlign w:val="center"/>
          </w:tcPr>
          <w:p w14:paraId="49BA8FCC" w14:textId="09032068" w:rsidR="00BA2600" w:rsidRPr="00395CB7" w:rsidRDefault="00BA2600" w:rsidP="00BA2600">
            <w:pPr>
              <w:pStyle w:val="TableParagraph"/>
              <w:kinsoku w:val="0"/>
              <w:overflowPunct w:val="0"/>
              <w:spacing w:before="54"/>
              <w:ind w:right="227"/>
              <w:jc w:val="right"/>
              <w:rPr>
                <w:rFonts w:ascii="Arial" w:hAnsi="Arial" w:cs="Arial"/>
                <w:spacing w:val="-3"/>
                <w:sz w:val="18"/>
                <w:szCs w:val="18"/>
              </w:rPr>
            </w:pPr>
            <w:r w:rsidRPr="00395CB7">
              <w:rPr>
                <w:rFonts w:ascii="Arial" w:hAnsi="Arial" w:cs="Arial"/>
                <w:spacing w:val="-3"/>
                <w:sz w:val="18"/>
                <w:szCs w:val="18"/>
              </w:rPr>
              <w:t>$165.1</w:t>
            </w:r>
          </w:p>
        </w:tc>
      </w:tr>
      <w:tr w:rsidR="00BA2600" w14:paraId="480682EF"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13735FA3" w14:textId="13214C5C"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Register of Foreign Ownership of Water Entitlements</w:t>
            </w:r>
          </w:p>
        </w:tc>
        <w:tc>
          <w:tcPr>
            <w:tcW w:w="1420" w:type="dxa"/>
            <w:shd w:val="clear" w:color="auto" w:fill="FFFFFF" w:themeFill="background1"/>
            <w:vAlign w:val="center"/>
          </w:tcPr>
          <w:p w14:paraId="4C28AA22" w14:textId="1FE15401"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4F13C3DA" w14:textId="34459F7F"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 xml:space="preserve">Yes </w:t>
            </w:r>
          </w:p>
        </w:tc>
        <w:tc>
          <w:tcPr>
            <w:tcW w:w="1104" w:type="dxa"/>
            <w:shd w:val="clear" w:color="auto" w:fill="FFFFFF" w:themeFill="background1"/>
            <w:vAlign w:val="center"/>
          </w:tcPr>
          <w:p w14:paraId="444D5272" w14:textId="6E0497C9"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6560A77E" w14:textId="40763D7A"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$0.1</w:t>
            </w:r>
          </w:p>
        </w:tc>
      </w:tr>
      <w:tr w:rsidR="00BA2600" w14:paraId="5CF17BBE" w14:textId="77777777" w:rsidTr="00212A04">
        <w:tblPrEx>
          <w:tblLook w:val="04A0" w:firstRow="1" w:lastRow="0" w:firstColumn="1" w:lastColumn="0" w:noHBand="0" w:noVBand="1"/>
        </w:tblPrEx>
        <w:trPr>
          <w:trHeight w:hRule="exact" w:val="525"/>
        </w:trPr>
        <w:tc>
          <w:tcPr>
            <w:tcW w:w="5245" w:type="dxa"/>
            <w:vAlign w:val="center"/>
          </w:tcPr>
          <w:p w14:paraId="4BAEB11D" w14:textId="266D0E3F" w:rsidR="00BA2600" w:rsidRDefault="001A7307"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Sugar Industry Code – Prime Minister’s Exemption</w:t>
            </w:r>
          </w:p>
        </w:tc>
        <w:tc>
          <w:tcPr>
            <w:tcW w:w="1420" w:type="dxa"/>
            <w:vAlign w:val="center"/>
          </w:tcPr>
          <w:p w14:paraId="07CD9269" w14:textId="4D4C6383" w:rsidR="00BA2600" w:rsidRDefault="00BA2600" w:rsidP="00143DD7">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vAlign w:val="center"/>
          </w:tcPr>
          <w:p w14:paraId="747676B2" w14:textId="2D402D69" w:rsidR="00BA2600" w:rsidRPr="00E94292" w:rsidRDefault="001A7307" w:rsidP="001A7307">
            <w:pPr>
              <w:pStyle w:val="TableParagraph"/>
              <w:kinsoku w:val="0"/>
              <w:overflowPunct w:val="0"/>
              <w:spacing w:before="54"/>
              <w:jc w:val="center"/>
              <w:rPr>
                <w:rFonts w:ascii="Arial" w:hAnsi="Arial" w:cs="Arial"/>
                <w:spacing w:val="-3"/>
                <w:sz w:val="18"/>
                <w:szCs w:val="18"/>
                <w:vertAlign w:val="superscript"/>
              </w:rPr>
            </w:pPr>
            <w:r>
              <w:rPr>
                <w:rFonts w:ascii="Arial" w:hAnsi="Arial" w:cs="Arial"/>
                <w:spacing w:val="-3"/>
                <w:sz w:val="18"/>
                <w:szCs w:val="18"/>
              </w:rPr>
              <w:t>E/c</w:t>
            </w:r>
            <w:r w:rsidR="00BA2600">
              <w:rPr>
                <w:rStyle w:val="FootnoteReference"/>
                <w:rFonts w:ascii="Arial" w:hAnsi="Arial" w:cs="Arial"/>
                <w:spacing w:val="-3"/>
                <w:sz w:val="18"/>
                <w:szCs w:val="18"/>
              </w:rPr>
              <w:footnoteReference w:id="1"/>
            </w:r>
          </w:p>
        </w:tc>
        <w:tc>
          <w:tcPr>
            <w:tcW w:w="1104" w:type="dxa"/>
            <w:vAlign w:val="center"/>
          </w:tcPr>
          <w:p w14:paraId="7FB47F79" w14:textId="42B13410"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91" w:type="dxa"/>
            <w:vAlign w:val="center"/>
          </w:tcPr>
          <w:p w14:paraId="4A8B4C0D" w14:textId="5E5AD964"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$0.8</w:t>
            </w:r>
          </w:p>
        </w:tc>
      </w:tr>
      <w:tr w:rsidR="00BA2600" w14:paraId="56964420"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2510BB73" w14:textId="46574268"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Superannuation Reform Package</w:t>
            </w:r>
          </w:p>
        </w:tc>
        <w:tc>
          <w:tcPr>
            <w:tcW w:w="1420" w:type="dxa"/>
            <w:shd w:val="clear" w:color="auto" w:fill="FFFFFF" w:themeFill="background1"/>
            <w:vAlign w:val="center"/>
          </w:tcPr>
          <w:p w14:paraId="0DF3E634" w14:textId="3AAF2C2F"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60D2FE94" w14:textId="7FF02979" w:rsidR="00BA2600" w:rsidRDefault="00BA2600" w:rsidP="00BA2600">
            <w:pPr>
              <w:pStyle w:val="TableParagraph"/>
              <w:kinsoku w:val="0"/>
              <w:overflowPunct w:val="0"/>
              <w:spacing w:before="54"/>
              <w:jc w:val="center"/>
              <w:rPr>
                <w:rFonts w:ascii="Arial" w:hAnsi="Arial" w:cs="Arial"/>
                <w:spacing w:val="-3"/>
                <w:sz w:val="18"/>
                <w:szCs w:val="18"/>
              </w:rPr>
            </w:pPr>
            <w:r w:rsidRPr="008E73B2">
              <w:rPr>
                <w:rFonts w:ascii="Arial" w:hAnsi="Arial" w:cs="Arial"/>
                <w:spacing w:val="-3"/>
                <w:sz w:val="18"/>
                <w:szCs w:val="18"/>
              </w:rPr>
              <w:t>No</w:t>
            </w:r>
          </w:p>
        </w:tc>
        <w:tc>
          <w:tcPr>
            <w:tcW w:w="1104" w:type="dxa"/>
            <w:shd w:val="clear" w:color="auto" w:fill="FFFFFF" w:themeFill="background1"/>
            <w:vAlign w:val="center"/>
          </w:tcPr>
          <w:p w14:paraId="197D5B9E" w14:textId="3B73F986"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79308CCB" w14:textId="655DEEC4"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$80.3</w:t>
            </w:r>
          </w:p>
        </w:tc>
      </w:tr>
      <w:tr w:rsidR="00BA2600" w14:paraId="3DF9D4E1"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4D13E501" w14:textId="339C89E2"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Pr>
                <w:rFonts w:ascii="Arial" w:hAnsi="Arial" w:cs="Arial"/>
                <w:spacing w:val="-3"/>
                <w:sz w:val="18"/>
                <w:szCs w:val="18"/>
              </w:rPr>
              <w:t>Wine Equalisation Tax Rebate</w:t>
            </w:r>
          </w:p>
        </w:tc>
        <w:tc>
          <w:tcPr>
            <w:tcW w:w="1420" w:type="dxa"/>
            <w:shd w:val="clear" w:color="auto" w:fill="FFFFFF" w:themeFill="background1"/>
            <w:vAlign w:val="center"/>
          </w:tcPr>
          <w:p w14:paraId="0F453613" w14:textId="3DECA039"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6D384127" w14:textId="62837831"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Yes</w:t>
            </w:r>
          </w:p>
        </w:tc>
        <w:tc>
          <w:tcPr>
            <w:tcW w:w="1104" w:type="dxa"/>
            <w:shd w:val="clear" w:color="auto" w:fill="FFFFFF" w:themeFill="background1"/>
            <w:vAlign w:val="center"/>
          </w:tcPr>
          <w:p w14:paraId="22287599" w14:textId="44A36296"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05342EF3" w14:textId="3B9241EF"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$0.1</w:t>
            </w:r>
          </w:p>
        </w:tc>
      </w:tr>
      <w:tr w:rsidR="00BA2600" w14:paraId="0F74ACF2" w14:textId="77777777" w:rsidTr="00212A04">
        <w:tblPrEx>
          <w:tblLook w:val="04A0" w:firstRow="1" w:lastRow="0" w:firstColumn="1" w:lastColumn="0" w:noHBand="0" w:noVBand="1"/>
        </w:tblPrEx>
        <w:trPr>
          <w:trHeight w:hRule="exact" w:val="525"/>
        </w:trPr>
        <w:tc>
          <w:tcPr>
            <w:tcW w:w="5245" w:type="dxa"/>
            <w:shd w:val="clear" w:color="auto" w:fill="FFFFFF" w:themeFill="background1"/>
            <w:vAlign w:val="center"/>
          </w:tcPr>
          <w:p w14:paraId="78F79FAD" w14:textId="39FE434A" w:rsidR="00BA2600" w:rsidRDefault="00BA2600" w:rsidP="00BA2600">
            <w:pPr>
              <w:pStyle w:val="TableParagraph"/>
              <w:kinsoku w:val="0"/>
              <w:overflowPunct w:val="0"/>
              <w:spacing w:before="54" w:line="252" w:lineRule="auto"/>
              <w:ind w:left="170" w:right="102"/>
              <w:rPr>
                <w:rFonts w:ascii="Arial" w:hAnsi="Arial" w:cs="Arial"/>
                <w:spacing w:val="-3"/>
                <w:sz w:val="18"/>
                <w:szCs w:val="18"/>
              </w:rPr>
            </w:pPr>
            <w:r w:rsidRPr="005E317D">
              <w:rPr>
                <w:rFonts w:cs="Arial"/>
                <w:b/>
                <w:noProof/>
                <w:spacing w:val="-3"/>
                <w:sz w:val="18"/>
                <w:szCs w:val="18"/>
              </w:rPr>
              <mc:AlternateContent>
                <mc:Choice Requires="wps">
                  <w:drawing>
                    <wp:anchor distT="45720" distB="45720" distL="114300" distR="114300" simplePos="0" relativeHeight="251659264" behindDoc="0" locked="0" layoutInCell="1" allowOverlap="1" wp14:anchorId="3401C0BA" wp14:editId="51E1AB1F">
                      <wp:simplePos x="0" y="0"/>
                      <wp:positionH relativeFrom="page">
                        <wp:posOffset>17145</wp:posOffset>
                      </wp:positionH>
                      <wp:positionV relativeFrom="paragraph">
                        <wp:posOffset>516890</wp:posOffset>
                      </wp:positionV>
                      <wp:extent cx="6271260" cy="88773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87730"/>
                              </a:xfrm>
                              <a:prstGeom prst="rect">
                                <a:avLst/>
                              </a:prstGeom>
                              <a:solidFill>
                                <a:srgbClr val="FFFFFF"/>
                              </a:solidFill>
                              <a:ln w="9525">
                                <a:noFill/>
                                <a:miter lim="800000"/>
                                <a:headEnd/>
                                <a:tailEnd/>
                              </a:ln>
                            </wps:spPr>
                            <wps:txbx>
                              <w:txbxContent>
                                <w:p w14:paraId="6B2C6890" w14:textId="22164C72" w:rsidR="008D6419" w:rsidRDefault="008D6419" w:rsidP="007D5B75">
                                  <w:pPr>
                                    <w:spacing w:after="0"/>
                                    <w:rPr>
                                      <w:i/>
                                      <w:sz w:val="14"/>
                                    </w:rPr>
                                  </w:pPr>
                                  <w:r>
                                    <w:rPr>
                                      <w:i/>
                                      <w:sz w:val="14"/>
                                    </w:rPr>
                                    <w:t>T</w:t>
                                  </w:r>
                                  <w:r w:rsidRPr="004D051A">
                                    <w:rPr>
                                      <w:i/>
                                      <w:sz w:val="14"/>
                                    </w:rPr>
                                    <w:t>otals may not match exactly due to rounding</w:t>
                                  </w:r>
                                  <w:r>
                                    <w:rPr>
                                      <w:i/>
                                      <w:sz w:val="14"/>
                                    </w:rPr>
                                    <w:t>.</w:t>
                                  </w:r>
                                  <w:r>
                                    <w:rPr>
                                      <w:i/>
                                      <w:sz w:val="14"/>
                                    </w:rPr>
                                    <w:br/>
                                  </w:r>
                                </w:p>
                                <w:p w14:paraId="47750226" w14:textId="22AC84A8" w:rsidR="008D6419" w:rsidRDefault="008D6419" w:rsidP="007D5B75">
                                  <w:pPr>
                                    <w:rPr>
                                      <w:color w:val="4B5869"/>
                                      <w:sz w:val="15"/>
                                      <w:szCs w:val="15"/>
                                    </w:rPr>
                                  </w:pPr>
                                  <w:r w:rsidRPr="005E317D">
                                    <w:rPr>
                                      <w:rStyle w:val="FootnoteReference"/>
                                      <w:color w:val="4B5869"/>
                                      <w:sz w:val="15"/>
                                      <w:szCs w:val="15"/>
                                    </w:rPr>
                                    <w:footnoteRef/>
                                  </w:r>
                                  <w:r w:rsidRPr="005E317D">
                                    <w:rPr>
                                      <w:color w:val="4B5869"/>
                                      <w:sz w:val="15"/>
                                      <w:szCs w:val="15"/>
                                    </w:rPr>
                                    <w:t xml:space="preserve">   Prime Minister’s exemption from the requirement to complete a RIS (exceptional circumstances). </w:t>
                                  </w:r>
                                  <w:r w:rsidR="00F855C5">
                                    <w:rPr>
                                      <w:color w:val="4B5869"/>
                                      <w:sz w:val="15"/>
                                      <w:szCs w:val="15"/>
                                    </w:rPr>
                                    <w:t>Included in total count RIS compliance.</w:t>
                                  </w:r>
                                </w:p>
                                <w:p w14:paraId="16055CE6" w14:textId="77777777" w:rsidR="008D6419" w:rsidRPr="007D5B75" w:rsidRDefault="008D6419">
                                  <w:pPr>
                                    <w:rPr>
                                      <w:color w:val="4B5869"/>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1C0BA" id="_x0000_t202" coordsize="21600,21600" o:spt="202" path="m,l,21600r21600,l21600,xe">
                      <v:stroke joinstyle="miter"/>
                      <v:path gradientshapeok="t" o:connecttype="rect"/>
                    </v:shapetype>
                    <v:shape id="Text Box 2" o:spid="_x0000_s1026" type="#_x0000_t202" style="position:absolute;left:0;text-align:left;margin-left:1.35pt;margin-top:40.7pt;width:493.8pt;height:6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JAUHwIAAB0EAAAOAAAAZHJzL2Uyb0RvYy54bWysU9uO2yAQfa/Uf0C8N47d3NaKs9pmm6rS&#10;9iLt9gMwxjEqMBRI7PTrO+BsNtq+VeUBMcxwOHNmZn07aEWOwnkJpqL5ZEqJMBwaafYV/fG0e7ei&#10;xAdmGqbAiIqehKe3m7dv1r0tRQEdqEY4giDGl72taBeCLbPM805o5idghUFnC06zgKbbZ41jPaJr&#10;lRXT6SLrwTXWARfe4+396KSbhN+2godvbetFIKqiyC2k3aW9jnu2WbNy75jtJD/TYP/AQjNp8NML&#10;1D0LjByc/AtKS+7AQxsmHHQGbSu5SDlgNvn0VTaPHbMi5YLieHuRyf8/WP71+N0R2VS0yJeUGKax&#10;SE9iCOQDDKSI+vTWlxj2aDEwDHiNdU65evsA/KcnBrYdM3tx5xz0nWAN8svjy+zq6YjjI0jdf4EG&#10;v2GHAAloaJ2O4qEcBNGxTqdLbSIVjpeLYpkXC3Rx9K1Wy+X7VLyMlc+vrfPhkwBN4qGiDmuf0Nnx&#10;wYfIhpXPIfEzD0o2O6lUMty+3ipHjgz7ZJdWSuBVmDKkr+jNvJgnZAPxfWohLQP2sZIayU3jGjsr&#10;qvHRNCkkMKnGMzJR5ixPVGTUJgz1gIFRsxqaEwrlYOxXnC88dOB+U9Jjr1bU/zowJyhRnw2KfZPP&#10;ZrG5kzGbLws03LWnvvYwwxGqooGS8bgNaSCiDgbusCitTHq9MDlzxR5MMp7nJTb5tZ2iXqZ68wcA&#10;AP//AwBQSwMEFAAGAAgAAAAhADVCstreAAAACAEAAA8AAABkcnMvZG93bnJldi54bWxMj8FOwzAQ&#10;RO9I/IO1lbgg6iSUpglxKkAC9drSD9jE2yRqvI5it0n/HnOC4+yMZt4W29n04kqj6ywriJcRCOLa&#10;6o4bBcfvz6cNCOeRNfaWScGNHGzL+7sCc20n3tP14BsRStjlqKD1fsildHVLBt3SDsTBO9nRoA9y&#10;bKQecQrlppdJFK2lwY7DQosDfbRUnw8Xo+C0mx5fsqn68sd0v1q/Y5dW9qbUw2J+ewXhafZ/YfjF&#10;D+hQBqbKXlg70StI0hBUsIlXIIKdZdEziCrckzgBWRby/wPlDwAAAP//AwBQSwECLQAUAAYACAAA&#10;ACEAtoM4kv4AAADhAQAAEwAAAAAAAAAAAAAAAAAAAAAAW0NvbnRlbnRfVHlwZXNdLnhtbFBLAQIt&#10;ABQABgAIAAAAIQA4/SH/1gAAAJQBAAALAAAAAAAAAAAAAAAAAC8BAABfcmVscy8ucmVsc1BLAQIt&#10;ABQABgAIAAAAIQD17JAUHwIAAB0EAAAOAAAAAAAAAAAAAAAAAC4CAABkcnMvZTJvRG9jLnhtbFBL&#10;AQItABQABgAIAAAAIQA1QrLa3gAAAAgBAAAPAAAAAAAAAAAAAAAAAHkEAABkcnMvZG93bnJldi54&#10;bWxQSwUGAAAAAAQABADzAAAAhAUAAAAA&#10;" stroked="f">
                      <v:textbox>
                        <w:txbxContent>
                          <w:p w14:paraId="6B2C6890" w14:textId="22164C72" w:rsidR="008D6419" w:rsidRDefault="008D6419" w:rsidP="007D5B75">
                            <w:pPr>
                              <w:spacing w:after="0"/>
                              <w:rPr>
                                <w:i/>
                                <w:sz w:val="14"/>
                              </w:rPr>
                            </w:pPr>
                            <w:r>
                              <w:rPr>
                                <w:i/>
                                <w:sz w:val="14"/>
                              </w:rPr>
                              <w:t>T</w:t>
                            </w:r>
                            <w:r w:rsidRPr="004D051A">
                              <w:rPr>
                                <w:i/>
                                <w:sz w:val="14"/>
                              </w:rPr>
                              <w:t>otals may not match exactly due to rounding</w:t>
                            </w:r>
                            <w:r>
                              <w:rPr>
                                <w:i/>
                                <w:sz w:val="14"/>
                              </w:rPr>
                              <w:t>.</w:t>
                            </w:r>
                            <w:r>
                              <w:rPr>
                                <w:i/>
                                <w:sz w:val="14"/>
                              </w:rPr>
                              <w:br/>
                            </w:r>
                          </w:p>
                          <w:p w14:paraId="47750226" w14:textId="22AC84A8" w:rsidR="008D6419" w:rsidRDefault="008D6419" w:rsidP="007D5B75">
                            <w:pPr>
                              <w:rPr>
                                <w:color w:val="4B5869"/>
                                <w:sz w:val="15"/>
                                <w:szCs w:val="15"/>
                              </w:rPr>
                            </w:pPr>
                            <w:r w:rsidRPr="005E317D">
                              <w:rPr>
                                <w:rStyle w:val="FootnoteReference"/>
                                <w:color w:val="4B5869"/>
                                <w:sz w:val="15"/>
                                <w:szCs w:val="15"/>
                              </w:rPr>
                              <w:footnoteRef/>
                            </w:r>
                            <w:r w:rsidRPr="005E317D">
                              <w:rPr>
                                <w:color w:val="4B5869"/>
                                <w:sz w:val="15"/>
                                <w:szCs w:val="15"/>
                              </w:rPr>
                              <w:t xml:space="preserve">   Prime Minister’s exemption from the requirement to complete a RIS (exceptional circumstances). </w:t>
                            </w:r>
                            <w:r w:rsidR="00F855C5">
                              <w:rPr>
                                <w:color w:val="4B5869"/>
                                <w:sz w:val="15"/>
                                <w:szCs w:val="15"/>
                              </w:rPr>
                              <w:t>Included in total count RIS compliance.</w:t>
                            </w:r>
                          </w:p>
                          <w:p w14:paraId="16055CE6" w14:textId="77777777" w:rsidR="008D6419" w:rsidRPr="007D5B75" w:rsidRDefault="008D6419">
                            <w:pPr>
                              <w:rPr>
                                <w:color w:val="4B5869"/>
                                <w:sz w:val="15"/>
                                <w:szCs w:val="15"/>
                              </w:rPr>
                            </w:pPr>
                          </w:p>
                        </w:txbxContent>
                      </v:textbox>
                      <w10:wrap anchorx="page"/>
                    </v:shape>
                  </w:pict>
                </mc:Fallback>
              </mc:AlternateContent>
            </w:r>
            <w:r>
              <w:rPr>
                <w:rFonts w:ascii="Arial" w:hAnsi="Arial" w:cs="Arial"/>
                <w:spacing w:val="-3"/>
                <w:sz w:val="18"/>
                <w:szCs w:val="18"/>
              </w:rPr>
              <w:t>Working Holiday Makers</w:t>
            </w:r>
          </w:p>
        </w:tc>
        <w:tc>
          <w:tcPr>
            <w:tcW w:w="1420" w:type="dxa"/>
            <w:shd w:val="clear" w:color="auto" w:fill="FFFFFF" w:themeFill="background1"/>
            <w:vAlign w:val="center"/>
          </w:tcPr>
          <w:p w14:paraId="4EB5B0F3" w14:textId="5BA59138"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Compliant</w:t>
            </w:r>
          </w:p>
        </w:tc>
        <w:tc>
          <w:tcPr>
            <w:tcW w:w="1105" w:type="dxa"/>
            <w:shd w:val="clear" w:color="auto" w:fill="FFFFFF" w:themeFill="background1"/>
            <w:vAlign w:val="center"/>
          </w:tcPr>
          <w:p w14:paraId="2B5232EB" w14:textId="3F8CF586"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04" w:type="dxa"/>
            <w:shd w:val="clear" w:color="auto" w:fill="FFFFFF" w:themeFill="background1"/>
            <w:vAlign w:val="center"/>
          </w:tcPr>
          <w:p w14:paraId="0B7836A5" w14:textId="2E3E089B" w:rsidR="00BA2600" w:rsidRDefault="00BA2600" w:rsidP="00BA2600">
            <w:pPr>
              <w:pStyle w:val="TableParagraph"/>
              <w:kinsoku w:val="0"/>
              <w:overflowPunct w:val="0"/>
              <w:spacing w:before="54"/>
              <w:jc w:val="center"/>
              <w:rPr>
                <w:rFonts w:ascii="Arial" w:hAnsi="Arial" w:cs="Arial"/>
                <w:spacing w:val="-3"/>
                <w:sz w:val="18"/>
                <w:szCs w:val="18"/>
              </w:rPr>
            </w:pPr>
            <w:r>
              <w:rPr>
                <w:rFonts w:ascii="Arial" w:hAnsi="Arial" w:cs="Arial"/>
                <w:spacing w:val="-3"/>
                <w:sz w:val="18"/>
                <w:szCs w:val="18"/>
              </w:rPr>
              <w:t>No</w:t>
            </w:r>
          </w:p>
        </w:tc>
        <w:tc>
          <w:tcPr>
            <w:tcW w:w="1191" w:type="dxa"/>
            <w:shd w:val="clear" w:color="auto" w:fill="FFFFFF" w:themeFill="background1"/>
            <w:vAlign w:val="center"/>
          </w:tcPr>
          <w:p w14:paraId="1DD5002E" w14:textId="4B2EB1A4" w:rsidR="00BA2600" w:rsidRDefault="00BA2600" w:rsidP="00BA2600">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$3.6</w:t>
            </w:r>
          </w:p>
        </w:tc>
      </w:tr>
    </w:tbl>
    <w:p w14:paraId="52D87F6E" w14:textId="77777777" w:rsidR="009465BE" w:rsidRDefault="00220271" w:rsidP="00270542">
      <w:pPr>
        <w:pStyle w:val="TOC1"/>
        <w:rPr>
          <w:noProof/>
        </w:rPr>
      </w:pPr>
      <w:bookmarkStart w:id="202" w:name="_Toc384306618"/>
      <w:bookmarkStart w:id="203" w:name="_Toc379802376"/>
      <w:bookmarkStart w:id="204" w:name="_Toc379801138"/>
      <w:bookmarkStart w:id="205" w:name="_Toc383790361"/>
      <w:bookmarkStart w:id="206" w:name="_Toc384366788"/>
      <w:bookmarkStart w:id="207" w:name="_Toc387412050"/>
      <w:bookmarkStart w:id="208" w:name="_Toc391977611"/>
      <w:bookmarkStart w:id="209" w:name="_Toc391985275"/>
      <w:bookmarkStart w:id="210" w:name="_Toc391985779"/>
      <w:bookmarkStart w:id="211" w:name="_Toc391985817"/>
      <w:bookmarkStart w:id="212" w:name="_Toc392582656"/>
      <w:bookmarkStart w:id="213" w:name="_Toc392583995"/>
      <w:bookmarkStart w:id="214" w:name="_Toc392751706"/>
      <w:bookmarkStart w:id="215" w:name="_Toc392852658"/>
      <w:bookmarkStart w:id="216" w:name="_Toc396743526"/>
      <w:bookmarkStart w:id="217" w:name="_Toc400100729"/>
      <w:bookmarkStart w:id="218" w:name="_Toc400101008"/>
      <w:bookmarkStart w:id="219" w:name="_Toc400104320"/>
      <w:bookmarkStart w:id="220" w:name="_Toc428954726"/>
      <w:bookmarkStart w:id="221" w:name="_Toc429569665"/>
      <w:bookmarkStart w:id="222" w:name="_Toc431304199"/>
      <w:bookmarkStart w:id="223" w:name="_Toc432065994"/>
      <w:bookmarkStart w:id="224" w:name="_Toc433796193"/>
      <w:bookmarkStart w:id="225" w:name="_Toc434404670"/>
      <w:bookmarkStart w:id="226" w:name="_Toc440527070"/>
      <w:bookmarkStart w:id="227" w:name="_Toc441740033"/>
      <w:bookmarkStart w:id="228" w:name="_Toc442184025"/>
      <w:bookmarkStart w:id="229" w:name="_Toc445381159"/>
      <w:bookmarkStart w:id="230" w:name="_Toc445912517"/>
      <w:bookmarkStart w:id="231" w:name="_Toc448236783"/>
      <w:bookmarkStart w:id="232" w:name="_Toc448329042"/>
      <w:bookmarkStart w:id="233" w:name="_Toc448925697"/>
      <w:bookmarkStart w:id="234" w:name="_Toc452383336"/>
      <w:bookmarkStart w:id="235" w:name="_Toc452383405"/>
      <w:bookmarkStart w:id="236" w:name="_Toc452733566"/>
      <w:bookmarkStart w:id="237" w:name="_Toc457809485"/>
      <w:bookmarkStart w:id="238" w:name="_Toc459818786"/>
      <w:bookmarkStart w:id="239" w:name="_Toc461110753"/>
      <w:bookmarkStart w:id="240" w:name="_Toc463961252"/>
      <w:bookmarkStart w:id="241" w:name="_Toc463967208"/>
      <w:bookmarkStart w:id="242" w:name="_Toc473644386"/>
      <w:r w:rsidRPr="00F236C2">
        <w:t>Contents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3047C0">
        <w:rPr>
          <w:b w:val="0"/>
          <w:spacing w:val="-6"/>
          <w:sz w:val="26"/>
          <w:szCs w:val="26"/>
        </w:rPr>
        <w:fldChar w:fldCharType="begin"/>
      </w:r>
      <w:r w:rsidRPr="003047C0">
        <w:rPr>
          <w:b w:val="0"/>
        </w:rPr>
        <w:instrText xml:space="preserve"> TOC \o "</w:instrText>
      </w:r>
      <w:r w:rsidR="003E6252" w:rsidRPr="003047C0">
        <w:rPr>
          <w:b w:val="0"/>
        </w:rPr>
        <w:instrText>2</w:instrText>
      </w:r>
      <w:r w:rsidRPr="003047C0">
        <w:rPr>
          <w:b w:val="0"/>
        </w:rPr>
        <w:instrText xml:space="preserve">-3" \h \z \u </w:instrText>
      </w:r>
      <w:r w:rsidRPr="003047C0">
        <w:rPr>
          <w:b w:val="0"/>
          <w:spacing w:val="-6"/>
          <w:sz w:val="26"/>
          <w:szCs w:val="26"/>
        </w:rPr>
        <w:fldChar w:fldCharType="separate"/>
      </w:r>
    </w:p>
    <w:p w14:paraId="569D926D" w14:textId="2C6246FD" w:rsidR="009465BE" w:rsidRDefault="00C81435" w:rsidP="009465BE">
      <w:pPr>
        <w:pStyle w:val="TOC2"/>
        <w:rPr>
          <w:rFonts w:asciiTheme="minorHAnsi" w:eastAsiaTheme="minorEastAsia" w:hAnsiTheme="minorHAnsi" w:cstheme="minorBidi"/>
          <w:noProof/>
          <w:szCs w:val="22"/>
          <w:lang w:eastAsia="en-AU"/>
        </w:rPr>
      </w:pPr>
      <w:hyperlink w:anchor="_Toc5375750" w:history="1">
        <w:r w:rsidR="009465BE" w:rsidRPr="00782747">
          <w:rPr>
            <w:rStyle w:val="Hyperlink"/>
            <w:noProof/>
          </w:rPr>
          <w:t>Detailed information</w:t>
        </w:r>
        <w:r w:rsidR="009465BE">
          <w:rPr>
            <w:noProof/>
            <w:webHidden/>
          </w:rPr>
          <w:tab/>
        </w:r>
        <w:r w:rsidR="009465BE">
          <w:rPr>
            <w:noProof/>
            <w:webHidden/>
          </w:rPr>
          <w:fldChar w:fldCharType="begin"/>
        </w:r>
        <w:r w:rsidR="009465BE">
          <w:rPr>
            <w:noProof/>
            <w:webHidden/>
          </w:rPr>
          <w:instrText xml:space="preserve"> PAGEREF _Toc5375750 \h </w:instrText>
        </w:r>
        <w:r w:rsidR="009465BE">
          <w:rPr>
            <w:noProof/>
            <w:webHidden/>
          </w:rPr>
        </w:r>
        <w:r w:rsidR="009465BE">
          <w:rPr>
            <w:noProof/>
            <w:webHidden/>
          </w:rPr>
          <w:fldChar w:fldCharType="separate"/>
        </w:r>
        <w:r w:rsidR="008D6419">
          <w:rPr>
            <w:noProof/>
            <w:webHidden/>
          </w:rPr>
          <w:t>6</w:t>
        </w:r>
        <w:r w:rsidR="009465BE">
          <w:rPr>
            <w:noProof/>
            <w:webHidden/>
          </w:rPr>
          <w:fldChar w:fldCharType="end"/>
        </w:r>
      </w:hyperlink>
    </w:p>
    <w:p w14:paraId="760735E9" w14:textId="3449B362" w:rsidR="009465BE" w:rsidRDefault="00C81435">
      <w:pPr>
        <w:pStyle w:val="TOC3"/>
        <w:rPr>
          <w:rFonts w:asciiTheme="minorHAnsi" w:eastAsiaTheme="minorEastAsia" w:hAnsiTheme="minorHAnsi" w:cstheme="minorBidi"/>
          <w:bCs w:val="0"/>
          <w:spacing w:val="0"/>
          <w:szCs w:val="22"/>
          <w:lang w:eastAsia="en-AU"/>
        </w:rPr>
      </w:pPr>
      <w:hyperlink w:anchor="_Toc5375751" w:history="1">
        <w:r w:rsidR="009465BE" w:rsidRPr="00782747">
          <w:rPr>
            <w:rStyle w:val="Hyperlink"/>
          </w:rPr>
          <w:t>Department of Agriculture and Water Resources</w:t>
        </w:r>
        <w:r w:rsidR="009465BE">
          <w:rPr>
            <w:webHidden/>
          </w:rPr>
          <w:tab/>
        </w:r>
        <w:r w:rsidR="009465BE">
          <w:rPr>
            <w:webHidden/>
          </w:rPr>
          <w:fldChar w:fldCharType="begin"/>
        </w:r>
        <w:r w:rsidR="009465BE">
          <w:rPr>
            <w:webHidden/>
          </w:rPr>
          <w:instrText xml:space="preserve"> PAGEREF _Toc5375751 \h </w:instrText>
        </w:r>
        <w:r w:rsidR="009465BE">
          <w:rPr>
            <w:webHidden/>
          </w:rPr>
        </w:r>
        <w:r w:rsidR="009465BE">
          <w:rPr>
            <w:webHidden/>
          </w:rPr>
          <w:fldChar w:fldCharType="separate"/>
        </w:r>
        <w:r w:rsidR="008D6419">
          <w:rPr>
            <w:webHidden/>
          </w:rPr>
          <w:t>6</w:t>
        </w:r>
        <w:r w:rsidR="009465BE">
          <w:rPr>
            <w:webHidden/>
          </w:rPr>
          <w:fldChar w:fldCharType="end"/>
        </w:r>
      </w:hyperlink>
    </w:p>
    <w:p w14:paraId="0DAC3571" w14:textId="0D623D45" w:rsidR="009465BE" w:rsidRDefault="00C81435">
      <w:pPr>
        <w:pStyle w:val="TOC3"/>
        <w:rPr>
          <w:rFonts w:asciiTheme="minorHAnsi" w:eastAsiaTheme="minorEastAsia" w:hAnsiTheme="minorHAnsi" w:cstheme="minorBidi"/>
          <w:bCs w:val="0"/>
          <w:spacing w:val="0"/>
          <w:szCs w:val="22"/>
          <w:lang w:eastAsia="en-AU"/>
        </w:rPr>
      </w:pPr>
      <w:hyperlink w:anchor="_Toc5375752" w:history="1">
        <w:r w:rsidR="009465BE" w:rsidRPr="00782747">
          <w:rPr>
            <w:rStyle w:val="Hyperlink"/>
          </w:rPr>
          <w:t>Attorney-General’s Department</w:t>
        </w:r>
        <w:r w:rsidR="009465BE">
          <w:rPr>
            <w:webHidden/>
          </w:rPr>
          <w:tab/>
        </w:r>
        <w:r w:rsidR="009465BE">
          <w:rPr>
            <w:webHidden/>
          </w:rPr>
          <w:fldChar w:fldCharType="begin"/>
        </w:r>
        <w:r w:rsidR="009465BE">
          <w:rPr>
            <w:webHidden/>
          </w:rPr>
          <w:instrText xml:space="preserve"> PAGEREF _Toc5375752 \h </w:instrText>
        </w:r>
        <w:r w:rsidR="009465BE">
          <w:rPr>
            <w:webHidden/>
          </w:rPr>
        </w:r>
        <w:r w:rsidR="009465BE">
          <w:rPr>
            <w:webHidden/>
          </w:rPr>
          <w:fldChar w:fldCharType="separate"/>
        </w:r>
        <w:r w:rsidR="008D6419">
          <w:rPr>
            <w:webHidden/>
          </w:rPr>
          <w:t>6</w:t>
        </w:r>
        <w:r w:rsidR="009465BE">
          <w:rPr>
            <w:webHidden/>
          </w:rPr>
          <w:fldChar w:fldCharType="end"/>
        </w:r>
      </w:hyperlink>
    </w:p>
    <w:p w14:paraId="228AE507" w14:textId="6C7FF223" w:rsidR="009465BE" w:rsidRDefault="00C81435">
      <w:pPr>
        <w:pStyle w:val="TOC3"/>
        <w:rPr>
          <w:rFonts w:asciiTheme="minorHAnsi" w:eastAsiaTheme="minorEastAsia" w:hAnsiTheme="minorHAnsi" w:cstheme="minorBidi"/>
          <w:bCs w:val="0"/>
          <w:spacing w:val="0"/>
          <w:szCs w:val="22"/>
          <w:lang w:eastAsia="en-AU"/>
        </w:rPr>
      </w:pPr>
      <w:hyperlink w:anchor="_Toc5375753" w:history="1">
        <w:r w:rsidR="009465BE" w:rsidRPr="00782747">
          <w:rPr>
            <w:rStyle w:val="Hyperlink"/>
          </w:rPr>
          <w:t>Department of Communications and the Arts</w:t>
        </w:r>
        <w:r w:rsidR="009465BE">
          <w:rPr>
            <w:webHidden/>
          </w:rPr>
          <w:tab/>
        </w:r>
        <w:r w:rsidR="009465BE">
          <w:rPr>
            <w:webHidden/>
          </w:rPr>
          <w:fldChar w:fldCharType="begin"/>
        </w:r>
        <w:r w:rsidR="009465BE">
          <w:rPr>
            <w:webHidden/>
          </w:rPr>
          <w:instrText xml:space="preserve"> PAGEREF _Toc5375753 \h </w:instrText>
        </w:r>
        <w:r w:rsidR="009465BE">
          <w:rPr>
            <w:webHidden/>
          </w:rPr>
        </w:r>
        <w:r w:rsidR="009465BE">
          <w:rPr>
            <w:webHidden/>
          </w:rPr>
          <w:fldChar w:fldCharType="separate"/>
        </w:r>
        <w:r w:rsidR="008D6419">
          <w:rPr>
            <w:webHidden/>
          </w:rPr>
          <w:t>7</w:t>
        </w:r>
        <w:r w:rsidR="009465BE">
          <w:rPr>
            <w:webHidden/>
          </w:rPr>
          <w:fldChar w:fldCharType="end"/>
        </w:r>
      </w:hyperlink>
    </w:p>
    <w:p w14:paraId="45810121" w14:textId="577A4FD8" w:rsidR="009465BE" w:rsidRDefault="00C81435">
      <w:pPr>
        <w:pStyle w:val="TOC3"/>
        <w:rPr>
          <w:rFonts w:asciiTheme="minorHAnsi" w:eastAsiaTheme="minorEastAsia" w:hAnsiTheme="minorHAnsi" w:cstheme="minorBidi"/>
          <w:bCs w:val="0"/>
          <w:spacing w:val="0"/>
          <w:szCs w:val="22"/>
          <w:lang w:eastAsia="en-AU"/>
        </w:rPr>
      </w:pPr>
      <w:hyperlink w:anchor="_Toc5375754" w:history="1">
        <w:r w:rsidR="009465BE" w:rsidRPr="00782747">
          <w:rPr>
            <w:rStyle w:val="Hyperlink"/>
          </w:rPr>
          <w:t>Department of Education and Training</w:t>
        </w:r>
        <w:r w:rsidR="009465BE">
          <w:rPr>
            <w:webHidden/>
          </w:rPr>
          <w:tab/>
        </w:r>
        <w:r w:rsidR="009465BE">
          <w:rPr>
            <w:webHidden/>
          </w:rPr>
          <w:fldChar w:fldCharType="begin"/>
        </w:r>
        <w:r w:rsidR="009465BE">
          <w:rPr>
            <w:webHidden/>
          </w:rPr>
          <w:instrText xml:space="preserve"> PAGEREF _Toc5375754 \h </w:instrText>
        </w:r>
        <w:r w:rsidR="009465BE">
          <w:rPr>
            <w:webHidden/>
          </w:rPr>
        </w:r>
        <w:r w:rsidR="009465BE">
          <w:rPr>
            <w:webHidden/>
          </w:rPr>
          <w:fldChar w:fldCharType="separate"/>
        </w:r>
        <w:r w:rsidR="008D6419">
          <w:rPr>
            <w:webHidden/>
          </w:rPr>
          <w:t>7</w:t>
        </w:r>
        <w:r w:rsidR="009465BE">
          <w:rPr>
            <w:webHidden/>
          </w:rPr>
          <w:fldChar w:fldCharType="end"/>
        </w:r>
      </w:hyperlink>
    </w:p>
    <w:p w14:paraId="011522B0" w14:textId="1C1A33EB" w:rsidR="009465BE" w:rsidRDefault="00C81435">
      <w:pPr>
        <w:pStyle w:val="TOC3"/>
        <w:rPr>
          <w:rFonts w:asciiTheme="minorHAnsi" w:eastAsiaTheme="minorEastAsia" w:hAnsiTheme="minorHAnsi" w:cstheme="minorBidi"/>
          <w:bCs w:val="0"/>
          <w:spacing w:val="0"/>
          <w:szCs w:val="22"/>
          <w:lang w:eastAsia="en-AU"/>
        </w:rPr>
      </w:pPr>
      <w:hyperlink w:anchor="_Toc5375755" w:history="1">
        <w:r w:rsidR="009465BE" w:rsidRPr="00782747">
          <w:rPr>
            <w:rStyle w:val="Hyperlink"/>
          </w:rPr>
          <w:t>Department of Employment</w:t>
        </w:r>
        <w:r w:rsidR="009465BE">
          <w:rPr>
            <w:webHidden/>
          </w:rPr>
          <w:tab/>
        </w:r>
        <w:r w:rsidR="009465BE">
          <w:rPr>
            <w:webHidden/>
          </w:rPr>
          <w:fldChar w:fldCharType="begin"/>
        </w:r>
        <w:r w:rsidR="009465BE">
          <w:rPr>
            <w:webHidden/>
          </w:rPr>
          <w:instrText xml:space="preserve"> PAGEREF _Toc5375755 \h </w:instrText>
        </w:r>
        <w:r w:rsidR="009465BE">
          <w:rPr>
            <w:webHidden/>
          </w:rPr>
        </w:r>
        <w:r w:rsidR="009465BE">
          <w:rPr>
            <w:webHidden/>
          </w:rPr>
          <w:fldChar w:fldCharType="separate"/>
        </w:r>
        <w:r w:rsidR="008D6419">
          <w:rPr>
            <w:webHidden/>
          </w:rPr>
          <w:t>8</w:t>
        </w:r>
        <w:r w:rsidR="009465BE">
          <w:rPr>
            <w:webHidden/>
          </w:rPr>
          <w:fldChar w:fldCharType="end"/>
        </w:r>
      </w:hyperlink>
    </w:p>
    <w:p w14:paraId="22E0694B" w14:textId="0FE3287A" w:rsidR="009465BE" w:rsidRDefault="00C81435">
      <w:pPr>
        <w:pStyle w:val="TOC3"/>
        <w:rPr>
          <w:rFonts w:asciiTheme="minorHAnsi" w:eastAsiaTheme="minorEastAsia" w:hAnsiTheme="minorHAnsi" w:cstheme="minorBidi"/>
          <w:bCs w:val="0"/>
          <w:spacing w:val="0"/>
          <w:szCs w:val="22"/>
          <w:lang w:eastAsia="en-AU"/>
        </w:rPr>
      </w:pPr>
      <w:hyperlink w:anchor="_Toc5375756" w:history="1">
        <w:r w:rsidR="009465BE" w:rsidRPr="00782747">
          <w:rPr>
            <w:rStyle w:val="Hyperlink"/>
          </w:rPr>
          <w:t>Department of Foreign Affairs and Trade</w:t>
        </w:r>
        <w:r w:rsidR="009465BE">
          <w:rPr>
            <w:webHidden/>
          </w:rPr>
          <w:tab/>
        </w:r>
        <w:r w:rsidR="009465BE">
          <w:rPr>
            <w:webHidden/>
          </w:rPr>
          <w:fldChar w:fldCharType="begin"/>
        </w:r>
        <w:r w:rsidR="009465BE">
          <w:rPr>
            <w:webHidden/>
          </w:rPr>
          <w:instrText xml:space="preserve"> PAGEREF _Toc5375756 \h </w:instrText>
        </w:r>
        <w:r w:rsidR="009465BE">
          <w:rPr>
            <w:webHidden/>
          </w:rPr>
        </w:r>
        <w:r w:rsidR="009465BE">
          <w:rPr>
            <w:webHidden/>
          </w:rPr>
          <w:fldChar w:fldCharType="separate"/>
        </w:r>
        <w:r w:rsidR="008D6419">
          <w:rPr>
            <w:webHidden/>
          </w:rPr>
          <w:t>9</w:t>
        </w:r>
        <w:r w:rsidR="009465BE">
          <w:rPr>
            <w:webHidden/>
          </w:rPr>
          <w:fldChar w:fldCharType="end"/>
        </w:r>
      </w:hyperlink>
    </w:p>
    <w:p w14:paraId="1634344C" w14:textId="17A77738" w:rsidR="009465BE" w:rsidRDefault="00C81435">
      <w:pPr>
        <w:pStyle w:val="TOC3"/>
        <w:rPr>
          <w:rFonts w:asciiTheme="minorHAnsi" w:eastAsiaTheme="minorEastAsia" w:hAnsiTheme="minorHAnsi" w:cstheme="minorBidi"/>
          <w:bCs w:val="0"/>
          <w:spacing w:val="0"/>
          <w:szCs w:val="22"/>
          <w:lang w:eastAsia="en-AU"/>
        </w:rPr>
      </w:pPr>
      <w:hyperlink w:anchor="_Toc5375757" w:history="1">
        <w:r w:rsidR="009465BE" w:rsidRPr="00782747">
          <w:rPr>
            <w:rStyle w:val="Hyperlink"/>
          </w:rPr>
          <w:t>Department of Health</w:t>
        </w:r>
        <w:r w:rsidR="009465BE">
          <w:rPr>
            <w:webHidden/>
          </w:rPr>
          <w:tab/>
        </w:r>
        <w:r w:rsidR="009465BE">
          <w:rPr>
            <w:webHidden/>
          </w:rPr>
          <w:fldChar w:fldCharType="begin"/>
        </w:r>
        <w:r w:rsidR="009465BE">
          <w:rPr>
            <w:webHidden/>
          </w:rPr>
          <w:instrText xml:space="preserve"> PAGEREF _Toc5375757 \h </w:instrText>
        </w:r>
        <w:r w:rsidR="009465BE">
          <w:rPr>
            <w:webHidden/>
          </w:rPr>
        </w:r>
        <w:r w:rsidR="009465BE">
          <w:rPr>
            <w:webHidden/>
          </w:rPr>
          <w:fldChar w:fldCharType="separate"/>
        </w:r>
        <w:r w:rsidR="008D6419">
          <w:rPr>
            <w:webHidden/>
          </w:rPr>
          <w:t>9</w:t>
        </w:r>
        <w:r w:rsidR="009465BE">
          <w:rPr>
            <w:webHidden/>
          </w:rPr>
          <w:fldChar w:fldCharType="end"/>
        </w:r>
      </w:hyperlink>
    </w:p>
    <w:p w14:paraId="6BC7029D" w14:textId="14295659" w:rsidR="009465BE" w:rsidRDefault="00C81435">
      <w:pPr>
        <w:pStyle w:val="TOC3"/>
        <w:rPr>
          <w:rFonts w:asciiTheme="minorHAnsi" w:eastAsiaTheme="minorEastAsia" w:hAnsiTheme="minorHAnsi" w:cstheme="minorBidi"/>
          <w:bCs w:val="0"/>
          <w:spacing w:val="0"/>
          <w:szCs w:val="22"/>
          <w:lang w:eastAsia="en-AU"/>
        </w:rPr>
      </w:pPr>
      <w:hyperlink w:anchor="_Toc5375758" w:history="1">
        <w:r w:rsidR="009465BE" w:rsidRPr="00782747">
          <w:rPr>
            <w:rStyle w:val="Hyperlink"/>
          </w:rPr>
          <w:t>Department of Immigration and Border Control</w:t>
        </w:r>
        <w:r w:rsidR="009465BE">
          <w:rPr>
            <w:webHidden/>
          </w:rPr>
          <w:tab/>
        </w:r>
        <w:r w:rsidR="009465BE">
          <w:rPr>
            <w:webHidden/>
          </w:rPr>
          <w:fldChar w:fldCharType="begin"/>
        </w:r>
        <w:r w:rsidR="009465BE">
          <w:rPr>
            <w:webHidden/>
          </w:rPr>
          <w:instrText xml:space="preserve"> PAGEREF _Toc5375758 \h </w:instrText>
        </w:r>
        <w:r w:rsidR="009465BE">
          <w:rPr>
            <w:webHidden/>
          </w:rPr>
        </w:r>
        <w:r w:rsidR="009465BE">
          <w:rPr>
            <w:webHidden/>
          </w:rPr>
          <w:fldChar w:fldCharType="separate"/>
        </w:r>
        <w:r w:rsidR="008D6419">
          <w:rPr>
            <w:webHidden/>
          </w:rPr>
          <w:t>10</w:t>
        </w:r>
        <w:r w:rsidR="009465BE">
          <w:rPr>
            <w:webHidden/>
          </w:rPr>
          <w:fldChar w:fldCharType="end"/>
        </w:r>
      </w:hyperlink>
    </w:p>
    <w:p w14:paraId="4CBC2FAB" w14:textId="5625A822" w:rsidR="009465BE" w:rsidRDefault="00C81435">
      <w:pPr>
        <w:pStyle w:val="TOC3"/>
        <w:rPr>
          <w:rFonts w:asciiTheme="minorHAnsi" w:eastAsiaTheme="minorEastAsia" w:hAnsiTheme="minorHAnsi" w:cstheme="minorBidi"/>
          <w:bCs w:val="0"/>
          <w:spacing w:val="0"/>
          <w:szCs w:val="22"/>
          <w:lang w:eastAsia="en-AU"/>
        </w:rPr>
      </w:pPr>
      <w:hyperlink w:anchor="_Toc5375759" w:history="1">
        <w:r w:rsidR="009465BE" w:rsidRPr="00782747">
          <w:rPr>
            <w:rStyle w:val="Hyperlink"/>
          </w:rPr>
          <w:t>Department of Industry, Innovation and Science</w:t>
        </w:r>
        <w:r w:rsidR="009465BE">
          <w:rPr>
            <w:webHidden/>
          </w:rPr>
          <w:tab/>
        </w:r>
        <w:r w:rsidR="009465BE">
          <w:rPr>
            <w:webHidden/>
          </w:rPr>
          <w:fldChar w:fldCharType="begin"/>
        </w:r>
        <w:r w:rsidR="009465BE">
          <w:rPr>
            <w:webHidden/>
          </w:rPr>
          <w:instrText xml:space="preserve"> PAGEREF _Toc5375759 \h </w:instrText>
        </w:r>
        <w:r w:rsidR="009465BE">
          <w:rPr>
            <w:webHidden/>
          </w:rPr>
        </w:r>
        <w:r w:rsidR="009465BE">
          <w:rPr>
            <w:webHidden/>
          </w:rPr>
          <w:fldChar w:fldCharType="separate"/>
        </w:r>
        <w:r w:rsidR="008D6419">
          <w:rPr>
            <w:webHidden/>
          </w:rPr>
          <w:t>10</w:t>
        </w:r>
        <w:r w:rsidR="009465BE">
          <w:rPr>
            <w:webHidden/>
          </w:rPr>
          <w:fldChar w:fldCharType="end"/>
        </w:r>
      </w:hyperlink>
    </w:p>
    <w:p w14:paraId="6A7D8145" w14:textId="66A1B2FE" w:rsidR="009465BE" w:rsidRDefault="00C81435">
      <w:pPr>
        <w:pStyle w:val="TOC3"/>
        <w:rPr>
          <w:rFonts w:asciiTheme="minorHAnsi" w:eastAsiaTheme="minorEastAsia" w:hAnsiTheme="minorHAnsi" w:cstheme="minorBidi"/>
          <w:bCs w:val="0"/>
          <w:spacing w:val="0"/>
          <w:szCs w:val="22"/>
          <w:lang w:eastAsia="en-AU"/>
        </w:rPr>
      </w:pPr>
      <w:hyperlink w:anchor="_Toc5375760" w:history="1">
        <w:r w:rsidR="009465BE" w:rsidRPr="00782747">
          <w:rPr>
            <w:rStyle w:val="Hyperlink"/>
          </w:rPr>
          <w:t>Department of Infrastructure and Regional Development</w:t>
        </w:r>
        <w:r w:rsidR="009465BE">
          <w:rPr>
            <w:webHidden/>
          </w:rPr>
          <w:tab/>
        </w:r>
        <w:r w:rsidR="009465BE">
          <w:rPr>
            <w:webHidden/>
          </w:rPr>
          <w:fldChar w:fldCharType="begin"/>
        </w:r>
        <w:r w:rsidR="009465BE">
          <w:rPr>
            <w:webHidden/>
          </w:rPr>
          <w:instrText xml:space="preserve"> PAGEREF _Toc5375760 \h </w:instrText>
        </w:r>
        <w:r w:rsidR="009465BE">
          <w:rPr>
            <w:webHidden/>
          </w:rPr>
        </w:r>
        <w:r w:rsidR="009465BE">
          <w:rPr>
            <w:webHidden/>
          </w:rPr>
          <w:fldChar w:fldCharType="separate"/>
        </w:r>
        <w:r w:rsidR="008D6419">
          <w:rPr>
            <w:webHidden/>
          </w:rPr>
          <w:t>10</w:t>
        </w:r>
        <w:r w:rsidR="009465BE">
          <w:rPr>
            <w:webHidden/>
          </w:rPr>
          <w:fldChar w:fldCharType="end"/>
        </w:r>
      </w:hyperlink>
    </w:p>
    <w:p w14:paraId="6BD51F36" w14:textId="50C755E5" w:rsidR="009465BE" w:rsidRDefault="00C81435">
      <w:pPr>
        <w:pStyle w:val="TOC3"/>
        <w:rPr>
          <w:rFonts w:asciiTheme="minorHAnsi" w:eastAsiaTheme="minorEastAsia" w:hAnsiTheme="minorHAnsi" w:cstheme="minorBidi"/>
          <w:bCs w:val="0"/>
          <w:spacing w:val="0"/>
          <w:szCs w:val="22"/>
          <w:lang w:eastAsia="en-AU"/>
        </w:rPr>
      </w:pPr>
      <w:hyperlink w:anchor="_Toc5375761" w:history="1">
        <w:r w:rsidR="009465BE" w:rsidRPr="00782747">
          <w:rPr>
            <w:rStyle w:val="Hyperlink"/>
          </w:rPr>
          <w:t>Department of Social Services</w:t>
        </w:r>
        <w:r w:rsidR="009465BE">
          <w:rPr>
            <w:webHidden/>
          </w:rPr>
          <w:tab/>
        </w:r>
        <w:r w:rsidR="009465BE">
          <w:rPr>
            <w:webHidden/>
          </w:rPr>
          <w:fldChar w:fldCharType="begin"/>
        </w:r>
        <w:r w:rsidR="009465BE">
          <w:rPr>
            <w:webHidden/>
          </w:rPr>
          <w:instrText xml:space="preserve"> PAGEREF _Toc5375761 \h </w:instrText>
        </w:r>
        <w:r w:rsidR="009465BE">
          <w:rPr>
            <w:webHidden/>
          </w:rPr>
        </w:r>
        <w:r w:rsidR="009465BE">
          <w:rPr>
            <w:webHidden/>
          </w:rPr>
          <w:fldChar w:fldCharType="separate"/>
        </w:r>
        <w:r w:rsidR="008D6419">
          <w:rPr>
            <w:webHidden/>
          </w:rPr>
          <w:t>10</w:t>
        </w:r>
        <w:r w:rsidR="009465BE">
          <w:rPr>
            <w:webHidden/>
          </w:rPr>
          <w:fldChar w:fldCharType="end"/>
        </w:r>
      </w:hyperlink>
    </w:p>
    <w:p w14:paraId="6A1B5114" w14:textId="7BA4AE49" w:rsidR="009465BE" w:rsidRDefault="00C81435" w:rsidP="009465BE">
      <w:pPr>
        <w:pStyle w:val="TOC2"/>
        <w:ind w:firstLine="206"/>
        <w:rPr>
          <w:rFonts w:asciiTheme="minorHAnsi" w:eastAsiaTheme="minorEastAsia" w:hAnsiTheme="minorHAnsi" w:cstheme="minorBidi"/>
          <w:noProof/>
          <w:szCs w:val="22"/>
          <w:lang w:eastAsia="en-AU"/>
        </w:rPr>
      </w:pPr>
      <w:hyperlink w:anchor="_Toc5375762" w:history="1">
        <w:r w:rsidR="009465BE" w:rsidRPr="00782747">
          <w:rPr>
            <w:rStyle w:val="Hyperlink"/>
            <w:noProof/>
          </w:rPr>
          <w:t>Treasury Portfolio</w:t>
        </w:r>
        <w:r w:rsidR="009465BE">
          <w:rPr>
            <w:noProof/>
            <w:webHidden/>
          </w:rPr>
          <w:tab/>
        </w:r>
        <w:r w:rsidR="009465BE">
          <w:rPr>
            <w:noProof/>
            <w:webHidden/>
          </w:rPr>
          <w:fldChar w:fldCharType="begin"/>
        </w:r>
        <w:r w:rsidR="009465BE">
          <w:rPr>
            <w:noProof/>
            <w:webHidden/>
          </w:rPr>
          <w:instrText xml:space="preserve"> PAGEREF _Toc5375762 \h </w:instrText>
        </w:r>
        <w:r w:rsidR="009465BE">
          <w:rPr>
            <w:noProof/>
            <w:webHidden/>
          </w:rPr>
        </w:r>
        <w:r w:rsidR="009465BE">
          <w:rPr>
            <w:noProof/>
            <w:webHidden/>
          </w:rPr>
          <w:fldChar w:fldCharType="separate"/>
        </w:r>
        <w:r w:rsidR="008D6419">
          <w:rPr>
            <w:noProof/>
            <w:webHidden/>
          </w:rPr>
          <w:t>11</w:t>
        </w:r>
        <w:r w:rsidR="009465BE">
          <w:rPr>
            <w:noProof/>
            <w:webHidden/>
          </w:rPr>
          <w:fldChar w:fldCharType="end"/>
        </w:r>
      </w:hyperlink>
    </w:p>
    <w:p w14:paraId="35024CD9" w14:textId="77A58256" w:rsidR="009465BE" w:rsidRDefault="00C81435" w:rsidP="009465BE">
      <w:pPr>
        <w:pStyle w:val="TOC3"/>
        <w:ind w:firstLine="269"/>
        <w:rPr>
          <w:rFonts w:asciiTheme="minorHAnsi" w:eastAsiaTheme="minorEastAsia" w:hAnsiTheme="minorHAnsi" w:cstheme="minorBidi"/>
          <w:bCs w:val="0"/>
          <w:spacing w:val="0"/>
          <w:szCs w:val="22"/>
          <w:lang w:eastAsia="en-AU"/>
        </w:rPr>
      </w:pPr>
      <w:hyperlink w:anchor="_Toc5375763" w:history="1">
        <w:r w:rsidR="009465BE" w:rsidRPr="00782747">
          <w:rPr>
            <w:rStyle w:val="Hyperlink"/>
          </w:rPr>
          <w:t>Australian Accounting Standards Board</w:t>
        </w:r>
        <w:r w:rsidR="009465BE">
          <w:rPr>
            <w:webHidden/>
          </w:rPr>
          <w:tab/>
        </w:r>
        <w:r w:rsidR="009465BE">
          <w:rPr>
            <w:webHidden/>
          </w:rPr>
          <w:fldChar w:fldCharType="begin"/>
        </w:r>
        <w:r w:rsidR="009465BE">
          <w:rPr>
            <w:webHidden/>
          </w:rPr>
          <w:instrText xml:space="preserve"> PAGEREF _Toc5375763 \h </w:instrText>
        </w:r>
        <w:r w:rsidR="009465BE">
          <w:rPr>
            <w:webHidden/>
          </w:rPr>
        </w:r>
        <w:r w:rsidR="009465BE">
          <w:rPr>
            <w:webHidden/>
          </w:rPr>
          <w:fldChar w:fldCharType="separate"/>
        </w:r>
        <w:r w:rsidR="008D6419">
          <w:rPr>
            <w:webHidden/>
          </w:rPr>
          <w:t>11</w:t>
        </w:r>
        <w:r w:rsidR="009465BE">
          <w:rPr>
            <w:webHidden/>
          </w:rPr>
          <w:fldChar w:fldCharType="end"/>
        </w:r>
      </w:hyperlink>
    </w:p>
    <w:p w14:paraId="344AFFD8" w14:textId="68898E2A" w:rsidR="009465BE" w:rsidRDefault="00C81435" w:rsidP="009465BE">
      <w:pPr>
        <w:pStyle w:val="TOC3"/>
        <w:ind w:firstLine="269"/>
        <w:rPr>
          <w:rFonts w:asciiTheme="minorHAnsi" w:eastAsiaTheme="minorEastAsia" w:hAnsiTheme="minorHAnsi" w:cstheme="minorBidi"/>
          <w:bCs w:val="0"/>
          <w:spacing w:val="0"/>
          <w:szCs w:val="22"/>
          <w:lang w:eastAsia="en-AU"/>
        </w:rPr>
      </w:pPr>
      <w:hyperlink w:anchor="_Toc5375764" w:history="1">
        <w:r w:rsidR="009465BE" w:rsidRPr="00782747">
          <w:rPr>
            <w:rStyle w:val="Hyperlink"/>
          </w:rPr>
          <w:t>Australian Competition and Consumer Commission</w:t>
        </w:r>
        <w:r w:rsidR="009465BE">
          <w:rPr>
            <w:webHidden/>
          </w:rPr>
          <w:tab/>
        </w:r>
        <w:r w:rsidR="009465BE">
          <w:rPr>
            <w:webHidden/>
          </w:rPr>
          <w:fldChar w:fldCharType="begin"/>
        </w:r>
        <w:r w:rsidR="009465BE">
          <w:rPr>
            <w:webHidden/>
          </w:rPr>
          <w:instrText xml:space="preserve"> PAGEREF _Toc5375764 \h </w:instrText>
        </w:r>
        <w:r w:rsidR="009465BE">
          <w:rPr>
            <w:webHidden/>
          </w:rPr>
        </w:r>
        <w:r w:rsidR="009465BE">
          <w:rPr>
            <w:webHidden/>
          </w:rPr>
          <w:fldChar w:fldCharType="separate"/>
        </w:r>
        <w:r w:rsidR="008D6419">
          <w:rPr>
            <w:webHidden/>
          </w:rPr>
          <w:t>11</w:t>
        </w:r>
        <w:r w:rsidR="009465BE">
          <w:rPr>
            <w:webHidden/>
          </w:rPr>
          <w:fldChar w:fldCharType="end"/>
        </w:r>
      </w:hyperlink>
    </w:p>
    <w:p w14:paraId="3C45C13C" w14:textId="5CE099AD" w:rsidR="009465BE" w:rsidRDefault="00C81435" w:rsidP="009465BE">
      <w:pPr>
        <w:pStyle w:val="TOC3"/>
        <w:ind w:firstLine="269"/>
        <w:rPr>
          <w:rFonts w:asciiTheme="minorHAnsi" w:eastAsiaTheme="minorEastAsia" w:hAnsiTheme="minorHAnsi" w:cstheme="minorBidi"/>
          <w:bCs w:val="0"/>
          <w:spacing w:val="0"/>
          <w:szCs w:val="22"/>
          <w:lang w:eastAsia="en-AU"/>
        </w:rPr>
      </w:pPr>
      <w:hyperlink w:anchor="_Toc5375765" w:history="1">
        <w:r w:rsidR="009465BE" w:rsidRPr="00782747">
          <w:rPr>
            <w:rStyle w:val="Hyperlink"/>
          </w:rPr>
          <w:t>Australian Prudential Regulation Authority</w:t>
        </w:r>
        <w:r w:rsidR="009465BE">
          <w:rPr>
            <w:webHidden/>
          </w:rPr>
          <w:tab/>
        </w:r>
        <w:r w:rsidR="009465BE">
          <w:rPr>
            <w:webHidden/>
          </w:rPr>
          <w:fldChar w:fldCharType="begin"/>
        </w:r>
        <w:r w:rsidR="009465BE">
          <w:rPr>
            <w:webHidden/>
          </w:rPr>
          <w:instrText xml:space="preserve"> PAGEREF _Toc5375765 \h </w:instrText>
        </w:r>
        <w:r w:rsidR="009465BE">
          <w:rPr>
            <w:webHidden/>
          </w:rPr>
        </w:r>
        <w:r w:rsidR="009465BE">
          <w:rPr>
            <w:webHidden/>
          </w:rPr>
          <w:fldChar w:fldCharType="separate"/>
        </w:r>
        <w:r w:rsidR="008D6419">
          <w:rPr>
            <w:webHidden/>
          </w:rPr>
          <w:t>11</w:t>
        </w:r>
        <w:r w:rsidR="009465BE">
          <w:rPr>
            <w:webHidden/>
          </w:rPr>
          <w:fldChar w:fldCharType="end"/>
        </w:r>
      </w:hyperlink>
    </w:p>
    <w:p w14:paraId="5B12E460" w14:textId="1D953302" w:rsidR="009465BE" w:rsidRDefault="00C81435" w:rsidP="009465BE">
      <w:pPr>
        <w:pStyle w:val="TOC3"/>
        <w:ind w:firstLine="269"/>
        <w:rPr>
          <w:rFonts w:asciiTheme="minorHAnsi" w:eastAsiaTheme="minorEastAsia" w:hAnsiTheme="minorHAnsi" w:cstheme="minorBidi"/>
          <w:bCs w:val="0"/>
          <w:spacing w:val="0"/>
          <w:szCs w:val="22"/>
          <w:lang w:eastAsia="en-AU"/>
        </w:rPr>
      </w:pPr>
      <w:hyperlink w:anchor="_Toc5375766" w:history="1">
        <w:r w:rsidR="009465BE" w:rsidRPr="00782747">
          <w:rPr>
            <w:rStyle w:val="Hyperlink"/>
          </w:rPr>
          <w:t>Australian Securities and Investments Commission</w:t>
        </w:r>
        <w:r w:rsidR="009465BE">
          <w:rPr>
            <w:webHidden/>
          </w:rPr>
          <w:tab/>
        </w:r>
        <w:r w:rsidR="009465BE">
          <w:rPr>
            <w:webHidden/>
          </w:rPr>
          <w:fldChar w:fldCharType="begin"/>
        </w:r>
        <w:r w:rsidR="009465BE">
          <w:rPr>
            <w:webHidden/>
          </w:rPr>
          <w:instrText xml:space="preserve"> PAGEREF _Toc5375766 \h </w:instrText>
        </w:r>
        <w:r w:rsidR="009465BE">
          <w:rPr>
            <w:webHidden/>
          </w:rPr>
        </w:r>
        <w:r w:rsidR="009465BE">
          <w:rPr>
            <w:webHidden/>
          </w:rPr>
          <w:fldChar w:fldCharType="separate"/>
        </w:r>
        <w:r w:rsidR="008D6419">
          <w:rPr>
            <w:webHidden/>
          </w:rPr>
          <w:t>12</w:t>
        </w:r>
        <w:r w:rsidR="009465BE">
          <w:rPr>
            <w:webHidden/>
          </w:rPr>
          <w:fldChar w:fldCharType="end"/>
        </w:r>
      </w:hyperlink>
    </w:p>
    <w:p w14:paraId="7ED01EF2" w14:textId="4BB63AC2" w:rsidR="009465BE" w:rsidRDefault="00C81435" w:rsidP="009465BE">
      <w:pPr>
        <w:pStyle w:val="TOC3"/>
        <w:ind w:firstLine="269"/>
        <w:rPr>
          <w:rFonts w:asciiTheme="minorHAnsi" w:eastAsiaTheme="minorEastAsia" w:hAnsiTheme="minorHAnsi" w:cstheme="minorBidi"/>
          <w:bCs w:val="0"/>
          <w:spacing w:val="0"/>
          <w:szCs w:val="22"/>
          <w:lang w:eastAsia="en-AU"/>
        </w:rPr>
      </w:pPr>
      <w:hyperlink w:anchor="_Toc5375767" w:history="1">
        <w:r w:rsidR="009465BE" w:rsidRPr="00782747">
          <w:rPr>
            <w:rStyle w:val="Hyperlink"/>
          </w:rPr>
          <w:t>Department of the Treasury</w:t>
        </w:r>
        <w:r w:rsidR="009465BE">
          <w:rPr>
            <w:webHidden/>
          </w:rPr>
          <w:tab/>
        </w:r>
        <w:r w:rsidR="009465BE">
          <w:rPr>
            <w:webHidden/>
          </w:rPr>
          <w:fldChar w:fldCharType="begin"/>
        </w:r>
        <w:r w:rsidR="009465BE">
          <w:rPr>
            <w:webHidden/>
          </w:rPr>
          <w:instrText xml:space="preserve"> PAGEREF _Toc5375767 \h </w:instrText>
        </w:r>
        <w:r w:rsidR="009465BE">
          <w:rPr>
            <w:webHidden/>
          </w:rPr>
        </w:r>
        <w:r w:rsidR="009465BE">
          <w:rPr>
            <w:webHidden/>
          </w:rPr>
          <w:fldChar w:fldCharType="separate"/>
        </w:r>
        <w:r w:rsidR="008D6419">
          <w:rPr>
            <w:webHidden/>
          </w:rPr>
          <w:t>12</w:t>
        </w:r>
        <w:r w:rsidR="009465BE">
          <w:rPr>
            <w:webHidden/>
          </w:rPr>
          <w:fldChar w:fldCharType="end"/>
        </w:r>
      </w:hyperlink>
    </w:p>
    <w:p w14:paraId="11403595" w14:textId="754C638F" w:rsidR="009465BE" w:rsidRDefault="00C81435" w:rsidP="009465BE">
      <w:pPr>
        <w:pStyle w:val="TOC2"/>
        <w:rPr>
          <w:rFonts w:asciiTheme="minorHAnsi" w:eastAsiaTheme="minorEastAsia" w:hAnsiTheme="minorHAnsi" w:cstheme="minorBidi"/>
          <w:noProof/>
          <w:szCs w:val="22"/>
          <w:lang w:eastAsia="en-AU"/>
        </w:rPr>
      </w:pPr>
      <w:hyperlink w:anchor="_Toc5375768" w:history="1">
        <w:r w:rsidR="009465BE" w:rsidRPr="00782747">
          <w:rPr>
            <w:rStyle w:val="Hyperlink"/>
            <w:noProof/>
          </w:rPr>
          <w:t>Appendix A – RISs used for consultation during 2016–17</w:t>
        </w:r>
        <w:r w:rsidR="009465BE">
          <w:rPr>
            <w:noProof/>
            <w:webHidden/>
          </w:rPr>
          <w:tab/>
        </w:r>
        <w:r w:rsidR="009465BE">
          <w:rPr>
            <w:noProof/>
            <w:webHidden/>
          </w:rPr>
          <w:fldChar w:fldCharType="begin"/>
        </w:r>
        <w:r w:rsidR="009465BE">
          <w:rPr>
            <w:noProof/>
            <w:webHidden/>
          </w:rPr>
          <w:instrText xml:space="preserve"> PAGEREF _Toc5375768 \h </w:instrText>
        </w:r>
        <w:r w:rsidR="009465BE">
          <w:rPr>
            <w:noProof/>
            <w:webHidden/>
          </w:rPr>
        </w:r>
        <w:r w:rsidR="009465BE">
          <w:rPr>
            <w:noProof/>
            <w:webHidden/>
          </w:rPr>
          <w:fldChar w:fldCharType="separate"/>
        </w:r>
        <w:r w:rsidR="008D6419">
          <w:rPr>
            <w:noProof/>
            <w:webHidden/>
          </w:rPr>
          <w:t>16</w:t>
        </w:r>
        <w:r w:rsidR="009465BE">
          <w:rPr>
            <w:noProof/>
            <w:webHidden/>
          </w:rPr>
          <w:fldChar w:fldCharType="end"/>
        </w:r>
      </w:hyperlink>
    </w:p>
    <w:p w14:paraId="0014C624" w14:textId="77777777" w:rsidR="00220271" w:rsidRPr="00B1278D" w:rsidRDefault="00220271" w:rsidP="00FC59ED">
      <w:pPr>
        <w:ind w:firstLine="220"/>
      </w:pPr>
      <w:r w:rsidRPr="003047C0">
        <w:rPr>
          <w:bCs/>
          <w:noProof/>
        </w:rPr>
        <w:fldChar w:fldCharType="end"/>
      </w:r>
    </w:p>
    <w:p w14:paraId="0014C625" w14:textId="1C89E713" w:rsidR="007001A5" w:rsidRPr="00797EA6" w:rsidRDefault="00220271" w:rsidP="00797EA6">
      <w:pPr>
        <w:pStyle w:val="Heading2"/>
      </w:pPr>
      <w:r>
        <w:br w:type="page"/>
      </w:r>
      <w:bookmarkStart w:id="243" w:name="_Toc428954727"/>
      <w:bookmarkStart w:id="244" w:name="_Toc429569666"/>
      <w:bookmarkStart w:id="245" w:name="_Toc431304200"/>
      <w:bookmarkStart w:id="246" w:name="_Toc432065995"/>
      <w:bookmarkStart w:id="247" w:name="_Toc433796194"/>
      <w:bookmarkStart w:id="248" w:name="_Toc434404671"/>
      <w:bookmarkStart w:id="249" w:name="_Toc440527071"/>
      <w:bookmarkStart w:id="250" w:name="_Toc441740034"/>
      <w:bookmarkStart w:id="251" w:name="_Toc442184026"/>
      <w:bookmarkStart w:id="252" w:name="_Toc445381160"/>
      <w:bookmarkStart w:id="253" w:name="_Toc445912518"/>
      <w:bookmarkStart w:id="254" w:name="_Toc448236784"/>
      <w:bookmarkStart w:id="255" w:name="_Toc379536795"/>
      <w:bookmarkStart w:id="256" w:name="_Toc5375750"/>
      <w:r w:rsidR="00730ADC">
        <w:t>Detailed information</w:t>
      </w:r>
      <w:bookmarkStart w:id="257" w:name="_Toc425240763"/>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1A5389E2" w14:textId="78033230" w:rsidR="00A178F1" w:rsidRDefault="00A178F1" w:rsidP="00F83A2A">
      <w:pPr>
        <w:pStyle w:val="Heading3"/>
      </w:pPr>
      <w:bookmarkStart w:id="258" w:name="_Toc5375751"/>
      <w:bookmarkStart w:id="259" w:name="_Toc400104325"/>
      <w:bookmarkStart w:id="260" w:name="_Toc407191796"/>
      <w:r w:rsidRPr="00270542">
        <w:t>Department of Agriculture and Water Resources</w:t>
      </w:r>
      <w:bookmarkEnd w:id="258"/>
    </w:p>
    <w:tbl>
      <w:tblPr>
        <w:tblW w:w="10065" w:type="dxa"/>
        <w:tblInd w:w="-142" w:type="dxa"/>
        <w:tblLayout w:type="fixed"/>
        <w:tblCellMar>
          <w:left w:w="0" w:type="dxa"/>
          <w:right w:w="0" w:type="dxa"/>
        </w:tblCellMar>
        <w:tblLook w:val="0000" w:firstRow="0" w:lastRow="0" w:firstColumn="0" w:lastColumn="0" w:noHBand="0" w:noVBand="0"/>
        <w:tblCaption w:val="Horticulture Code of Conduct"/>
        <w:tblDescription w:val="Horticulture Code of Conduct: Compliant, Best practice, No PIR required. Regulatory Burden: $2.5m."/>
      </w:tblPr>
      <w:tblGrid>
        <w:gridCol w:w="5420"/>
        <w:gridCol w:w="1245"/>
        <w:gridCol w:w="1105"/>
        <w:gridCol w:w="1104"/>
        <w:gridCol w:w="1191"/>
      </w:tblGrid>
      <w:tr w:rsidR="00D05A03" w:rsidRPr="00231D94" w14:paraId="50336CA0" w14:textId="77777777" w:rsidTr="006E5A19">
        <w:trPr>
          <w:trHeight w:val="567"/>
          <w:tblHeader/>
        </w:trPr>
        <w:tc>
          <w:tcPr>
            <w:tcW w:w="5420" w:type="dxa"/>
            <w:shd w:val="clear" w:color="auto" w:fill="F4973F"/>
            <w:vAlign w:val="center"/>
          </w:tcPr>
          <w:p w14:paraId="71C6003D" w14:textId="77777777" w:rsidR="00D05A03" w:rsidRPr="00231D94" w:rsidRDefault="00D05A03"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5404100E" w14:textId="77777777" w:rsidR="00D05A03" w:rsidRPr="00231D94" w:rsidRDefault="00D05A03" w:rsidP="006E5A19">
            <w:pPr>
              <w:widowControl w:val="0"/>
              <w:kinsoku w:val="0"/>
              <w:overflowPunct w:val="0"/>
              <w:autoSpaceDE w:val="0"/>
              <w:autoSpaceDN w:val="0"/>
              <w:adjustRightInd w:val="0"/>
              <w:spacing w:beforeLines="60" w:before="144"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3AE8D881" w14:textId="77777777" w:rsidR="00D05A03" w:rsidRPr="00231D94" w:rsidRDefault="00D05A03" w:rsidP="006E5A19">
            <w:pPr>
              <w:widowControl w:val="0"/>
              <w:kinsoku w:val="0"/>
              <w:overflowPunct w:val="0"/>
              <w:autoSpaceDE w:val="0"/>
              <w:autoSpaceDN w:val="0"/>
              <w:adjustRightInd w:val="0"/>
              <w:spacing w:beforeLines="60" w:before="144"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11C6AA87" w14:textId="77777777" w:rsidR="00D05A03" w:rsidRPr="00231D94" w:rsidRDefault="00D05A03" w:rsidP="006E5A19">
            <w:pPr>
              <w:widowControl w:val="0"/>
              <w:kinsoku w:val="0"/>
              <w:overflowPunct w:val="0"/>
              <w:autoSpaceDE w:val="0"/>
              <w:autoSpaceDN w:val="0"/>
              <w:adjustRightInd w:val="0"/>
              <w:spacing w:beforeLines="60" w:before="144"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D88B278" w14:textId="77777777" w:rsidR="00D05A03" w:rsidRPr="00231D94" w:rsidRDefault="00D05A03" w:rsidP="006E5A19">
            <w:pPr>
              <w:widowControl w:val="0"/>
              <w:kinsoku w:val="0"/>
              <w:overflowPunct w:val="0"/>
              <w:autoSpaceDE w:val="0"/>
              <w:autoSpaceDN w:val="0"/>
              <w:adjustRightInd w:val="0"/>
              <w:spacing w:beforeLines="60" w:before="144"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D05A03" w:rsidRPr="00CD5E24" w14:paraId="41FDAD35" w14:textId="77777777" w:rsidTr="004E2B26">
        <w:trPr>
          <w:trHeight w:hRule="exact" w:val="525"/>
        </w:trPr>
        <w:tc>
          <w:tcPr>
            <w:tcW w:w="5420" w:type="dxa"/>
            <w:shd w:val="clear" w:color="auto" w:fill="auto"/>
            <w:vAlign w:val="center"/>
          </w:tcPr>
          <w:p w14:paraId="5FDB1775" w14:textId="46801898" w:rsidR="00D05A03" w:rsidRPr="00CD5E24" w:rsidRDefault="00D05A03"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Horticulture Code of Conduct</w:t>
            </w:r>
            <w:r w:rsidR="00DA124C">
              <w:rPr>
                <w:rFonts w:eastAsia="MS Mincho" w:cs="Arial"/>
                <w:spacing w:val="-3"/>
                <w:sz w:val="18"/>
                <w:szCs w:val="18"/>
                <w:lang w:eastAsia="en-AU"/>
              </w:rPr>
              <w:t xml:space="preserve"> </w:t>
            </w:r>
            <w:r w:rsidR="00DA124C" w:rsidRPr="00910F44">
              <w:rPr>
                <w:rFonts w:eastAsia="MS Mincho" w:cs="Arial"/>
                <w:spacing w:val="-3"/>
                <w:sz w:val="18"/>
                <w:szCs w:val="18"/>
                <w:lang w:eastAsia="en-AU"/>
              </w:rPr>
              <w:t>– Independent Review</w:t>
            </w:r>
          </w:p>
        </w:tc>
        <w:tc>
          <w:tcPr>
            <w:tcW w:w="1245" w:type="dxa"/>
            <w:shd w:val="clear" w:color="auto" w:fill="auto"/>
            <w:vAlign w:val="center"/>
          </w:tcPr>
          <w:p w14:paraId="731FBB78" w14:textId="77777777" w:rsidR="00D05A03" w:rsidRPr="00CD5E24" w:rsidRDefault="00D05A03" w:rsidP="00BA6273">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2367CDE0" w14:textId="677A4B06" w:rsidR="00D05A03" w:rsidRPr="00AD7705" w:rsidRDefault="00D05A03" w:rsidP="00AD7705">
            <w:pPr>
              <w:widowControl w:val="0"/>
              <w:kinsoku w:val="0"/>
              <w:overflowPunct w:val="0"/>
              <w:autoSpaceDE w:val="0"/>
              <w:autoSpaceDN w:val="0"/>
              <w:adjustRightInd w:val="0"/>
              <w:spacing w:before="54" w:after="0" w:line="240" w:lineRule="auto"/>
              <w:jc w:val="center"/>
              <w:rPr>
                <w:rFonts w:eastAsia="MS Mincho" w:cs="Arial"/>
                <w:w w:val="85"/>
                <w:sz w:val="18"/>
                <w:szCs w:val="18"/>
                <w:vertAlign w:val="superscript"/>
                <w:lang w:eastAsia="en-AU"/>
              </w:rPr>
            </w:pPr>
            <w:r w:rsidRPr="00CE2207">
              <w:rPr>
                <w:rFonts w:eastAsia="MS Mincho" w:cs="Arial"/>
                <w:spacing w:val="-3"/>
                <w:sz w:val="18"/>
                <w:szCs w:val="18"/>
                <w:lang w:eastAsia="en-AU"/>
              </w:rPr>
              <w:t>Yes</w:t>
            </w:r>
          </w:p>
        </w:tc>
        <w:tc>
          <w:tcPr>
            <w:tcW w:w="1104" w:type="dxa"/>
            <w:shd w:val="clear" w:color="auto" w:fill="auto"/>
            <w:vAlign w:val="center"/>
          </w:tcPr>
          <w:p w14:paraId="6051D7C6" w14:textId="77777777" w:rsidR="00D05A03" w:rsidRPr="00CD5E24" w:rsidRDefault="00D05A03" w:rsidP="00BA6273">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D5E24">
              <w:rPr>
                <w:rFonts w:eastAsia="MS Mincho" w:cs="Arial"/>
                <w:spacing w:val="-3"/>
                <w:sz w:val="18"/>
                <w:szCs w:val="18"/>
                <w:lang w:eastAsia="en-AU"/>
              </w:rPr>
              <w:t>No</w:t>
            </w:r>
          </w:p>
        </w:tc>
        <w:tc>
          <w:tcPr>
            <w:tcW w:w="1191" w:type="dxa"/>
            <w:vAlign w:val="center"/>
          </w:tcPr>
          <w:p w14:paraId="3ECFB91F" w14:textId="3ABE7D48" w:rsidR="00D05A03" w:rsidRPr="00CD5E24" w:rsidRDefault="00D05A03" w:rsidP="00D05A03">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CE2207">
              <w:rPr>
                <w:rFonts w:eastAsia="MS Mincho" w:cs="Arial"/>
                <w:spacing w:val="-3"/>
                <w:sz w:val="18"/>
                <w:szCs w:val="18"/>
                <w:lang w:eastAsia="en-AU"/>
              </w:rPr>
              <w:t>$</w:t>
            </w:r>
            <w:r>
              <w:rPr>
                <w:rFonts w:eastAsia="MS Mincho" w:cs="Arial"/>
                <w:spacing w:val="-3"/>
                <w:sz w:val="18"/>
                <w:szCs w:val="18"/>
                <w:lang w:eastAsia="en-AU"/>
              </w:rPr>
              <w:t>2</w:t>
            </w:r>
            <w:r w:rsidRPr="00CE2207">
              <w:rPr>
                <w:rFonts w:eastAsia="MS Mincho" w:cs="Arial"/>
                <w:spacing w:val="-3"/>
                <w:sz w:val="18"/>
                <w:szCs w:val="18"/>
                <w:lang w:eastAsia="en-AU"/>
              </w:rPr>
              <w:t>.</w:t>
            </w:r>
            <w:r>
              <w:rPr>
                <w:rFonts w:eastAsia="MS Mincho" w:cs="Arial"/>
                <w:spacing w:val="-3"/>
                <w:sz w:val="18"/>
                <w:szCs w:val="18"/>
                <w:lang w:eastAsia="en-AU"/>
              </w:rPr>
              <w:t>5</w:t>
            </w:r>
          </w:p>
        </w:tc>
      </w:tr>
    </w:tbl>
    <w:p w14:paraId="14D77015" w14:textId="3AF42290" w:rsidR="00D05A03" w:rsidRDefault="00D05A03" w:rsidP="00BA2600">
      <w:pPr>
        <w:spacing w:before="120" w:after="150"/>
        <w:rPr>
          <w:rFonts w:cs="Arial"/>
          <w:sz w:val="18"/>
          <w:szCs w:val="18"/>
        </w:rPr>
      </w:pPr>
      <w:r w:rsidRPr="00811E3D">
        <w:rPr>
          <w:rFonts w:cs="Arial"/>
          <w:sz w:val="18"/>
          <w:szCs w:val="18"/>
        </w:rPr>
        <w:t>The Government introduced a new Horticulture Code of Conduct to improve the flexibility, transparency and application to transactions within the horticulture industry.</w:t>
      </w:r>
      <w:r w:rsidR="00DA124C" w:rsidRPr="00DA124C">
        <w:t xml:space="preserve"> </w:t>
      </w:r>
      <w:r w:rsidR="0050744B" w:rsidRPr="0050744B">
        <w:rPr>
          <w:rFonts w:cs="Arial"/>
          <w:sz w:val="18"/>
          <w:szCs w:val="18"/>
        </w:rPr>
        <w:t>The OBPR does not assess the adequacy of the content of an independent review used in lieu of a RIS.</w:t>
      </w:r>
      <w:r w:rsidR="00C426D7">
        <w:rPr>
          <w:rFonts w:cs="Arial"/>
          <w:sz w:val="18"/>
          <w:szCs w:val="18"/>
        </w:rPr>
        <w:t xml:space="preserve"> </w:t>
      </w:r>
    </w:p>
    <w:tbl>
      <w:tblPr>
        <w:tblW w:w="10065" w:type="dxa"/>
        <w:tblInd w:w="-142" w:type="dxa"/>
        <w:tblLayout w:type="fixed"/>
        <w:tblCellMar>
          <w:left w:w="0" w:type="dxa"/>
          <w:right w:w="0" w:type="dxa"/>
        </w:tblCellMar>
        <w:tblLook w:val="0000" w:firstRow="0" w:lastRow="0" w:firstColumn="0" w:lastColumn="0" w:noHBand="0" w:noVBand="0"/>
        <w:tblCaption w:val="Horticulture Code of Conduct"/>
        <w:tblDescription w:val="Horticulture Code of Conduct: Compliant, Best practice, No PIR required. Regulatory Burden: $2.5m."/>
      </w:tblPr>
      <w:tblGrid>
        <w:gridCol w:w="5420"/>
        <w:gridCol w:w="1245"/>
        <w:gridCol w:w="1105"/>
        <w:gridCol w:w="1104"/>
        <w:gridCol w:w="1191"/>
      </w:tblGrid>
      <w:tr w:rsidR="00B76565" w:rsidRPr="00231D94" w14:paraId="2F4348E0" w14:textId="77777777" w:rsidTr="006E5A19">
        <w:trPr>
          <w:trHeight w:val="567"/>
          <w:tblHeader/>
        </w:trPr>
        <w:tc>
          <w:tcPr>
            <w:tcW w:w="5420" w:type="dxa"/>
            <w:shd w:val="clear" w:color="auto" w:fill="F4973F"/>
            <w:vAlign w:val="center"/>
          </w:tcPr>
          <w:p w14:paraId="58EE6962" w14:textId="0465ED98" w:rsidR="00B76565" w:rsidRPr="00231D94" w:rsidRDefault="00074ED4"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Pr>
                <w:rFonts w:eastAsia="MS Mincho" w:cs="Arial"/>
                <w:color w:val="FFFFFF"/>
                <w:w w:val="105"/>
                <w:sz w:val="18"/>
                <w:szCs w:val="18"/>
                <w:lang w:eastAsia="en-AU"/>
              </w:rPr>
              <w:t>P</w:t>
            </w:r>
            <w:r w:rsidR="00B76565" w:rsidRPr="00231D94">
              <w:rPr>
                <w:rFonts w:eastAsia="MS Mincho" w:cs="Arial"/>
                <w:color w:val="FFFFFF"/>
                <w:w w:val="105"/>
                <w:sz w:val="18"/>
                <w:szCs w:val="18"/>
                <w:lang w:eastAsia="en-AU"/>
              </w:rPr>
              <w:t>roposal</w:t>
            </w:r>
          </w:p>
        </w:tc>
        <w:tc>
          <w:tcPr>
            <w:tcW w:w="1245" w:type="dxa"/>
            <w:shd w:val="clear" w:color="auto" w:fill="F4973F"/>
            <w:vAlign w:val="center"/>
          </w:tcPr>
          <w:p w14:paraId="4D4DB8C8" w14:textId="77777777" w:rsidR="00B76565" w:rsidRPr="00231D94" w:rsidRDefault="00B76565" w:rsidP="006E5A19">
            <w:pPr>
              <w:widowControl w:val="0"/>
              <w:kinsoku w:val="0"/>
              <w:overflowPunct w:val="0"/>
              <w:autoSpaceDE w:val="0"/>
              <w:autoSpaceDN w:val="0"/>
              <w:adjustRightInd w:val="0"/>
              <w:spacing w:beforeLines="60" w:before="144"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39B6A4E0" w14:textId="77777777" w:rsidR="00B76565" w:rsidRPr="00231D94" w:rsidRDefault="00B76565" w:rsidP="006E5A19">
            <w:pPr>
              <w:widowControl w:val="0"/>
              <w:kinsoku w:val="0"/>
              <w:overflowPunct w:val="0"/>
              <w:autoSpaceDE w:val="0"/>
              <w:autoSpaceDN w:val="0"/>
              <w:adjustRightInd w:val="0"/>
              <w:spacing w:beforeLines="60" w:before="144"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2EE00582" w14:textId="77777777" w:rsidR="00B76565" w:rsidRPr="00231D94" w:rsidRDefault="00B76565" w:rsidP="006E5A19">
            <w:pPr>
              <w:widowControl w:val="0"/>
              <w:kinsoku w:val="0"/>
              <w:overflowPunct w:val="0"/>
              <w:autoSpaceDE w:val="0"/>
              <w:autoSpaceDN w:val="0"/>
              <w:adjustRightInd w:val="0"/>
              <w:spacing w:beforeLines="60" w:before="144"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634027C9" w14:textId="77777777" w:rsidR="00B76565" w:rsidRPr="00231D94" w:rsidRDefault="00B76565" w:rsidP="006E5A19">
            <w:pPr>
              <w:widowControl w:val="0"/>
              <w:kinsoku w:val="0"/>
              <w:overflowPunct w:val="0"/>
              <w:autoSpaceDE w:val="0"/>
              <w:autoSpaceDN w:val="0"/>
              <w:adjustRightInd w:val="0"/>
              <w:spacing w:beforeLines="60" w:before="144"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B76565" w:rsidRPr="00CD5E24" w14:paraId="49DDF4E7" w14:textId="77777777" w:rsidTr="004E2B26">
        <w:trPr>
          <w:trHeight w:hRule="exact" w:val="525"/>
        </w:trPr>
        <w:tc>
          <w:tcPr>
            <w:tcW w:w="5420" w:type="dxa"/>
            <w:shd w:val="clear" w:color="auto" w:fill="auto"/>
            <w:vAlign w:val="center"/>
          </w:tcPr>
          <w:p w14:paraId="434F80B5" w14:textId="1E00AFA2" w:rsidR="00B76565" w:rsidRPr="00CD5E24" w:rsidRDefault="00B76565"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Imported Food Reforms</w:t>
            </w:r>
          </w:p>
        </w:tc>
        <w:tc>
          <w:tcPr>
            <w:tcW w:w="1245" w:type="dxa"/>
            <w:shd w:val="clear" w:color="auto" w:fill="auto"/>
            <w:vAlign w:val="center"/>
          </w:tcPr>
          <w:p w14:paraId="5C097698" w14:textId="77777777" w:rsidR="00B76565" w:rsidRPr="00CD5E24" w:rsidRDefault="00B76565" w:rsidP="00160EBE">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72179310" w14:textId="77777777" w:rsidR="00B76565" w:rsidRPr="00CD5E24" w:rsidRDefault="00B76565" w:rsidP="00160EBE">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E2207">
              <w:rPr>
                <w:rFonts w:eastAsia="MS Mincho" w:cs="Arial"/>
                <w:spacing w:val="-3"/>
                <w:sz w:val="18"/>
                <w:szCs w:val="18"/>
                <w:lang w:eastAsia="en-AU"/>
              </w:rPr>
              <w:t>Yes</w:t>
            </w:r>
          </w:p>
        </w:tc>
        <w:tc>
          <w:tcPr>
            <w:tcW w:w="1104" w:type="dxa"/>
            <w:shd w:val="clear" w:color="auto" w:fill="auto"/>
            <w:vAlign w:val="center"/>
          </w:tcPr>
          <w:p w14:paraId="0D71B198" w14:textId="77777777" w:rsidR="00B76565" w:rsidRPr="00CD5E24" w:rsidRDefault="00B76565" w:rsidP="00160EBE">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D5E24">
              <w:rPr>
                <w:rFonts w:eastAsia="MS Mincho" w:cs="Arial"/>
                <w:spacing w:val="-3"/>
                <w:sz w:val="18"/>
                <w:szCs w:val="18"/>
                <w:lang w:eastAsia="en-AU"/>
              </w:rPr>
              <w:t>No</w:t>
            </w:r>
          </w:p>
        </w:tc>
        <w:tc>
          <w:tcPr>
            <w:tcW w:w="1191" w:type="dxa"/>
            <w:vAlign w:val="center"/>
          </w:tcPr>
          <w:p w14:paraId="5DB6D388" w14:textId="4E934861" w:rsidR="00B76565" w:rsidRPr="00CD5E24" w:rsidRDefault="00B76565" w:rsidP="00B76565">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CE2207">
              <w:rPr>
                <w:rFonts w:eastAsia="MS Mincho" w:cs="Arial"/>
                <w:spacing w:val="-3"/>
                <w:sz w:val="18"/>
                <w:szCs w:val="18"/>
                <w:lang w:eastAsia="en-AU"/>
              </w:rPr>
              <w:t>$</w:t>
            </w:r>
            <w:r>
              <w:rPr>
                <w:rFonts w:eastAsia="MS Mincho" w:cs="Arial"/>
                <w:spacing w:val="-3"/>
                <w:sz w:val="18"/>
                <w:szCs w:val="18"/>
                <w:lang w:eastAsia="en-AU"/>
              </w:rPr>
              <w:t>0</w:t>
            </w:r>
            <w:r w:rsidRPr="00CE2207">
              <w:rPr>
                <w:rFonts w:eastAsia="MS Mincho" w:cs="Arial"/>
                <w:spacing w:val="-3"/>
                <w:sz w:val="18"/>
                <w:szCs w:val="18"/>
                <w:lang w:eastAsia="en-AU"/>
              </w:rPr>
              <w:t>.</w:t>
            </w:r>
            <w:r>
              <w:rPr>
                <w:rFonts w:eastAsia="MS Mincho" w:cs="Arial"/>
                <w:spacing w:val="-3"/>
                <w:sz w:val="18"/>
                <w:szCs w:val="18"/>
                <w:lang w:eastAsia="en-AU"/>
              </w:rPr>
              <w:t>0</w:t>
            </w:r>
          </w:p>
        </w:tc>
      </w:tr>
    </w:tbl>
    <w:p w14:paraId="2942C7F8" w14:textId="2A4A6F61" w:rsidR="00DE3AE5" w:rsidRPr="008147F0" w:rsidRDefault="00DE3AE5" w:rsidP="00BA2600">
      <w:pPr>
        <w:spacing w:before="120" w:after="150"/>
        <w:rPr>
          <w:rFonts w:cs="Arial"/>
          <w:sz w:val="18"/>
          <w:szCs w:val="18"/>
        </w:rPr>
      </w:pPr>
      <w:bookmarkStart w:id="261" w:name="_Toc479345517"/>
      <w:bookmarkStart w:id="262" w:name="_Toc479345878"/>
      <w:bookmarkStart w:id="263" w:name="_Toc480281440"/>
      <w:r w:rsidRPr="008147F0">
        <w:rPr>
          <w:rFonts w:cs="Arial"/>
          <w:sz w:val="18"/>
          <w:szCs w:val="18"/>
        </w:rPr>
        <w:t>The proposed legislation will increase the accountability of importers, taking into consideration the food safety and regulatory systems in countries of origin and introducing stronger traceability requirements.</w:t>
      </w:r>
      <w:bookmarkEnd w:id="261"/>
      <w:bookmarkEnd w:id="262"/>
      <w:bookmarkEnd w:id="263"/>
    </w:p>
    <w:tbl>
      <w:tblPr>
        <w:tblW w:w="10065" w:type="dxa"/>
        <w:tblInd w:w="-142" w:type="dxa"/>
        <w:tblLayout w:type="fixed"/>
        <w:tblCellMar>
          <w:left w:w="0" w:type="dxa"/>
          <w:right w:w="0" w:type="dxa"/>
        </w:tblCellMar>
        <w:tblLook w:val="0000" w:firstRow="0" w:lastRow="0" w:firstColumn="0" w:lastColumn="0" w:noHBand="0" w:noVBand="0"/>
        <w:tblCaption w:val="Regulation to Establish Levy and Charges on Melons"/>
        <w:tblDescription w:val="Regulation to Establish Levy and Charges on Melons: Compliant, Best practice, No PIR required. Regulatory Burden: $0.0m."/>
      </w:tblPr>
      <w:tblGrid>
        <w:gridCol w:w="5420"/>
        <w:gridCol w:w="1245"/>
        <w:gridCol w:w="1105"/>
        <w:gridCol w:w="1104"/>
        <w:gridCol w:w="1191"/>
      </w:tblGrid>
      <w:tr w:rsidR="001B04D1" w:rsidRPr="00231D94" w14:paraId="3B0C5540" w14:textId="77777777" w:rsidTr="006E5A19">
        <w:trPr>
          <w:trHeight w:val="567"/>
          <w:tblHeader/>
        </w:trPr>
        <w:tc>
          <w:tcPr>
            <w:tcW w:w="5420" w:type="dxa"/>
            <w:shd w:val="clear" w:color="auto" w:fill="F4973F"/>
            <w:vAlign w:val="center"/>
          </w:tcPr>
          <w:p w14:paraId="4F561277" w14:textId="77777777" w:rsidR="001B04D1" w:rsidRPr="00231D94" w:rsidRDefault="001B04D1"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40F3ADE" w14:textId="77777777" w:rsidR="001B04D1" w:rsidRPr="00231D94" w:rsidRDefault="001B04D1"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4752361B" w14:textId="77777777" w:rsidR="001B04D1" w:rsidRPr="00231D94" w:rsidRDefault="001B04D1"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7F29362" w14:textId="77777777" w:rsidR="001B04D1" w:rsidRPr="00231D94" w:rsidRDefault="001B04D1"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700CEDD1" w14:textId="77777777" w:rsidR="001B04D1" w:rsidRPr="00231D94" w:rsidRDefault="001B04D1"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1B04D1" w:rsidRPr="00CD5E24" w14:paraId="5FF46446" w14:textId="77777777" w:rsidTr="004E2B26">
        <w:trPr>
          <w:trHeight w:hRule="exact" w:val="525"/>
        </w:trPr>
        <w:tc>
          <w:tcPr>
            <w:tcW w:w="5420" w:type="dxa"/>
            <w:shd w:val="clear" w:color="auto" w:fill="auto"/>
            <w:vAlign w:val="center"/>
          </w:tcPr>
          <w:p w14:paraId="632F487F" w14:textId="5187372B" w:rsidR="001B04D1" w:rsidRPr="00CD5E24" w:rsidRDefault="001B04D1"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Regulation to Establish Levy and Charges on Melons</w:t>
            </w:r>
          </w:p>
        </w:tc>
        <w:tc>
          <w:tcPr>
            <w:tcW w:w="1245" w:type="dxa"/>
            <w:shd w:val="clear" w:color="auto" w:fill="auto"/>
            <w:vAlign w:val="center"/>
          </w:tcPr>
          <w:p w14:paraId="27FD1E95" w14:textId="77777777" w:rsidR="001B04D1" w:rsidRPr="00CD5E24" w:rsidRDefault="001B04D1" w:rsidP="001B04D1">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348B09EE" w14:textId="77777777" w:rsidR="001B04D1" w:rsidRPr="00CD5E24" w:rsidRDefault="001B04D1" w:rsidP="001B04D1">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E2207">
              <w:rPr>
                <w:rFonts w:eastAsia="MS Mincho" w:cs="Arial"/>
                <w:spacing w:val="-3"/>
                <w:sz w:val="18"/>
                <w:szCs w:val="18"/>
                <w:lang w:eastAsia="en-AU"/>
              </w:rPr>
              <w:t>Yes</w:t>
            </w:r>
          </w:p>
        </w:tc>
        <w:tc>
          <w:tcPr>
            <w:tcW w:w="1104" w:type="dxa"/>
            <w:shd w:val="clear" w:color="auto" w:fill="auto"/>
            <w:vAlign w:val="center"/>
          </w:tcPr>
          <w:p w14:paraId="5508B418" w14:textId="77777777" w:rsidR="001B04D1" w:rsidRPr="00CD5E24" w:rsidRDefault="001B04D1" w:rsidP="001B04D1">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D5E24">
              <w:rPr>
                <w:rFonts w:eastAsia="MS Mincho" w:cs="Arial"/>
                <w:spacing w:val="-3"/>
                <w:sz w:val="18"/>
                <w:szCs w:val="18"/>
                <w:lang w:eastAsia="en-AU"/>
              </w:rPr>
              <w:t>No</w:t>
            </w:r>
          </w:p>
        </w:tc>
        <w:tc>
          <w:tcPr>
            <w:tcW w:w="1191" w:type="dxa"/>
            <w:vAlign w:val="center"/>
          </w:tcPr>
          <w:p w14:paraId="49F1E53E" w14:textId="77777777" w:rsidR="001B04D1" w:rsidRPr="00CD5E24" w:rsidRDefault="001B04D1" w:rsidP="001B04D1">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CE2207">
              <w:rPr>
                <w:rFonts w:eastAsia="MS Mincho" w:cs="Arial"/>
                <w:spacing w:val="-3"/>
                <w:sz w:val="18"/>
                <w:szCs w:val="18"/>
                <w:lang w:eastAsia="en-AU"/>
              </w:rPr>
              <w:t>$</w:t>
            </w:r>
            <w:r>
              <w:rPr>
                <w:rFonts w:eastAsia="MS Mincho" w:cs="Arial"/>
                <w:spacing w:val="-3"/>
                <w:sz w:val="18"/>
                <w:szCs w:val="18"/>
                <w:lang w:eastAsia="en-AU"/>
              </w:rPr>
              <w:t>0</w:t>
            </w:r>
            <w:r w:rsidRPr="00CE2207">
              <w:rPr>
                <w:rFonts w:eastAsia="MS Mincho" w:cs="Arial"/>
                <w:spacing w:val="-3"/>
                <w:sz w:val="18"/>
                <w:szCs w:val="18"/>
                <w:lang w:eastAsia="en-AU"/>
              </w:rPr>
              <w:t>.</w:t>
            </w:r>
            <w:r>
              <w:rPr>
                <w:rFonts w:eastAsia="MS Mincho" w:cs="Arial"/>
                <w:spacing w:val="-3"/>
                <w:sz w:val="18"/>
                <w:szCs w:val="18"/>
                <w:lang w:eastAsia="en-AU"/>
              </w:rPr>
              <w:t>0</w:t>
            </w:r>
          </w:p>
        </w:tc>
      </w:tr>
    </w:tbl>
    <w:p w14:paraId="6F12BF85" w14:textId="257EB1AF" w:rsidR="004007ED" w:rsidRPr="008147F0" w:rsidRDefault="001B04D1" w:rsidP="00BA2600">
      <w:pPr>
        <w:spacing w:before="120" w:after="150"/>
        <w:rPr>
          <w:rFonts w:cs="Arial"/>
          <w:sz w:val="18"/>
          <w:szCs w:val="18"/>
        </w:rPr>
      </w:pPr>
      <w:r w:rsidRPr="008147F0">
        <w:rPr>
          <w:rFonts w:cs="Arial"/>
          <w:sz w:val="18"/>
          <w:szCs w:val="18"/>
        </w:rPr>
        <w:t xml:space="preserve">The </w:t>
      </w:r>
      <w:r w:rsidR="002773BF" w:rsidRPr="008147F0">
        <w:rPr>
          <w:rFonts w:cs="Arial"/>
          <w:sz w:val="18"/>
          <w:szCs w:val="18"/>
        </w:rPr>
        <w:t>proposal</w:t>
      </w:r>
      <w:r w:rsidRPr="008147F0">
        <w:rPr>
          <w:rFonts w:cs="Arial"/>
          <w:sz w:val="18"/>
          <w:szCs w:val="18"/>
        </w:rPr>
        <w:t xml:space="preserve"> </w:t>
      </w:r>
      <w:r w:rsidR="002773BF" w:rsidRPr="008147F0">
        <w:rPr>
          <w:rFonts w:cs="Arial"/>
          <w:sz w:val="18"/>
          <w:szCs w:val="18"/>
        </w:rPr>
        <w:t>introduces a statutory levy and charge on all melons at a rate of 0.4 of a cent per kilogram for growers who sell more than 20 tonnes of melon a year. The aim of the levy and charge is to secure funding for research and development, and biosecurity preparedness activities.</w:t>
      </w:r>
    </w:p>
    <w:tbl>
      <w:tblPr>
        <w:tblW w:w="10065" w:type="dxa"/>
        <w:tblInd w:w="-142" w:type="dxa"/>
        <w:tblLayout w:type="fixed"/>
        <w:tblCellMar>
          <w:left w:w="0" w:type="dxa"/>
          <w:right w:w="0" w:type="dxa"/>
        </w:tblCellMar>
        <w:tblLook w:val="0000" w:firstRow="0" w:lastRow="0" w:firstColumn="0" w:lastColumn="0" w:noHBand="0" w:noVBand="0"/>
        <w:tblCaption w:val="Regulation to Establish Levy and Charges on Melons"/>
        <w:tblDescription w:val="Regulation to Establish Levy and Charges on Melons: Compliant, Best practice, No PIR required. Regulatory Burden: $0.0m."/>
      </w:tblPr>
      <w:tblGrid>
        <w:gridCol w:w="5420"/>
        <w:gridCol w:w="1245"/>
        <w:gridCol w:w="1105"/>
        <w:gridCol w:w="1104"/>
        <w:gridCol w:w="1191"/>
      </w:tblGrid>
      <w:tr w:rsidR="004007ED" w:rsidRPr="00231D94" w14:paraId="55CFA4EE" w14:textId="77777777" w:rsidTr="006E5A19">
        <w:trPr>
          <w:trHeight w:val="567"/>
          <w:tblHeader/>
        </w:trPr>
        <w:tc>
          <w:tcPr>
            <w:tcW w:w="5420" w:type="dxa"/>
            <w:shd w:val="clear" w:color="auto" w:fill="F4973F"/>
            <w:vAlign w:val="center"/>
          </w:tcPr>
          <w:p w14:paraId="5796BAEF" w14:textId="77777777" w:rsidR="004007ED" w:rsidRPr="00231D94" w:rsidRDefault="004007ED"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4C8E38B1" w14:textId="77777777" w:rsidR="004007ED" w:rsidRPr="00231D94" w:rsidRDefault="004007E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0721BE4A" w14:textId="77777777" w:rsidR="004007ED" w:rsidRPr="00231D94" w:rsidRDefault="004007E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48DC425" w14:textId="77777777" w:rsidR="004007ED" w:rsidRPr="00231D94" w:rsidRDefault="004007E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3DAAA02D" w14:textId="77777777" w:rsidR="004007ED" w:rsidRPr="00231D94" w:rsidRDefault="004007E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4007ED" w:rsidRPr="00CD5E24" w14:paraId="33DE1D3D" w14:textId="77777777" w:rsidTr="004E2B26">
        <w:trPr>
          <w:trHeight w:hRule="exact" w:val="525"/>
        </w:trPr>
        <w:tc>
          <w:tcPr>
            <w:tcW w:w="5420" w:type="dxa"/>
            <w:shd w:val="clear" w:color="auto" w:fill="auto"/>
            <w:vAlign w:val="center"/>
          </w:tcPr>
          <w:p w14:paraId="19F71C59" w14:textId="514EC403" w:rsidR="004007ED" w:rsidRPr="00CD5E24" w:rsidRDefault="004007ED"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Tea Tree Oil Levy</w:t>
            </w:r>
          </w:p>
        </w:tc>
        <w:tc>
          <w:tcPr>
            <w:tcW w:w="1245" w:type="dxa"/>
            <w:shd w:val="clear" w:color="auto" w:fill="auto"/>
            <w:vAlign w:val="center"/>
          </w:tcPr>
          <w:p w14:paraId="38074CA9" w14:textId="77777777" w:rsidR="004007ED" w:rsidRPr="00CD5E24" w:rsidRDefault="004007ED" w:rsidP="004007ED">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0B14D06E" w14:textId="77777777" w:rsidR="004007ED" w:rsidRPr="00CD5E24" w:rsidRDefault="004007ED" w:rsidP="004007ED">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E2207">
              <w:rPr>
                <w:rFonts w:eastAsia="MS Mincho" w:cs="Arial"/>
                <w:spacing w:val="-3"/>
                <w:sz w:val="18"/>
                <w:szCs w:val="18"/>
                <w:lang w:eastAsia="en-AU"/>
              </w:rPr>
              <w:t>Yes</w:t>
            </w:r>
          </w:p>
        </w:tc>
        <w:tc>
          <w:tcPr>
            <w:tcW w:w="1104" w:type="dxa"/>
            <w:shd w:val="clear" w:color="auto" w:fill="auto"/>
            <w:vAlign w:val="center"/>
          </w:tcPr>
          <w:p w14:paraId="388CC80E" w14:textId="77777777" w:rsidR="004007ED" w:rsidRPr="00CD5E24" w:rsidRDefault="004007ED" w:rsidP="004007ED">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D5E24">
              <w:rPr>
                <w:rFonts w:eastAsia="MS Mincho" w:cs="Arial"/>
                <w:spacing w:val="-3"/>
                <w:sz w:val="18"/>
                <w:szCs w:val="18"/>
                <w:lang w:eastAsia="en-AU"/>
              </w:rPr>
              <w:t>No</w:t>
            </w:r>
          </w:p>
        </w:tc>
        <w:tc>
          <w:tcPr>
            <w:tcW w:w="1191" w:type="dxa"/>
            <w:vAlign w:val="center"/>
          </w:tcPr>
          <w:p w14:paraId="0BE38E7E" w14:textId="77777777" w:rsidR="004007ED" w:rsidRPr="00CD5E24" w:rsidRDefault="004007ED" w:rsidP="004007ED">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CE2207">
              <w:rPr>
                <w:rFonts w:eastAsia="MS Mincho" w:cs="Arial"/>
                <w:spacing w:val="-3"/>
                <w:sz w:val="18"/>
                <w:szCs w:val="18"/>
                <w:lang w:eastAsia="en-AU"/>
              </w:rPr>
              <w:t>$</w:t>
            </w:r>
            <w:r>
              <w:rPr>
                <w:rFonts w:eastAsia="MS Mincho" w:cs="Arial"/>
                <w:spacing w:val="-3"/>
                <w:sz w:val="18"/>
                <w:szCs w:val="18"/>
                <w:lang w:eastAsia="en-AU"/>
              </w:rPr>
              <w:t>0</w:t>
            </w:r>
            <w:r w:rsidRPr="00CE2207">
              <w:rPr>
                <w:rFonts w:eastAsia="MS Mincho" w:cs="Arial"/>
                <w:spacing w:val="-3"/>
                <w:sz w:val="18"/>
                <w:szCs w:val="18"/>
                <w:lang w:eastAsia="en-AU"/>
              </w:rPr>
              <w:t>.</w:t>
            </w:r>
            <w:r>
              <w:rPr>
                <w:rFonts w:eastAsia="MS Mincho" w:cs="Arial"/>
                <w:spacing w:val="-3"/>
                <w:sz w:val="18"/>
                <w:szCs w:val="18"/>
                <w:lang w:eastAsia="en-AU"/>
              </w:rPr>
              <w:t>0</w:t>
            </w:r>
          </w:p>
        </w:tc>
      </w:tr>
    </w:tbl>
    <w:p w14:paraId="4351F0B4" w14:textId="67BC4D53" w:rsidR="004007ED" w:rsidRPr="008147F0" w:rsidRDefault="004007ED" w:rsidP="00BA2600">
      <w:pPr>
        <w:spacing w:before="120" w:after="150"/>
        <w:rPr>
          <w:rFonts w:cs="Arial"/>
          <w:sz w:val="18"/>
          <w:szCs w:val="18"/>
        </w:rPr>
      </w:pPr>
      <w:r w:rsidRPr="008147F0">
        <w:rPr>
          <w:rFonts w:cs="Arial"/>
          <w:sz w:val="18"/>
          <w:szCs w:val="18"/>
        </w:rPr>
        <w:t xml:space="preserve">The levy will ensure all tea tree oil producers invest equitably in research and development (R&amp;D), </w:t>
      </w:r>
      <w:r w:rsidR="0018044F" w:rsidRPr="008147F0">
        <w:rPr>
          <w:rFonts w:cs="Arial"/>
          <w:sz w:val="18"/>
          <w:szCs w:val="18"/>
        </w:rPr>
        <w:t xml:space="preserve">and </w:t>
      </w:r>
      <w:r w:rsidRPr="008147F0">
        <w:rPr>
          <w:rFonts w:cs="Arial"/>
          <w:sz w:val="18"/>
          <w:szCs w:val="18"/>
        </w:rPr>
        <w:t>provide industry with greater certainty about future R&amp;D funding for investment in longer-term projects</w:t>
      </w:r>
      <w:r w:rsidR="0018044F" w:rsidRPr="008147F0">
        <w:rPr>
          <w:rFonts w:cs="Arial"/>
          <w:sz w:val="18"/>
          <w:szCs w:val="18"/>
        </w:rPr>
        <w:t>. It also provides</w:t>
      </w:r>
      <w:r w:rsidRPr="008147F0">
        <w:rPr>
          <w:rFonts w:cs="Arial"/>
          <w:sz w:val="18"/>
          <w:szCs w:val="18"/>
        </w:rPr>
        <w:t xml:space="preserve"> </w:t>
      </w:r>
      <w:r w:rsidR="0018044F" w:rsidRPr="008147F0">
        <w:rPr>
          <w:rFonts w:cs="Arial"/>
          <w:sz w:val="18"/>
          <w:szCs w:val="18"/>
        </w:rPr>
        <w:t>a mechanism to contribute to national cost-shared eradication responses in the case of a pest or disease incursion</w:t>
      </w:r>
      <w:r w:rsidRPr="008147F0">
        <w:rPr>
          <w:rFonts w:cs="Arial"/>
          <w:sz w:val="18"/>
          <w:szCs w:val="18"/>
        </w:rPr>
        <w:t>.</w:t>
      </w:r>
    </w:p>
    <w:p w14:paraId="68D1C191" w14:textId="398C0CBF" w:rsidR="00CD5E24" w:rsidRPr="00231D94" w:rsidRDefault="00CD5E24" w:rsidP="003E6252">
      <w:pPr>
        <w:pStyle w:val="Heading3"/>
      </w:pPr>
      <w:bookmarkStart w:id="264" w:name="_Toc5375752"/>
      <w:r>
        <w:t>Attorney-General’s Department</w:t>
      </w:r>
      <w:bookmarkEnd w:id="264"/>
    </w:p>
    <w:tbl>
      <w:tblPr>
        <w:tblW w:w="10065" w:type="dxa"/>
        <w:tblInd w:w="-142" w:type="dxa"/>
        <w:tblLayout w:type="fixed"/>
        <w:tblCellMar>
          <w:left w:w="0" w:type="dxa"/>
          <w:right w:w="0" w:type="dxa"/>
        </w:tblCellMar>
        <w:tblLook w:val="0000" w:firstRow="0" w:lastRow="0" w:firstColumn="0" w:lastColumn="0" w:noHBand="0" w:noVBand="0"/>
        <w:tblCaption w:val="Notifiable Data Breaches"/>
        <w:tblDescription w:val="Notifiable Data Breaches: Compliant, Best practice, No PIR required. Regulatory Burden: $6.3m."/>
      </w:tblPr>
      <w:tblGrid>
        <w:gridCol w:w="5420"/>
        <w:gridCol w:w="1245"/>
        <w:gridCol w:w="1105"/>
        <w:gridCol w:w="1104"/>
        <w:gridCol w:w="1191"/>
      </w:tblGrid>
      <w:tr w:rsidR="00CD5E24" w:rsidRPr="00231D94" w14:paraId="1A767E2F" w14:textId="77777777" w:rsidTr="006E5A19">
        <w:trPr>
          <w:trHeight w:val="567"/>
          <w:tblHeader/>
        </w:trPr>
        <w:tc>
          <w:tcPr>
            <w:tcW w:w="5420" w:type="dxa"/>
            <w:shd w:val="clear" w:color="auto" w:fill="F4973F"/>
            <w:vAlign w:val="center"/>
          </w:tcPr>
          <w:p w14:paraId="51FBCBF7" w14:textId="77777777" w:rsidR="00CD5E24" w:rsidRPr="00231D94" w:rsidRDefault="00CD5E24"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43CC98F9" w14:textId="77777777" w:rsidR="00CD5E24" w:rsidRPr="00231D94" w:rsidRDefault="00CD5E24"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1B1564EC" w14:textId="77777777" w:rsidR="00CD5E24" w:rsidRPr="00231D94" w:rsidRDefault="00CD5E24"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1ECD6AC2" w14:textId="77777777" w:rsidR="00CD5E24" w:rsidRPr="00231D94" w:rsidRDefault="00CD5E24"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498550B8" w14:textId="77777777" w:rsidR="00CD5E24" w:rsidRPr="00231D94" w:rsidRDefault="00CD5E24"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CD5E24" w:rsidRPr="00B55423" w14:paraId="5F3D686C" w14:textId="77777777" w:rsidTr="004E2B26">
        <w:trPr>
          <w:trHeight w:hRule="exact" w:val="525"/>
        </w:trPr>
        <w:tc>
          <w:tcPr>
            <w:tcW w:w="5420" w:type="dxa"/>
            <w:shd w:val="clear" w:color="auto" w:fill="auto"/>
            <w:vAlign w:val="center"/>
          </w:tcPr>
          <w:p w14:paraId="4ED394A9" w14:textId="36A0ED73" w:rsidR="00CD5E24" w:rsidRPr="00CD5E24" w:rsidRDefault="00430F79"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 xml:space="preserve">Notifiable </w:t>
            </w:r>
            <w:r w:rsidR="00D060F2">
              <w:rPr>
                <w:rFonts w:eastAsia="MS Mincho" w:cs="Arial"/>
                <w:spacing w:val="-3"/>
                <w:sz w:val="18"/>
                <w:szCs w:val="18"/>
                <w:lang w:eastAsia="en-AU"/>
              </w:rPr>
              <w:t>D</w:t>
            </w:r>
            <w:r>
              <w:rPr>
                <w:rFonts w:eastAsia="MS Mincho" w:cs="Arial"/>
                <w:spacing w:val="-3"/>
                <w:sz w:val="18"/>
                <w:szCs w:val="18"/>
                <w:lang w:eastAsia="en-AU"/>
              </w:rPr>
              <w:t xml:space="preserve">ata </w:t>
            </w:r>
            <w:r w:rsidR="00D060F2">
              <w:rPr>
                <w:rFonts w:eastAsia="MS Mincho" w:cs="Arial"/>
                <w:spacing w:val="-3"/>
                <w:sz w:val="18"/>
                <w:szCs w:val="18"/>
                <w:lang w:eastAsia="en-AU"/>
              </w:rPr>
              <w:t>B</w:t>
            </w:r>
            <w:r>
              <w:rPr>
                <w:rFonts w:eastAsia="MS Mincho" w:cs="Arial"/>
                <w:spacing w:val="-3"/>
                <w:sz w:val="18"/>
                <w:szCs w:val="18"/>
                <w:lang w:eastAsia="en-AU"/>
              </w:rPr>
              <w:t>reaches</w:t>
            </w:r>
          </w:p>
        </w:tc>
        <w:tc>
          <w:tcPr>
            <w:tcW w:w="1245" w:type="dxa"/>
            <w:shd w:val="clear" w:color="auto" w:fill="auto"/>
            <w:vAlign w:val="center"/>
          </w:tcPr>
          <w:p w14:paraId="25FAEB17" w14:textId="77777777" w:rsidR="00CD5E24" w:rsidRPr="00B55423" w:rsidRDefault="00CD5E24" w:rsidP="00B55423">
            <w:pPr>
              <w:widowControl w:val="0"/>
              <w:kinsoku w:val="0"/>
              <w:overflowPunct w:val="0"/>
              <w:autoSpaceDE w:val="0"/>
              <w:autoSpaceDN w:val="0"/>
              <w:adjustRightInd w:val="0"/>
              <w:spacing w:before="54" w:after="0" w:line="254" w:lineRule="auto"/>
              <w:ind w:left="170" w:right="102"/>
              <w:rPr>
                <w:rFonts w:eastAsia="MS Mincho" w:cs="Arial"/>
                <w:spacing w:val="-3"/>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2619A713" w14:textId="1D84280C" w:rsidR="00CD5E24" w:rsidRPr="00B55423" w:rsidRDefault="00CD5E24"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sidRPr="00CE2207">
              <w:rPr>
                <w:rFonts w:eastAsia="MS Mincho" w:cs="Arial"/>
                <w:spacing w:val="-3"/>
                <w:sz w:val="18"/>
                <w:szCs w:val="18"/>
                <w:lang w:eastAsia="en-AU"/>
              </w:rPr>
              <w:t>Yes</w:t>
            </w:r>
          </w:p>
        </w:tc>
        <w:tc>
          <w:tcPr>
            <w:tcW w:w="1104" w:type="dxa"/>
            <w:shd w:val="clear" w:color="auto" w:fill="auto"/>
            <w:vAlign w:val="center"/>
          </w:tcPr>
          <w:p w14:paraId="412B55F3" w14:textId="77777777" w:rsidR="00CD5E24" w:rsidRPr="00B55423" w:rsidRDefault="00CD5E24"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sidRPr="00CD5E24">
              <w:rPr>
                <w:rFonts w:eastAsia="MS Mincho" w:cs="Arial"/>
                <w:spacing w:val="-3"/>
                <w:sz w:val="18"/>
                <w:szCs w:val="18"/>
                <w:lang w:eastAsia="en-AU"/>
              </w:rPr>
              <w:t>No</w:t>
            </w:r>
          </w:p>
        </w:tc>
        <w:tc>
          <w:tcPr>
            <w:tcW w:w="1191" w:type="dxa"/>
            <w:vAlign w:val="center"/>
          </w:tcPr>
          <w:p w14:paraId="368D2125" w14:textId="23A4E81D" w:rsidR="00CD5E24" w:rsidRPr="00CD5E24" w:rsidRDefault="00CD5E24"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sidRPr="00CE2207">
              <w:rPr>
                <w:rFonts w:eastAsia="MS Mincho" w:cs="Arial"/>
                <w:spacing w:val="-3"/>
                <w:sz w:val="18"/>
                <w:szCs w:val="18"/>
                <w:lang w:eastAsia="en-AU"/>
              </w:rPr>
              <w:t>$6.3</w:t>
            </w:r>
          </w:p>
        </w:tc>
      </w:tr>
    </w:tbl>
    <w:p w14:paraId="798ADFBD" w14:textId="77777777" w:rsidR="009A48B1" w:rsidRDefault="00DE3AE5" w:rsidP="00BA2600">
      <w:pPr>
        <w:spacing w:before="120" w:after="150"/>
        <w:rPr>
          <w:rFonts w:cs="Arial"/>
          <w:sz w:val="18"/>
          <w:szCs w:val="18"/>
        </w:rPr>
      </w:pPr>
      <w:bookmarkStart w:id="265" w:name="_Toc473899183"/>
      <w:bookmarkStart w:id="266" w:name="_Toc474840920"/>
      <w:bookmarkStart w:id="267" w:name="_Toc475345619"/>
      <w:bookmarkStart w:id="268" w:name="_Toc479345519"/>
      <w:bookmarkStart w:id="269" w:name="_Toc479345880"/>
      <w:bookmarkStart w:id="270" w:name="_Toc480281442"/>
      <w:r w:rsidRPr="008147F0">
        <w:rPr>
          <w:rFonts w:cs="Arial"/>
          <w:sz w:val="18"/>
          <w:szCs w:val="18"/>
        </w:rPr>
        <w:t xml:space="preserve">Organisations regulated under the </w:t>
      </w:r>
      <w:r w:rsidRPr="00C426D7">
        <w:rPr>
          <w:rFonts w:cs="Arial"/>
          <w:i/>
          <w:sz w:val="18"/>
          <w:szCs w:val="18"/>
        </w:rPr>
        <w:t>Privacy Act 1988</w:t>
      </w:r>
      <w:r w:rsidRPr="008147F0">
        <w:rPr>
          <w:rFonts w:cs="Arial"/>
          <w:sz w:val="18"/>
          <w:szCs w:val="18"/>
        </w:rPr>
        <w:t>, with turnover above $3 million, will be required to notify individuals of data breaches.</w:t>
      </w:r>
      <w:bookmarkEnd w:id="265"/>
      <w:bookmarkEnd w:id="266"/>
      <w:bookmarkEnd w:id="267"/>
      <w:bookmarkEnd w:id="268"/>
      <w:bookmarkEnd w:id="269"/>
      <w:bookmarkEnd w:id="270"/>
    </w:p>
    <w:p w14:paraId="54A4A939" w14:textId="2A5AF327" w:rsidR="004A3411" w:rsidRPr="00B05847" w:rsidRDefault="009A48B1" w:rsidP="009A48B1">
      <w:pPr>
        <w:spacing w:after="0" w:line="240" w:lineRule="auto"/>
        <w:rPr>
          <w:rFonts w:cs="Arial"/>
          <w:sz w:val="18"/>
          <w:szCs w:val="18"/>
        </w:rPr>
      </w:pPr>
      <w:r>
        <w:rPr>
          <w:rFonts w:cs="Arial"/>
          <w:sz w:val="18"/>
          <w:szCs w:val="18"/>
        </w:rPr>
        <w:br w:type="page"/>
      </w:r>
    </w:p>
    <w:p w14:paraId="7849A384" w14:textId="26C2F4D7" w:rsidR="00D00DAD" w:rsidRPr="00231D94" w:rsidRDefault="005C6972" w:rsidP="00B05847">
      <w:pPr>
        <w:pStyle w:val="Heading3"/>
      </w:pPr>
      <w:bookmarkStart w:id="271" w:name="_Toc5375753"/>
      <w:r>
        <w:t>D</w:t>
      </w:r>
      <w:r w:rsidR="00D00DAD" w:rsidRPr="00231D94">
        <w:t>epartment</w:t>
      </w:r>
      <w:r w:rsidR="00D00DAD">
        <w:t xml:space="preserve"> of Communications and the Arts</w:t>
      </w:r>
      <w:bookmarkEnd w:id="271"/>
      <w:r w:rsidR="00D00DAD">
        <w:t xml:space="preserve"> </w:t>
      </w:r>
    </w:p>
    <w:tbl>
      <w:tblPr>
        <w:tblW w:w="10065" w:type="dxa"/>
        <w:tblInd w:w="-142" w:type="dxa"/>
        <w:tblLayout w:type="fixed"/>
        <w:tblCellMar>
          <w:left w:w="0" w:type="dxa"/>
          <w:right w:w="0" w:type="dxa"/>
        </w:tblCellMar>
        <w:tblLook w:val="0000" w:firstRow="0" w:lastRow="0" w:firstColumn="0" w:lastColumn="0" w:noHBand="0" w:noVBand="0"/>
        <w:tblCaption w:val="Extending the Carrier Licence Conditions Declaration 2014"/>
        <w:tblDescription w:val="Extending the Carrier Licence Conditions Declaration 2014: Compliant, Best practice, No PIR required. Regulatory Burden: $0.0m."/>
      </w:tblPr>
      <w:tblGrid>
        <w:gridCol w:w="5420"/>
        <w:gridCol w:w="1245"/>
        <w:gridCol w:w="1105"/>
        <w:gridCol w:w="1104"/>
        <w:gridCol w:w="1191"/>
      </w:tblGrid>
      <w:tr w:rsidR="00D00DAD" w:rsidRPr="00231D94" w14:paraId="10B4F0DA" w14:textId="77777777" w:rsidTr="006E5A19">
        <w:trPr>
          <w:trHeight w:val="567"/>
          <w:tblHeader/>
        </w:trPr>
        <w:tc>
          <w:tcPr>
            <w:tcW w:w="5420" w:type="dxa"/>
            <w:shd w:val="clear" w:color="auto" w:fill="F4973F"/>
            <w:vAlign w:val="center"/>
          </w:tcPr>
          <w:p w14:paraId="3C12E861" w14:textId="77777777" w:rsidR="00D00DAD" w:rsidRPr="00231D94" w:rsidRDefault="00D00DAD"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C699A98" w14:textId="77777777" w:rsidR="00D00DAD" w:rsidRPr="00231D94" w:rsidRDefault="00D00DA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3A5C8C64" w14:textId="77777777" w:rsidR="00D00DAD" w:rsidRPr="00231D94" w:rsidRDefault="00D00DA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0B82A3A2" w14:textId="77777777" w:rsidR="00D00DAD" w:rsidRPr="00231D94" w:rsidRDefault="00D00DA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2DCC4662" w14:textId="77777777" w:rsidR="00D00DAD" w:rsidRPr="00231D94" w:rsidRDefault="00D00DA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D00DAD" w:rsidRPr="00B55423" w14:paraId="211DF4B1" w14:textId="77777777" w:rsidTr="00E87F64">
        <w:trPr>
          <w:trHeight w:hRule="exact" w:val="525"/>
        </w:trPr>
        <w:tc>
          <w:tcPr>
            <w:tcW w:w="5420" w:type="dxa"/>
            <w:shd w:val="clear" w:color="auto" w:fill="auto"/>
            <w:vAlign w:val="center"/>
          </w:tcPr>
          <w:p w14:paraId="0888871B" w14:textId="64EA9970" w:rsidR="00D00DAD" w:rsidRPr="00231D94" w:rsidRDefault="002075FA"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sidRPr="00403A3B">
              <w:rPr>
                <w:rFonts w:eastAsia="MS Mincho" w:cs="Arial"/>
                <w:spacing w:val="-3"/>
                <w:sz w:val="18"/>
                <w:szCs w:val="18"/>
                <w:lang w:eastAsia="en-AU"/>
              </w:rPr>
              <w:t>Extending the Carrier Licence Conditions Declaration 2014</w:t>
            </w:r>
          </w:p>
        </w:tc>
        <w:tc>
          <w:tcPr>
            <w:tcW w:w="1245" w:type="dxa"/>
            <w:shd w:val="clear" w:color="auto" w:fill="auto"/>
            <w:vAlign w:val="center"/>
          </w:tcPr>
          <w:p w14:paraId="78B3DB37" w14:textId="77777777" w:rsidR="00D00DAD" w:rsidRPr="00B55423" w:rsidRDefault="00D00DAD" w:rsidP="00B55423">
            <w:pPr>
              <w:widowControl w:val="0"/>
              <w:kinsoku w:val="0"/>
              <w:overflowPunct w:val="0"/>
              <w:autoSpaceDE w:val="0"/>
              <w:autoSpaceDN w:val="0"/>
              <w:adjustRightInd w:val="0"/>
              <w:spacing w:before="54" w:after="0" w:line="254" w:lineRule="auto"/>
              <w:ind w:left="170" w:right="102"/>
              <w:rPr>
                <w:rFonts w:eastAsia="MS Mincho" w:cs="Arial"/>
                <w:spacing w:val="-3"/>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26EDC6F7" w14:textId="44798902" w:rsidR="00D00DAD" w:rsidRPr="00B55423" w:rsidRDefault="00D00DAD"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Pr>
                <w:rFonts w:eastAsia="MS Mincho" w:cs="Arial"/>
                <w:spacing w:val="-3"/>
                <w:sz w:val="18"/>
                <w:szCs w:val="18"/>
                <w:lang w:eastAsia="en-AU"/>
              </w:rPr>
              <w:t>Yes</w:t>
            </w:r>
          </w:p>
        </w:tc>
        <w:tc>
          <w:tcPr>
            <w:tcW w:w="1104" w:type="dxa"/>
            <w:shd w:val="clear" w:color="auto" w:fill="auto"/>
            <w:vAlign w:val="center"/>
          </w:tcPr>
          <w:p w14:paraId="0AF6C07C" w14:textId="77777777" w:rsidR="00D00DAD" w:rsidRPr="00B55423" w:rsidRDefault="00D00DAD"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sidRPr="00231D94">
              <w:rPr>
                <w:rFonts w:eastAsia="MS Mincho" w:cs="Arial"/>
                <w:spacing w:val="-3"/>
                <w:sz w:val="18"/>
                <w:szCs w:val="18"/>
                <w:lang w:eastAsia="en-AU"/>
              </w:rPr>
              <w:t>No</w:t>
            </w:r>
          </w:p>
        </w:tc>
        <w:tc>
          <w:tcPr>
            <w:tcW w:w="1191" w:type="dxa"/>
            <w:vAlign w:val="center"/>
          </w:tcPr>
          <w:p w14:paraId="374304DA" w14:textId="0B6448CB" w:rsidR="00D00DAD" w:rsidRPr="00231D94" w:rsidRDefault="005A53C7"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Pr>
                <w:rFonts w:eastAsia="MS Mincho" w:cs="Arial"/>
                <w:spacing w:val="-3"/>
                <w:sz w:val="18"/>
                <w:szCs w:val="18"/>
                <w:lang w:eastAsia="en-AU"/>
              </w:rPr>
              <w:t>$0.0</w:t>
            </w:r>
          </w:p>
        </w:tc>
      </w:tr>
    </w:tbl>
    <w:p w14:paraId="162CC69C" w14:textId="75808CC9" w:rsidR="00C033B7" w:rsidRDefault="004A3411" w:rsidP="00BA2600">
      <w:pPr>
        <w:spacing w:before="120" w:after="150"/>
        <w:rPr>
          <w:rFonts w:cs="Arial"/>
          <w:sz w:val="18"/>
          <w:szCs w:val="18"/>
        </w:rPr>
      </w:pPr>
      <w:r w:rsidRPr="004A3411">
        <w:rPr>
          <w:rFonts w:cs="Arial"/>
          <w:sz w:val="18"/>
          <w:szCs w:val="18"/>
        </w:rPr>
        <w:t xml:space="preserve">This proposal extends the Declaration to 30 June 2018. It was first made to impose functional separation and wholesale supply obligations on certain new superfast networks with a view to supporting competition. The extension also includes new reporting measures to improve transparency. </w:t>
      </w:r>
    </w:p>
    <w:tbl>
      <w:tblPr>
        <w:tblW w:w="9979" w:type="dxa"/>
        <w:tblInd w:w="-142" w:type="dxa"/>
        <w:tblLayout w:type="fixed"/>
        <w:tblCellMar>
          <w:left w:w="0" w:type="dxa"/>
          <w:right w:w="0" w:type="dxa"/>
        </w:tblCellMar>
        <w:tblLook w:val="0000" w:firstRow="0" w:lastRow="0" w:firstColumn="0" w:lastColumn="0" w:noHBand="0" w:noVBand="0"/>
        <w:tblCaption w:val="Anti-money laundering and counter-terrorism financing"/>
        <w:tblDescription w:val="Anti-money laundering and counter-terrorism financing: Compliant, Best practice, No PIR required. Regulatory Burden: -$36.1m."/>
      </w:tblPr>
      <w:tblGrid>
        <w:gridCol w:w="5420"/>
        <w:gridCol w:w="1245"/>
        <w:gridCol w:w="1105"/>
        <w:gridCol w:w="1104"/>
        <w:gridCol w:w="1105"/>
      </w:tblGrid>
      <w:tr w:rsidR="00BA2600" w:rsidRPr="00231D94" w14:paraId="2F4524E9" w14:textId="77777777" w:rsidTr="006E5A19">
        <w:trPr>
          <w:tblHeader/>
        </w:trPr>
        <w:tc>
          <w:tcPr>
            <w:tcW w:w="5420" w:type="dxa"/>
            <w:shd w:val="clear" w:color="auto" w:fill="F4973F"/>
            <w:vAlign w:val="center"/>
          </w:tcPr>
          <w:p w14:paraId="077A06CF" w14:textId="77777777" w:rsidR="00BA2600" w:rsidRPr="00231D94" w:rsidRDefault="00BA2600"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6F63E446" w14:textId="77777777" w:rsidR="00BA2600" w:rsidRPr="00231D94" w:rsidRDefault="00BA2600"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663950A8" w14:textId="77777777" w:rsidR="00BA2600" w:rsidRPr="00231D94" w:rsidRDefault="00BA2600"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FD8275B" w14:textId="77777777" w:rsidR="00BA2600" w:rsidRPr="00231D94" w:rsidRDefault="00BA2600"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05" w:type="dxa"/>
            <w:shd w:val="clear" w:color="auto" w:fill="F4973F"/>
            <w:vAlign w:val="center"/>
          </w:tcPr>
          <w:p w14:paraId="626A9E3B" w14:textId="77777777" w:rsidR="00BA2600" w:rsidRPr="00231D94" w:rsidRDefault="00BA2600"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BA2600" w:rsidRPr="00CD5E24" w14:paraId="4C99CA31" w14:textId="77777777" w:rsidTr="006E5A19">
        <w:trPr>
          <w:trHeight w:hRule="exact" w:val="525"/>
        </w:trPr>
        <w:tc>
          <w:tcPr>
            <w:tcW w:w="5420" w:type="dxa"/>
            <w:shd w:val="clear" w:color="auto" w:fill="auto"/>
            <w:vAlign w:val="center"/>
          </w:tcPr>
          <w:p w14:paraId="0AA5D291" w14:textId="77777777" w:rsidR="00BA2600" w:rsidRPr="00CD5E24" w:rsidRDefault="00BA2600" w:rsidP="009465BE">
            <w:pPr>
              <w:widowControl w:val="0"/>
              <w:kinsoku w:val="0"/>
              <w:overflowPunct w:val="0"/>
              <w:autoSpaceDE w:val="0"/>
              <w:autoSpaceDN w:val="0"/>
              <w:adjustRightInd w:val="0"/>
              <w:spacing w:before="54" w:after="0" w:line="254" w:lineRule="auto"/>
              <w:ind w:left="135" w:right="102" w:firstLine="1"/>
              <w:rPr>
                <w:rFonts w:eastAsia="MS Mincho" w:cs="Arial"/>
                <w:spacing w:val="-3"/>
                <w:sz w:val="18"/>
                <w:szCs w:val="18"/>
                <w:lang w:eastAsia="en-AU"/>
              </w:rPr>
            </w:pPr>
            <w:r>
              <w:rPr>
                <w:rFonts w:eastAsia="MS Mincho" w:cs="Arial"/>
                <w:spacing w:val="-3"/>
                <w:sz w:val="18"/>
                <w:szCs w:val="18"/>
                <w:lang w:eastAsia="en-AU"/>
              </w:rPr>
              <w:t>Funding the Regional Broadband Scheme</w:t>
            </w:r>
          </w:p>
        </w:tc>
        <w:tc>
          <w:tcPr>
            <w:tcW w:w="1245" w:type="dxa"/>
            <w:shd w:val="clear" w:color="auto" w:fill="auto"/>
            <w:vAlign w:val="center"/>
          </w:tcPr>
          <w:p w14:paraId="168BC8F0" w14:textId="77777777" w:rsidR="00BA2600" w:rsidRPr="00CD5E24" w:rsidRDefault="00BA2600" w:rsidP="006E5A19">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0BA864E0" w14:textId="77777777" w:rsidR="00BA2600" w:rsidRPr="00CD5E24" w:rsidRDefault="00BA2600" w:rsidP="006E5A1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E2207">
              <w:rPr>
                <w:rFonts w:eastAsia="MS Mincho" w:cs="Arial"/>
                <w:spacing w:val="-3"/>
                <w:sz w:val="18"/>
                <w:szCs w:val="18"/>
                <w:lang w:eastAsia="en-AU"/>
              </w:rPr>
              <w:t>Yes</w:t>
            </w:r>
          </w:p>
        </w:tc>
        <w:tc>
          <w:tcPr>
            <w:tcW w:w="1104" w:type="dxa"/>
            <w:shd w:val="clear" w:color="auto" w:fill="auto"/>
            <w:vAlign w:val="center"/>
          </w:tcPr>
          <w:p w14:paraId="56329601" w14:textId="77777777" w:rsidR="00BA2600" w:rsidRPr="00CD5E24" w:rsidRDefault="00BA2600" w:rsidP="006E5A1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D5E24">
              <w:rPr>
                <w:rFonts w:eastAsia="MS Mincho" w:cs="Arial"/>
                <w:spacing w:val="-3"/>
                <w:sz w:val="18"/>
                <w:szCs w:val="18"/>
                <w:lang w:eastAsia="en-AU"/>
              </w:rPr>
              <w:t>No</w:t>
            </w:r>
          </w:p>
        </w:tc>
        <w:tc>
          <w:tcPr>
            <w:tcW w:w="1105" w:type="dxa"/>
            <w:vAlign w:val="center"/>
          </w:tcPr>
          <w:p w14:paraId="6DB179C7" w14:textId="4419C3F3" w:rsidR="00BA2600" w:rsidRPr="00CD5E24" w:rsidRDefault="00BA2600" w:rsidP="00657B63">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w:t>
            </w:r>
            <w:r w:rsidR="00657B63">
              <w:rPr>
                <w:rFonts w:eastAsia="MS Mincho" w:cs="Arial"/>
                <w:spacing w:val="-3"/>
                <w:sz w:val="18"/>
                <w:szCs w:val="18"/>
                <w:lang w:eastAsia="en-AU"/>
              </w:rPr>
              <w:t>0</w:t>
            </w:r>
          </w:p>
        </w:tc>
      </w:tr>
    </w:tbl>
    <w:p w14:paraId="24745397" w14:textId="42EEA03A" w:rsidR="00BA2600" w:rsidRPr="008147F0" w:rsidRDefault="00BA2600" w:rsidP="00BA2600">
      <w:pPr>
        <w:spacing w:before="120" w:after="150"/>
        <w:rPr>
          <w:rFonts w:cs="Arial"/>
          <w:sz w:val="18"/>
          <w:szCs w:val="18"/>
        </w:rPr>
      </w:pPr>
      <w:r w:rsidRPr="00A0709F">
        <w:rPr>
          <w:rFonts w:cs="Arial"/>
          <w:sz w:val="18"/>
          <w:szCs w:val="18"/>
        </w:rPr>
        <w:t>The measure establishes an ongoing funding arrangement for fixed wireless and satellite infrastructure by imposing a monthly charge on carriers, including NBN Co Ltd, in relation to each premises connected to their network that has an active fixed-line superfast broadband service during the month.</w:t>
      </w:r>
    </w:p>
    <w:tbl>
      <w:tblPr>
        <w:tblW w:w="10065" w:type="dxa"/>
        <w:tblInd w:w="-142" w:type="dxa"/>
        <w:tblLayout w:type="fixed"/>
        <w:tblCellMar>
          <w:left w:w="0" w:type="dxa"/>
          <w:right w:w="0" w:type="dxa"/>
        </w:tblCellMar>
        <w:tblLook w:val="0000" w:firstRow="0" w:lastRow="0" w:firstColumn="0" w:lastColumn="0" w:noHBand="0" w:noVBand="0"/>
        <w:tblCaption w:val="Interactive Gambling Restrictions"/>
        <w:tblDescription w:val="Interactive Gambling Restrictions: Compliant, Best practice, No PIR required. Regulatory Burden: $0.0m."/>
      </w:tblPr>
      <w:tblGrid>
        <w:gridCol w:w="5420"/>
        <w:gridCol w:w="1245"/>
        <w:gridCol w:w="1105"/>
        <w:gridCol w:w="1104"/>
        <w:gridCol w:w="1191"/>
      </w:tblGrid>
      <w:tr w:rsidR="00C033B7" w:rsidRPr="00231D94" w14:paraId="65E9B681" w14:textId="77777777" w:rsidTr="00E87F64">
        <w:trPr>
          <w:trHeight w:val="80"/>
          <w:tblHeader/>
        </w:trPr>
        <w:tc>
          <w:tcPr>
            <w:tcW w:w="5420" w:type="dxa"/>
            <w:shd w:val="clear" w:color="auto" w:fill="F4973F"/>
            <w:vAlign w:val="center"/>
          </w:tcPr>
          <w:p w14:paraId="4ECC1434" w14:textId="77777777" w:rsidR="00C033B7" w:rsidRPr="00231D94" w:rsidRDefault="00C033B7"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062FFE50" w14:textId="77777777" w:rsidR="00C033B7" w:rsidRPr="00231D94" w:rsidRDefault="00C033B7"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7A3BFA5B" w14:textId="77777777" w:rsidR="00C033B7" w:rsidRPr="00231D94" w:rsidRDefault="00C033B7"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6A007735" w14:textId="77777777" w:rsidR="00C033B7" w:rsidRPr="00231D94" w:rsidRDefault="00C033B7"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2EEA19BA" w14:textId="77777777" w:rsidR="00C033B7" w:rsidRPr="00231D94" w:rsidRDefault="00C033B7"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C033B7" w:rsidRPr="00B55423" w14:paraId="210F0F4E" w14:textId="77777777" w:rsidTr="007C3294">
        <w:trPr>
          <w:trHeight w:hRule="exact" w:val="510"/>
        </w:trPr>
        <w:tc>
          <w:tcPr>
            <w:tcW w:w="5420" w:type="dxa"/>
            <w:shd w:val="clear" w:color="auto" w:fill="auto"/>
            <w:vAlign w:val="center"/>
          </w:tcPr>
          <w:p w14:paraId="520B6D12" w14:textId="06EED2E2" w:rsidR="00C033B7" w:rsidRPr="00231D94" w:rsidRDefault="00C033B7"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Interactive Gambling Restrictions</w:t>
            </w:r>
          </w:p>
        </w:tc>
        <w:tc>
          <w:tcPr>
            <w:tcW w:w="1245" w:type="dxa"/>
            <w:shd w:val="clear" w:color="auto" w:fill="auto"/>
            <w:vAlign w:val="center"/>
          </w:tcPr>
          <w:p w14:paraId="1B642F32" w14:textId="77777777" w:rsidR="00C033B7" w:rsidRPr="00B55423" w:rsidRDefault="00C033B7" w:rsidP="00B55423">
            <w:pPr>
              <w:widowControl w:val="0"/>
              <w:kinsoku w:val="0"/>
              <w:overflowPunct w:val="0"/>
              <w:autoSpaceDE w:val="0"/>
              <w:autoSpaceDN w:val="0"/>
              <w:adjustRightInd w:val="0"/>
              <w:spacing w:before="54" w:after="0" w:line="254" w:lineRule="auto"/>
              <w:ind w:left="170" w:right="102"/>
              <w:rPr>
                <w:rFonts w:eastAsia="MS Mincho" w:cs="Arial"/>
                <w:spacing w:val="-3"/>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6D735AF7" w14:textId="77777777" w:rsidR="00C033B7" w:rsidRPr="00B55423" w:rsidRDefault="00C033B7"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Pr>
                <w:rFonts w:eastAsia="MS Mincho" w:cs="Arial"/>
                <w:spacing w:val="-3"/>
                <w:sz w:val="18"/>
                <w:szCs w:val="18"/>
                <w:lang w:eastAsia="en-AU"/>
              </w:rPr>
              <w:t>Yes</w:t>
            </w:r>
          </w:p>
        </w:tc>
        <w:tc>
          <w:tcPr>
            <w:tcW w:w="1104" w:type="dxa"/>
            <w:shd w:val="clear" w:color="auto" w:fill="auto"/>
            <w:vAlign w:val="center"/>
          </w:tcPr>
          <w:p w14:paraId="7D75B2B5" w14:textId="77777777" w:rsidR="00C033B7" w:rsidRPr="00B55423" w:rsidRDefault="00C033B7"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sidRPr="00231D94">
              <w:rPr>
                <w:rFonts w:eastAsia="MS Mincho" w:cs="Arial"/>
                <w:spacing w:val="-3"/>
                <w:sz w:val="18"/>
                <w:szCs w:val="18"/>
                <w:lang w:eastAsia="en-AU"/>
              </w:rPr>
              <w:t>No</w:t>
            </w:r>
          </w:p>
        </w:tc>
        <w:tc>
          <w:tcPr>
            <w:tcW w:w="1191" w:type="dxa"/>
            <w:vAlign w:val="center"/>
          </w:tcPr>
          <w:p w14:paraId="2755C90F" w14:textId="48577FC5" w:rsidR="00C033B7" w:rsidRPr="00231D94" w:rsidRDefault="00F43EED"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Pr>
                <w:rFonts w:eastAsia="MS Mincho" w:cs="Arial"/>
                <w:spacing w:val="-3"/>
                <w:sz w:val="18"/>
                <w:szCs w:val="18"/>
                <w:lang w:eastAsia="en-AU"/>
              </w:rPr>
              <w:t xml:space="preserve">  </w:t>
            </w:r>
            <w:r w:rsidR="00C033B7">
              <w:rPr>
                <w:rFonts w:eastAsia="MS Mincho" w:cs="Arial"/>
                <w:spacing w:val="-3"/>
                <w:sz w:val="18"/>
                <w:szCs w:val="18"/>
                <w:lang w:eastAsia="en-AU"/>
              </w:rPr>
              <w:t>$0.0</w:t>
            </w:r>
          </w:p>
        </w:tc>
      </w:tr>
    </w:tbl>
    <w:p w14:paraId="1B595520" w14:textId="237136BE" w:rsidR="00DE3AE5" w:rsidRPr="008147F0" w:rsidRDefault="00DE3AE5" w:rsidP="00BA2600">
      <w:pPr>
        <w:spacing w:before="120" w:after="150"/>
        <w:rPr>
          <w:rFonts w:cs="Arial"/>
          <w:sz w:val="18"/>
          <w:szCs w:val="18"/>
        </w:rPr>
      </w:pPr>
      <w:r w:rsidRPr="008147F0">
        <w:rPr>
          <w:rFonts w:cs="Arial"/>
          <w:sz w:val="18"/>
          <w:szCs w:val="18"/>
        </w:rPr>
        <w:t xml:space="preserve">The proposal amends the </w:t>
      </w:r>
      <w:r w:rsidRPr="00C426D7">
        <w:rPr>
          <w:rFonts w:cs="Arial"/>
          <w:i/>
          <w:sz w:val="18"/>
          <w:szCs w:val="18"/>
        </w:rPr>
        <w:t>Interactive Gambling Act 2001</w:t>
      </w:r>
      <w:r w:rsidRPr="008147F0">
        <w:rPr>
          <w:rFonts w:cs="Arial"/>
          <w:sz w:val="18"/>
          <w:szCs w:val="18"/>
        </w:rPr>
        <w:t xml:space="preserve"> to prohibit ‘click to call’ in-play betting services and increases powers of the Australian Communications and Media Authority to enforce provisions within the Act.</w:t>
      </w:r>
    </w:p>
    <w:tbl>
      <w:tblPr>
        <w:tblW w:w="10065" w:type="dxa"/>
        <w:tblInd w:w="-142" w:type="dxa"/>
        <w:tblLayout w:type="fixed"/>
        <w:tblCellMar>
          <w:left w:w="0" w:type="dxa"/>
          <w:right w:w="0" w:type="dxa"/>
        </w:tblCellMar>
        <w:tblLook w:val="0000" w:firstRow="0" w:lastRow="0" w:firstColumn="0" w:lastColumn="0" w:noHBand="0" w:noVBand="0"/>
        <w:tblCaption w:val="Interactive Gambling Restrictions"/>
        <w:tblDescription w:val="Interactive Gambling Restrictions: Compliant, Best practice, No PIR required. Regulatory Burden: $0.0m."/>
      </w:tblPr>
      <w:tblGrid>
        <w:gridCol w:w="5420"/>
        <w:gridCol w:w="1245"/>
        <w:gridCol w:w="1105"/>
        <w:gridCol w:w="1104"/>
        <w:gridCol w:w="1191"/>
      </w:tblGrid>
      <w:tr w:rsidR="002D526D" w:rsidRPr="00231D94" w14:paraId="2DDD48CF" w14:textId="77777777" w:rsidTr="00E87F64">
        <w:trPr>
          <w:tblHeader/>
        </w:trPr>
        <w:tc>
          <w:tcPr>
            <w:tcW w:w="5420" w:type="dxa"/>
            <w:shd w:val="clear" w:color="auto" w:fill="F4973F"/>
            <w:vAlign w:val="center"/>
          </w:tcPr>
          <w:p w14:paraId="3821738E" w14:textId="77777777" w:rsidR="002D526D" w:rsidRPr="00231D94" w:rsidRDefault="002D526D"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765AF22A" w14:textId="77777777" w:rsidR="002D526D" w:rsidRPr="00231D94" w:rsidRDefault="002D526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1A091E76" w14:textId="77777777" w:rsidR="002D526D" w:rsidRPr="00231D94" w:rsidRDefault="002D526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6AE2493D" w14:textId="77777777" w:rsidR="002D526D" w:rsidRPr="00231D94" w:rsidRDefault="002D526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620A818" w14:textId="77777777" w:rsidR="002D526D" w:rsidRPr="00231D94" w:rsidRDefault="002D526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2D526D" w:rsidRPr="00B55423" w14:paraId="7C83A998" w14:textId="77777777" w:rsidTr="007C3294">
        <w:trPr>
          <w:trHeight w:hRule="exact" w:val="510"/>
        </w:trPr>
        <w:tc>
          <w:tcPr>
            <w:tcW w:w="5420" w:type="dxa"/>
            <w:shd w:val="clear" w:color="auto" w:fill="auto"/>
            <w:vAlign w:val="center"/>
          </w:tcPr>
          <w:p w14:paraId="1D3EE77F" w14:textId="24BF2568" w:rsidR="002D526D" w:rsidRPr="00231D94" w:rsidRDefault="002D526D"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Reform of Anti-Siphoning Scheme</w:t>
            </w:r>
          </w:p>
        </w:tc>
        <w:tc>
          <w:tcPr>
            <w:tcW w:w="1245" w:type="dxa"/>
            <w:shd w:val="clear" w:color="auto" w:fill="auto"/>
            <w:vAlign w:val="center"/>
          </w:tcPr>
          <w:p w14:paraId="1143B2C1" w14:textId="77777777" w:rsidR="002D526D" w:rsidRPr="00B55423" w:rsidRDefault="002D526D" w:rsidP="00B55423">
            <w:pPr>
              <w:widowControl w:val="0"/>
              <w:kinsoku w:val="0"/>
              <w:overflowPunct w:val="0"/>
              <w:autoSpaceDE w:val="0"/>
              <w:autoSpaceDN w:val="0"/>
              <w:adjustRightInd w:val="0"/>
              <w:spacing w:before="54" w:after="0" w:line="254" w:lineRule="auto"/>
              <w:ind w:left="170" w:right="102"/>
              <w:rPr>
                <w:rFonts w:eastAsia="MS Mincho" w:cs="Arial"/>
                <w:spacing w:val="-3"/>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6D2D51C1" w14:textId="77777777" w:rsidR="002D526D" w:rsidRPr="00B55423" w:rsidRDefault="002D526D"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Pr>
                <w:rFonts w:eastAsia="MS Mincho" w:cs="Arial"/>
                <w:spacing w:val="-3"/>
                <w:sz w:val="18"/>
                <w:szCs w:val="18"/>
                <w:lang w:eastAsia="en-AU"/>
              </w:rPr>
              <w:t>Yes</w:t>
            </w:r>
          </w:p>
        </w:tc>
        <w:tc>
          <w:tcPr>
            <w:tcW w:w="1104" w:type="dxa"/>
            <w:shd w:val="clear" w:color="auto" w:fill="auto"/>
            <w:vAlign w:val="center"/>
          </w:tcPr>
          <w:p w14:paraId="7EA6496D" w14:textId="77777777" w:rsidR="002D526D" w:rsidRPr="00B55423" w:rsidRDefault="002D526D" w:rsidP="00AD7705">
            <w:pPr>
              <w:widowControl w:val="0"/>
              <w:kinsoku w:val="0"/>
              <w:overflowPunct w:val="0"/>
              <w:autoSpaceDE w:val="0"/>
              <w:autoSpaceDN w:val="0"/>
              <w:adjustRightInd w:val="0"/>
              <w:spacing w:before="54" w:after="0" w:line="254" w:lineRule="auto"/>
              <w:ind w:left="170" w:right="102"/>
              <w:jc w:val="center"/>
              <w:rPr>
                <w:rFonts w:eastAsia="MS Mincho" w:cs="Arial"/>
                <w:spacing w:val="-3"/>
                <w:sz w:val="18"/>
                <w:szCs w:val="18"/>
                <w:lang w:eastAsia="en-AU"/>
              </w:rPr>
            </w:pPr>
            <w:r w:rsidRPr="00231D94">
              <w:rPr>
                <w:rFonts w:eastAsia="MS Mincho" w:cs="Arial"/>
                <w:spacing w:val="-3"/>
                <w:sz w:val="18"/>
                <w:szCs w:val="18"/>
                <w:lang w:eastAsia="en-AU"/>
              </w:rPr>
              <w:t>No</w:t>
            </w:r>
          </w:p>
        </w:tc>
        <w:tc>
          <w:tcPr>
            <w:tcW w:w="1191" w:type="dxa"/>
            <w:vAlign w:val="center"/>
          </w:tcPr>
          <w:p w14:paraId="4C5BE597" w14:textId="20D764D2" w:rsidR="002D526D" w:rsidRPr="00231D94" w:rsidRDefault="00F43EED" w:rsidP="00F43EED">
            <w:pPr>
              <w:widowControl w:val="0"/>
              <w:kinsoku w:val="0"/>
              <w:overflowPunct w:val="0"/>
              <w:autoSpaceDE w:val="0"/>
              <w:autoSpaceDN w:val="0"/>
              <w:adjustRightInd w:val="0"/>
              <w:spacing w:before="54" w:after="0" w:line="254" w:lineRule="auto"/>
              <w:ind w:left="178" w:right="102"/>
              <w:jc w:val="center"/>
              <w:rPr>
                <w:rFonts w:eastAsia="MS Mincho" w:cs="Arial"/>
                <w:spacing w:val="-3"/>
                <w:sz w:val="18"/>
                <w:szCs w:val="18"/>
                <w:lang w:eastAsia="en-AU"/>
              </w:rPr>
            </w:pPr>
            <w:r>
              <w:rPr>
                <w:rFonts w:eastAsia="MS Mincho" w:cs="Arial"/>
                <w:spacing w:val="-3"/>
                <w:sz w:val="18"/>
                <w:szCs w:val="18"/>
                <w:lang w:eastAsia="en-AU"/>
              </w:rPr>
              <w:t xml:space="preserve">   </w:t>
            </w:r>
            <w:r w:rsidR="002D526D">
              <w:rPr>
                <w:rFonts w:eastAsia="MS Mincho" w:cs="Arial"/>
                <w:spacing w:val="-3"/>
                <w:sz w:val="18"/>
                <w:szCs w:val="18"/>
                <w:lang w:eastAsia="en-AU"/>
              </w:rPr>
              <w:t>$0.0</w:t>
            </w:r>
          </w:p>
        </w:tc>
      </w:tr>
    </w:tbl>
    <w:p w14:paraId="13E3883C" w14:textId="01D968F8" w:rsidR="00D91FF3" w:rsidRDefault="002D526D" w:rsidP="00BA2600">
      <w:pPr>
        <w:spacing w:before="120" w:after="150"/>
        <w:rPr>
          <w:rFonts w:cs="Arial"/>
          <w:sz w:val="18"/>
          <w:szCs w:val="18"/>
        </w:rPr>
      </w:pPr>
      <w:r w:rsidRPr="008147F0">
        <w:rPr>
          <w:rFonts w:cs="Arial"/>
          <w:sz w:val="18"/>
          <w:szCs w:val="18"/>
        </w:rPr>
        <w:t>The proposal makes amendments to the operation of the anti-siphoning scheme to allow subscription television broadcasters to acquire right to events at any time within 26 weeks before events take place.</w:t>
      </w:r>
    </w:p>
    <w:tbl>
      <w:tblPr>
        <w:tblW w:w="10065" w:type="dxa"/>
        <w:tblInd w:w="-142" w:type="dxa"/>
        <w:tblLayout w:type="fixed"/>
        <w:tblCellMar>
          <w:left w:w="0" w:type="dxa"/>
          <w:right w:w="0" w:type="dxa"/>
        </w:tblCellMar>
        <w:tblLook w:val="0000" w:firstRow="0" w:lastRow="0" w:firstColumn="0" w:lastColumn="0" w:noHBand="0" w:noVBand="0"/>
        <w:tblCaption w:val="Reform of Anti-Siphoning Scheme"/>
        <w:tblDescription w:val="Reform of Anti-Siphoning Scheme: Compliant, Best practice, No PIR required. Regulatory Burden: $0.0m."/>
      </w:tblPr>
      <w:tblGrid>
        <w:gridCol w:w="5420"/>
        <w:gridCol w:w="1245"/>
        <w:gridCol w:w="1105"/>
        <w:gridCol w:w="1104"/>
        <w:gridCol w:w="1191"/>
      </w:tblGrid>
      <w:tr w:rsidR="009B1DFE" w:rsidRPr="00231D94" w14:paraId="08A0B12B" w14:textId="77777777" w:rsidTr="00E87F64">
        <w:trPr>
          <w:tblHeader/>
        </w:trPr>
        <w:tc>
          <w:tcPr>
            <w:tcW w:w="5420" w:type="dxa"/>
            <w:shd w:val="clear" w:color="auto" w:fill="F4973F"/>
            <w:vAlign w:val="center"/>
          </w:tcPr>
          <w:p w14:paraId="4DEE5A9E" w14:textId="77777777" w:rsidR="009B1DFE" w:rsidRPr="00231D94" w:rsidRDefault="009B1DFE"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4C173D6F" w14:textId="77777777" w:rsidR="009B1DFE" w:rsidRPr="00231D94" w:rsidRDefault="009B1DFE"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329CA397" w14:textId="77777777" w:rsidR="009B1DFE" w:rsidRPr="00231D94" w:rsidRDefault="009B1DFE"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E3CB0A5" w14:textId="77777777" w:rsidR="009B1DFE" w:rsidRPr="00231D94" w:rsidRDefault="009B1DFE"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39518D26" w14:textId="77777777" w:rsidR="009B1DFE" w:rsidRPr="00231D94" w:rsidRDefault="009B1DFE"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9B1DFE" w:rsidRPr="00B55423" w14:paraId="47F2245A" w14:textId="77777777" w:rsidTr="00BA2600">
        <w:trPr>
          <w:trHeight w:hRule="exact" w:val="737"/>
        </w:trPr>
        <w:tc>
          <w:tcPr>
            <w:tcW w:w="5420" w:type="dxa"/>
            <w:shd w:val="clear" w:color="auto" w:fill="auto"/>
            <w:vAlign w:val="center"/>
          </w:tcPr>
          <w:p w14:paraId="17B9613E" w14:textId="27C0162E" w:rsidR="009B1DFE" w:rsidRPr="00231D94" w:rsidRDefault="009B1DFE" w:rsidP="007C3294">
            <w:pPr>
              <w:widowControl w:val="0"/>
              <w:kinsoku w:val="0"/>
              <w:overflowPunct w:val="0"/>
              <w:autoSpaceDE w:val="0"/>
              <w:autoSpaceDN w:val="0"/>
              <w:adjustRightInd w:val="0"/>
              <w:spacing w:before="120" w:after="0" w:line="254" w:lineRule="auto"/>
              <w:ind w:left="135" w:right="102"/>
              <w:rPr>
                <w:rFonts w:eastAsia="MS Mincho" w:cs="Arial"/>
                <w:spacing w:val="-3"/>
                <w:sz w:val="18"/>
                <w:szCs w:val="18"/>
                <w:lang w:eastAsia="en-AU"/>
              </w:rPr>
            </w:pPr>
            <w:r w:rsidRPr="009B1DFE">
              <w:rPr>
                <w:rFonts w:eastAsia="MS Mincho" w:cs="Arial"/>
                <w:spacing w:val="-3"/>
                <w:sz w:val="18"/>
                <w:szCs w:val="18"/>
                <w:lang w:eastAsia="en-AU"/>
              </w:rPr>
              <w:t>Response to the Vertigan Review of the Regulatory Arrangement for the NBN</w:t>
            </w:r>
          </w:p>
        </w:tc>
        <w:tc>
          <w:tcPr>
            <w:tcW w:w="1245" w:type="dxa"/>
            <w:shd w:val="clear" w:color="auto" w:fill="auto"/>
            <w:vAlign w:val="center"/>
          </w:tcPr>
          <w:p w14:paraId="3DD437DA" w14:textId="77777777" w:rsidR="009B1DFE" w:rsidRPr="00B55423" w:rsidRDefault="009B1DFE" w:rsidP="00C07154">
            <w:pPr>
              <w:widowControl w:val="0"/>
              <w:kinsoku w:val="0"/>
              <w:overflowPunct w:val="0"/>
              <w:autoSpaceDE w:val="0"/>
              <w:autoSpaceDN w:val="0"/>
              <w:adjustRightInd w:val="0"/>
              <w:spacing w:before="120" w:after="0" w:line="254" w:lineRule="auto"/>
              <w:ind w:left="170" w:right="102"/>
              <w:rPr>
                <w:rFonts w:eastAsia="MS Mincho" w:cs="Arial"/>
                <w:spacing w:val="-3"/>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116F861B" w14:textId="77777777" w:rsidR="009B1DFE" w:rsidRPr="00B55423" w:rsidRDefault="009B1DFE" w:rsidP="00C07154">
            <w:pPr>
              <w:widowControl w:val="0"/>
              <w:kinsoku w:val="0"/>
              <w:overflowPunct w:val="0"/>
              <w:autoSpaceDE w:val="0"/>
              <w:autoSpaceDN w:val="0"/>
              <w:adjustRightInd w:val="0"/>
              <w:spacing w:before="120" w:after="0" w:line="254" w:lineRule="auto"/>
              <w:ind w:left="170" w:right="102"/>
              <w:jc w:val="center"/>
              <w:rPr>
                <w:rFonts w:eastAsia="MS Mincho" w:cs="Arial"/>
                <w:spacing w:val="-3"/>
                <w:sz w:val="18"/>
                <w:szCs w:val="18"/>
                <w:lang w:eastAsia="en-AU"/>
              </w:rPr>
            </w:pPr>
            <w:r>
              <w:rPr>
                <w:rFonts w:eastAsia="MS Mincho" w:cs="Arial"/>
                <w:spacing w:val="-3"/>
                <w:sz w:val="18"/>
                <w:szCs w:val="18"/>
                <w:lang w:eastAsia="en-AU"/>
              </w:rPr>
              <w:t>Yes</w:t>
            </w:r>
          </w:p>
        </w:tc>
        <w:tc>
          <w:tcPr>
            <w:tcW w:w="1104" w:type="dxa"/>
            <w:shd w:val="clear" w:color="auto" w:fill="auto"/>
            <w:vAlign w:val="center"/>
          </w:tcPr>
          <w:p w14:paraId="7E788076" w14:textId="77777777" w:rsidR="009B1DFE" w:rsidRPr="00B55423" w:rsidRDefault="009B1DFE" w:rsidP="00C07154">
            <w:pPr>
              <w:widowControl w:val="0"/>
              <w:kinsoku w:val="0"/>
              <w:overflowPunct w:val="0"/>
              <w:autoSpaceDE w:val="0"/>
              <w:autoSpaceDN w:val="0"/>
              <w:adjustRightInd w:val="0"/>
              <w:spacing w:before="120" w:after="0" w:line="254" w:lineRule="auto"/>
              <w:ind w:left="170" w:right="102"/>
              <w:jc w:val="center"/>
              <w:rPr>
                <w:rFonts w:eastAsia="MS Mincho" w:cs="Arial"/>
                <w:spacing w:val="-3"/>
                <w:sz w:val="18"/>
                <w:szCs w:val="18"/>
                <w:lang w:eastAsia="en-AU"/>
              </w:rPr>
            </w:pPr>
            <w:r w:rsidRPr="00231D94">
              <w:rPr>
                <w:rFonts w:eastAsia="MS Mincho" w:cs="Arial"/>
                <w:spacing w:val="-3"/>
                <w:sz w:val="18"/>
                <w:szCs w:val="18"/>
                <w:lang w:eastAsia="en-AU"/>
              </w:rPr>
              <w:t>No</w:t>
            </w:r>
          </w:p>
        </w:tc>
        <w:tc>
          <w:tcPr>
            <w:tcW w:w="1191" w:type="dxa"/>
            <w:vAlign w:val="center"/>
          </w:tcPr>
          <w:p w14:paraId="6FE53A15" w14:textId="08C26CDF" w:rsidR="009B1DFE" w:rsidRPr="00231D94" w:rsidRDefault="009B1DFE" w:rsidP="00C07154">
            <w:pPr>
              <w:widowControl w:val="0"/>
              <w:kinsoku w:val="0"/>
              <w:overflowPunct w:val="0"/>
              <w:autoSpaceDE w:val="0"/>
              <w:autoSpaceDN w:val="0"/>
              <w:adjustRightInd w:val="0"/>
              <w:spacing w:before="120" w:after="0" w:line="254" w:lineRule="auto"/>
              <w:ind w:left="178" w:right="102"/>
              <w:jc w:val="center"/>
              <w:rPr>
                <w:rFonts w:eastAsia="MS Mincho" w:cs="Arial"/>
                <w:spacing w:val="-3"/>
                <w:sz w:val="18"/>
                <w:szCs w:val="18"/>
                <w:lang w:eastAsia="en-AU"/>
              </w:rPr>
            </w:pPr>
            <w:r>
              <w:rPr>
                <w:rFonts w:eastAsia="MS Mincho" w:cs="Arial"/>
                <w:spacing w:val="-3"/>
                <w:sz w:val="18"/>
                <w:szCs w:val="18"/>
                <w:lang w:eastAsia="en-AU"/>
              </w:rPr>
              <w:t xml:space="preserve">   -$0.8</w:t>
            </w:r>
          </w:p>
        </w:tc>
      </w:tr>
    </w:tbl>
    <w:p w14:paraId="0C9C9FA7" w14:textId="54614BA4" w:rsidR="009B1DFE" w:rsidRPr="008147F0" w:rsidRDefault="009B1DFE" w:rsidP="00BA2600">
      <w:pPr>
        <w:spacing w:before="120" w:after="150"/>
        <w:rPr>
          <w:rFonts w:cs="Arial"/>
          <w:sz w:val="18"/>
          <w:szCs w:val="18"/>
        </w:rPr>
      </w:pPr>
      <w:r w:rsidRPr="0059097A">
        <w:rPr>
          <w:rFonts w:cs="Arial"/>
          <w:sz w:val="18"/>
          <w:szCs w:val="18"/>
        </w:rPr>
        <w:t xml:space="preserve">The proposal makes amendments to </w:t>
      </w:r>
      <w:r w:rsidR="0059097A" w:rsidRPr="0059097A">
        <w:rPr>
          <w:rFonts w:cs="Arial"/>
          <w:sz w:val="18"/>
          <w:szCs w:val="18"/>
        </w:rPr>
        <w:t>legislation to enable new superfast networks to operate with functional separation of their wholesale and retail services with the approval of the ACCC, avoiding costs associated with structural separation. The bill also introduces a statutory obligation on NBN Co. requiring it to connect any premises to its network and service them on an ongoing basis into the future.</w:t>
      </w:r>
    </w:p>
    <w:p w14:paraId="5662436F" w14:textId="3ECACAC8" w:rsidR="00724D79" w:rsidRPr="00231D94" w:rsidRDefault="00724D79" w:rsidP="00D91FF3">
      <w:pPr>
        <w:pStyle w:val="Heading3"/>
      </w:pPr>
      <w:bookmarkStart w:id="272" w:name="_Toc5375754"/>
      <w:r w:rsidRPr="00231D94">
        <w:t>Department</w:t>
      </w:r>
      <w:r>
        <w:t xml:space="preserve"> of Education and Training</w:t>
      </w:r>
      <w:bookmarkEnd w:id="272"/>
    </w:p>
    <w:tbl>
      <w:tblPr>
        <w:tblW w:w="10065" w:type="dxa"/>
        <w:tblInd w:w="-142" w:type="dxa"/>
        <w:tblLayout w:type="fixed"/>
        <w:tblCellMar>
          <w:left w:w="0" w:type="dxa"/>
          <w:right w:w="0" w:type="dxa"/>
        </w:tblCellMar>
        <w:tblLook w:val="0000" w:firstRow="0" w:lastRow="0" w:firstColumn="0" w:lastColumn="0" w:noHBand="0" w:noVBand="0"/>
        <w:tblCaption w:val="VET FEE-HELP Redesign"/>
        <w:tblDescription w:val="VET FEE-HELP Redesign: Compliant, Not best practice, No PIR required. Regulatory Burden: -$0.9m."/>
      </w:tblPr>
      <w:tblGrid>
        <w:gridCol w:w="5420"/>
        <w:gridCol w:w="1245"/>
        <w:gridCol w:w="1105"/>
        <w:gridCol w:w="1104"/>
        <w:gridCol w:w="1191"/>
      </w:tblGrid>
      <w:tr w:rsidR="00724D79" w:rsidRPr="00231D94" w14:paraId="5467D38C" w14:textId="77777777" w:rsidTr="0048492E">
        <w:trPr>
          <w:tblHeader/>
        </w:trPr>
        <w:tc>
          <w:tcPr>
            <w:tcW w:w="5420" w:type="dxa"/>
            <w:shd w:val="clear" w:color="auto" w:fill="F4973F"/>
            <w:vAlign w:val="center"/>
          </w:tcPr>
          <w:p w14:paraId="12C1D50A" w14:textId="77777777" w:rsidR="00724D79" w:rsidRPr="00231D94" w:rsidRDefault="00724D79"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116A0B3" w14:textId="77777777" w:rsidR="00724D79" w:rsidRPr="00231D94" w:rsidRDefault="00724D79"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4C1FB21E" w14:textId="77777777" w:rsidR="00724D79" w:rsidRPr="00231D94" w:rsidRDefault="00724D79"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7701007D" w14:textId="77777777" w:rsidR="00724D79" w:rsidRPr="00231D94" w:rsidRDefault="00724D79"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7C7CA235" w14:textId="77777777" w:rsidR="00724D79" w:rsidRPr="00231D94" w:rsidRDefault="00724D79"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724D79" w:rsidRPr="00231D94" w14:paraId="64354A42" w14:textId="77777777" w:rsidTr="0048492E">
        <w:trPr>
          <w:trHeight w:hRule="exact" w:val="525"/>
        </w:trPr>
        <w:tc>
          <w:tcPr>
            <w:tcW w:w="5420" w:type="dxa"/>
            <w:shd w:val="clear" w:color="auto" w:fill="auto"/>
            <w:vAlign w:val="center"/>
          </w:tcPr>
          <w:p w14:paraId="2E2B8B49" w14:textId="56C21870" w:rsidR="00724D79" w:rsidRPr="00231D94" w:rsidRDefault="00724D79"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VET FEE</w:t>
            </w:r>
            <w:r w:rsidR="00805833">
              <w:rPr>
                <w:rFonts w:eastAsia="MS Mincho" w:cs="Arial"/>
                <w:spacing w:val="-3"/>
                <w:sz w:val="18"/>
                <w:szCs w:val="18"/>
                <w:lang w:eastAsia="en-AU"/>
              </w:rPr>
              <w:t>-</w:t>
            </w:r>
            <w:r>
              <w:rPr>
                <w:rFonts w:eastAsia="MS Mincho" w:cs="Arial"/>
                <w:spacing w:val="-3"/>
                <w:sz w:val="18"/>
                <w:szCs w:val="18"/>
                <w:lang w:eastAsia="en-AU"/>
              </w:rPr>
              <w:t>HELP Redesign</w:t>
            </w:r>
          </w:p>
        </w:tc>
        <w:tc>
          <w:tcPr>
            <w:tcW w:w="1245" w:type="dxa"/>
            <w:shd w:val="clear" w:color="auto" w:fill="auto"/>
            <w:vAlign w:val="center"/>
          </w:tcPr>
          <w:p w14:paraId="578B38CC" w14:textId="77777777" w:rsidR="00724D79" w:rsidRPr="00231D94" w:rsidRDefault="00724D79" w:rsidP="00C23529">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130EDCAE" w14:textId="0AEF7055" w:rsidR="00724D79" w:rsidRPr="00231D94" w:rsidRDefault="00724D79" w:rsidP="00AD7705">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BA7893">
              <w:rPr>
                <w:rFonts w:eastAsia="MS Mincho" w:cs="Arial"/>
                <w:spacing w:val="-3"/>
                <w:sz w:val="18"/>
                <w:szCs w:val="18"/>
                <w:lang w:eastAsia="en-AU"/>
              </w:rPr>
              <w:t>No</w:t>
            </w:r>
          </w:p>
        </w:tc>
        <w:tc>
          <w:tcPr>
            <w:tcW w:w="1104" w:type="dxa"/>
            <w:shd w:val="clear" w:color="auto" w:fill="auto"/>
            <w:vAlign w:val="center"/>
          </w:tcPr>
          <w:p w14:paraId="3C34A846" w14:textId="77777777" w:rsidR="00724D79" w:rsidRPr="00231D94" w:rsidRDefault="00724D79" w:rsidP="00AD7705">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4B284D96" w14:textId="13AE050C" w:rsidR="00724D79" w:rsidRPr="00231D94" w:rsidRDefault="00724D79" w:rsidP="00F43EED">
            <w:pPr>
              <w:widowControl w:val="0"/>
              <w:kinsoku w:val="0"/>
              <w:overflowPunct w:val="0"/>
              <w:autoSpaceDE w:val="0"/>
              <w:autoSpaceDN w:val="0"/>
              <w:adjustRightInd w:val="0"/>
              <w:spacing w:before="54" w:after="0" w:line="240" w:lineRule="auto"/>
              <w:ind w:left="54" w:right="227"/>
              <w:jc w:val="right"/>
              <w:rPr>
                <w:rFonts w:eastAsia="MS Mincho" w:cs="Arial"/>
                <w:spacing w:val="-3"/>
                <w:sz w:val="18"/>
                <w:szCs w:val="18"/>
                <w:lang w:eastAsia="en-AU"/>
              </w:rPr>
            </w:pPr>
            <w:r>
              <w:rPr>
                <w:rFonts w:eastAsia="MS Mincho" w:cs="Arial"/>
                <w:spacing w:val="-3"/>
                <w:sz w:val="18"/>
                <w:szCs w:val="18"/>
                <w:lang w:eastAsia="en-AU"/>
              </w:rPr>
              <w:t>-$0.9</w:t>
            </w:r>
          </w:p>
        </w:tc>
      </w:tr>
    </w:tbl>
    <w:p w14:paraId="5D2A41A8" w14:textId="5D0AA94D" w:rsidR="00DE3AE5" w:rsidRPr="008147F0" w:rsidRDefault="00DE3AE5" w:rsidP="00BA2600">
      <w:pPr>
        <w:spacing w:before="120" w:after="150"/>
        <w:rPr>
          <w:rFonts w:cs="Arial"/>
          <w:sz w:val="18"/>
          <w:szCs w:val="18"/>
        </w:rPr>
      </w:pPr>
      <w:r w:rsidRPr="008147F0">
        <w:rPr>
          <w:rFonts w:cs="Arial"/>
          <w:sz w:val="18"/>
          <w:szCs w:val="18"/>
        </w:rPr>
        <w:t xml:space="preserve">The proposal examines reforms to the Government’s Vocational Education and Training income contingent loan scheme. The RIS was assessed as compliant but not best practice. To achieve best practice the RIS required greater analysis of expected impacts on the vocational education and training market. </w:t>
      </w:r>
    </w:p>
    <w:tbl>
      <w:tblPr>
        <w:tblW w:w="10065" w:type="dxa"/>
        <w:tblInd w:w="-142" w:type="dxa"/>
        <w:tblLayout w:type="fixed"/>
        <w:tblCellMar>
          <w:left w:w="0" w:type="dxa"/>
          <w:right w:w="0" w:type="dxa"/>
        </w:tblCellMar>
        <w:tblLook w:val="0000" w:firstRow="0" w:lastRow="0" w:firstColumn="0" w:lastColumn="0" w:noHBand="0" w:noVBand="0"/>
        <w:tblCaption w:val="Replacement of Australian recognised trade certificate program"/>
        <w:tblDescription w:val="Replacement of Australian recognised trade certificate program: Compliant, Best practice, No PIR required. Regulatory Burden: $1.9m."/>
      </w:tblPr>
      <w:tblGrid>
        <w:gridCol w:w="5420"/>
        <w:gridCol w:w="1245"/>
        <w:gridCol w:w="1105"/>
        <w:gridCol w:w="1104"/>
        <w:gridCol w:w="1191"/>
      </w:tblGrid>
      <w:tr w:rsidR="00065713" w:rsidRPr="00231D94" w14:paraId="7CB77EEF" w14:textId="77777777" w:rsidTr="0048492E">
        <w:trPr>
          <w:tblHeader/>
        </w:trPr>
        <w:tc>
          <w:tcPr>
            <w:tcW w:w="5420" w:type="dxa"/>
            <w:shd w:val="clear" w:color="auto" w:fill="F4973F"/>
            <w:vAlign w:val="center"/>
          </w:tcPr>
          <w:p w14:paraId="1135875C" w14:textId="77777777" w:rsidR="00065713" w:rsidRPr="00231D94" w:rsidRDefault="00065713"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4D9694C9" w14:textId="77777777" w:rsidR="00065713" w:rsidRPr="00231D94" w:rsidRDefault="00065713"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24D6BDFC" w14:textId="77777777" w:rsidR="00065713" w:rsidRPr="00231D94" w:rsidRDefault="00065713"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5D4333A7" w14:textId="77777777" w:rsidR="00065713" w:rsidRPr="00231D94" w:rsidRDefault="00065713"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762175F7" w14:textId="77777777" w:rsidR="00065713" w:rsidRPr="00231D94" w:rsidRDefault="00065713"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065713" w:rsidRPr="00231D94" w14:paraId="52774181" w14:textId="77777777" w:rsidTr="0048492E">
        <w:trPr>
          <w:trHeight w:hRule="exact" w:val="525"/>
        </w:trPr>
        <w:tc>
          <w:tcPr>
            <w:tcW w:w="5420" w:type="dxa"/>
            <w:shd w:val="clear" w:color="auto" w:fill="auto"/>
            <w:vAlign w:val="center"/>
          </w:tcPr>
          <w:p w14:paraId="268DA0EB" w14:textId="6FFDA9A2" w:rsidR="00065713" w:rsidRPr="00231D94" w:rsidRDefault="00065713"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 xml:space="preserve">Replacement of Australian </w:t>
            </w:r>
            <w:r w:rsidR="001047D9">
              <w:rPr>
                <w:rFonts w:eastAsia="MS Mincho" w:cs="Arial"/>
                <w:spacing w:val="-3"/>
                <w:sz w:val="18"/>
                <w:szCs w:val="18"/>
                <w:lang w:eastAsia="en-AU"/>
              </w:rPr>
              <w:t>Recognised Trade Certificate Program</w:t>
            </w:r>
          </w:p>
        </w:tc>
        <w:tc>
          <w:tcPr>
            <w:tcW w:w="1245" w:type="dxa"/>
            <w:shd w:val="clear" w:color="auto" w:fill="auto"/>
            <w:vAlign w:val="center"/>
          </w:tcPr>
          <w:p w14:paraId="22632839" w14:textId="77777777" w:rsidR="00065713" w:rsidRPr="00231D94" w:rsidRDefault="00065713" w:rsidP="00937267">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510AC5CF" w14:textId="541D27F1" w:rsidR="00065713" w:rsidRPr="00231D94" w:rsidRDefault="003B31A9" w:rsidP="00937267">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Pr>
                <w:rFonts w:eastAsia="MS Mincho" w:cs="Arial"/>
                <w:spacing w:val="-3"/>
                <w:sz w:val="18"/>
                <w:szCs w:val="18"/>
                <w:lang w:eastAsia="en-AU"/>
              </w:rPr>
              <w:t>Yes</w:t>
            </w:r>
          </w:p>
        </w:tc>
        <w:tc>
          <w:tcPr>
            <w:tcW w:w="1104" w:type="dxa"/>
            <w:shd w:val="clear" w:color="auto" w:fill="auto"/>
            <w:vAlign w:val="center"/>
          </w:tcPr>
          <w:p w14:paraId="25536B65" w14:textId="77777777" w:rsidR="00065713" w:rsidRPr="00231D94" w:rsidRDefault="00065713" w:rsidP="00937267">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0C4BC954" w14:textId="1AF947C4" w:rsidR="00065713" w:rsidRPr="00231D94" w:rsidRDefault="00065713" w:rsidP="00065713">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$1.9</w:t>
            </w:r>
          </w:p>
        </w:tc>
      </w:tr>
    </w:tbl>
    <w:p w14:paraId="272BAFA8" w14:textId="370ECBB0" w:rsidR="006E5A19" w:rsidRPr="004A3411" w:rsidRDefault="00065713" w:rsidP="004A3411">
      <w:pPr>
        <w:spacing w:before="120" w:after="150"/>
        <w:rPr>
          <w:rFonts w:cs="Arial"/>
          <w:sz w:val="18"/>
          <w:szCs w:val="18"/>
        </w:rPr>
      </w:pPr>
      <w:r w:rsidRPr="008147F0">
        <w:rPr>
          <w:rFonts w:cs="Arial"/>
          <w:sz w:val="18"/>
          <w:szCs w:val="18"/>
        </w:rPr>
        <w:t xml:space="preserve">The Australian Recognised Trade Certificate Program </w:t>
      </w:r>
      <w:r w:rsidR="00B55423" w:rsidRPr="008147F0">
        <w:rPr>
          <w:rFonts w:cs="Arial"/>
          <w:sz w:val="18"/>
          <w:szCs w:val="18"/>
        </w:rPr>
        <w:t>is replaced by</w:t>
      </w:r>
      <w:r w:rsidRPr="008147F0">
        <w:rPr>
          <w:rFonts w:cs="Arial"/>
          <w:sz w:val="18"/>
          <w:szCs w:val="18"/>
        </w:rPr>
        <w:t xml:space="preserve"> the Trades Recognition Service; </w:t>
      </w:r>
      <w:r w:rsidR="0028682B" w:rsidRPr="008147F0">
        <w:rPr>
          <w:rFonts w:cs="Arial"/>
          <w:sz w:val="18"/>
          <w:szCs w:val="18"/>
        </w:rPr>
        <w:t>t</w:t>
      </w:r>
      <w:r w:rsidRPr="008147F0">
        <w:rPr>
          <w:rFonts w:cs="Arial"/>
          <w:sz w:val="18"/>
          <w:szCs w:val="18"/>
        </w:rPr>
        <w:t>his service provided by Registered Training Organisations enable</w:t>
      </w:r>
      <w:r w:rsidR="00B55423" w:rsidRPr="008147F0">
        <w:rPr>
          <w:rFonts w:cs="Arial"/>
          <w:sz w:val="18"/>
          <w:szCs w:val="18"/>
        </w:rPr>
        <w:t>s</w:t>
      </w:r>
      <w:r w:rsidRPr="008147F0">
        <w:rPr>
          <w:rFonts w:cs="Arial"/>
          <w:sz w:val="18"/>
          <w:szCs w:val="18"/>
        </w:rPr>
        <w:t xml:space="preserve"> </w:t>
      </w:r>
      <w:r w:rsidR="00B55423" w:rsidRPr="008147F0">
        <w:rPr>
          <w:rFonts w:cs="Arial"/>
          <w:sz w:val="18"/>
          <w:szCs w:val="18"/>
        </w:rPr>
        <w:t xml:space="preserve">overseas-trained </w:t>
      </w:r>
      <w:r w:rsidRPr="008147F0">
        <w:rPr>
          <w:rFonts w:cs="Arial"/>
          <w:sz w:val="18"/>
          <w:szCs w:val="18"/>
        </w:rPr>
        <w:t>applicants to be assessed against the nationally-recognised Australian Qualifications Framework.</w:t>
      </w:r>
      <w:r w:rsidR="00BF04B9" w:rsidRPr="008147F0">
        <w:rPr>
          <w:rFonts w:cs="Arial"/>
          <w:sz w:val="18"/>
          <w:szCs w:val="18"/>
        </w:rPr>
        <w:t xml:space="preserve"> </w:t>
      </w:r>
    </w:p>
    <w:p w14:paraId="33657DA5" w14:textId="7BC3F219" w:rsidR="006C375A" w:rsidRDefault="006C375A" w:rsidP="007C3294">
      <w:pPr>
        <w:pStyle w:val="Heading3"/>
        <w:spacing w:before="240"/>
      </w:pPr>
      <w:bookmarkStart w:id="273" w:name="_Toc5375755"/>
      <w:r w:rsidRPr="00231D94">
        <w:t>Department</w:t>
      </w:r>
      <w:r>
        <w:t xml:space="preserve"> of Employment</w:t>
      </w:r>
      <w:bookmarkEnd w:id="273"/>
    </w:p>
    <w:tbl>
      <w:tblPr>
        <w:tblW w:w="10065" w:type="dxa"/>
        <w:tblInd w:w="-142" w:type="dxa"/>
        <w:tblLayout w:type="fixed"/>
        <w:tblCellMar>
          <w:left w:w="0" w:type="dxa"/>
          <w:right w:w="0" w:type="dxa"/>
        </w:tblCellMar>
        <w:tblLook w:val="0000" w:firstRow="0" w:lastRow="0" w:firstColumn="0" w:lastColumn="0" w:noHBand="0" w:noVBand="0"/>
        <w:tblCaption w:val="2017-18 Indigenous Employment Measures"/>
        <w:tblDescription w:val="2017-18 Indigenous Employment Measures: Compliant, Best practice, No PIR required. Regulatory Burden: $0.5m."/>
      </w:tblPr>
      <w:tblGrid>
        <w:gridCol w:w="5420"/>
        <w:gridCol w:w="1245"/>
        <w:gridCol w:w="1105"/>
        <w:gridCol w:w="1104"/>
        <w:gridCol w:w="1191"/>
      </w:tblGrid>
      <w:tr w:rsidR="002773BF" w:rsidRPr="00231D94" w14:paraId="6B0E7DE5" w14:textId="77777777" w:rsidTr="00E87F64">
        <w:trPr>
          <w:tblHeader/>
        </w:trPr>
        <w:tc>
          <w:tcPr>
            <w:tcW w:w="5420" w:type="dxa"/>
            <w:shd w:val="clear" w:color="auto" w:fill="F4973F"/>
            <w:vAlign w:val="center"/>
          </w:tcPr>
          <w:p w14:paraId="4748D357" w14:textId="77777777" w:rsidR="002773BF" w:rsidRPr="00231D94" w:rsidRDefault="002773BF"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4FE094A2" w14:textId="77777777" w:rsidR="002773BF" w:rsidRPr="00231D94" w:rsidRDefault="002773BF"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75B2F77F" w14:textId="77777777" w:rsidR="002773BF" w:rsidRPr="00231D94" w:rsidRDefault="002773BF"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6DCDAB82" w14:textId="77777777" w:rsidR="002773BF" w:rsidRPr="00231D94" w:rsidRDefault="002773BF"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6399B7B" w14:textId="77777777" w:rsidR="002773BF" w:rsidRPr="00231D94" w:rsidRDefault="002773BF"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2773BF" w:rsidRPr="00231D94" w14:paraId="11B477CF" w14:textId="77777777" w:rsidTr="00E87F64">
        <w:trPr>
          <w:trHeight w:hRule="exact" w:val="525"/>
        </w:trPr>
        <w:tc>
          <w:tcPr>
            <w:tcW w:w="5420" w:type="dxa"/>
            <w:shd w:val="clear" w:color="auto" w:fill="auto"/>
            <w:vAlign w:val="center"/>
          </w:tcPr>
          <w:p w14:paraId="2600AD95" w14:textId="0474E148" w:rsidR="002773BF" w:rsidRPr="00231D94" w:rsidRDefault="002773BF"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rPr>
              <w:t>2017-18 Indigenous Employment Measures</w:t>
            </w:r>
          </w:p>
        </w:tc>
        <w:tc>
          <w:tcPr>
            <w:tcW w:w="1245" w:type="dxa"/>
            <w:shd w:val="clear" w:color="auto" w:fill="auto"/>
            <w:vAlign w:val="center"/>
          </w:tcPr>
          <w:p w14:paraId="030FFC7B" w14:textId="77777777" w:rsidR="002773BF" w:rsidRPr="00231D94" w:rsidRDefault="002773BF" w:rsidP="00766472">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1755BBE0" w14:textId="77777777" w:rsidR="002773BF" w:rsidRPr="00231D94" w:rsidRDefault="002773BF" w:rsidP="00766472">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Yes</w:t>
            </w:r>
          </w:p>
        </w:tc>
        <w:tc>
          <w:tcPr>
            <w:tcW w:w="1104" w:type="dxa"/>
            <w:shd w:val="clear" w:color="auto" w:fill="auto"/>
            <w:vAlign w:val="center"/>
          </w:tcPr>
          <w:p w14:paraId="4F1534E7" w14:textId="77777777" w:rsidR="002773BF" w:rsidRPr="00231D94" w:rsidRDefault="002773BF" w:rsidP="00766472">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7B9B590E" w14:textId="37A8D77B" w:rsidR="002773BF" w:rsidRPr="00231D94" w:rsidRDefault="002773BF" w:rsidP="00766472">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$0.5</w:t>
            </w:r>
          </w:p>
        </w:tc>
      </w:tr>
    </w:tbl>
    <w:p w14:paraId="5364EE47" w14:textId="784E2AEE" w:rsidR="002773BF" w:rsidRPr="008147F0" w:rsidRDefault="004A3411" w:rsidP="006E5A19">
      <w:pPr>
        <w:spacing w:before="120" w:after="150"/>
        <w:rPr>
          <w:rFonts w:cs="Arial"/>
          <w:sz w:val="18"/>
          <w:szCs w:val="18"/>
        </w:rPr>
      </w:pPr>
      <w:r w:rsidRPr="004A3411">
        <w:rPr>
          <w:rFonts w:cs="Arial"/>
          <w:sz w:val="18"/>
          <w:szCs w:val="18"/>
        </w:rPr>
        <w:t>The measures seek to reduce barriers to greater Indigenous employment participation by improving job retention, encouraging youth educational attainment and employment participation, and supporting ex-offenders and parents into the labour market. A key principle of the package is to build the capacity of Indigenous communities, employers and employment service providers to contribute to achieving parity in employment outcomes for Indigenous Australians.</w:t>
      </w:r>
    </w:p>
    <w:tbl>
      <w:tblPr>
        <w:tblW w:w="10065" w:type="dxa"/>
        <w:tblInd w:w="-142" w:type="dxa"/>
        <w:tblLayout w:type="fixed"/>
        <w:tblCellMar>
          <w:left w:w="0" w:type="dxa"/>
          <w:right w:w="0" w:type="dxa"/>
        </w:tblCellMar>
        <w:tblLook w:val="0000" w:firstRow="0" w:lastRow="0" w:firstColumn="0" w:lastColumn="0" w:noHBand="0" w:noVBand="0"/>
        <w:tblCaption w:val="2017-18 Indigenous Employment Measures"/>
        <w:tblDescription w:val="2017-18 Indigenous Employment Measures: Compliant, Best practice, No PIR required. Regulatory Burden: $0.5m."/>
      </w:tblPr>
      <w:tblGrid>
        <w:gridCol w:w="5420"/>
        <w:gridCol w:w="1245"/>
        <w:gridCol w:w="1105"/>
        <w:gridCol w:w="1104"/>
        <w:gridCol w:w="1191"/>
      </w:tblGrid>
      <w:tr w:rsidR="00D339A2" w:rsidRPr="00231D94" w14:paraId="28F52248" w14:textId="77777777" w:rsidTr="00E87F64">
        <w:trPr>
          <w:tblHeader/>
        </w:trPr>
        <w:tc>
          <w:tcPr>
            <w:tcW w:w="5420" w:type="dxa"/>
            <w:shd w:val="clear" w:color="auto" w:fill="F4973F"/>
            <w:vAlign w:val="center"/>
          </w:tcPr>
          <w:p w14:paraId="7BE5CBEF" w14:textId="77777777" w:rsidR="00D339A2" w:rsidRPr="00231D94" w:rsidRDefault="00D339A2"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9CD9439" w14:textId="77777777" w:rsidR="00D339A2" w:rsidRPr="00231D94" w:rsidRDefault="00D339A2"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1EBC270D" w14:textId="77777777" w:rsidR="00D339A2" w:rsidRPr="00231D94" w:rsidRDefault="00D339A2"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332D71E" w14:textId="77777777" w:rsidR="00D339A2" w:rsidRPr="00231D94" w:rsidRDefault="00D339A2"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407378FC" w14:textId="77777777" w:rsidR="00D339A2" w:rsidRPr="00231D94" w:rsidRDefault="00D339A2"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D339A2" w:rsidRPr="00231D94" w14:paraId="5C2FB16B" w14:textId="77777777" w:rsidTr="00C62B61">
        <w:trPr>
          <w:trHeight w:hRule="exact" w:val="737"/>
        </w:trPr>
        <w:tc>
          <w:tcPr>
            <w:tcW w:w="5420" w:type="dxa"/>
            <w:shd w:val="clear" w:color="auto" w:fill="auto"/>
            <w:vAlign w:val="center"/>
          </w:tcPr>
          <w:p w14:paraId="5F30E99D" w14:textId="5C16521B" w:rsidR="00D339A2" w:rsidRPr="00231D94" w:rsidRDefault="00D339A2" w:rsidP="007C3294">
            <w:pPr>
              <w:widowControl w:val="0"/>
              <w:kinsoku w:val="0"/>
              <w:overflowPunct w:val="0"/>
              <w:autoSpaceDE w:val="0"/>
              <w:autoSpaceDN w:val="0"/>
              <w:adjustRightInd w:val="0"/>
              <w:spacing w:before="120" w:after="0" w:line="254" w:lineRule="auto"/>
              <w:ind w:left="135" w:right="102"/>
              <w:rPr>
                <w:rFonts w:eastAsia="MS Mincho" w:cs="Arial"/>
                <w:spacing w:val="-3"/>
                <w:sz w:val="18"/>
                <w:szCs w:val="18"/>
                <w:lang w:eastAsia="en-AU"/>
              </w:rPr>
            </w:pPr>
            <w:r w:rsidRPr="00396221">
              <w:rPr>
                <w:rFonts w:eastAsia="MS Mincho" w:cs="Arial"/>
                <w:spacing w:val="-3"/>
                <w:sz w:val="18"/>
                <w:szCs w:val="18"/>
              </w:rPr>
              <w:t xml:space="preserve">Amending the </w:t>
            </w:r>
            <w:r w:rsidRPr="00E6799B">
              <w:rPr>
                <w:rFonts w:eastAsia="MS Mincho" w:cs="Arial"/>
                <w:i/>
                <w:spacing w:val="-3"/>
                <w:sz w:val="18"/>
                <w:szCs w:val="18"/>
              </w:rPr>
              <w:t>Fair Work Act 2009</w:t>
            </w:r>
            <w:r w:rsidRPr="00396221">
              <w:rPr>
                <w:rFonts w:eastAsia="MS Mincho" w:cs="Arial"/>
                <w:spacing w:val="-3"/>
                <w:sz w:val="18"/>
                <w:szCs w:val="18"/>
              </w:rPr>
              <w:t xml:space="preserve"> to Protect Vulnerable Workers</w:t>
            </w:r>
            <w:r w:rsidR="00EF38B8">
              <w:rPr>
                <w:rFonts w:eastAsia="MS Mincho" w:cs="Arial"/>
                <w:spacing w:val="-3"/>
                <w:sz w:val="18"/>
                <w:szCs w:val="18"/>
              </w:rPr>
              <w:t xml:space="preserve"> – </w:t>
            </w:r>
            <w:r w:rsidR="00EF38B8" w:rsidRPr="00910F44">
              <w:rPr>
                <w:rFonts w:eastAsia="MS Mincho" w:cs="Arial"/>
                <w:spacing w:val="-3"/>
                <w:sz w:val="18"/>
                <w:szCs w:val="18"/>
              </w:rPr>
              <w:t>Independent Review</w:t>
            </w:r>
          </w:p>
        </w:tc>
        <w:tc>
          <w:tcPr>
            <w:tcW w:w="1245" w:type="dxa"/>
            <w:shd w:val="clear" w:color="auto" w:fill="auto"/>
            <w:vAlign w:val="center"/>
          </w:tcPr>
          <w:p w14:paraId="727F147C" w14:textId="77777777" w:rsidR="00D339A2" w:rsidRPr="00231D94" w:rsidRDefault="00D339A2" w:rsidP="00C07154">
            <w:pPr>
              <w:widowControl w:val="0"/>
              <w:kinsoku w:val="0"/>
              <w:overflowPunct w:val="0"/>
              <w:autoSpaceDE w:val="0"/>
              <w:autoSpaceDN w:val="0"/>
              <w:adjustRightInd w:val="0"/>
              <w:spacing w:before="120"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1041BAD5" w14:textId="499F19B3" w:rsidR="00D339A2" w:rsidRPr="00AD7705" w:rsidRDefault="00D339A2" w:rsidP="00C07154">
            <w:pPr>
              <w:widowControl w:val="0"/>
              <w:kinsoku w:val="0"/>
              <w:overflowPunct w:val="0"/>
              <w:autoSpaceDE w:val="0"/>
              <w:autoSpaceDN w:val="0"/>
              <w:adjustRightInd w:val="0"/>
              <w:spacing w:before="120" w:after="0" w:line="240" w:lineRule="auto"/>
              <w:jc w:val="center"/>
              <w:rPr>
                <w:rFonts w:eastAsia="MS Mincho" w:cs="Arial"/>
                <w:w w:val="85"/>
                <w:sz w:val="18"/>
                <w:szCs w:val="18"/>
                <w:vertAlign w:val="superscript"/>
                <w:lang w:eastAsia="en-AU"/>
              </w:rPr>
            </w:pPr>
            <w:r w:rsidRPr="00231D94">
              <w:rPr>
                <w:rFonts w:eastAsia="MS Mincho" w:cs="Arial"/>
                <w:spacing w:val="-3"/>
                <w:sz w:val="18"/>
                <w:szCs w:val="18"/>
                <w:lang w:eastAsia="en-AU"/>
              </w:rPr>
              <w:t>Yes</w:t>
            </w:r>
          </w:p>
        </w:tc>
        <w:tc>
          <w:tcPr>
            <w:tcW w:w="1104" w:type="dxa"/>
            <w:shd w:val="clear" w:color="auto" w:fill="auto"/>
            <w:vAlign w:val="center"/>
          </w:tcPr>
          <w:p w14:paraId="44A93281" w14:textId="77777777" w:rsidR="00D339A2" w:rsidRPr="00231D94" w:rsidRDefault="00D339A2" w:rsidP="00C07154">
            <w:pPr>
              <w:widowControl w:val="0"/>
              <w:kinsoku w:val="0"/>
              <w:overflowPunct w:val="0"/>
              <w:autoSpaceDE w:val="0"/>
              <w:autoSpaceDN w:val="0"/>
              <w:adjustRightInd w:val="0"/>
              <w:spacing w:before="120"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2A035063" w14:textId="0CD9DBCD" w:rsidR="00D339A2" w:rsidRPr="00231D94" w:rsidRDefault="00D339A2" w:rsidP="00C07154">
            <w:pPr>
              <w:widowControl w:val="0"/>
              <w:kinsoku w:val="0"/>
              <w:overflowPunct w:val="0"/>
              <w:autoSpaceDE w:val="0"/>
              <w:autoSpaceDN w:val="0"/>
              <w:adjustRightInd w:val="0"/>
              <w:spacing w:before="120"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$1.6</w:t>
            </w:r>
          </w:p>
        </w:tc>
      </w:tr>
    </w:tbl>
    <w:p w14:paraId="0B0403F9" w14:textId="74250B05" w:rsidR="00D91FF3" w:rsidRPr="008147F0" w:rsidRDefault="00DE3AE5" w:rsidP="006E5A19">
      <w:pPr>
        <w:spacing w:before="120" w:after="150"/>
        <w:rPr>
          <w:rFonts w:cs="Arial"/>
          <w:sz w:val="18"/>
          <w:szCs w:val="18"/>
        </w:rPr>
      </w:pPr>
      <w:r w:rsidRPr="008147F0">
        <w:rPr>
          <w:rFonts w:cs="Arial"/>
          <w:sz w:val="18"/>
          <w:szCs w:val="18"/>
        </w:rPr>
        <w:t xml:space="preserve">The Government introduced amendments to the </w:t>
      </w:r>
      <w:r w:rsidRPr="00C426D7">
        <w:rPr>
          <w:rFonts w:cs="Arial"/>
          <w:i/>
          <w:sz w:val="18"/>
          <w:szCs w:val="18"/>
        </w:rPr>
        <w:t>Fair Work Act 2009</w:t>
      </w:r>
      <w:r w:rsidRPr="008147F0">
        <w:rPr>
          <w:rFonts w:cs="Arial"/>
          <w:sz w:val="18"/>
          <w:szCs w:val="18"/>
        </w:rPr>
        <w:t xml:space="preserve"> to protect workers from exploitation by unscrupulous employers and improve compliance with Australia’s workplace laws.</w:t>
      </w:r>
      <w:r w:rsidR="00EF38B8" w:rsidRPr="008147F0">
        <w:rPr>
          <w:rFonts w:cs="Arial"/>
          <w:sz w:val="18"/>
          <w:szCs w:val="18"/>
        </w:rPr>
        <w:t xml:space="preserve"> </w:t>
      </w:r>
      <w:r w:rsidR="0050744B" w:rsidRPr="0050744B">
        <w:rPr>
          <w:rFonts w:cs="Arial"/>
          <w:sz w:val="18"/>
          <w:szCs w:val="18"/>
        </w:rPr>
        <w:t>The OBPR does not assess the adequacy of the content of an independent review used in lieu of a RIS.</w:t>
      </w:r>
      <w:r w:rsidR="00EF38B8" w:rsidRPr="008147F0">
        <w:rPr>
          <w:rFonts w:cs="Arial"/>
          <w:sz w:val="18"/>
          <w:szCs w:val="18"/>
        </w:rPr>
        <w:t xml:space="preserve"> </w:t>
      </w:r>
    </w:p>
    <w:tbl>
      <w:tblPr>
        <w:tblW w:w="10065" w:type="dxa"/>
        <w:tblInd w:w="-142" w:type="dxa"/>
        <w:tblLayout w:type="fixed"/>
        <w:tblCellMar>
          <w:left w:w="0" w:type="dxa"/>
          <w:right w:w="0" w:type="dxa"/>
        </w:tblCellMar>
        <w:tblLook w:val="0000" w:firstRow="0" w:lastRow="0" w:firstColumn="0" w:lastColumn="0" w:noHBand="0" w:noVBand="0"/>
        <w:tblCaption w:val="Amendments to Fair Work Legislation - TURC Response"/>
        <w:tblDescription w:val="Amendments to Fair Work Legislation - TURC Response: Compliant, Best practice, No PIR required. Regulatory Burden: $0.3m."/>
      </w:tblPr>
      <w:tblGrid>
        <w:gridCol w:w="5420"/>
        <w:gridCol w:w="1245"/>
        <w:gridCol w:w="1105"/>
        <w:gridCol w:w="1104"/>
        <w:gridCol w:w="1191"/>
      </w:tblGrid>
      <w:tr w:rsidR="00F878DB" w:rsidRPr="00231D94" w14:paraId="2DEE6649" w14:textId="77777777" w:rsidTr="00E87F64">
        <w:trPr>
          <w:tblHeader/>
        </w:trPr>
        <w:tc>
          <w:tcPr>
            <w:tcW w:w="5420" w:type="dxa"/>
            <w:shd w:val="clear" w:color="auto" w:fill="F4973F"/>
            <w:vAlign w:val="center"/>
          </w:tcPr>
          <w:p w14:paraId="4D9B90C7" w14:textId="35988594" w:rsidR="00F878DB" w:rsidRPr="00231D94" w:rsidRDefault="00EF38B8"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8147F0">
              <w:rPr>
                <w:rFonts w:cs="Arial"/>
                <w:sz w:val="18"/>
                <w:szCs w:val="18"/>
              </w:rPr>
              <w:t xml:space="preserve"> </w:t>
            </w:r>
            <w:r w:rsidR="00F878DB" w:rsidRPr="00231D94">
              <w:rPr>
                <w:rFonts w:eastAsia="MS Mincho" w:cs="Arial"/>
                <w:color w:val="FFFFFF"/>
                <w:w w:val="105"/>
                <w:sz w:val="18"/>
                <w:szCs w:val="18"/>
                <w:lang w:eastAsia="en-AU"/>
              </w:rPr>
              <w:t>Proposal</w:t>
            </w:r>
          </w:p>
        </w:tc>
        <w:tc>
          <w:tcPr>
            <w:tcW w:w="1245" w:type="dxa"/>
            <w:shd w:val="clear" w:color="auto" w:fill="F4973F"/>
            <w:vAlign w:val="center"/>
          </w:tcPr>
          <w:p w14:paraId="640DF35D" w14:textId="77777777" w:rsidR="00F878DB" w:rsidRPr="00231D94" w:rsidRDefault="00F878DB"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063E2529" w14:textId="77777777" w:rsidR="00F878DB" w:rsidRPr="00231D94" w:rsidRDefault="00F878DB"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1924385D" w14:textId="77777777" w:rsidR="00F878DB" w:rsidRPr="00231D94" w:rsidRDefault="00F878DB"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1D93108B" w14:textId="77777777" w:rsidR="00F878DB" w:rsidRPr="00231D94" w:rsidRDefault="00F878DB"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F878DB" w:rsidRPr="00231D94" w14:paraId="446C4D10" w14:textId="77777777" w:rsidTr="00C62B61">
        <w:trPr>
          <w:trHeight w:hRule="exact" w:val="737"/>
        </w:trPr>
        <w:tc>
          <w:tcPr>
            <w:tcW w:w="5420" w:type="dxa"/>
            <w:shd w:val="clear" w:color="auto" w:fill="auto"/>
            <w:vAlign w:val="center"/>
          </w:tcPr>
          <w:p w14:paraId="2DD6C46E" w14:textId="725ADBFB" w:rsidR="00F878DB" w:rsidRPr="00231D94" w:rsidRDefault="00F878DB" w:rsidP="007C3294">
            <w:pPr>
              <w:widowControl w:val="0"/>
              <w:kinsoku w:val="0"/>
              <w:overflowPunct w:val="0"/>
              <w:autoSpaceDE w:val="0"/>
              <w:autoSpaceDN w:val="0"/>
              <w:adjustRightInd w:val="0"/>
              <w:spacing w:before="120" w:after="240" w:line="254" w:lineRule="auto"/>
              <w:ind w:left="135" w:right="102"/>
              <w:rPr>
                <w:rFonts w:eastAsia="MS Mincho" w:cs="Arial"/>
                <w:spacing w:val="-3"/>
                <w:sz w:val="18"/>
                <w:szCs w:val="18"/>
                <w:lang w:eastAsia="en-AU"/>
              </w:rPr>
            </w:pPr>
            <w:r w:rsidRPr="007C5589">
              <w:rPr>
                <w:rFonts w:eastAsia="MS Mincho" w:cs="Arial"/>
                <w:spacing w:val="-3"/>
                <w:sz w:val="18"/>
                <w:szCs w:val="18"/>
                <w:lang w:eastAsia="en-AU"/>
              </w:rPr>
              <w:t>Amendments to Fair Work Legislation - TURC Response</w:t>
            </w:r>
            <w:r w:rsidR="00EF38B8">
              <w:rPr>
                <w:rFonts w:eastAsia="MS Mincho" w:cs="Arial"/>
                <w:spacing w:val="-3"/>
                <w:sz w:val="18"/>
                <w:szCs w:val="18"/>
                <w:lang w:eastAsia="en-AU"/>
              </w:rPr>
              <w:t xml:space="preserve"> – </w:t>
            </w:r>
            <w:r w:rsidR="00EF38B8" w:rsidRPr="00910F44">
              <w:rPr>
                <w:rFonts w:eastAsia="MS Mincho" w:cs="Arial"/>
                <w:spacing w:val="-3"/>
                <w:sz w:val="18"/>
                <w:szCs w:val="18"/>
                <w:lang w:eastAsia="en-AU"/>
              </w:rPr>
              <w:t>Independent Review</w:t>
            </w:r>
          </w:p>
        </w:tc>
        <w:tc>
          <w:tcPr>
            <w:tcW w:w="1245" w:type="dxa"/>
            <w:shd w:val="clear" w:color="auto" w:fill="auto"/>
            <w:vAlign w:val="center"/>
          </w:tcPr>
          <w:p w14:paraId="233A757F" w14:textId="00C0231C" w:rsidR="00F878DB" w:rsidRPr="00231D94" w:rsidRDefault="00EF38B8" w:rsidP="00C07154">
            <w:pPr>
              <w:widowControl w:val="0"/>
              <w:kinsoku w:val="0"/>
              <w:overflowPunct w:val="0"/>
              <w:autoSpaceDE w:val="0"/>
              <w:autoSpaceDN w:val="0"/>
              <w:adjustRightInd w:val="0"/>
              <w:spacing w:before="120" w:after="0" w:line="240" w:lineRule="auto"/>
              <w:jc w:val="center"/>
              <w:rPr>
                <w:rFonts w:eastAsia="MS Mincho" w:cs="Arial"/>
                <w:spacing w:val="-2"/>
                <w:w w:val="90"/>
                <w:sz w:val="18"/>
                <w:szCs w:val="18"/>
                <w:lang w:eastAsia="en-AU"/>
              </w:rPr>
            </w:pPr>
            <w:r>
              <w:rPr>
                <w:rFonts w:eastAsia="MS Mincho" w:cs="Arial"/>
                <w:spacing w:val="-2"/>
                <w:w w:val="90"/>
                <w:sz w:val="18"/>
                <w:szCs w:val="18"/>
                <w:lang w:eastAsia="en-AU"/>
              </w:rPr>
              <w:t>Compliant</w:t>
            </w:r>
          </w:p>
        </w:tc>
        <w:tc>
          <w:tcPr>
            <w:tcW w:w="1105" w:type="dxa"/>
            <w:shd w:val="clear" w:color="auto" w:fill="auto"/>
            <w:vAlign w:val="center"/>
          </w:tcPr>
          <w:p w14:paraId="14BA5232" w14:textId="341009C9" w:rsidR="00F878DB" w:rsidRPr="00AD7705" w:rsidRDefault="00F878DB" w:rsidP="00C07154">
            <w:pPr>
              <w:widowControl w:val="0"/>
              <w:kinsoku w:val="0"/>
              <w:overflowPunct w:val="0"/>
              <w:autoSpaceDE w:val="0"/>
              <w:autoSpaceDN w:val="0"/>
              <w:adjustRightInd w:val="0"/>
              <w:spacing w:before="120" w:after="0" w:line="240" w:lineRule="auto"/>
              <w:jc w:val="center"/>
              <w:rPr>
                <w:rFonts w:eastAsia="MS Mincho" w:cs="Arial"/>
                <w:w w:val="85"/>
                <w:sz w:val="18"/>
                <w:szCs w:val="18"/>
                <w:vertAlign w:val="superscript"/>
                <w:lang w:eastAsia="en-AU"/>
              </w:rPr>
            </w:pPr>
            <w:r w:rsidRPr="00231D94">
              <w:rPr>
                <w:rFonts w:eastAsia="MS Mincho" w:cs="Arial"/>
                <w:spacing w:val="-3"/>
                <w:sz w:val="18"/>
                <w:szCs w:val="18"/>
                <w:lang w:eastAsia="en-AU"/>
              </w:rPr>
              <w:t>Yes</w:t>
            </w:r>
          </w:p>
        </w:tc>
        <w:tc>
          <w:tcPr>
            <w:tcW w:w="1104" w:type="dxa"/>
            <w:shd w:val="clear" w:color="auto" w:fill="auto"/>
            <w:vAlign w:val="center"/>
          </w:tcPr>
          <w:p w14:paraId="4AEFFF76" w14:textId="77777777" w:rsidR="00F878DB" w:rsidRPr="00231D94" w:rsidRDefault="00F878DB" w:rsidP="00C07154">
            <w:pPr>
              <w:widowControl w:val="0"/>
              <w:kinsoku w:val="0"/>
              <w:overflowPunct w:val="0"/>
              <w:autoSpaceDE w:val="0"/>
              <w:autoSpaceDN w:val="0"/>
              <w:adjustRightInd w:val="0"/>
              <w:spacing w:before="120"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74282DA7" w14:textId="3A903469" w:rsidR="00F878DB" w:rsidRPr="00231D94" w:rsidRDefault="00F878DB" w:rsidP="00C07154">
            <w:pPr>
              <w:widowControl w:val="0"/>
              <w:kinsoku w:val="0"/>
              <w:overflowPunct w:val="0"/>
              <w:autoSpaceDE w:val="0"/>
              <w:autoSpaceDN w:val="0"/>
              <w:adjustRightInd w:val="0"/>
              <w:spacing w:before="120"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$0.3</w:t>
            </w:r>
          </w:p>
        </w:tc>
      </w:tr>
    </w:tbl>
    <w:p w14:paraId="31AC1062" w14:textId="11F2F8E7" w:rsidR="00DE3AE5" w:rsidRPr="008147F0" w:rsidRDefault="00DE3AE5" w:rsidP="006E5A19">
      <w:pPr>
        <w:spacing w:before="120" w:after="150"/>
        <w:rPr>
          <w:rFonts w:cs="Arial"/>
          <w:sz w:val="18"/>
          <w:szCs w:val="18"/>
        </w:rPr>
      </w:pPr>
      <w:r w:rsidRPr="008147F0">
        <w:rPr>
          <w:rFonts w:cs="Arial"/>
          <w:sz w:val="18"/>
          <w:szCs w:val="18"/>
        </w:rPr>
        <w:t xml:space="preserve">Amendments to the </w:t>
      </w:r>
      <w:r w:rsidRPr="00C426D7">
        <w:rPr>
          <w:rFonts w:cs="Arial"/>
          <w:i/>
          <w:sz w:val="18"/>
          <w:szCs w:val="18"/>
        </w:rPr>
        <w:t>Fair Work Act 2009</w:t>
      </w:r>
      <w:r w:rsidRPr="008147F0">
        <w:rPr>
          <w:rFonts w:cs="Arial"/>
          <w:sz w:val="18"/>
          <w:szCs w:val="18"/>
        </w:rPr>
        <w:t xml:space="preserve"> in response to recommendations 40, 41 and 48 of the Final Report of the Royal Commission into Trade Union Governance and Corruption (TURC Report), promoting better governance of registered organisations.</w:t>
      </w:r>
      <w:r w:rsidR="00732C24" w:rsidRPr="008147F0">
        <w:rPr>
          <w:rFonts w:cs="Arial"/>
          <w:sz w:val="18"/>
          <w:szCs w:val="18"/>
        </w:rPr>
        <w:t xml:space="preserve"> </w:t>
      </w:r>
      <w:r w:rsidR="0050744B" w:rsidRPr="0050744B">
        <w:rPr>
          <w:rFonts w:cs="Arial"/>
          <w:sz w:val="18"/>
          <w:szCs w:val="18"/>
        </w:rPr>
        <w:t>The OBPR does not assess the adequacy of the content of an independent review used in lieu of a RIS.</w:t>
      </w:r>
      <w:r w:rsidR="00C426D7">
        <w:rPr>
          <w:rFonts w:cs="Arial"/>
          <w:sz w:val="18"/>
          <w:szCs w:val="18"/>
        </w:rPr>
        <w:t xml:space="preserve"> </w:t>
      </w:r>
    </w:p>
    <w:tbl>
      <w:tblPr>
        <w:tblW w:w="10065" w:type="dxa"/>
        <w:tblInd w:w="-142" w:type="dxa"/>
        <w:tblLayout w:type="fixed"/>
        <w:tblCellMar>
          <w:left w:w="0" w:type="dxa"/>
          <w:right w:w="0" w:type="dxa"/>
        </w:tblCellMar>
        <w:tblLook w:val="0000" w:firstRow="0" w:lastRow="0" w:firstColumn="0" w:lastColumn="0" w:noHBand="0" w:noVBand="0"/>
        <w:tblCaption w:val="Seacare Reforms"/>
        <w:tblDescription w:val="Seacare Reforms: Compliant, Best practice, No PIR required. Regulatory Burden: $0.1m."/>
      </w:tblPr>
      <w:tblGrid>
        <w:gridCol w:w="5420"/>
        <w:gridCol w:w="1245"/>
        <w:gridCol w:w="1105"/>
        <w:gridCol w:w="1104"/>
        <w:gridCol w:w="1191"/>
      </w:tblGrid>
      <w:tr w:rsidR="006C375A" w:rsidRPr="00231D94" w14:paraId="59EEDA65" w14:textId="77777777" w:rsidTr="00E87F64">
        <w:trPr>
          <w:tblHeader/>
        </w:trPr>
        <w:tc>
          <w:tcPr>
            <w:tcW w:w="5420" w:type="dxa"/>
            <w:shd w:val="clear" w:color="auto" w:fill="F4973F"/>
            <w:vAlign w:val="center"/>
          </w:tcPr>
          <w:p w14:paraId="5791F630" w14:textId="77777777" w:rsidR="006C375A" w:rsidRPr="00231D94" w:rsidRDefault="006C375A"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159E61B6" w14:textId="77777777" w:rsidR="006C375A" w:rsidRPr="00231D94" w:rsidRDefault="006C375A"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78174786" w14:textId="77777777" w:rsidR="006C375A" w:rsidRPr="00231D94" w:rsidRDefault="006C375A"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01FD9AA" w14:textId="77777777" w:rsidR="006C375A" w:rsidRPr="00231D94" w:rsidRDefault="006C375A"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50EE1D82" w14:textId="77777777" w:rsidR="006C375A" w:rsidRPr="00231D94" w:rsidRDefault="006C375A"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6C375A" w:rsidRPr="00231D94" w14:paraId="6470C056" w14:textId="77777777" w:rsidTr="00E87F64">
        <w:trPr>
          <w:trHeight w:hRule="exact" w:val="525"/>
        </w:trPr>
        <w:tc>
          <w:tcPr>
            <w:tcW w:w="5420" w:type="dxa"/>
            <w:shd w:val="clear" w:color="auto" w:fill="auto"/>
            <w:vAlign w:val="center"/>
          </w:tcPr>
          <w:p w14:paraId="3B3D2A2F" w14:textId="4ECA32DD" w:rsidR="006C375A" w:rsidRPr="00231D94" w:rsidRDefault="006C375A" w:rsidP="007C3294">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 xml:space="preserve">Seacare </w:t>
            </w:r>
            <w:r w:rsidR="00D060F2">
              <w:rPr>
                <w:rFonts w:eastAsia="MS Mincho" w:cs="Arial"/>
                <w:spacing w:val="-3"/>
                <w:sz w:val="18"/>
                <w:szCs w:val="18"/>
                <w:lang w:eastAsia="en-AU"/>
              </w:rPr>
              <w:t>R</w:t>
            </w:r>
            <w:r>
              <w:rPr>
                <w:rFonts w:eastAsia="MS Mincho" w:cs="Arial"/>
                <w:spacing w:val="-3"/>
                <w:sz w:val="18"/>
                <w:szCs w:val="18"/>
                <w:lang w:eastAsia="en-AU"/>
              </w:rPr>
              <w:t>eforms</w:t>
            </w:r>
          </w:p>
        </w:tc>
        <w:tc>
          <w:tcPr>
            <w:tcW w:w="1245" w:type="dxa"/>
            <w:shd w:val="clear" w:color="auto" w:fill="auto"/>
            <w:vAlign w:val="center"/>
          </w:tcPr>
          <w:p w14:paraId="34883094" w14:textId="77777777" w:rsidR="006C375A" w:rsidRPr="00231D94" w:rsidRDefault="006C375A" w:rsidP="00C23529">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67BC7FFF" w14:textId="77777777" w:rsidR="006C375A" w:rsidRPr="00231D94" w:rsidRDefault="006C375A" w:rsidP="00C2352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Yes</w:t>
            </w:r>
          </w:p>
        </w:tc>
        <w:tc>
          <w:tcPr>
            <w:tcW w:w="1104" w:type="dxa"/>
            <w:shd w:val="clear" w:color="auto" w:fill="auto"/>
            <w:vAlign w:val="center"/>
          </w:tcPr>
          <w:p w14:paraId="4587387F" w14:textId="77777777" w:rsidR="006C375A" w:rsidRPr="00231D94" w:rsidRDefault="006C375A" w:rsidP="00C2352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6F8F3853" w14:textId="4E00C09F" w:rsidR="006C375A" w:rsidRPr="00231D94" w:rsidRDefault="006C375A">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$0.1</w:t>
            </w:r>
          </w:p>
        </w:tc>
      </w:tr>
    </w:tbl>
    <w:p w14:paraId="2327A251" w14:textId="400ADDA4" w:rsidR="00DE3AE5" w:rsidRPr="008147F0" w:rsidRDefault="00DE3AE5" w:rsidP="006E5A19">
      <w:pPr>
        <w:spacing w:before="120" w:after="150"/>
        <w:rPr>
          <w:rFonts w:cs="Arial"/>
          <w:sz w:val="18"/>
          <w:szCs w:val="18"/>
        </w:rPr>
      </w:pPr>
      <w:bookmarkStart w:id="274" w:name="_Toc474840924"/>
      <w:bookmarkStart w:id="275" w:name="_Toc475345623"/>
      <w:bookmarkStart w:id="276" w:name="_Toc479345884"/>
      <w:bookmarkStart w:id="277" w:name="_Toc480281446"/>
      <w:r w:rsidRPr="008147F0">
        <w:rPr>
          <w:rFonts w:cs="Arial"/>
          <w:sz w:val="18"/>
          <w:szCs w:val="18"/>
        </w:rPr>
        <w:t>Legislation to reform the Seacare scheme to clarify the scheme’s coverage</w:t>
      </w:r>
      <w:bookmarkEnd w:id="274"/>
      <w:bookmarkEnd w:id="275"/>
      <w:bookmarkEnd w:id="276"/>
      <w:r w:rsidRPr="008147F0">
        <w:rPr>
          <w:rFonts w:cs="Arial"/>
          <w:sz w:val="18"/>
          <w:szCs w:val="18"/>
        </w:rPr>
        <w:t>, update the scheme’s work health and safety and worker’s compensation, and provide more efficient and effective governance.</w:t>
      </w:r>
      <w:bookmarkEnd w:id="277"/>
    </w:p>
    <w:tbl>
      <w:tblPr>
        <w:tblW w:w="10065" w:type="dxa"/>
        <w:tblInd w:w="-142" w:type="dxa"/>
        <w:tblLayout w:type="fixed"/>
        <w:tblCellMar>
          <w:left w:w="0" w:type="dxa"/>
          <w:right w:w="0" w:type="dxa"/>
        </w:tblCellMar>
        <w:tblLook w:val="0000" w:firstRow="0" w:lastRow="0" w:firstColumn="0" w:lastColumn="0" w:noHBand="0" w:noVBand="0"/>
        <w:tblCaption w:val="Youth Employment Package"/>
        <w:tblDescription w:val="Youth Employment Package: Compliant, Best practice, No PIR required. Regulatory Burden: -$3.7m."/>
      </w:tblPr>
      <w:tblGrid>
        <w:gridCol w:w="5420"/>
        <w:gridCol w:w="1245"/>
        <w:gridCol w:w="1105"/>
        <w:gridCol w:w="1104"/>
        <w:gridCol w:w="1191"/>
      </w:tblGrid>
      <w:tr w:rsidR="00202535" w:rsidRPr="00231D94" w14:paraId="0C2E6C21" w14:textId="77777777" w:rsidTr="00E87F64">
        <w:trPr>
          <w:tblHeader/>
        </w:trPr>
        <w:tc>
          <w:tcPr>
            <w:tcW w:w="5420" w:type="dxa"/>
            <w:shd w:val="clear" w:color="auto" w:fill="F4973F"/>
            <w:vAlign w:val="center"/>
          </w:tcPr>
          <w:p w14:paraId="57A030D2" w14:textId="77777777" w:rsidR="00202535" w:rsidRPr="00231D94" w:rsidRDefault="00202535"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77DC3DA" w14:textId="77777777" w:rsidR="00202535" w:rsidRPr="00231D94" w:rsidRDefault="00202535"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6ECF5AAF" w14:textId="77777777" w:rsidR="00202535" w:rsidRPr="00231D94" w:rsidRDefault="00202535"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23D6D945" w14:textId="77777777" w:rsidR="00202535" w:rsidRPr="00231D94" w:rsidRDefault="00202535"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45A02EA" w14:textId="77777777" w:rsidR="00202535" w:rsidRPr="00231D94" w:rsidRDefault="00202535"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202535" w:rsidRPr="00231D94" w14:paraId="4CF8A667" w14:textId="77777777" w:rsidTr="00E87F64">
        <w:trPr>
          <w:trHeight w:hRule="exact" w:val="525"/>
        </w:trPr>
        <w:tc>
          <w:tcPr>
            <w:tcW w:w="5420" w:type="dxa"/>
            <w:shd w:val="clear" w:color="auto" w:fill="auto"/>
            <w:vAlign w:val="center"/>
          </w:tcPr>
          <w:p w14:paraId="6BF6EC67" w14:textId="77657E70" w:rsidR="00202535" w:rsidRPr="00231D94" w:rsidRDefault="00202535" w:rsidP="007C3294">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Youth Employment Package</w:t>
            </w:r>
          </w:p>
        </w:tc>
        <w:tc>
          <w:tcPr>
            <w:tcW w:w="1245" w:type="dxa"/>
            <w:shd w:val="clear" w:color="auto" w:fill="auto"/>
            <w:vAlign w:val="center"/>
          </w:tcPr>
          <w:p w14:paraId="7AD81104" w14:textId="77777777" w:rsidR="00202535" w:rsidRPr="00231D94" w:rsidRDefault="00202535" w:rsidP="00C405AC">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4E11D258" w14:textId="77777777" w:rsidR="00202535" w:rsidRPr="00231D94" w:rsidRDefault="00202535" w:rsidP="00C405AC">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Yes</w:t>
            </w:r>
          </w:p>
        </w:tc>
        <w:tc>
          <w:tcPr>
            <w:tcW w:w="1104" w:type="dxa"/>
            <w:shd w:val="clear" w:color="auto" w:fill="auto"/>
            <w:vAlign w:val="center"/>
          </w:tcPr>
          <w:p w14:paraId="1CBF589B" w14:textId="77777777" w:rsidR="00202535" w:rsidRPr="00231D94" w:rsidRDefault="00202535" w:rsidP="00C405AC">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73B6F597" w14:textId="644457E0" w:rsidR="00202535" w:rsidRPr="00231D94" w:rsidRDefault="00202535" w:rsidP="00C405AC">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-$3.7</w:t>
            </w:r>
          </w:p>
        </w:tc>
      </w:tr>
    </w:tbl>
    <w:p w14:paraId="444050D2" w14:textId="0BC69D09" w:rsidR="006E5A19" w:rsidRDefault="00DE3AE5" w:rsidP="006E5A19">
      <w:pPr>
        <w:spacing w:before="120" w:after="150"/>
        <w:rPr>
          <w:rFonts w:cs="Arial"/>
          <w:sz w:val="18"/>
          <w:szCs w:val="18"/>
        </w:rPr>
      </w:pPr>
      <w:bookmarkStart w:id="278" w:name="_Toc474840925"/>
      <w:bookmarkStart w:id="279" w:name="_Toc475345624"/>
      <w:bookmarkStart w:id="280" w:name="_Toc479345524"/>
      <w:bookmarkStart w:id="281" w:name="_Toc479345885"/>
      <w:bookmarkStart w:id="282" w:name="_Toc480281447"/>
      <w:r w:rsidRPr="008147F0">
        <w:rPr>
          <w:rFonts w:cs="Arial"/>
          <w:sz w:val="18"/>
          <w:szCs w:val="18"/>
        </w:rPr>
        <w:t>The core of the Youth Employment Package is a new Youth Jobs PaTH (Prepare-Trial-Hire) programme.</w:t>
      </w:r>
      <w:bookmarkEnd w:id="278"/>
      <w:bookmarkEnd w:id="279"/>
      <w:bookmarkEnd w:id="280"/>
      <w:bookmarkEnd w:id="281"/>
      <w:bookmarkEnd w:id="282"/>
    </w:p>
    <w:p w14:paraId="5D8316E8" w14:textId="77777777" w:rsidR="004A3411" w:rsidRPr="006E5A19" w:rsidRDefault="004A3411" w:rsidP="006E5A19">
      <w:pPr>
        <w:spacing w:before="120" w:after="150"/>
        <w:rPr>
          <w:rFonts w:cs="Arial"/>
          <w:sz w:val="18"/>
          <w:szCs w:val="18"/>
        </w:rPr>
      </w:pPr>
    </w:p>
    <w:p w14:paraId="2A0058FF" w14:textId="61EC6089" w:rsidR="008C484E" w:rsidRPr="00231D94" w:rsidRDefault="008C484E" w:rsidP="00D91FF3">
      <w:pPr>
        <w:pStyle w:val="Heading3"/>
      </w:pPr>
      <w:bookmarkStart w:id="283" w:name="_Toc5375756"/>
      <w:r w:rsidRPr="00231D94">
        <w:t>Department</w:t>
      </w:r>
      <w:r>
        <w:t xml:space="preserve"> of Foreign Affairs and Trade</w:t>
      </w:r>
      <w:bookmarkEnd w:id="283"/>
      <w:r>
        <w:t xml:space="preserve"> </w:t>
      </w:r>
    </w:p>
    <w:tbl>
      <w:tblPr>
        <w:tblW w:w="10065" w:type="dxa"/>
        <w:tblInd w:w="-142" w:type="dxa"/>
        <w:tblLayout w:type="fixed"/>
        <w:tblCellMar>
          <w:left w:w="0" w:type="dxa"/>
          <w:right w:w="0" w:type="dxa"/>
        </w:tblCellMar>
        <w:tblLook w:val="0000" w:firstRow="0" w:lastRow="0" w:firstColumn="0" w:lastColumn="0" w:noHBand="0" w:noVBand="0"/>
        <w:tblCaption w:val="Amending the Singapore Australia Free Trade Agreement"/>
        <w:tblDescription w:val="Amending the Singapore Australia Free Trade Agreement: Compliant, Best practice, No PIR required. Regulatory Burden: $0.0m."/>
      </w:tblPr>
      <w:tblGrid>
        <w:gridCol w:w="5420"/>
        <w:gridCol w:w="1245"/>
        <w:gridCol w:w="1105"/>
        <w:gridCol w:w="1104"/>
        <w:gridCol w:w="1191"/>
      </w:tblGrid>
      <w:tr w:rsidR="008C484E" w:rsidRPr="00231D94" w14:paraId="12BAB52F" w14:textId="77777777" w:rsidTr="00E87F64">
        <w:trPr>
          <w:tblHeader/>
        </w:trPr>
        <w:tc>
          <w:tcPr>
            <w:tcW w:w="5420" w:type="dxa"/>
            <w:shd w:val="clear" w:color="auto" w:fill="F4973F"/>
            <w:vAlign w:val="center"/>
          </w:tcPr>
          <w:p w14:paraId="6A62F511" w14:textId="77777777" w:rsidR="008C484E" w:rsidRPr="00231D94" w:rsidRDefault="008C484E"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7160837C" w14:textId="77777777" w:rsidR="008C484E" w:rsidRPr="00231D94" w:rsidRDefault="008C484E"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1EA124FC" w14:textId="77777777" w:rsidR="008C484E" w:rsidRPr="00231D94" w:rsidRDefault="008C484E"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27149178" w14:textId="77777777" w:rsidR="008C484E" w:rsidRPr="00231D94" w:rsidRDefault="008C484E"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5B1D6BBA" w14:textId="77777777" w:rsidR="008C484E" w:rsidRPr="00231D94" w:rsidRDefault="008C484E"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8C484E" w:rsidRPr="00231D94" w14:paraId="159155AF" w14:textId="77777777" w:rsidTr="00BA2600">
        <w:trPr>
          <w:trHeight w:hRule="exact" w:val="737"/>
        </w:trPr>
        <w:tc>
          <w:tcPr>
            <w:tcW w:w="5420" w:type="dxa"/>
            <w:shd w:val="clear" w:color="auto" w:fill="auto"/>
            <w:vAlign w:val="center"/>
          </w:tcPr>
          <w:p w14:paraId="1FC59428" w14:textId="276A278C" w:rsidR="008C484E" w:rsidRPr="008147F0" w:rsidRDefault="008C484E" w:rsidP="007C3294">
            <w:pPr>
              <w:widowControl w:val="0"/>
              <w:kinsoku w:val="0"/>
              <w:overflowPunct w:val="0"/>
              <w:autoSpaceDE w:val="0"/>
              <w:autoSpaceDN w:val="0"/>
              <w:adjustRightInd w:val="0"/>
              <w:spacing w:before="54" w:after="0" w:line="254" w:lineRule="auto"/>
              <w:ind w:left="135" w:right="102"/>
              <w:rPr>
                <w:rFonts w:cs="Arial"/>
                <w:sz w:val="18"/>
                <w:szCs w:val="18"/>
              </w:rPr>
            </w:pPr>
            <w:r w:rsidRPr="008147F0">
              <w:rPr>
                <w:rFonts w:eastAsia="MS Mincho" w:cs="Arial"/>
                <w:spacing w:val="-3"/>
                <w:sz w:val="18"/>
                <w:szCs w:val="18"/>
                <w:lang w:eastAsia="en-AU"/>
              </w:rPr>
              <w:t>Amend</w:t>
            </w:r>
            <w:r w:rsidR="005E6DD4" w:rsidRPr="008147F0">
              <w:rPr>
                <w:rFonts w:eastAsia="MS Mincho" w:cs="Arial"/>
                <w:spacing w:val="-3"/>
                <w:sz w:val="18"/>
                <w:szCs w:val="18"/>
                <w:lang w:eastAsia="en-AU"/>
              </w:rPr>
              <w:t>ing the</w:t>
            </w:r>
            <w:r w:rsidRPr="008147F0">
              <w:rPr>
                <w:rFonts w:eastAsia="MS Mincho" w:cs="Arial"/>
                <w:spacing w:val="-3"/>
                <w:sz w:val="18"/>
                <w:szCs w:val="18"/>
                <w:lang w:eastAsia="en-AU"/>
              </w:rPr>
              <w:t xml:space="preserve"> Singapore Australia Free Trade Agreement</w:t>
            </w:r>
            <w:r w:rsidR="007C5589" w:rsidRPr="008147F0">
              <w:rPr>
                <w:rFonts w:eastAsia="MS Mincho" w:cs="Arial"/>
                <w:spacing w:val="-3"/>
                <w:sz w:val="18"/>
                <w:szCs w:val="18"/>
                <w:lang w:eastAsia="en-AU"/>
              </w:rPr>
              <w:t xml:space="preserve"> – Independent Review</w:t>
            </w:r>
          </w:p>
        </w:tc>
        <w:tc>
          <w:tcPr>
            <w:tcW w:w="1245" w:type="dxa"/>
            <w:shd w:val="clear" w:color="auto" w:fill="auto"/>
            <w:vAlign w:val="center"/>
          </w:tcPr>
          <w:p w14:paraId="79D19254" w14:textId="2983CF8B" w:rsidR="008C484E" w:rsidRPr="00A83D55" w:rsidRDefault="007C5589" w:rsidP="006B0B7A">
            <w:pPr>
              <w:widowControl w:val="0"/>
              <w:kinsoku w:val="0"/>
              <w:overflowPunct w:val="0"/>
              <w:autoSpaceDE w:val="0"/>
              <w:autoSpaceDN w:val="0"/>
              <w:adjustRightInd w:val="0"/>
              <w:spacing w:before="54" w:after="0" w:line="240" w:lineRule="auto"/>
              <w:jc w:val="center"/>
              <w:rPr>
                <w:rFonts w:eastAsia="MS Mincho" w:cs="Arial"/>
                <w:spacing w:val="-2"/>
                <w:w w:val="90"/>
                <w:sz w:val="18"/>
                <w:szCs w:val="18"/>
                <w:highlight w:val="yellow"/>
                <w:lang w:eastAsia="en-AU"/>
              </w:rPr>
            </w:pPr>
            <w:r w:rsidRPr="007C5589">
              <w:rPr>
                <w:rFonts w:eastAsia="MS Mincho" w:cs="Arial"/>
                <w:spacing w:val="-2"/>
                <w:w w:val="90"/>
                <w:sz w:val="18"/>
                <w:szCs w:val="18"/>
                <w:lang w:eastAsia="en-AU"/>
              </w:rPr>
              <w:t>Compliant</w:t>
            </w:r>
          </w:p>
        </w:tc>
        <w:tc>
          <w:tcPr>
            <w:tcW w:w="1105" w:type="dxa"/>
            <w:shd w:val="clear" w:color="auto" w:fill="auto"/>
            <w:vAlign w:val="center"/>
          </w:tcPr>
          <w:p w14:paraId="77E78B83" w14:textId="59556CF7" w:rsidR="008C484E" w:rsidRPr="00AD7705" w:rsidRDefault="008C484E" w:rsidP="00AD7705">
            <w:pPr>
              <w:widowControl w:val="0"/>
              <w:kinsoku w:val="0"/>
              <w:overflowPunct w:val="0"/>
              <w:autoSpaceDE w:val="0"/>
              <w:autoSpaceDN w:val="0"/>
              <w:adjustRightInd w:val="0"/>
              <w:spacing w:before="54" w:after="0" w:line="240" w:lineRule="auto"/>
              <w:jc w:val="center"/>
              <w:rPr>
                <w:rFonts w:eastAsia="MS Mincho" w:cs="Arial"/>
                <w:w w:val="85"/>
                <w:sz w:val="18"/>
                <w:szCs w:val="18"/>
                <w:vertAlign w:val="superscript"/>
                <w:lang w:eastAsia="en-AU"/>
              </w:rPr>
            </w:pPr>
            <w:r>
              <w:rPr>
                <w:rFonts w:eastAsia="MS Mincho" w:cs="Arial"/>
                <w:spacing w:val="-3"/>
                <w:sz w:val="18"/>
                <w:szCs w:val="18"/>
                <w:lang w:eastAsia="en-AU"/>
              </w:rPr>
              <w:t>Yes</w:t>
            </w:r>
          </w:p>
        </w:tc>
        <w:tc>
          <w:tcPr>
            <w:tcW w:w="1104" w:type="dxa"/>
            <w:shd w:val="clear" w:color="auto" w:fill="auto"/>
            <w:vAlign w:val="center"/>
          </w:tcPr>
          <w:p w14:paraId="08E0091E" w14:textId="77777777" w:rsidR="008C484E" w:rsidRPr="00231D94" w:rsidRDefault="008C484E" w:rsidP="00B14970">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15CA865D" w14:textId="77777777" w:rsidR="008C484E" w:rsidRPr="00231D94" w:rsidRDefault="008C484E" w:rsidP="00B14970">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$0.0</w:t>
            </w:r>
          </w:p>
        </w:tc>
      </w:tr>
    </w:tbl>
    <w:p w14:paraId="6084E96D" w14:textId="6AB5A066" w:rsidR="00DE3AE5" w:rsidRPr="008147F0" w:rsidRDefault="00DE3AE5" w:rsidP="00C62B61">
      <w:pPr>
        <w:spacing w:before="120" w:after="150"/>
        <w:rPr>
          <w:rFonts w:cs="Arial"/>
          <w:sz w:val="18"/>
          <w:szCs w:val="18"/>
        </w:rPr>
      </w:pPr>
      <w:bookmarkStart w:id="284" w:name="_Toc480281449"/>
      <w:r w:rsidRPr="008147F0">
        <w:rPr>
          <w:rFonts w:cs="Arial"/>
          <w:sz w:val="18"/>
          <w:szCs w:val="18"/>
        </w:rPr>
        <w:t>The amendment addresses key trade barriers and updates the Agreement to reflect modern trade provisions and outcomes provided to more recent FTA partners by both Australia and Singapore</w:t>
      </w:r>
      <w:bookmarkEnd w:id="284"/>
      <w:r w:rsidRPr="008147F0">
        <w:rPr>
          <w:rFonts w:cs="Arial"/>
          <w:sz w:val="18"/>
          <w:szCs w:val="18"/>
        </w:rPr>
        <w:t>.</w:t>
      </w:r>
      <w:r w:rsidR="0050744B">
        <w:t xml:space="preserve"> </w:t>
      </w:r>
      <w:r w:rsidR="0050744B" w:rsidRPr="0050744B">
        <w:rPr>
          <w:rFonts w:cs="Arial"/>
          <w:sz w:val="18"/>
          <w:szCs w:val="18"/>
        </w:rPr>
        <w:t>The OBPR does not assess the adequacy of the content of an independent review used in lieu of a RIS.</w:t>
      </w:r>
      <w:r w:rsidR="006B0B7A" w:rsidRPr="008147F0">
        <w:rPr>
          <w:rFonts w:cs="Arial"/>
          <w:sz w:val="18"/>
          <w:szCs w:val="18"/>
        </w:rPr>
        <w:t xml:space="preserve"> </w:t>
      </w:r>
    </w:p>
    <w:p w14:paraId="0014C626" w14:textId="07331535" w:rsidR="00475817" w:rsidRDefault="00475817" w:rsidP="003E6252">
      <w:pPr>
        <w:pStyle w:val="Heading3"/>
      </w:pPr>
      <w:bookmarkStart w:id="285" w:name="_Toc5375757"/>
      <w:r w:rsidRPr="00231D94">
        <w:t>Department</w:t>
      </w:r>
      <w:bookmarkEnd w:id="259"/>
      <w:bookmarkEnd w:id="260"/>
      <w:r>
        <w:t xml:space="preserve"> of Health</w:t>
      </w:r>
      <w:bookmarkEnd w:id="285"/>
    </w:p>
    <w:tbl>
      <w:tblPr>
        <w:tblW w:w="10065" w:type="dxa"/>
        <w:tblInd w:w="-142" w:type="dxa"/>
        <w:tblLayout w:type="fixed"/>
        <w:tblCellMar>
          <w:left w:w="0" w:type="dxa"/>
          <w:right w:w="0" w:type="dxa"/>
        </w:tblCellMar>
        <w:tblLook w:val="0000" w:firstRow="0" w:lastRow="0" w:firstColumn="0" w:lastColumn="0" w:noHBand="0" w:noVBand="0"/>
        <w:tblCaption w:val="Changes to My Health Record System"/>
        <w:tblDescription w:val="Changes to My Health Record System: Compliant, Best practice, No PIR required. Regulatory Burden: $3.1m."/>
      </w:tblPr>
      <w:tblGrid>
        <w:gridCol w:w="5420"/>
        <w:gridCol w:w="1245"/>
        <w:gridCol w:w="1105"/>
        <w:gridCol w:w="1104"/>
        <w:gridCol w:w="1191"/>
      </w:tblGrid>
      <w:tr w:rsidR="0018044F" w:rsidRPr="00231D94" w14:paraId="1E34634E" w14:textId="77777777" w:rsidTr="0048492E">
        <w:trPr>
          <w:tblHeader/>
        </w:trPr>
        <w:tc>
          <w:tcPr>
            <w:tcW w:w="5420" w:type="dxa"/>
            <w:shd w:val="clear" w:color="auto" w:fill="F4973F"/>
            <w:vAlign w:val="center"/>
          </w:tcPr>
          <w:p w14:paraId="4C8555F8" w14:textId="77777777" w:rsidR="0018044F" w:rsidRPr="00231D94" w:rsidRDefault="0018044F"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23FECF4" w14:textId="77777777" w:rsidR="0018044F" w:rsidRPr="00231D94" w:rsidRDefault="0018044F"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597208A8" w14:textId="77777777" w:rsidR="0018044F" w:rsidRPr="00231D94" w:rsidRDefault="0018044F"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06C301D5" w14:textId="77777777" w:rsidR="0018044F" w:rsidRPr="00231D94" w:rsidRDefault="0018044F"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229F1F8" w14:textId="77777777" w:rsidR="0018044F" w:rsidRPr="00231D94" w:rsidRDefault="0018044F"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18044F" w:rsidRPr="00CD5E24" w14:paraId="3B6787CE" w14:textId="77777777" w:rsidTr="0048492E">
        <w:trPr>
          <w:trHeight w:hRule="exact" w:val="525"/>
        </w:trPr>
        <w:tc>
          <w:tcPr>
            <w:tcW w:w="5420" w:type="dxa"/>
            <w:shd w:val="clear" w:color="auto" w:fill="auto"/>
            <w:vAlign w:val="center"/>
          </w:tcPr>
          <w:p w14:paraId="5AD26142" w14:textId="107416B5" w:rsidR="0018044F" w:rsidRPr="00CD5E24" w:rsidRDefault="0018044F" w:rsidP="007C3294">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Changes to My Health Record System</w:t>
            </w:r>
          </w:p>
        </w:tc>
        <w:tc>
          <w:tcPr>
            <w:tcW w:w="1245" w:type="dxa"/>
            <w:shd w:val="clear" w:color="auto" w:fill="auto"/>
            <w:vAlign w:val="center"/>
          </w:tcPr>
          <w:p w14:paraId="53E9FB1D" w14:textId="77777777" w:rsidR="0018044F" w:rsidRPr="00CD5E24" w:rsidRDefault="0018044F" w:rsidP="00BA6273">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CD5E24">
              <w:rPr>
                <w:rFonts w:eastAsia="MS Mincho" w:cs="Arial"/>
                <w:spacing w:val="-3"/>
                <w:sz w:val="18"/>
                <w:szCs w:val="18"/>
                <w:lang w:eastAsia="en-AU"/>
              </w:rPr>
              <w:t>Compliant</w:t>
            </w:r>
          </w:p>
        </w:tc>
        <w:tc>
          <w:tcPr>
            <w:tcW w:w="1105" w:type="dxa"/>
            <w:shd w:val="clear" w:color="auto" w:fill="auto"/>
            <w:vAlign w:val="center"/>
          </w:tcPr>
          <w:p w14:paraId="52537514" w14:textId="77777777" w:rsidR="0018044F" w:rsidRPr="00CD5E24" w:rsidRDefault="0018044F" w:rsidP="00BA6273">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E2207">
              <w:rPr>
                <w:rFonts w:eastAsia="MS Mincho" w:cs="Arial"/>
                <w:spacing w:val="-3"/>
                <w:sz w:val="18"/>
                <w:szCs w:val="18"/>
                <w:lang w:eastAsia="en-AU"/>
              </w:rPr>
              <w:t>Yes</w:t>
            </w:r>
          </w:p>
        </w:tc>
        <w:tc>
          <w:tcPr>
            <w:tcW w:w="1104" w:type="dxa"/>
            <w:shd w:val="clear" w:color="auto" w:fill="auto"/>
            <w:vAlign w:val="center"/>
          </w:tcPr>
          <w:p w14:paraId="66BF6F88" w14:textId="77777777" w:rsidR="0018044F" w:rsidRPr="00CD5E24" w:rsidRDefault="0018044F" w:rsidP="00BA6273">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CD5E24">
              <w:rPr>
                <w:rFonts w:eastAsia="MS Mincho" w:cs="Arial"/>
                <w:spacing w:val="-3"/>
                <w:sz w:val="18"/>
                <w:szCs w:val="18"/>
                <w:lang w:eastAsia="en-AU"/>
              </w:rPr>
              <w:t>No</w:t>
            </w:r>
          </w:p>
        </w:tc>
        <w:tc>
          <w:tcPr>
            <w:tcW w:w="1191" w:type="dxa"/>
            <w:vAlign w:val="center"/>
          </w:tcPr>
          <w:p w14:paraId="5926AA7E" w14:textId="71194A3E" w:rsidR="0018044F" w:rsidRPr="00CD5E24" w:rsidRDefault="0018044F" w:rsidP="002A3CDE">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CE2207">
              <w:rPr>
                <w:rFonts w:eastAsia="MS Mincho" w:cs="Arial"/>
                <w:spacing w:val="-3"/>
                <w:sz w:val="18"/>
                <w:szCs w:val="18"/>
                <w:lang w:eastAsia="en-AU"/>
              </w:rPr>
              <w:t>$</w:t>
            </w:r>
            <w:r w:rsidR="002A3CDE">
              <w:rPr>
                <w:rFonts w:eastAsia="MS Mincho" w:cs="Arial"/>
                <w:spacing w:val="-3"/>
                <w:sz w:val="18"/>
                <w:szCs w:val="18"/>
                <w:lang w:eastAsia="en-AU"/>
              </w:rPr>
              <w:t>3</w:t>
            </w:r>
            <w:r w:rsidRPr="00CE2207">
              <w:rPr>
                <w:rFonts w:eastAsia="MS Mincho" w:cs="Arial"/>
                <w:spacing w:val="-3"/>
                <w:sz w:val="18"/>
                <w:szCs w:val="18"/>
                <w:lang w:eastAsia="en-AU"/>
              </w:rPr>
              <w:t>.</w:t>
            </w:r>
            <w:r w:rsidR="002A3CDE">
              <w:rPr>
                <w:rFonts w:eastAsia="MS Mincho" w:cs="Arial"/>
                <w:spacing w:val="-3"/>
                <w:sz w:val="18"/>
                <w:szCs w:val="18"/>
                <w:lang w:eastAsia="en-AU"/>
              </w:rPr>
              <w:t>1</w:t>
            </w:r>
          </w:p>
        </w:tc>
      </w:tr>
    </w:tbl>
    <w:p w14:paraId="2DC20D3F" w14:textId="72996D61" w:rsidR="00D05A03" w:rsidRPr="008147F0" w:rsidRDefault="0018044F" w:rsidP="00C62B61">
      <w:pPr>
        <w:spacing w:before="120" w:after="150"/>
        <w:rPr>
          <w:rFonts w:cs="Arial"/>
          <w:sz w:val="18"/>
          <w:szCs w:val="18"/>
        </w:rPr>
      </w:pPr>
      <w:r w:rsidRPr="008147F0">
        <w:rPr>
          <w:rFonts w:cs="Arial"/>
          <w:sz w:val="18"/>
          <w:szCs w:val="18"/>
        </w:rPr>
        <w:t>The proposal changes the My Health Record system to an opt-out model. Every Australian will have a My Health Record unless they prefer not to, bringing forward benefits to patients and medical service providers many years sooner than the current opt-in arrangements.</w:t>
      </w:r>
    </w:p>
    <w:tbl>
      <w:tblPr>
        <w:tblW w:w="10065" w:type="dxa"/>
        <w:tblInd w:w="-142" w:type="dxa"/>
        <w:tblLayout w:type="fixed"/>
        <w:tblCellMar>
          <w:left w:w="0" w:type="dxa"/>
          <w:right w:w="0" w:type="dxa"/>
        </w:tblCellMar>
        <w:tblLook w:val="0000" w:firstRow="0" w:lastRow="0" w:firstColumn="0" w:lastColumn="0" w:noHBand="0" w:noVBand="0"/>
        <w:tblCaption w:val="Clearer Labels for Medicines"/>
        <w:tblDescription w:val="Clearer Labels for Medicines: Compliant, Best practice, No PIR required. Regulatory Burden: $1.1m."/>
      </w:tblPr>
      <w:tblGrid>
        <w:gridCol w:w="5420"/>
        <w:gridCol w:w="1245"/>
        <w:gridCol w:w="1105"/>
        <w:gridCol w:w="1104"/>
        <w:gridCol w:w="1191"/>
      </w:tblGrid>
      <w:tr w:rsidR="00475817" w:rsidRPr="00231D94" w14:paraId="0014C62C" w14:textId="77777777" w:rsidTr="00173754">
        <w:trPr>
          <w:tblHeader/>
        </w:trPr>
        <w:tc>
          <w:tcPr>
            <w:tcW w:w="5420" w:type="dxa"/>
            <w:shd w:val="clear" w:color="auto" w:fill="F4973F"/>
            <w:vAlign w:val="center"/>
          </w:tcPr>
          <w:p w14:paraId="0014C627" w14:textId="77777777" w:rsidR="00475817" w:rsidRPr="00231D94" w:rsidRDefault="00475817"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231D94">
              <w:rPr>
                <w:rFonts w:eastAsia="MS Mincho" w:cs="Arial"/>
                <w:color w:val="FFFFFF"/>
                <w:w w:val="105"/>
                <w:sz w:val="18"/>
                <w:szCs w:val="18"/>
                <w:lang w:eastAsia="en-AU"/>
              </w:rPr>
              <w:t>Proposal</w:t>
            </w:r>
          </w:p>
        </w:tc>
        <w:tc>
          <w:tcPr>
            <w:tcW w:w="1245" w:type="dxa"/>
            <w:shd w:val="clear" w:color="auto" w:fill="F4973F"/>
            <w:vAlign w:val="center"/>
          </w:tcPr>
          <w:p w14:paraId="0014C628" w14:textId="77777777" w:rsidR="00475817" w:rsidRPr="00231D94" w:rsidRDefault="00475817"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0014C629" w14:textId="77777777" w:rsidR="00475817" w:rsidRPr="00231D94" w:rsidRDefault="00475817"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0014C62A" w14:textId="77777777" w:rsidR="00475817" w:rsidRPr="00231D94" w:rsidRDefault="00475817"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014C62B" w14:textId="77777777" w:rsidR="00475817" w:rsidRPr="00231D94" w:rsidRDefault="00475817"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475817" w:rsidRPr="00231D94" w14:paraId="0014C632" w14:textId="77777777" w:rsidTr="00173754">
        <w:trPr>
          <w:trHeight w:hRule="exact" w:val="525"/>
        </w:trPr>
        <w:tc>
          <w:tcPr>
            <w:tcW w:w="5420" w:type="dxa"/>
            <w:shd w:val="clear" w:color="auto" w:fill="auto"/>
            <w:vAlign w:val="center"/>
          </w:tcPr>
          <w:p w14:paraId="0014C62D" w14:textId="77777777" w:rsidR="00475817" w:rsidRPr="00231D94" w:rsidRDefault="00921806"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Clearer Labels for Medicines</w:t>
            </w:r>
          </w:p>
        </w:tc>
        <w:tc>
          <w:tcPr>
            <w:tcW w:w="1245" w:type="dxa"/>
            <w:shd w:val="clear" w:color="auto" w:fill="auto"/>
            <w:vAlign w:val="center"/>
          </w:tcPr>
          <w:p w14:paraId="0014C62E" w14:textId="77777777" w:rsidR="00475817" w:rsidRPr="00231D94" w:rsidRDefault="00475817" w:rsidP="00C23529">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231D94">
              <w:rPr>
                <w:rFonts w:eastAsia="MS Mincho" w:cs="Arial"/>
                <w:spacing w:val="-3"/>
                <w:sz w:val="18"/>
                <w:szCs w:val="18"/>
                <w:lang w:eastAsia="en-AU"/>
              </w:rPr>
              <w:t>Compliant</w:t>
            </w:r>
          </w:p>
        </w:tc>
        <w:tc>
          <w:tcPr>
            <w:tcW w:w="1105" w:type="dxa"/>
            <w:shd w:val="clear" w:color="auto" w:fill="auto"/>
            <w:vAlign w:val="center"/>
          </w:tcPr>
          <w:p w14:paraId="0014C62F" w14:textId="77777777" w:rsidR="00475817" w:rsidRPr="00231D94" w:rsidRDefault="00475817" w:rsidP="00C2352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Yes</w:t>
            </w:r>
          </w:p>
        </w:tc>
        <w:tc>
          <w:tcPr>
            <w:tcW w:w="1104" w:type="dxa"/>
            <w:shd w:val="clear" w:color="auto" w:fill="auto"/>
            <w:vAlign w:val="center"/>
          </w:tcPr>
          <w:p w14:paraId="0014C630" w14:textId="77777777" w:rsidR="00475817" w:rsidRPr="00231D94" w:rsidRDefault="00475817" w:rsidP="00C2352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231D94">
              <w:rPr>
                <w:rFonts w:eastAsia="MS Mincho" w:cs="Arial"/>
                <w:spacing w:val="-3"/>
                <w:sz w:val="18"/>
                <w:szCs w:val="18"/>
                <w:lang w:eastAsia="en-AU"/>
              </w:rPr>
              <w:t>No</w:t>
            </w:r>
          </w:p>
        </w:tc>
        <w:tc>
          <w:tcPr>
            <w:tcW w:w="1191" w:type="dxa"/>
            <w:vAlign w:val="center"/>
          </w:tcPr>
          <w:p w14:paraId="0014C631" w14:textId="77777777" w:rsidR="00475817" w:rsidRPr="00231D94" w:rsidRDefault="00475817" w:rsidP="00C23529">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$1.1</w:t>
            </w:r>
          </w:p>
        </w:tc>
      </w:tr>
    </w:tbl>
    <w:p w14:paraId="1467C2B4" w14:textId="487DF6A6" w:rsidR="00DE3AE5" w:rsidRPr="008147F0" w:rsidRDefault="00DE3AE5" w:rsidP="00C62B61">
      <w:pPr>
        <w:spacing w:before="120" w:after="150"/>
        <w:rPr>
          <w:rFonts w:cs="Arial"/>
          <w:sz w:val="18"/>
          <w:szCs w:val="18"/>
        </w:rPr>
      </w:pPr>
      <w:r w:rsidRPr="008147F0">
        <w:rPr>
          <w:rFonts w:cs="Arial"/>
          <w:sz w:val="18"/>
          <w:szCs w:val="18"/>
        </w:rPr>
        <w:t xml:space="preserve">The new standards for medicine labelling require active ingredients be more prominently identified and consistently located on both prescription and non-prescription medicine labels, specify additional health and allergen information to be identified, designate a space for dispensing labels on prescription medicines and make other detailed changes. A </w:t>
      </w:r>
      <w:r w:rsidR="006E5A19" w:rsidRPr="008147F0">
        <w:rPr>
          <w:rFonts w:cs="Arial"/>
          <w:sz w:val="18"/>
          <w:szCs w:val="18"/>
        </w:rPr>
        <w:t>four-year</w:t>
      </w:r>
      <w:r w:rsidRPr="008147F0">
        <w:rPr>
          <w:rFonts w:cs="Arial"/>
          <w:sz w:val="18"/>
          <w:szCs w:val="18"/>
        </w:rPr>
        <w:t xml:space="preserve"> transition period is intended to reduce compliance costs.</w:t>
      </w:r>
    </w:p>
    <w:tbl>
      <w:tblPr>
        <w:tblW w:w="10065" w:type="dxa"/>
        <w:tblInd w:w="-142" w:type="dxa"/>
        <w:tblLayout w:type="fixed"/>
        <w:tblCellMar>
          <w:left w:w="0" w:type="dxa"/>
          <w:right w:w="0" w:type="dxa"/>
        </w:tblCellMar>
        <w:tblLook w:val="0000" w:firstRow="0" w:lastRow="0" w:firstColumn="0" w:lastColumn="0" w:noHBand="0" w:noVBand="0"/>
        <w:tblCaption w:val="Codeine Re-scheduling"/>
        <w:tblDescription w:val="Codeine Re-scheduling: Compliant, Not best practice, No PIR required. Regulatory Burden: $10.2m."/>
      </w:tblPr>
      <w:tblGrid>
        <w:gridCol w:w="5420"/>
        <w:gridCol w:w="1245"/>
        <w:gridCol w:w="1105"/>
        <w:gridCol w:w="1104"/>
        <w:gridCol w:w="1191"/>
      </w:tblGrid>
      <w:tr w:rsidR="00173754" w:rsidRPr="0084580D" w14:paraId="0D5A3DA9" w14:textId="77777777" w:rsidTr="006E5A19">
        <w:trPr>
          <w:trHeight w:val="567"/>
          <w:tblHeader/>
        </w:trPr>
        <w:tc>
          <w:tcPr>
            <w:tcW w:w="5420" w:type="dxa"/>
            <w:shd w:val="clear" w:color="auto" w:fill="F4973F"/>
            <w:vAlign w:val="center"/>
          </w:tcPr>
          <w:p w14:paraId="45B126E6" w14:textId="40BC1D79" w:rsidR="00173754" w:rsidRPr="0084580D" w:rsidRDefault="00173754" w:rsidP="006E5A19">
            <w:pPr>
              <w:widowControl w:val="0"/>
              <w:kinsoku w:val="0"/>
              <w:overflowPunct w:val="0"/>
              <w:autoSpaceDE w:val="0"/>
              <w:autoSpaceDN w:val="0"/>
              <w:adjustRightInd w:val="0"/>
              <w:spacing w:beforeLines="10" w:before="24" w:after="60"/>
              <w:ind w:left="85"/>
              <w:rPr>
                <w:rFonts w:ascii="Times New Roman" w:eastAsia="MS Mincho" w:hAnsi="Times New Roman"/>
                <w:sz w:val="24"/>
              </w:rPr>
            </w:pPr>
            <w:r w:rsidRPr="00231D94">
              <w:rPr>
                <w:rFonts w:eastAsia="MS Mincho" w:cs="Arial"/>
                <w:color w:val="FFFFFF"/>
                <w:w w:val="105"/>
                <w:sz w:val="18"/>
                <w:szCs w:val="18"/>
                <w:lang w:eastAsia="en-AU"/>
              </w:rPr>
              <w:t>Proposal</w:t>
            </w:r>
          </w:p>
        </w:tc>
        <w:tc>
          <w:tcPr>
            <w:tcW w:w="1245" w:type="dxa"/>
            <w:shd w:val="clear" w:color="auto" w:fill="F4973F"/>
            <w:vAlign w:val="center"/>
          </w:tcPr>
          <w:p w14:paraId="382E1C3F" w14:textId="641876D1" w:rsidR="00173754" w:rsidRPr="0084580D" w:rsidRDefault="00173754" w:rsidP="006E5A19">
            <w:pPr>
              <w:widowControl w:val="0"/>
              <w:kinsoku w:val="0"/>
              <w:overflowPunct w:val="0"/>
              <w:autoSpaceDE w:val="0"/>
              <w:autoSpaceDN w:val="0"/>
              <w:adjustRightInd w:val="0"/>
              <w:spacing w:beforeLines="10" w:before="24" w:after="60"/>
              <w:jc w:val="center"/>
              <w:rPr>
                <w:rFonts w:ascii="Times New Roman" w:eastAsia="MS Mincho" w:hAnsi="Times New Roman"/>
                <w:sz w:val="24"/>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5BFE7CCB" w14:textId="3D5702EC" w:rsidR="00173754" w:rsidRPr="0084580D" w:rsidRDefault="00173754" w:rsidP="006E5A19">
            <w:pPr>
              <w:widowControl w:val="0"/>
              <w:kinsoku w:val="0"/>
              <w:overflowPunct w:val="0"/>
              <w:autoSpaceDE w:val="0"/>
              <w:autoSpaceDN w:val="0"/>
              <w:adjustRightInd w:val="0"/>
              <w:spacing w:beforeLines="10" w:before="24" w:after="60"/>
              <w:jc w:val="center"/>
              <w:rPr>
                <w:rFonts w:eastAsia="MS Mincho" w:cs="Arial"/>
                <w:color w:val="FFFFFF"/>
                <w:w w:val="105"/>
                <w:sz w:val="18"/>
                <w:szCs w:val="18"/>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4D0664C4" w14:textId="05ACFC52" w:rsidR="00173754" w:rsidRPr="0084580D" w:rsidRDefault="00173754" w:rsidP="006E5A19">
            <w:pPr>
              <w:widowControl w:val="0"/>
              <w:kinsoku w:val="0"/>
              <w:overflowPunct w:val="0"/>
              <w:autoSpaceDE w:val="0"/>
              <w:autoSpaceDN w:val="0"/>
              <w:adjustRightInd w:val="0"/>
              <w:spacing w:beforeLines="10" w:before="24" w:after="60"/>
              <w:jc w:val="center"/>
              <w:rPr>
                <w:rFonts w:ascii="Times New Roman" w:eastAsia="MS Mincho" w:hAnsi="Times New Roman"/>
                <w:sz w:val="24"/>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0954980F" w14:textId="5A42E898" w:rsidR="00173754" w:rsidRPr="0084580D" w:rsidRDefault="00173754" w:rsidP="006E5A19">
            <w:pPr>
              <w:widowControl w:val="0"/>
              <w:kinsoku w:val="0"/>
              <w:overflowPunct w:val="0"/>
              <w:autoSpaceDE w:val="0"/>
              <w:autoSpaceDN w:val="0"/>
              <w:adjustRightInd w:val="0"/>
              <w:spacing w:beforeLines="10" w:before="24" w:after="60"/>
              <w:jc w:val="center"/>
              <w:rPr>
                <w:rFonts w:eastAsia="MS Mincho" w:cs="Arial"/>
                <w:color w:val="FFFFFF"/>
                <w:w w:val="105"/>
                <w:sz w:val="18"/>
                <w:szCs w:val="18"/>
              </w:rPr>
            </w:pPr>
            <w:r w:rsidRPr="00231D94">
              <w:rPr>
                <w:rFonts w:eastAsia="MS Mincho" w:cs="Arial"/>
                <w:color w:val="FFFFFF"/>
                <w:w w:val="105"/>
                <w:sz w:val="18"/>
                <w:szCs w:val="18"/>
                <w:lang w:eastAsia="en-AU"/>
              </w:rPr>
              <w:t>Regulatory Burden ($m)</w:t>
            </w:r>
          </w:p>
        </w:tc>
      </w:tr>
      <w:tr w:rsidR="00C2417D" w:rsidRPr="0084580D" w14:paraId="17E67002" w14:textId="77777777" w:rsidTr="00173754">
        <w:trPr>
          <w:trHeight w:hRule="exact" w:val="525"/>
        </w:trPr>
        <w:tc>
          <w:tcPr>
            <w:tcW w:w="5420" w:type="dxa"/>
            <w:shd w:val="clear" w:color="auto" w:fill="auto"/>
            <w:vAlign w:val="center"/>
          </w:tcPr>
          <w:p w14:paraId="59FC3770" w14:textId="1268FBA7" w:rsidR="00C2417D" w:rsidRPr="0084580D" w:rsidRDefault="00C2417D" w:rsidP="009465BE">
            <w:pPr>
              <w:widowControl w:val="0"/>
              <w:kinsoku w:val="0"/>
              <w:overflowPunct w:val="0"/>
              <w:autoSpaceDE w:val="0"/>
              <w:autoSpaceDN w:val="0"/>
              <w:adjustRightInd w:val="0"/>
              <w:spacing w:after="0" w:line="254" w:lineRule="auto"/>
              <w:ind w:left="135" w:right="102"/>
              <w:rPr>
                <w:rFonts w:eastAsia="MS Mincho" w:cs="Arial"/>
                <w:spacing w:val="-3"/>
                <w:sz w:val="18"/>
                <w:szCs w:val="18"/>
              </w:rPr>
            </w:pPr>
            <w:r>
              <w:rPr>
                <w:rFonts w:eastAsia="MS Mincho" w:cs="Arial"/>
                <w:spacing w:val="-3"/>
                <w:sz w:val="18"/>
                <w:szCs w:val="18"/>
              </w:rPr>
              <w:t>Codeine Re-</w:t>
            </w:r>
            <w:r w:rsidR="003F4D09">
              <w:rPr>
                <w:rFonts w:eastAsia="MS Mincho" w:cs="Arial"/>
                <w:spacing w:val="-3"/>
                <w:sz w:val="18"/>
                <w:szCs w:val="18"/>
              </w:rPr>
              <w:t>s</w:t>
            </w:r>
            <w:r>
              <w:rPr>
                <w:rFonts w:eastAsia="MS Mincho" w:cs="Arial"/>
                <w:spacing w:val="-3"/>
                <w:sz w:val="18"/>
                <w:szCs w:val="18"/>
              </w:rPr>
              <w:t>cheduling</w:t>
            </w:r>
          </w:p>
        </w:tc>
        <w:tc>
          <w:tcPr>
            <w:tcW w:w="1245" w:type="dxa"/>
            <w:shd w:val="clear" w:color="auto" w:fill="auto"/>
            <w:vAlign w:val="center"/>
          </w:tcPr>
          <w:p w14:paraId="3BE7A29F" w14:textId="77777777" w:rsidR="00C2417D" w:rsidRPr="0084580D" w:rsidRDefault="00C2417D" w:rsidP="00796F63">
            <w:pPr>
              <w:widowControl w:val="0"/>
              <w:kinsoku w:val="0"/>
              <w:overflowPunct w:val="0"/>
              <w:autoSpaceDE w:val="0"/>
              <w:autoSpaceDN w:val="0"/>
              <w:adjustRightInd w:val="0"/>
              <w:spacing w:after="0"/>
              <w:jc w:val="center"/>
              <w:rPr>
                <w:rFonts w:eastAsia="MS Mincho" w:cs="Arial"/>
                <w:spacing w:val="-2"/>
                <w:w w:val="90"/>
                <w:sz w:val="18"/>
                <w:szCs w:val="18"/>
              </w:rPr>
            </w:pPr>
            <w:r w:rsidRPr="0084580D">
              <w:rPr>
                <w:rFonts w:eastAsia="MS Mincho" w:cs="Arial"/>
                <w:spacing w:val="-3"/>
                <w:sz w:val="18"/>
                <w:szCs w:val="18"/>
              </w:rPr>
              <w:t>Compliant</w:t>
            </w:r>
          </w:p>
        </w:tc>
        <w:tc>
          <w:tcPr>
            <w:tcW w:w="1105" w:type="dxa"/>
            <w:shd w:val="clear" w:color="auto" w:fill="auto"/>
            <w:vAlign w:val="center"/>
          </w:tcPr>
          <w:p w14:paraId="40568CEC" w14:textId="77777777" w:rsidR="00C2417D" w:rsidRPr="0084580D" w:rsidRDefault="00C2417D" w:rsidP="00796F63">
            <w:pPr>
              <w:widowControl w:val="0"/>
              <w:kinsoku w:val="0"/>
              <w:overflowPunct w:val="0"/>
              <w:autoSpaceDE w:val="0"/>
              <w:autoSpaceDN w:val="0"/>
              <w:adjustRightInd w:val="0"/>
              <w:spacing w:after="0"/>
              <w:jc w:val="center"/>
              <w:rPr>
                <w:rFonts w:eastAsia="MS Mincho" w:cs="Arial"/>
                <w:w w:val="85"/>
                <w:sz w:val="18"/>
                <w:szCs w:val="18"/>
              </w:rPr>
            </w:pPr>
            <w:r w:rsidRPr="00BA7893">
              <w:rPr>
                <w:rFonts w:eastAsia="MS Mincho" w:cs="Arial"/>
                <w:spacing w:val="-3"/>
                <w:sz w:val="18"/>
                <w:szCs w:val="18"/>
              </w:rPr>
              <w:t>No</w:t>
            </w:r>
          </w:p>
        </w:tc>
        <w:tc>
          <w:tcPr>
            <w:tcW w:w="1104" w:type="dxa"/>
            <w:shd w:val="clear" w:color="auto" w:fill="auto"/>
            <w:vAlign w:val="center"/>
          </w:tcPr>
          <w:p w14:paraId="5369076F" w14:textId="77777777" w:rsidR="00C2417D" w:rsidRPr="0084580D" w:rsidRDefault="00C2417D" w:rsidP="00796F63">
            <w:pPr>
              <w:widowControl w:val="0"/>
              <w:kinsoku w:val="0"/>
              <w:overflowPunct w:val="0"/>
              <w:autoSpaceDE w:val="0"/>
              <w:autoSpaceDN w:val="0"/>
              <w:adjustRightInd w:val="0"/>
              <w:spacing w:after="0"/>
              <w:jc w:val="center"/>
              <w:rPr>
                <w:rFonts w:eastAsia="MS Mincho" w:cs="Arial"/>
                <w:w w:val="85"/>
                <w:sz w:val="18"/>
                <w:szCs w:val="18"/>
              </w:rPr>
            </w:pPr>
            <w:r w:rsidRPr="0084580D">
              <w:rPr>
                <w:rFonts w:eastAsia="MS Mincho" w:cs="Arial"/>
                <w:spacing w:val="-3"/>
                <w:sz w:val="18"/>
                <w:szCs w:val="18"/>
              </w:rPr>
              <w:t>No</w:t>
            </w:r>
          </w:p>
        </w:tc>
        <w:tc>
          <w:tcPr>
            <w:tcW w:w="1191" w:type="dxa"/>
            <w:vAlign w:val="center"/>
          </w:tcPr>
          <w:p w14:paraId="7F4F1505" w14:textId="5B1585AA" w:rsidR="00C2417D" w:rsidRPr="0084580D" w:rsidRDefault="00C2417D" w:rsidP="00796F63">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$10.2</w:t>
            </w:r>
          </w:p>
        </w:tc>
      </w:tr>
    </w:tbl>
    <w:p w14:paraId="1C5D3F47" w14:textId="7FE8CBC5" w:rsidR="00DE3AE5" w:rsidRDefault="00DE3AE5" w:rsidP="00C62B61">
      <w:pPr>
        <w:spacing w:before="120" w:after="150"/>
        <w:rPr>
          <w:rFonts w:cs="Arial"/>
          <w:sz w:val="18"/>
          <w:szCs w:val="18"/>
        </w:rPr>
      </w:pPr>
      <w:r w:rsidRPr="008147F0">
        <w:rPr>
          <w:rFonts w:cs="Arial"/>
          <w:sz w:val="18"/>
          <w:szCs w:val="18"/>
        </w:rPr>
        <w:t>The measure provides that products containing codeine will not be able to be sold over the counter in pharmacies, making such products available on prescription only. The change commences on 1 February 2018. To achieve best practice a more informative analysis of the costs and benefits of all the options was required.</w:t>
      </w:r>
    </w:p>
    <w:tbl>
      <w:tblPr>
        <w:tblW w:w="10065" w:type="dxa"/>
        <w:tblInd w:w="-142" w:type="dxa"/>
        <w:tblLayout w:type="fixed"/>
        <w:tblCellMar>
          <w:left w:w="0" w:type="dxa"/>
          <w:right w:w="0" w:type="dxa"/>
        </w:tblCellMar>
        <w:tblLook w:val="0000" w:firstRow="0" w:lastRow="0" w:firstColumn="0" w:lastColumn="0" w:noHBand="0" w:noVBand="0"/>
        <w:tblCaption w:val="Government Response to the Review of Medicines and Medical Devices"/>
        <w:tblDescription w:val="Government Response to the Review of Medicines and Medical Devices Regulation: Compliant, Best practice, No PIR required. Regulatory Burden: -$75.0m."/>
      </w:tblPr>
      <w:tblGrid>
        <w:gridCol w:w="5420"/>
        <w:gridCol w:w="1245"/>
        <w:gridCol w:w="1105"/>
        <w:gridCol w:w="1104"/>
        <w:gridCol w:w="1191"/>
      </w:tblGrid>
      <w:tr w:rsidR="00173754" w:rsidRPr="00231D94" w14:paraId="3FF246E8" w14:textId="77777777" w:rsidTr="00173754">
        <w:trPr>
          <w:tblHeader/>
        </w:trPr>
        <w:tc>
          <w:tcPr>
            <w:tcW w:w="5420" w:type="dxa"/>
            <w:shd w:val="clear" w:color="auto" w:fill="F4973F"/>
            <w:vAlign w:val="center"/>
          </w:tcPr>
          <w:p w14:paraId="2461B94C" w14:textId="02EF64B1" w:rsidR="00173754" w:rsidRPr="00074ED4" w:rsidRDefault="00173754" w:rsidP="006E5A19">
            <w:pPr>
              <w:widowControl w:val="0"/>
              <w:kinsoku w:val="0"/>
              <w:overflowPunct w:val="0"/>
              <w:autoSpaceDE w:val="0"/>
              <w:autoSpaceDN w:val="0"/>
              <w:adjustRightInd w:val="0"/>
              <w:spacing w:beforeLines="40" w:before="96" w:afterLines="30" w:after="72"/>
              <w:ind w:left="85"/>
              <w:rPr>
                <w:rFonts w:eastAsia="MS Mincho" w:cs="Arial"/>
                <w:color w:val="FFFFFF"/>
                <w:w w:val="105"/>
                <w:sz w:val="18"/>
                <w:szCs w:val="18"/>
              </w:rPr>
            </w:pPr>
            <w:r w:rsidRPr="00231D94">
              <w:rPr>
                <w:rFonts w:eastAsia="MS Mincho" w:cs="Arial"/>
                <w:color w:val="FFFFFF"/>
                <w:w w:val="105"/>
                <w:sz w:val="18"/>
                <w:szCs w:val="18"/>
                <w:lang w:eastAsia="en-AU"/>
              </w:rPr>
              <w:t>Proposal</w:t>
            </w:r>
          </w:p>
        </w:tc>
        <w:tc>
          <w:tcPr>
            <w:tcW w:w="1245" w:type="dxa"/>
            <w:shd w:val="clear" w:color="auto" w:fill="F4973F"/>
            <w:vAlign w:val="center"/>
          </w:tcPr>
          <w:p w14:paraId="540E50CE" w14:textId="34F68550" w:rsidR="00173754" w:rsidRPr="00231D94" w:rsidRDefault="00173754" w:rsidP="006E5A19">
            <w:pPr>
              <w:widowControl w:val="0"/>
              <w:kinsoku w:val="0"/>
              <w:overflowPunct w:val="0"/>
              <w:autoSpaceDE w:val="0"/>
              <w:autoSpaceDN w:val="0"/>
              <w:adjustRightInd w:val="0"/>
              <w:spacing w:beforeLines="40" w:before="96" w:afterLines="30" w:after="72"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RIS Status</w:t>
            </w:r>
          </w:p>
        </w:tc>
        <w:tc>
          <w:tcPr>
            <w:tcW w:w="1105" w:type="dxa"/>
            <w:shd w:val="clear" w:color="auto" w:fill="F4973F"/>
            <w:vAlign w:val="center"/>
          </w:tcPr>
          <w:p w14:paraId="443ED184" w14:textId="70650B94" w:rsidR="00173754" w:rsidRPr="00231D94" w:rsidRDefault="00173754" w:rsidP="006E5A19">
            <w:pPr>
              <w:widowControl w:val="0"/>
              <w:kinsoku w:val="0"/>
              <w:overflowPunct w:val="0"/>
              <w:autoSpaceDE w:val="0"/>
              <w:autoSpaceDN w:val="0"/>
              <w:adjustRightInd w:val="0"/>
              <w:spacing w:beforeLines="40" w:before="96" w:afterLines="30" w:after="72"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Best </w:t>
            </w:r>
            <w:r w:rsidRPr="00231D94">
              <w:rPr>
                <w:rFonts w:eastAsia="MS Mincho" w:cs="Arial"/>
                <w:color w:val="FFFFFF"/>
                <w:w w:val="105"/>
                <w:sz w:val="18"/>
                <w:szCs w:val="18"/>
                <w:lang w:eastAsia="en-AU"/>
              </w:rPr>
              <w:br/>
              <w:t>practice</w:t>
            </w:r>
          </w:p>
        </w:tc>
        <w:tc>
          <w:tcPr>
            <w:tcW w:w="1104" w:type="dxa"/>
            <w:shd w:val="clear" w:color="auto" w:fill="F4973F"/>
            <w:vAlign w:val="center"/>
          </w:tcPr>
          <w:p w14:paraId="38F89743" w14:textId="6F7A227A" w:rsidR="00173754" w:rsidRPr="00231D94" w:rsidRDefault="00173754" w:rsidP="006E5A19">
            <w:pPr>
              <w:widowControl w:val="0"/>
              <w:kinsoku w:val="0"/>
              <w:overflowPunct w:val="0"/>
              <w:autoSpaceDE w:val="0"/>
              <w:autoSpaceDN w:val="0"/>
              <w:adjustRightInd w:val="0"/>
              <w:spacing w:beforeLines="40" w:before="96" w:afterLines="30" w:after="72"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 xml:space="preserve">PIR </w:t>
            </w:r>
            <w:r w:rsidRPr="00231D94">
              <w:rPr>
                <w:rFonts w:eastAsia="MS Mincho" w:cs="Arial"/>
                <w:color w:val="FFFFFF"/>
                <w:w w:val="105"/>
                <w:sz w:val="18"/>
                <w:szCs w:val="18"/>
                <w:lang w:eastAsia="en-AU"/>
              </w:rPr>
              <w:br/>
              <w:t>required</w:t>
            </w:r>
          </w:p>
        </w:tc>
        <w:tc>
          <w:tcPr>
            <w:tcW w:w="1191" w:type="dxa"/>
            <w:shd w:val="clear" w:color="auto" w:fill="F4973F"/>
            <w:vAlign w:val="center"/>
          </w:tcPr>
          <w:p w14:paraId="33CFA4CE" w14:textId="3B8989F2" w:rsidR="00173754" w:rsidRPr="00231D94" w:rsidRDefault="00173754" w:rsidP="006E5A19">
            <w:pPr>
              <w:widowControl w:val="0"/>
              <w:kinsoku w:val="0"/>
              <w:overflowPunct w:val="0"/>
              <w:autoSpaceDE w:val="0"/>
              <w:autoSpaceDN w:val="0"/>
              <w:adjustRightInd w:val="0"/>
              <w:spacing w:beforeLines="40" w:before="96" w:afterLines="30" w:after="72" w:line="240" w:lineRule="auto"/>
              <w:jc w:val="center"/>
              <w:rPr>
                <w:rFonts w:eastAsia="MS Mincho" w:cs="Arial"/>
                <w:color w:val="FFFFFF"/>
                <w:w w:val="105"/>
                <w:sz w:val="18"/>
                <w:szCs w:val="18"/>
                <w:lang w:eastAsia="en-AU"/>
              </w:rPr>
            </w:pPr>
            <w:r w:rsidRPr="00231D94">
              <w:rPr>
                <w:rFonts w:eastAsia="MS Mincho" w:cs="Arial"/>
                <w:color w:val="FFFFFF"/>
                <w:w w:val="105"/>
                <w:sz w:val="18"/>
                <w:szCs w:val="18"/>
                <w:lang w:eastAsia="en-AU"/>
              </w:rPr>
              <w:t>Regulatory Burden ($m)</w:t>
            </w:r>
          </w:p>
        </w:tc>
      </w:tr>
      <w:tr w:rsidR="00173754" w:rsidRPr="00FF15A9" w14:paraId="3BC799A8" w14:textId="77777777" w:rsidTr="00173754">
        <w:trPr>
          <w:trHeight w:hRule="exact" w:val="735"/>
        </w:trPr>
        <w:tc>
          <w:tcPr>
            <w:tcW w:w="5420" w:type="dxa"/>
            <w:shd w:val="clear" w:color="auto" w:fill="auto"/>
            <w:vAlign w:val="center"/>
          </w:tcPr>
          <w:p w14:paraId="27AC31B0" w14:textId="06134EBA" w:rsidR="00173754" w:rsidRPr="008147F0" w:rsidRDefault="00173754" w:rsidP="00173754">
            <w:pPr>
              <w:widowControl w:val="0"/>
              <w:kinsoku w:val="0"/>
              <w:overflowPunct w:val="0"/>
              <w:autoSpaceDE w:val="0"/>
              <w:autoSpaceDN w:val="0"/>
              <w:adjustRightInd w:val="0"/>
              <w:spacing w:after="0" w:line="254" w:lineRule="auto"/>
              <w:ind w:left="170" w:right="102"/>
              <w:rPr>
                <w:rFonts w:cs="Arial"/>
                <w:sz w:val="18"/>
                <w:szCs w:val="18"/>
              </w:rPr>
            </w:pPr>
            <w:r w:rsidRPr="006C34C6">
              <w:rPr>
                <w:rFonts w:eastAsia="MS Mincho" w:cs="Arial"/>
                <w:spacing w:val="-3"/>
                <w:sz w:val="18"/>
                <w:szCs w:val="18"/>
              </w:rPr>
              <w:t>Government Response to the Review of Medicines and Medical Devices Regulation – Independent Review</w:t>
            </w:r>
          </w:p>
        </w:tc>
        <w:tc>
          <w:tcPr>
            <w:tcW w:w="1245" w:type="dxa"/>
            <w:shd w:val="clear" w:color="auto" w:fill="auto"/>
            <w:vAlign w:val="center"/>
          </w:tcPr>
          <w:p w14:paraId="13FAEDE7" w14:textId="738EBE2F" w:rsidR="00173754" w:rsidRPr="00FF15A9" w:rsidRDefault="00173754" w:rsidP="00173754">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Pr>
                <w:rFonts w:eastAsia="MS Mincho" w:cs="Arial"/>
                <w:spacing w:val="-2"/>
                <w:w w:val="90"/>
                <w:sz w:val="18"/>
                <w:szCs w:val="18"/>
                <w:lang w:eastAsia="en-AU"/>
              </w:rPr>
              <w:t>Compliant</w:t>
            </w:r>
          </w:p>
        </w:tc>
        <w:tc>
          <w:tcPr>
            <w:tcW w:w="1105" w:type="dxa"/>
            <w:shd w:val="clear" w:color="auto" w:fill="auto"/>
            <w:vAlign w:val="center"/>
          </w:tcPr>
          <w:p w14:paraId="1C857CE7" w14:textId="3C20DC0F" w:rsidR="00173754" w:rsidRPr="00AD7705" w:rsidRDefault="00173754" w:rsidP="00173754">
            <w:pPr>
              <w:widowControl w:val="0"/>
              <w:kinsoku w:val="0"/>
              <w:overflowPunct w:val="0"/>
              <w:autoSpaceDE w:val="0"/>
              <w:autoSpaceDN w:val="0"/>
              <w:adjustRightInd w:val="0"/>
              <w:spacing w:before="54" w:after="0" w:line="240" w:lineRule="auto"/>
              <w:jc w:val="center"/>
              <w:rPr>
                <w:rFonts w:eastAsia="MS Mincho" w:cs="Arial"/>
                <w:w w:val="85"/>
                <w:sz w:val="18"/>
                <w:szCs w:val="18"/>
                <w:vertAlign w:val="superscript"/>
                <w:lang w:eastAsia="en-AU"/>
              </w:rPr>
            </w:pPr>
            <w:r w:rsidRPr="00FF15A9">
              <w:rPr>
                <w:rFonts w:eastAsia="MS Mincho" w:cs="Arial"/>
                <w:spacing w:val="-3"/>
                <w:sz w:val="18"/>
                <w:szCs w:val="18"/>
                <w:lang w:eastAsia="en-AU"/>
              </w:rPr>
              <w:t>Yes</w:t>
            </w:r>
          </w:p>
        </w:tc>
        <w:tc>
          <w:tcPr>
            <w:tcW w:w="1104" w:type="dxa"/>
            <w:shd w:val="clear" w:color="auto" w:fill="auto"/>
            <w:vAlign w:val="center"/>
          </w:tcPr>
          <w:p w14:paraId="4815766B" w14:textId="77777777" w:rsidR="00173754" w:rsidRPr="00FF15A9" w:rsidRDefault="00173754" w:rsidP="00173754">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FF15A9">
              <w:rPr>
                <w:rFonts w:eastAsia="MS Mincho" w:cs="Arial"/>
                <w:spacing w:val="-3"/>
                <w:sz w:val="18"/>
                <w:szCs w:val="18"/>
                <w:lang w:eastAsia="en-AU"/>
              </w:rPr>
              <w:t>No</w:t>
            </w:r>
          </w:p>
        </w:tc>
        <w:tc>
          <w:tcPr>
            <w:tcW w:w="1191" w:type="dxa"/>
            <w:vAlign w:val="center"/>
          </w:tcPr>
          <w:p w14:paraId="7A6CD22A" w14:textId="0033CF7A" w:rsidR="00173754" w:rsidRPr="00FF15A9" w:rsidRDefault="00173754" w:rsidP="00173754">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FF15A9">
              <w:rPr>
                <w:rFonts w:eastAsia="MS Mincho" w:cs="Arial"/>
                <w:spacing w:val="-3"/>
                <w:sz w:val="18"/>
                <w:szCs w:val="18"/>
                <w:lang w:eastAsia="en-AU"/>
              </w:rPr>
              <w:t>-$75.0</w:t>
            </w:r>
          </w:p>
        </w:tc>
      </w:tr>
    </w:tbl>
    <w:p w14:paraId="374D91D1" w14:textId="77777777" w:rsidR="00B40E23" w:rsidRDefault="00DE3AE5" w:rsidP="006E5A19">
      <w:pPr>
        <w:spacing w:before="120" w:after="150"/>
        <w:rPr>
          <w:rFonts w:cs="Arial"/>
          <w:sz w:val="18"/>
          <w:szCs w:val="18"/>
        </w:rPr>
      </w:pPr>
      <w:bookmarkStart w:id="286" w:name="_Toc428187311"/>
      <w:r w:rsidRPr="006C34C6">
        <w:rPr>
          <w:rFonts w:cs="Arial"/>
          <w:sz w:val="18"/>
          <w:szCs w:val="18"/>
        </w:rPr>
        <w:t>Reforms to regulation of medicine and medical devices based on recommendations from the Independent Review of Medicines and Medical Devices Regulation. The Department of Health certified an independent review in lieu of a RIS.</w:t>
      </w:r>
      <w:r w:rsidR="0050744B">
        <w:rPr>
          <w:rFonts w:cs="Arial"/>
          <w:sz w:val="18"/>
          <w:szCs w:val="18"/>
        </w:rPr>
        <w:t xml:space="preserve"> </w:t>
      </w:r>
      <w:r w:rsidRPr="006C34C6">
        <w:rPr>
          <w:rFonts w:cs="Arial"/>
          <w:sz w:val="18"/>
          <w:szCs w:val="18"/>
        </w:rPr>
        <w:t xml:space="preserve"> </w:t>
      </w:r>
      <w:r w:rsidR="0050744B" w:rsidRPr="0050744B">
        <w:rPr>
          <w:rFonts w:cs="Arial"/>
          <w:sz w:val="18"/>
          <w:szCs w:val="18"/>
        </w:rPr>
        <w:t>The OBPR does not assess the adequacy of the content of an independent review used in lieu of a RIS.</w:t>
      </w:r>
      <w:r w:rsidR="00C426D7">
        <w:rPr>
          <w:rFonts w:cs="Arial"/>
          <w:sz w:val="18"/>
          <w:szCs w:val="18"/>
        </w:rPr>
        <w:t xml:space="preserve"> </w:t>
      </w:r>
    </w:p>
    <w:p w14:paraId="674F4B97" w14:textId="77777777" w:rsidR="00B40E23" w:rsidRDefault="00B40E23">
      <w:pPr>
        <w:spacing w:after="0" w:line="240" w:lineRule="auto"/>
        <w:rPr>
          <w:rFonts w:cs="Arial"/>
          <w:sz w:val="18"/>
          <w:szCs w:val="18"/>
        </w:rPr>
      </w:pPr>
      <w:r>
        <w:rPr>
          <w:rFonts w:cs="Arial"/>
          <w:sz w:val="18"/>
          <w:szCs w:val="18"/>
        </w:rPr>
        <w:br w:type="page"/>
      </w:r>
    </w:p>
    <w:p w14:paraId="73717CE3" w14:textId="4F72B1AD" w:rsidR="008300E2" w:rsidRPr="00392B2D" w:rsidRDefault="008300E2" w:rsidP="003E6252">
      <w:pPr>
        <w:pStyle w:val="Heading3"/>
      </w:pPr>
      <w:bookmarkStart w:id="287" w:name="_Toc5375758"/>
      <w:r w:rsidRPr="00392B2D">
        <w:t>Department</w:t>
      </w:r>
      <w:bookmarkEnd w:id="286"/>
      <w:r>
        <w:t xml:space="preserve"> of </w:t>
      </w:r>
      <w:r w:rsidR="002F4EAD">
        <w:t>Immigration and Border Control</w:t>
      </w:r>
      <w:bookmarkEnd w:id="287"/>
    </w:p>
    <w:tbl>
      <w:tblPr>
        <w:tblW w:w="10065" w:type="dxa"/>
        <w:tblInd w:w="-142" w:type="dxa"/>
        <w:tblLayout w:type="fixed"/>
        <w:tblCellMar>
          <w:left w:w="0" w:type="dxa"/>
          <w:right w:w="0" w:type="dxa"/>
        </w:tblCellMar>
        <w:tblLook w:val="0000" w:firstRow="0" w:lastRow="0" w:firstColumn="0" w:lastColumn="0" w:noHBand="0" w:noVBand="0"/>
        <w:tblCaption w:val="Abolition and replacement of 457 visas "/>
        <w:tblDescription w:val="Abolition and replacement of 457 visas : Compliant, Not best practice, No PIR required. Regulatory Burden: $1.2m."/>
      </w:tblPr>
      <w:tblGrid>
        <w:gridCol w:w="5420"/>
        <w:gridCol w:w="1245"/>
        <w:gridCol w:w="1105"/>
        <w:gridCol w:w="1104"/>
        <w:gridCol w:w="1191"/>
      </w:tblGrid>
      <w:tr w:rsidR="008300E2" w:rsidRPr="00392B2D" w14:paraId="1804F77E" w14:textId="77777777" w:rsidTr="00173754">
        <w:trPr>
          <w:tblHeader/>
        </w:trPr>
        <w:tc>
          <w:tcPr>
            <w:tcW w:w="5420" w:type="dxa"/>
            <w:shd w:val="clear" w:color="auto" w:fill="F4973F"/>
            <w:vAlign w:val="center"/>
          </w:tcPr>
          <w:p w14:paraId="63D10E6B" w14:textId="77777777" w:rsidR="008300E2" w:rsidRPr="00392B2D" w:rsidRDefault="008300E2" w:rsidP="006E5A19">
            <w:pPr>
              <w:widowControl w:val="0"/>
              <w:kinsoku w:val="0"/>
              <w:overflowPunct w:val="0"/>
              <w:autoSpaceDE w:val="0"/>
              <w:autoSpaceDN w:val="0"/>
              <w:adjustRightInd w:val="0"/>
              <w:spacing w:beforeLines="30" w:before="72" w:after="60" w:line="240" w:lineRule="auto"/>
              <w:ind w:left="85"/>
              <w:rPr>
                <w:rFonts w:ascii="Times New Roman" w:eastAsia="MS Mincho" w:hAnsi="Times New Roman"/>
                <w:sz w:val="24"/>
                <w:lang w:eastAsia="en-AU"/>
              </w:rPr>
            </w:pPr>
            <w:r w:rsidRPr="00392B2D">
              <w:rPr>
                <w:rFonts w:eastAsia="MS Mincho" w:cs="Arial"/>
                <w:color w:val="FFFFFF"/>
                <w:w w:val="105"/>
                <w:sz w:val="18"/>
                <w:szCs w:val="18"/>
                <w:lang w:eastAsia="en-AU"/>
              </w:rPr>
              <w:t>Proposal</w:t>
            </w:r>
          </w:p>
        </w:tc>
        <w:tc>
          <w:tcPr>
            <w:tcW w:w="1245" w:type="dxa"/>
            <w:shd w:val="clear" w:color="auto" w:fill="F4973F"/>
            <w:vAlign w:val="center"/>
          </w:tcPr>
          <w:p w14:paraId="662305BF" w14:textId="77777777" w:rsidR="008300E2" w:rsidRPr="00392B2D" w:rsidRDefault="008300E2" w:rsidP="006E5A19">
            <w:pPr>
              <w:widowControl w:val="0"/>
              <w:kinsoku w:val="0"/>
              <w:overflowPunct w:val="0"/>
              <w:autoSpaceDE w:val="0"/>
              <w:autoSpaceDN w:val="0"/>
              <w:adjustRightInd w:val="0"/>
              <w:spacing w:beforeLines="30" w:before="72" w:after="60" w:line="240" w:lineRule="auto"/>
              <w:jc w:val="center"/>
              <w:rPr>
                <w:rFonts w:ascii="Times New Roman" w:eastAsia="MS Mincho" w:hAnsi="Times New Roman"/>
                <w:sz w:val="24"/>
                <w:lang w:eastAsia="en-AU"/>
              </w:rPr>
            </w:pPr>
            <w:r w:rsidRPr="00392B2D">
              <w:rPr>
                <w:rFonts w:eastAsia="MS Mincho" w:cs="Arial"/>
                <w:color w:val="FFFFFF"/>
                <w:w w:val="105"/>
                <w:sz w:val="18"/>
                <w:szCs w:val="18"/>
                <w:lang w:eastAsia="en-AU"/>
              </w:rPr>
              <w:t>RIS Status</w:t>
            </w:r>
          </w:p>
        </w:tc>
        <w:tc>
          <w:tcPr>
            <w:tcW w:w="1105" w:type="dxa"/>
            <w:shd w:val="clear" w:color="auto" w:fill="F4973F"/>
            <w:vAlign w:val="center"/>
          </w:tcPr>
          <w:p w14:paraId="68A05949" w14:textId="77777777" w:rsidR="008300E2" w:rsidRPr="00392B2D" w:rsidRDefault="008300E2" w:rsidP="006E5A19">
            <w:pPr>
              <w:widowControl w:val="0"/>
              <w:kinsoku w:val="0"/>
              <w:overflowPunct w:val="0"/>
              <w:autoSpaceDE w:val="0"/>
              <w:autoSpaceDN w:val="0"/>
              <w:adjustRightInd w:val="0"/>
              <w:spacing w:beforeLines="30" w:before="72" w:after="60" w:line="240" w:lineRule="auto"/>
              <w:jc w:val="center"/>
              <w:rPr>
                <w:rFonts w:eastAsia="MS Mincho" w:cs="Arial"/>
                <w:color w:val="FFFFFF"/>
                <w:w w:val="105"/>
                <w:sz w:val="18"/>
                <w:szCs w:val="18"/>
                <w:lang w:eastAsia="en-AU"/>
              </w:rPr>
            </w:pPr>
            <w:r w:rsidRPr="00392B2D">
              <w:rPr>
                <w:rFonts w:eastAsia="MS Mincho" w:cs="Arial"/>
                <w:color w:val="FFFFFF"/>
                <w:w w:val="105"/>
                <w:sz w:val="18"/>
                <w:szCs w:val="18"/>
                <w:lang w:eastAsia="en-AU"/>
              </w:rPr>
              <w:t xml:space="preserve">Best </w:t>
            </w:r>
            <w:r w:rsidRPr="00392B2D">
              <w:rPr>
                <w:rFonts w:eastAsia="MS Mincho" w:cs="Arial"/>
                <w:color w:val="FFFFFF"/>
                <w:w w:val="105"/>
                <w:sz w:val="18"/>
                <w:szCs w:val="18"/>
                <w:lang w:eastAsia="en-AU"/>
              </w:rPr>
              <w:br/>
              <w:t>practice</w:t>
            </w:r>
          </w:p>
        </w:tc>
        <w:tc>
          <w:tcPr>
            <w:tcW w:w="1104" w:type="dxa"/>
            <w:shd w:val="clear" w:color="auto" w:fill="F4973F"/>
            <w:vAlign w:val="center"/>
          </w:tcPr>
          <w:p w14:paraId="6A8E2ABF" w14:textId="77777777" w:rsidR="008300E2" w:rsidRPr="00392B2D" w:rsidRDefault="008300E2" w:rsidP="006E5A19">
            <w:pPr>
              <w:widowControl w:val="0"/>
              <w:kinsoku w:val="0"/>
              <w:overflowPunct w:val="0"/>
              <w:autoSpaceDE w:val="0"/>
              <w:autoSpaceDN w:val="0"/>
              <w:adjustRightInd w:val="0"/>
              <w:spacing w:beforeLines="30" w:before="72" w:after="60" w:line="240" w:lineRule="auto"/>
              <w:jc w:val="center"/>
              <w:rPr>
                <w:rFonts w:ascii="Times New Roman" w:eastAsia="MS Mincho" w:hAnsi="Times New Roman"/>
                <w:sz w:val="24"/>
                <w:lang w:eastAsia="en-AU"/>
              </w:rPr>
            </w:pPr>
            <w:r w:rsidRPr="00392B2D">
              <w:rPr>
                <w:rFonts w:eastAsia="MS Mincho" w:cs="Arial"/>
                <w:color w:val="FFFFFF"/>
                <w:w w:val="105"/>
                <w:sz w:val="18"/>
                <w:szCs w:val="18"/>
                <w:lang w:eastAsia="en-AU"/>
              </w:rPr>
              <w:t xml:space="preserve">PIR </w:t>
            </w:r>
            <w:r w:rsidRPr="00392B2D">
              <w:rPr>
                <w:rFonts w:eastAsia="MS Mincho" w:cs="Arial"/>
                <w:color w:val="FFFFFF"/>
                <w:w w:val="105"/>
                <w:sz w:val="18"/>
                <w:szCs w:val="18"/>
                <w:lang w:eastAsia="en-AU"/>
              </w:rPr>
              <w:br/>
              <w:t>required</w:t>
            </w:r>
          </w:p>
        </w:tc>
        <w:tc>
          <w:tcPr>
            <w:tcW w:w="1191" w:type="dxa"/>
            <w:shd w:val="clear" w:color="auto" w:fill="F4973F"/>
            <w:vAlign w:val="center"/>
          </w:tcPr>
          <w:p w14:paraId="6B0ACA6F" w14:textId="77777777" w:rsidR="008300E2" w:rsidRPr="00392B2D" w:rsidRDefault="008300E2" w:rsidP="006E5A19">
            <w:pPr>
              <w:widowControl w:val="0"/>
              <w:kinsoku w:val="0"/>
              <w:overflowPunct w:val="0"/>
              <w:autoSpaceDE w:val="0"/>
              <w:autoSpaceDN w:val="0"/>
              <w:adjustRightInd w:val="0"/>
              <w:spacing w:beforeLines="30" w:before="72" w:after="60" w:line="240" w:lineRule="auto"/>
              <w:jc w:val="center"/>
              <w:rPr>
                <w:rFonts w:eastAsia="MS Mincho" w:cs="Arial"/>
                <w:color w:val="FFFFFF"/>
                <w:w w:val="105"/>
                <w:sz w:val="18"/>
                <w:szCs w:val="18"/>
                <w:lang w:eastAsia="en-AU"/>
              </w:rPr>
            </w:pPr>
            <w:r w:rsidRPr="00392B2D">
              <w:rPr>
                <w:rFonts w:eastAsia="MS Mincho" w:cs="Arial"/>
                <w:color w:val="FFFFFF"/>
                <w:w w:val="105"/>
                <w:sz w:val="18"/>
                <w:szCs w:val="18"/>
                <w:lang w:eastAsia="en-AU"/>
              </w:rPr>
              <w:t>Regulatory Burden ($m)</w:t>
            </w:r>
          </w:p>
        </w:tc>
      </w:tr>
      <w:tr w:rsidR="008300E2" w:rsidRPr="00392B2D" w14:paraId="14B61B39" w14:textId="77777777" w:rsidTr="00C62B61">
        <w:trPr>
          <w:trHeight w:hRule="exact" w:val="510"/>
        </w:trPr>
        <w:tc>
          <w:tcPr>
            <w:tcW w:w="5420" w:type="dxa"/>
            <w:shd w:val="clear" w:color="auto" w:fill="auto"/>
            <w:vAlign w:val="center"/>
          </w:tcPr>
          <w:p w14:paraId="1197574C" w14:textId="35FCA4F9" w:rsidR="008300E2" w:rsidRPr="00392B2D" w:rsidRDefault="002F4EAD"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Abolition and replacement of 457 visas</w:t>
            </w:r>
            <w:r w:rsidR="008300E2">
              <w:rPr>
                <w:rFonts w:eastAsia="MS Mincho" w:cs="Arial"/>
                <w:spacing w:val="-3"/>
                <w:sz w:val="18"/>
                <w:szCs w:val="18"/>
                <w:lang w:eastAsia="en-AU"/>
              </w:rPr>
              <w:t xml:space="preserve"> </w:t>
            </w:r>
          </w:p>
        </w:tc>
        <w:tc>
          <w:tcPr>
            <w:tcW w:w="1245" w:type="dxa"/>
            <w:shd w:val="clear" w:color="auto" w:fill="auto"/>
            <w:vAlign w:val="center"/>
          </w:tcPr>
          <w:p w14:paraId="75FCACC3" w14:textId="77777777" w:rsidR="008300E2" w:rsidRPr="00392B2D" w:rsidRDefault="008300E2" w:rsidP="00C23529">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392B2D">
              <w:rPr>
                <w:rFonts w:eastAsia="MS Mincho" w:cs="Arial"/>
                <w:spacing w:val="-3"/>
                <w:sz w:val="18"/>
                <w:szCs w:val="18"/>
                <w:lang w:eastAsia="en-AU"/>
              </w:rPr>
              <w:t>Compliant</w:t>
            </w:r>
          </w:p>
        </w:tc>
        <w:tc>
          <w:tcPr>
            <w:tcW w:w="1105" w:type="dxa"/>
            <w:shd w:val="clear" w:color="auto" w:fill="auto"/>
            <w:vAlign w:val="center"/>
          </w:tcPr>
          <w:p w14:paraId="797CB0D8" w14:textId="0C208360" w:rsidR="008300E2" w:rsidRPr="00392B2D" w:rsidRDefault="002F4EAD" w:rsidP="00C2352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BA7893">
              <w:rPr>
                <w:rFonts w:eastAsia="MS Mincho" w:cs="Arial"/>
                <w:spacing w:val="-3"/>
                <w:sz w:val="18"/>
                <w:szCs w:val="18"/>
                <w:lang w:eastAsia="en-AU"/>
              </w:rPr>
              <w:t>No</w:t>
            </w:r>
          </w:p>
        </w:tc>
        <w:tc>
          <w:tcPr>
            <w:tcW w:w="1104" w:type="dxa"/>
            <w:shd w:val="clear" w:color="auto" w:fill="auto"/>
            <w:vAlign w:val="center"/>
          </w:tcPr>
          <w:p w14:paraId="3F993FFC" w14:textId="77777777" w:rsidR="008300E2" w:rsidRPr="00392B2D" w:rsidRDefault="008300E2" w:rsidP="00C23529">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392B2D">
              <w:rPr>
                <w:rFonts w:eastAsia="MS Mincho" w:cs="Arial"/>
                <w:spacing w:val="-3"/>
                <w:sz w:val="18"/>
                <w:szCs w:val="18"/>
                <w:lang w:eastAsia="en-AU"/>
              </w:rPr>
              <w:t>No</w:t>
            </w:r>
          </w:p>
        </w:tc>
        <w:tc>
          <w:tcPr>
            <w:tcW w:w="1191" w:type="dxa"/>
            <w:vAlign w:val="center"/>
          </w:tcPr>
          <w:p w14:paraId="75388793" w14:textId="6A684DF6" w:rsidR="008300E2" w:rsidRPr="00392B2D" w:rsidRDefault="00296042">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w:t>
            </w:r>
            <w:r w:rsidR="002F4EAD">
              <w:rPr>
                <w:rFonts w:eastAsia="MS Mincho" w:cs="Arial"/>
                <w:spacing w:val="-3"/>
                <w:sz w:val="18"/>
                <w:szCs w:val="18"/>
                <w:lang w:eastAsia="en-AU"/>
              </w:rPr>
              <w:t>$1.2</w:t>
            </w:r>
          </w:p>
        </w:tc>
      </w:tr>
    </w:tbl>
    <w:p w14:paraId="105B99F7" w14:textId="485F507F" w:rsidR="00DE3AE5" w:rsidRPr="006C34C6" w:rsidRDefault="00714FA8" w:rsidP="00C62B61">
      <w:pPr>
        <w:spacing w:before="120" w:after="150"/>
        <w:rPr>
          <w:rFonts w:cs="Arial"/>
          <w:sz w:val="18"/>
          <w:szCs w:val="18"/>
        </w:rPr>
      </w:pPr>
      <w:r w:rsidRPr="006C34C6">
        <w:rPr>
          <w:rFonts w:cs="Arial"/>
          <w:sz w:val="18"/>
          <w:szCs w:val="18"/>
        </w:rPr>
        <w:t>The Government announced t</w:t>
      </w:r>
      <w:r w:rsidR="002F4EAD" w:rsidRPr="006C34C6">
        <w:rPr>
          <w:rFonts w:cs="Arial"/>
          <w:sz w:val="18"/>
          <w:szCs w:val="18"/>
        </w:rPr>
        <w:t>he replacement of the 457 visa with a Temporary Skill Shortage visa for short and medium to long term skill shortages.</w:t>
      </w:r>
      <w:r w:rsidR="003B31A9" w:rsidRPr="006C34C6">
        <w:rPr>
          <w:rFonts w:cs="Arial"/>
          <w:sz w:val="18"/>
          <w:szCs w:val="18"/>
        </w:rPr>
        <w:t xml:space="preserve"> </w:t>
      </w:r>
      <w:r w:rsidR="00AE6D03" w:rsidRPr="006C34C6">
        <w:rPr>
          <w:rFonts w:cs="Arial"/>
          <w:sz w:val="18"/>
          <w:szCs w:val="18"/>
        </w:rPr>
        <w:t>The RIS was</w:t>
      </w:r>
      <w:r w:rsidR="005D309B" w:rsidRPr="006C34C6">
        <w:rPr>
          <w:rFonts w:cs="Arial"/>
          <w:sz w:val="18"/>
          <w:szCs w:val="18"/>
        </w:rPr>
        <w:t xml:space="preserve"> assessed as compliant and not</w:t>
      </w:r>
      <w:r w:rsidR="00AE6D03" w:rsidRPr="006C34C6">
        <w:rPr>
          <w:rFonts w:cs="Arial"/>
          <w:sz w:val="18"/>
          <w:szCs w:val="18"/>
        </w:rPr>
        <w:t xml:space="preserve"> </w:t>
      </w:r>
      <w:r w:rsidR="003B31A9" w:rsidRPr="006C34C6">
        <w:rPr>
          <w:rFonts w:cs="Arial"/>
          <w:sz w:val="18"/>
          <w:szCs w:val="18"/>
        </w:rPr>
        <w:t>best practice as the level of analysis in the RIS to inform decision makers was not commensurate with the potential impacts. For example, the longer term impact on the competiveness of Australia’s labour market –while discussed – is not assessed in any detail, in particular the impact of the policy on Australia’s competiveness in attracting and retaining highly skilled or specialised workers.</w:t>
      </w:r>
    </w:p>
    <w:tbl>
      <w:tblPr>
        <w:tblW w:w="10065" w:type="dxa"/>
        <w:tblInd w:w="-142" w:type="dxa"/>
        <w:tblLayout w:type="fixed"/>
        <w:tblCellMar>
          <w:left w:w="0" w:type="dxa"/>
          <w:right w:w="0" w:type="dxa"/>
        </w:tblCellMar>
        <w:tblLook w:val="0000" w:firstRow="0" w:lastRow="0" w:firstColumn="0" w:lastColumn="0" w:noHBand="0" w:noVBand="0"/>
        <w:tblCaption w:val="Management plans for 44 Australian Marine Parks "/>
        <w:tblDescription w:val="Management plans for 44 Australian Marine Parks : Compliant, Best practice, No PIR required. Regulatory Burden: -$0.1m"/>
      </w:tblPr>
      <w:tblGrid>
        <w:gridCol w:w="5420"/>
        <w:gridCol w:w="1245"/>
        <w:gridCol w:w="1105"/>
        <w:gridCol w:w="1104"/>
        <w:gridCol w:w="1191"/>
      </w:tblGrid>
      <w:tr w:rsidR="005C6972" w:rsidRPr="005C6972" w14:paraId="22982A3C" w14:textId="77777777" w:rsidTr="00173754">
        <w:trPr>
          <w:tblHeader/>
        </w:trPr>
        <w:tc>
          <w:tcPr>
            <w:tcW w:w="5420" w:type="dxa"/>
            <w:shd w:val="clear" w:color="auto" w:fill="F4973F"/>
            <w:vAlign w:val="center"/>
          </w:tcPr>
          <w:p w14:paraId="796755B7" w14:textId="77777777" w:rsidR="005C6972" w:rsidRPr="005C6972" w:rsidRDefault="005C6972"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5C6972">
              <w:rPr>
                <w:rFonts w:eastAsia="MS Mincho" w:cs="Arial"/>
                <w:color w:val="FFFFFF"/>
                <w:w w:val="105"/>
                <w:sz w:val="18"/>
                <w:szCs w:val="18"/>
                <w:lang w:eastAsia="en-AU"/>
              </w:rPr>
              <w:t>Proposal</w:t>
            </w:r>
          </w:p>
        </w:tc>
        <w:tc>
          <w:tcPr>
            <w:tcW w:w="1245" w:type="dxa"/>
            <w:shd w:val="clear" w:color="auto" w:fill="F4973F"/>
            <w:vAlign w:val="center"/>
          </w:tcPr>
          <w:p w14:paraId="0C5053FB" w14:textId="77777777" w:rsidR="005C6972" w:rsidRPr="005C6972" w:rsidRDefault="005C6972"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5C6972">
              <w:rPr>
                <w:rFonts w:eastAsia="MS Mincho" w:cs="Arial"/>
                <w:color w:val="FFFFFF"/>
                <w:w w:val="105"/>
                <w:sz w:val="18"/>
                <w:szCs w:val="18"/>
                <w:lang w:eastAsia="en-AU"/>
              </w:rPr>
              <w:t>RIS Status</w:t>
            </w:r>
          </w:p>
        </w:tc>
        <w:tc>
          <w:tcPr>
            <w:tcW w:w="1105" w:type="dxa"/>
            <w:shd w:val="clear" w:color="auto" w:fill="F4973F"/>
            <w:vAlign w:val="center"/>
          </w:tcPr>
          <w:p w14:paraId="00B27976" w14:textId="77777777" w:rsidR="005C6972" w:rsidRPr="005C6972" w:rsidRDefault="005C6972"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5C6972">
              <w:rPr>
                <w:rFonts w:eastAsia="MS Mincho" w:cs="Arial"/>
                <w:color w:val="FFFFFF"/>
                <w:w w:val="105"/>
                <w:sz w:val="18"/>
                <w:szCs w:val="18"/>
                <w:lang w:eastAsia="en-AU"/>
              </w:rPr>
              <w:t xml:space="preserve">Best </w:t>
            </w:r>
            <w:r w:rsidRPr="005C6972">
              <w:rPr>
                <w:rFonts w:eastAsia="MS Mincho" w:cs="Arial"/>
                <w:color w:val="FFFFFF"/>
                <w:w w:val="105"/>
                <w:sz w:val="18"/>
                <w:szCs w:val="18"/>
                <w:lang w:eastAsia="en-AU"/>
              </w:rPr>
              <w:br/>
              <w:t>practice</w:t>
            </w:r>
          </w:p>
        </w:tc>
        <w:tc>
          <w:tcPr>
            <w:tcW w:w="1104" w:type="dxa"/>
            <w:shd w:val="clear" w:color="auto" w:fill="F4973F"/>
            <w:vAlign w:val="center"/>
          </w:tcPr>
          <w:p w14:paraId="59EA5CF6" w14:textId="77777777" w:rsidR="005C6972" w:rsidRPr="005C6972" w:rsidRDefault="005C6972"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5C6972">
              <w:rPr>
                <w:rFonts w:eastAsia="MS Mincho" w:cs="Arial"/>
                <w:color w:val="FFFFFF"/>
                <w:w w:val="105"/>
                <w:sz w:val="18"/>
                <w:szCs w:val="18"/>
                <w:lang w:eastAsia="en-AU"/>
              </w:rPr>
              <w:t xml:space="preserve">PIR </w:t>
            </w:r>
            <w:r w:rsidRPr="005C6972">
              <w:rPr>
                <w:rFonts w:eastAsia="MS Mincho" w:cs="Arial"/>
                <w:color w:val="FFFFFF"/>
                <w:w w:val="105"/>
                <w:sz w:val="18"/>
                <w:szCs w:val="18"/>
                <w:lang w:eastAsia="en-AU"/>
              </w:rPr>
              <w:br/>
              <w:t>required</w:t>
            </w:r>
          </w:p>
        </w:tc>
        <w:tc>
          <w:tcPr>
            <w:tcW w:w="1191" w:type="dxa"/>
            <w:shd w:val="clear" w:color="auto" w:fill="F4973F"/>
            <w:vAlign w:val="center"/>
          </w:tcPr>
          <w:p w14:paraId="0EFD32F2" w14:textId="77777777" w:rsidR="005C6972" w:rsidRPr="005C6972" w:rsidRDefault="005C6972"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5C6972">
              <w:rPr>
                <w:rFonts w:eastAsia="MS Mincho" w:cs="Arial"/>
                <w:color w:val="FFFFFF"/>
                <w:w w:val="105"/>
                <w:sz w:val="18"/>
                <w:szCs w:val="18"/>
                <w:lang w:eastAsia="en-AU"/>
              </w:rPr>
              <w:t>Regulatory Burden ($m)</w:t>
            </w:r>
          </w:p>
        </w:tc>
      </w:tr>
      <w:tr w:rsidR="005C6972" w:rsidRPr="00910F44" w14:paraId="6FC69588" w14:textId="77777777" w:rsidTr="00C62B61">
        <w:trPr>
          <w:trHeight w:hRule="exact" w:val="737"/>
        </w:trPr>
        <w:tc>
          <w:tcPr>
            <w:tcW w:w="5420" w:type="dxa"/>
            <w:shd w:val="clear" w:color="auto" w:fill="auto"/>
            <w:vAlign w:val="center"/>
          </w:tcPr>
          <w:p w14:paraId="4298FBBD" w14:textId="17E03726" w:rsidR="005C6972" w:rsidRPr="00910F44" w:rsidRDefault="005C6972"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sidRPr="00910F44">
              <w:rPr>
                <w:rFonts w:eastAsia="MS Mincho" w:cs="Arial"/>
                <w:spacing w:val="-3"/>
                <w:sz w:val="18"/>
                <w:szCs w:val="18"/>
                <w:lang w:eastAsia="en-AU"/>
              </w:rPr>
              <w:t>Strengthening the Requirements for Australian Citizenship</w:t>
            </w:r>
            <w:r w:rsidR="007C5589" w:rsidRPr="00910F44">
              <w:rPr>
                <w:rFonts w:eastAsia="MS Mincho" w:cs="Arial"/>
                <w:spacing w:val="-3"/>
                <w:sz w:val="18"/>
                <w:szCs w:val="18"/>
                <w:lang w:eastAsia="en-AU"/>
              </w:rPr>
              <w:t xml:space="preserve"> – Independent Review</w:t>
            </w:r>
          </w:p>
        </w:tc>
        <w:tc>
          <w:tcPr>
            <w:tcW w:w="1245" w:type="dxa"/>
            <w:shd w:val="clear" w:color="auto" w:fill="auto"/>
            <w:vAlign w:val="center"/>
          </w:tcPr>
          <w:p w14:paraId="01FE677E" w14:textId="66CEE751" w:rsidR="005C6972" w:rsidRPr="00910F44" w:rsidRDefault="007C5589" w:rsidP="005C6972">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910F44">
              <w:rPr>
                <w:rFonts w:eastAsia="MS Mincho" w:cs="Arial"/>
                <w:spacing w:val="-2"/>
                <w:w w:val="90"/>
                <w:sz w:val="18"/>
                <w:szCs w:val="18"/>
                <w:lang w:eastAsia="en-AU"/>
              </w:rPr>
              <w:t>Compliant</w:t>
            </w:r>
          </w:p>
        </w:tc>
        <w:tc>
          <w:tcPr>
            <w:tcW w:w="1105" w:type="dxa"/>
            <w:shd w:val="clear" w:color="auto" w:fill="auto"/>
            <w:vAlign w:val="center"/>
          </w:tcPr>
          <w:p w14:paraId="17D4FA7C" w14:textId="05FF3EB4" w:rsidR="005C6972" w:rsidRPr="00910F44" w:rsidRDefault="005C6972" w:rsidP="00AD7705">
            <w:pPr>
              <w:widowControl w:val="0"/>
              <w:kinsoku w:val="0"/>
              <w:overflowPunct w:val="0"/>
              <w:autoSpaceDE w:val="0"/>
              <w:autoSpaceDN w:val="0"/>
              <w:adjustRightInd w:val="0"/>
              <w:spacing w:before="54" w:after="0" w:line="240" w:lineRule="auto"/>
              <w:jc w:val="center"/>
              <w:rPr>
                <w:rFonts w:eastAsia="MS Mincho" w:cs="Arial"/>
                <w:spacing w:val="-3"/>
                <w:sz w:val="18"/>
                <w:szCs w:val="18"/>
                <w:vertAlign w:val="superscript"/>
                <w:lang w:eastAsia="en-AU"/>
              </w:rPr>
            </w:pPr>
            <w:r w:rsidRPr="00910F44">
              <w:rPr>
                <w:rFonts w:eastAsia="MS Mincho" w:cs="Arial"/>
                <w:spacing w:val="-3"/>
                <w:sz w:val="18"/>
                <w:szCs w:val="18"/>
                <w:lang w:eastAsia="en-AU"/>
              </w:rPr>
              <w:t>No</w:t>
            </w:r>
          </w:p>
        </w:tc>
        <w:tc>
          <w:tcPr>
            <w:tcW w:w="1104" w:type="dxa"/>
            <w:shd w:val="clear" w:color="auto" w:fill="auto"/>
            <w:vAlign w:val="center"/>
          </w:tcPr>
          <w:p w14:paraId="609A12E1" w14:textId="77777777" w:rsidR="005C6972" w:rsidRPr="00910F44" w:rsidRDefault="005C6972" w:rsidP="005C6972">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910F44">
              <w:rPr>
                <w:rFonts w:eastAsia="MS Mincho" w:cs="Arial"/>
                <w:spacing w:val="-3"/>
                <w:sz w:val="18"/>
                <w:szCs w:val="18"/>
                <w:lang w:eastAsia="en-AU"/>
              </w:rPr>
              <w:t>No</w:t>
            </w:r>
          </w:p>
        </w:tc>
        <w:tc>
          <w:tcPr>
            <w:tcW w:w="1191" w:type="dxa"/>
            <w:vAlign w:val="center"/>
          </w:tcPr>
          <w:p w14:paraId="11D33C8D" w14:textId="77777777" w:rsidR="005C6972" w:rsidRPr="00910F44" w:rsidRDefault="005C6972" w:rsidP="005C6972">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sidRPr="00910F44">
              <w:rPr>
                <w:rFonts w:eastAsia="MS Mincho" w:cs="Arial"/>
                <w:spacing w:val="-3"/>
                <w:sz w:val="18"/>
                <w:szCs w:val="18"/>
                <w:lang w:eastAsia="en-AU"/>
              </w:rPr>
              <w:t>$45.4</w:t>
            </w:r>
          </w:p>
        </w:tc>
      </w:tr>
    </w:tbl>
    <w:p w14:paraId="5B2A5C0C" w14:textId="47AF2770" w:rsidR="002F4EAD" w:rsidRDefault="005C6972" w:rsidP="00C62B61">
      <w:pPr>
        <w:spacing w:before="120" w:after="150"/>
        <w:rPr>
          <w:rFonts w:cs="Arial"/>
          <w:sz w:val="18"/>
          <w:szCs w:val="18"/>
        </w:rPr>
      </w:pPr>
      <w:r w:rsidRPr="00910F44">
        <w:rPr>
          <w:rFonts w:cs="Arial"/>
          <w:sz w:val="18"/>
          <w:szCs w:val="18"/>
        </w:rPr>
        <w:t xml:space="preserve">The proposed changes to the requirement for Australian Citizenship as included in the Australian Citizenship Legislation Amendment (Strengthening the Requirements for Australian Citizenship and Other Measures) Bill. The Department certified the Final Report of the National Consultation on Citizenship entitled Australian Citizenship – Your Right, Your Responsibility as having undertaken a process and analysis equivalent to a </w:t>
      </w:r>
      <w:r w:rsidR="00C62B61">
        <w:rPr>
          <w:rFonts w:cs="Arial"/>
          <w:sz w:val="18"/>
          <w:szCs w:val="18"/>
        </w:rPr>
        <w:t>RIS</w:t>
      </w:r>
      <w:r w:rsidRPr="00910F44">
        <w:rPr>
          <w:rFonts w:cs="Arial"/>
          <w:sz w:val="18"/>
          <w:szCs w:val="18"/>
        </w:rPr>
        <w:t xml:space="preserve">. </w:t>
      </w:r>
      <w:r w:rsidR="0050744B" w:rsidRPr="0050744B">
        <w:rPr>
          <w:rFonts w:cs="Arial"/>
          <w:sz w:val="18"/>
          <w:szCs w:val="18"/>
        </w:rPr>
        <w:t>The OBPR does not assess the adequacy of the content of an independent review used in lieu of a RIS.</w:t>
      </w:r>
      <w:r w:rsidR="00CC2C81">
        <w:rPr>
          <w:rFonts w:cs="Arial"/>
          <w:sz w:val="18"/>
          <w:szCs w:val="18"/>
        </w:rPr>
        <w:t xml:space="preserve"> The review was not </w:t>
      </w:r>
      <w:r w:rsidR="00CC2C81" w:rsidRPr="00CC2C81">
        <w:rPr>
          <w:rFonts w:cs="Arial"/>
          <w:sz w:val="18"/>
          <w:szCs w:val="18"/>
        </w:rPr>
        <w:t xml:space="preserve">consistent with best practice (on transparency grounds) as the Bill did not include the </w:t>
      </w:r>
      <w:r w:rsidR="00F32C53">
        <w:rPr>
          <w:rFonts w:cs="Arial"/>
          <w:sz w:val="18"/>
          <w:szCs w:val="18"/>
        </w:rPr>
        <w:t>review report</w:t>
      </w:r>
      <w:r w:rsidR="00CC2C81" w:rsidRPr="00CC2C81">
        <w:rPr>
          <w:rFonts w:cs="Arial"/>
          <w:sz w:val="18"/>
          <w:szCs w:val="18"/>
        </w:rPr>
        <w:t xml:space="preserve"> in the explanatory memorandum.</w:t>
      </w:r>
    </w:p>
    <w:p w14:paraId="767754F9" w14:textId="77777777" w:rsidR="00B56EED" w:rsidRPr="00392B2D" w:rsidRDefault="00B56EED" w:rsidP="00B56EED">
      <w:pPr>
        <w:pStyle w:val="Heading3"/>
      </w:pPr>
      <w:bookmarkStart w:id="288" w:name="_Toc5375759"/>
      <w:r w:rsidRPr="00392B2D">
        <w:t>Department</w:t>
      </w:r>
      <w:r>
        <w:t xml:space="preserve"> of Industry, Innovation and Science</w:t>
      </w:r>
      <w:bookmarkEnd w:id="288"/>
    </w:p>
    <w:tbl>
      <w:tblPr>
        <w:tblW w:w="10065" w:type="dxa"/>
        <w:tblInd w:w="-142" w:type="dxa"/>
        <w:tblLayout w:type="fixed"/>
        <w:tblCellMar>
          <w:left w:w="0" w:type="dxa"/>
          <w:right w:w="0" w:type="dxa"/>
        </w:tblCellMar>
        <w:tblLook w:val="0000" w:firstRow="0" w:lastRow="0" w:firstColumn="0" w:lastColumn="0" w:noHBand="0" w:noVBand="0"/>
        <w:tblCaption w:val="Abolition and replacement of 457 visas "/>
        <w:tblDescription w:val="Abolition and replacement of 457 visas : Compliant, Not best practice, No PIR required. Regulatory Burden: $1.2m."/>
      </w:tblPr>
      <w:tblGrid>
        <w:gridCol w:w="5420"/>
        <w:gridCol w:w="1245"/>
        <w:gridCol w:w="1105"/>
        <w:gridCol w:w="1104"/>
        <w:gridCol w:w="1191"/>
      </w:tblGrid>
      <w:tr w:rsidR="00B56EED" w:rsidRPr="00392B2D" w14:paraId="5EB2AC59" w14:textId="77777777" w:rsidTr="00173754">
        <w:trPr>
          <w:tblHeader/>
        </w:trPr>
        <w:tc>
          <w:tcPr>
            <w:tcW w:w="5420" w:type="dxa"/>
            <w:shd w:val="clear" w:color="auto" w:fill="F4973F"/>
            <w:vAlign w:val="center"/>
          </w:tcPr>
          <w:p w14:paraId="5B03C36D" w14:textId="77777777" w:rsidR="00B56EED" w:rsidRPr="00392B2D" w:rsidRDefault="00B56EED"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392B2D">
              <w:rPr>
                <w:rFonts w:eastAsia="MS Mincho" w:cs="Arial"/>
                <w:color w:val="FFFFFF"/>
                <w:w w:val="105"/>
                <w:sz w:val="18"/>
                <w:szCs w:val="18"/>
                <w:lang w:eastAsia="en-AU"/>
              </w:rPr>
              <w:t>Proposal</w:t>
            </w:r>
          </w:p>
        </w:tc>
        <w:tc>
          <w:tcPr>
            <w:tcW w:w="1245" w:type="dxa"/>
            <w:shd w:val="clear" w:color="auto" w:fill="F4973F"/>
            <w:vAlign w:val="center"/>
          </w:tcPr>
          <w:p w14:paraId="3A6D06E3" w14:textId="77777777" w:rsidR="00B56EED" w:rsidRPr="00392B2D" w:rsidRDefault="00B56EE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392B2D">
              <w:rPr>
                <w:rFonts w:eastAsia="MS Mincho" w:cs="Arial"/>
                <w:color w:val="FFFFFF"/>
                <w:w w:val="105"/>
                <w:sz w:val="18"/>
                <w:szCs w:val="18"/>
                <w:lang w:eastAsia="en-AU"/>
              </w:rPr>
              <w:t>RIS Status</w:t>
            </w:r>
          </w:p>
        </w:tc>
        <w:tc>
          <w:tcPr>
            <w:tcW w:w="1105" w:type="dxa"/>
            <w:shd w:val="clear" w:color="auto" w:fill="F4973F"/>
            <w:vAlign w:val="center"/>
          </w:tcPr>
          <w:p w14:paraId="03AE0796" w14:textId="77777777" w:rsidR="00B56EED" w:rsidRPr="00392B2D" w:rsidRDefault="00B56EE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392B2D">
              <w:rPr>
                <w:rFonts w:eastAsia="MS Mincho" w:cs="Arial"/>
                <w:color w:val="FFFFFF"/>
                <w:w w:val="105"/>
                <w:sz w:val="18"/>
                <w:szCs w:val="18"/>
                <w:lang w:eastAsia="en-AU"/>
              </w:rPr>
              <w:t xml:space="preserve">Best </w:t>
            </w:r>
            <w:r w:rsidRPr="00392B2D">
              <w:rPr>
                <w:rFonts w:eastAsia="MS Mincho" w:cs="Arial"/>
                <w:color w:val="FFFFFF"/>
                <w:w w:val="105"/>
                <w:sz w:val="18"/>
                <w:szCs w:val="18"/>
                <w:lang w:eastAsia="en-AU"/>
              </w:rPr>
              <w:br/>
              <w:t>practice</w:t>
            </w:r>
          </w:p>
        </w:tc>
        <w:tc>
          <w:tcPr>
            <w:tcW w:w="1104" w:type="dxa"/>
            <w:shd w:val="clear" w:color="auto" w:fill="F4973F"/>
            <w:vAlign w:val="center"/>
          </w:tcPr>
          <w:p w14:paraId="4665C628" w14:textId="77777777" w:rsidR="00B56EED" w:rsidRPr="00392B2D" w:rsidRDefault="00B56EE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392B2D">
              <w:rPr>
                <w:rFonts w:eastAsia="MS Mincho" w:cs="Arial"/>
                <w:color w:val="FFFFFF"/>
                <w:w w:val="105"/>
                <w:sz w:val="18"/>
                <w:szCs w:val="18"/>
                <w:lang w:eastAsia="en-AU"/>
              </w:rPr>
              <w:t xml:space="preserve">PIR </w:t>
            </w:r>
            <w:r w:rsidRPr="00392B2D">
              <w:rPr>
                <w:rFonts w:eastAsia="MS Mincho" w:cs="Arial"/>
                <w:color w:val="FFFFFF"/>
                <w:w w:val="105"/>
                <w:sz w:val="18"/>
                <w:szCs w:val="18"/>
                <w:lang w:eastAsia="en-AU"/>
              </w:rPr>
              <w:br/>
              <w:t>required</w:t>
            </w:r>
          </w:p>
        </w:tc>
        <w:tc>
          <w:tcPr>
            <w:tcW w:w="1191" w:type="dxa"/>
            <w:shd w:val="clear" w:color="auto" w:fill="F4973F"/>
            <w:vAlign w:val="center"/>
          </w:tcPr>
          <w:p w14:paraId="496FBD01" w14:textId="77777777" w:rsidR="00B56EED" w:rsidRPr="00392B2D" w:rsidRDefault="00B56EE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392B2D">
              <w:rPr>
                <w:rFonts w:eastAsia="MS Mincho" w:cs="Arial"/>
                <w:color w:val="FFFFFF"/>
                <w:w w:val="105"/>
                <w:sz w:val="18"/>
                <w:szCs w:val="18"/>
                <w:lang w:eastAsia="en-AU"/>
              </w:rPr>
              <w:t>Regulatory Burden ($m)</w:t>
            </w:r>
          </w:p>
        </w:tc>
      </w:tr>
      <w:tr w:rsidR="00B56EED" w:rsidRPr="00392B2D" w14:paraId="7AB82897" w14:textId="77777777" w:rsidTr="00C62B61">
        <w:trPr>
          <w:trHeight w:hRule="exact" w:val="510"/>
        </w:trPr>
        <w:tc>
          <w:tcPr>
            <w:tcW w:w="5420" w:type="dxa"/>
            <w:shd w:val="clear" w:color="auto" w:fill="auto"/>
            <w:vAlign w:val="center"/>
          </w:tcPr>
          <w:p w14:paraId="078ABC22" w14:textId="77777777" w:rsidR="00B56EED" w:rsidRPr="00392B2D" w:rsidRDefault="00B56EED"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Australian Domestic Gas Security Mechanism</w:t>
            </w:r>
          </w:p>
        </w:tc>
        <w:tc>
          <w:tcPr>
            <w:tcW w:w="1245" w:type="dxa"/>
            <w:shd w:val="clear" w:color="auto" w:fill="auto"/>
            <w:vAlign w:val="center"/>
          </w:tcPr>
          <w:p w14:paraId="70602A1B" w14:textId="77777777" w:rsidR="00B56EED" w:rsidRPr="00392B2D" w:rsidRDefault="00B56EED" w:rsidP="00B05847">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392B2D">
              <w:rPr>
                <w:rFonts w:eastAsia="MS Mincho" w:cs="Arial"/>
                <w:spacing w:val="-3"/>
                <w:sz w:val="18"/>
                <w:szCs w:val="18"/>
                <w:lang w:eastAsia="en-AU"/>
              </w:rPr>
              <w:t>Compliant</w:t>
            </w:r>
          </w:p>
        </w:tc>
        <w:tc>
          <w:tcPr>
            <w:tcW w:w="1105" w:type="dxa"/>
            <w:shd w:val="clear" w:color="auto" w:fill="auto"/>
            <w:vAlign w:val="center"/>
          </w:tcPr>
          <w:p w14:paraId="343C5222" w14:textId="77777777" w:rsidR="00B56EED" w:rsidRPr="00392B2D" w:rsidRDefault="00B56EED" w:rsidP="00B05847">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FC2410">
              <w:rPr>
                <w:rFonts w:eastAsia="MS Mincho" w:cs="Arial"/>
                <w:spacing w:val="-3"/>
                <w:sz w:val="18"/>
                <w:szCs w:val="18"/>
                <w:lang w:eastAsia="en-AU"/>
              </w:rPr>
              <w:t>Yes</w:t>
            </w:r>
          </w:p>
        </w:tc>
        <w:tc>
          <w:tcPr>
            <w:tcW w:w="1104" w:type="dxa"/>
            <w:shd w:val="clear" w:color="auto" w:fill="auto"/>
            <w:vAlign w:val="center"/>
          </w:tcPr>
          <w:p w14:paraId="0927B3CD" w14:textId="77777777" w:rsidR="00B56EED" w:rsidRPr="00392B2D" w:rsidRDefault="00B56EED" w:rsidP="00B05847">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392B2D">
              <w:rPr>
                <w:rFonts w:eastAsia="MS Mincho" w:cs="Arial"/>
                <w:spacing w:val="-3"/>
                <w:sz w:val="18"/>
                <w:szCs w:val="18"/>
                <w:lang w:eastAsia="en-AU"/>
              </w:rPr>
              <w:t>No</w:t>
            </w:r>
          </w:p>
        </w:tc>
        <w:tc>
          <w:tcPr>
            <w:tcW w:w="1191" w:type="dxa"/>
            <w:vAlign w:val="center"/>
          </w:tcPr>
          <w:p w14:paraId="532983F5" w14:textId="77777777" w:rsidR="00B56EED" w:rsidRPr="00392B2D" w:rsidRDefault="00B56EED" w:rsidP="00B05847">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$0.2</w:t>
            </w:r>
          </w:p>
        </w:tc>
      </w:tr>
    </w:tbl>
    <w:p w14:paraId="6B0AE2FA" w14:textId="54A1BA83" w:rsidR="00B56EED" w:rsidRPr="006C34C6" w:rsidRDefault="00B56EED" w:rsidP="00C62B61">
      <w:pPr>
        <w:spacing w:before="120" w:after="150"/>
        <w:rPr>
          <w:rFonts w:cs="Arial"/>
          <w:sz w:val="18"/>
          <w:szCs w:val="18"/>
        </w:rPr>
      </w:pPr>
      <w:r w:rsidRPr="006C34C6">
        <w:rPr>
          <w:rFonts w:cs="Arial"/>
          <w:sz w:val="18"/>
          <w:szCs w:val="18"/>
        </w:rPr>
        <w:t>The Australian Domestic Gas Security Mechanism establishes a framework for restrictions on the export of liquefied natural gas (LNG), to be imposed where the Resources Minister determines there is a reasonable prospect of a supply shortage in the domestic market. The purpose of this Mechanism is to ensure that there is a sufficient supply of gas to meet the needs of Australian consumers.</w:t>
      </w:r>
    </w:p>
    <w:p w14:paraId="4E23EF9E" w14:textId="77777777" w:rsidR="002F4EAD" w:rsidRPr="00392B2D" w:rsidRDefault="002F4EAD" w:rsidP="002F4EAD">
      <w:pPr>
        <w:pStyle w:val="Heading3"/>
      </w:pPr>
      <w:bookmarkStart w:id="289" w:name="_Toc5375760"/>
      <w:r w:rsidRPr="00392B2D">
        <w:t>Department</w:t>
      </w:r>
      <w:r>
        <w:t xml:space="preserve"> of Infrastructure and Regional Development</w:t>
      </w:r>
      <w:bookmarkEnd w:id="289"/>
    </w:p>
    <w:tbl>
      <w:tblPr>
        <w:tblW w:w="10065" w:type="dxa"/>
        <w:tblInd w:w="-142" w:type="dxa"/>
        <w:tblLayout w:type="fixed"/>
        <w:tblCellMar>
          <w:left w:w="0" w:type="dxa"/>
          <w:right w:w="0" w:type="dxa"/>
        </w:tblCellMar>
        <w:tblLook w:val="0000" w:firstRow="0" w:lastRow="0" w:firstColumn="0" w:lastColumn="0" w:noHBand="0" w:noVBand="0"/>
        <w:tblCaption w:val="Enhancing US-Bound Air Cargo Security"/>
        <w:tblDescription w:val="Enhancing US-Bound Air Cargo Security: Compliant, Best practice, No PIR required. Regulatory Burden: $0.5m."/>
      </w:tblPr>
      <w:tblGrid>
        <w:gridCol w:w="5420"/>
        <w:gridCol w:w="1245"/>
        <w:gridCol w:w="1105"/>
        <w:gridCol w:w="1104"/>
        <w:gridCol w:w="1191"/>
      </w:tblGrid>
      <w:tr w:rsidR="002F4EAD" w:rsidRPr="00392B2D" w14:paraId="16515D45" w14:textId="77777777" w:rsidTr="00173754">
        <w:trPr>
          <w:tblHeader/>
        </w:trPr>
        <w:tc>
          <w:tcPr>
            <w:tcW w:w="5420" w:type="dxa"/>
            <w:shd w:val="clear" w:color="auto" w:fill="F4973F"/>
            <w:vAlign w:val="center"/>
          </w:tcPr>
          <w:p w14:paraId="53AC50CC" w14:textId="77777777" w:rsidR="002F4EAD" w:rsidRPr="00392B2D" w:rsidRDefault="002F4EAD" w:rsidP="006E5A19">
            <w:pPr>
              <w:widowControl w:val="0"/>
              <w:kinsoku w:val="0"/>
              <w:overflowPunct w:val="0"/>
              <w:autoSpaceDE w:val="0"/>
              <w:autoSpaceDN w:val="0"/>
              <w:adjustRightInd w:val="0"/>
              <w:spacing w:beforeLines="40" w:before="96" w:after="60" w:line="240" w:lineRule="auto"/>
              <w:ind w:left="85"/>
              <w:rPr>
                <w:rFonts w:ascii="Times New Roman" w:eastAsia="MS Mincho" w:hAnsi="Times New Roman"/>
                <w:sz w:val="24"/>
                <w:lang w:eastAsia="en-AU"/>
              </w:rPr>
            </w:pPr>
            <w:r w:rsidRPr="00392B2D">
              <w:rPr>
                <w:rFonts w:eastAsia="MS Mincho" w:cs="Arial"/>
                <w:color w:val="FFFFFF"/>
                <w:w w:val="105"/>
                <w:sz w:val="18"/>
                <w:szCs w:val="18"/>
                <w:lang w:eastAsia="en-AU"/>
              </w:rPr>
              <w:t>Proposal</w:t>
            </w:r>
          </w:p>
        </w:tc>
        <w:tc>
          <w:tcPr>
            <w:tcW w:w="1245" w:type="dxa"/>
            <w:shd w:val="clear" w:color="auto" w:fill="F4973F"/>
            <w:vAlign w:val="center"/>
          </w:tcPr>
          <w:p w14:paraId="14A47821" w14:textId="77777777" w:rsidR="002F4EAD" w:rsidRPr="00392B2D" w:rsidRDefault="002F4EA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392B2D">
              <w:rPr>
                <w:rFonts w:eastAsia="MS Mincho" w:cs="Arial"/>
                <w:color w:val="FFFFFF"/>
                <w:w w:val="105"/>
                <w:sz w:val="18"/>
                <w:szCs w:val="18"/>
                <w:lang w:eastAsia="en-AU"/>
              </w:rPr>
              <w:t>RIS Status</w:t>
            </w:r>
          </w:p>
        </w:tc>
        <w:tc>
          <w:tcPr>
            <w:tcW w:w="1105" w:type="dxa"/>
            <w:shd w:val="clear" w:color="auto" w:fill="F4973F"/>
            <w:vAlign w:val="center"/>
          </w:tcPr>
          <w:p w14:paraId="04A1518C" w14:textId="77777777" w:rsidR="002F4EAD" w:rsidRPr="00392B2D" w:rsidRDefault="002F4EA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392B2D">
              <w:rPr>
                <w:rFonts w:eastAsia="MS Mincho" w:cs="Arial"/>
                <w:color w:val="FFFFFF"/>
                <w:w w:val="105"/>
                <w:sz w:val="18"/>
                <w:szCs w:val="18"/>
                <w:lang w:eastAsia="en-AU"/>
              </w:rPr>
              <w:t xml:space="preserve">Best </w:t>
            </w:r>
            <w:r w:rsidRPr="00392B2D">
              <w:rPr>
                <w:rFonts w:eastAsia="MS Mincho" w:cs="Arial"/>
                <w:color w:val="FFFFFF"/>
                <w:w w:val="105"/>
                <w:sz w:val="18"/>
                <w:szCs w:val="18"/>
                <w:lang w:eastAsia="en-AU"/>
              </w:rPr>
              <w:br/>
              <w:t>practice</w:t>
            </w:r>
          </w:p>
        </w:tc>
        <w:tc>
          <w:tcPr>
            <w:tcW w:w="1104" w:type="dxa"/>
            <w:shd w:val="clear" w:color="auto" w:fill="F4973F"/>
            <w:vAlign w:val="center"/>
          </w:tcPr>
          <w:p w14:paraId="3BC22D3E" w14:textId="77777777" w:rsidR="002F4EAD" w:rsidRPr="00392B2D" w:rsidRDefault="002F4EAD" w:rsidP="006E5A19">
            <w:pPr>
              <w:widowControl w:val="0"/>
              <w:kinsoku w:val="0"/>
              <w:overflowPunct w:val="0"/>
              <w:autoSpaceDE w:val="0"/>
              <w:autoSpaceDN w:val="0"/>
              <w:adjustRightInd w:val="0"/>
              <w:spacing w:beforeLines="40" w:before="96" w:after="60" w:line="240" w:lineRule="auto"/>
              <w:jc w:val="center"/>
              <w:rPr>
                <w:rFonts w:ascii="Times New Roman" w:eastAsia="MS Mincho" w:hAnsi="Times New Roman"/>
                <w:sz w:val="24"/>
                <w:lang w:eastAsia="en-AU"/>
              </w:rPr>
            </w:pPr>
            <w:r w:rsidRPr="00392B2D">
              <w:rPr>
                <w:rFonts w:eastAsia="MS Mincho" w:cs="Arial"/>
                <w:color w:val="FFFFFF"/>
                <w:w w:val="105"/>
                <w:sz w:val="18"/>
                <w:szCs w:val="18"/>
                <w:lang w:eastAsia="en-AU"/>
              </w:rPr>
              <w:t xml:space="preserve">PIR </w:t>
            </w:r>
            <w:r w:rsidRPr="00392B2D">
              <w:rPr>
                <w:rFonts w:eastAsia="MS Mincho" w:cs="Arial"/>
                <w:color w:val="FFFFFF"/>
                <w:w w:val="105"/>
                <w:sz w:val="18"/>
                <w:szCs w:val="18"/>
                <w:lang w:eastAsia="en-AU"/>
              </w:rPr>
              <w:br/>
              <w:t>required</w:t>
            </w:r>
          </w:p>
        </w:tc>
        <w:tc>
          <w:tcPr>
            <w:tcW w:w="1191" w:type="dxa"/>
            <w:shd w:val="clear" w:color="auto" w:fill="F4973F"/>
            <w:vAlign w:val="center"/>
          </w:tcPr>
          <w:p w14:paraId="234E8502" w14:textId="77777777" w:rsidR="002F4EAD" w:rsidRPr="00392B2D" w:rsidRDefault="002F4EAD" w:rsidP="006E5A19">
            <w:pPr>
              <w:widowControl w:val="0"/>
              <w:kinsoku w:val="0"/>
              <w:overflowPunct w:val="0"/>
              <w:autoSpaceDE w:val="0"/>
              <w:autoSpaceDN w:val="0"/>
              <w:adjustRightInd w:val="0"/>
              <w:spacing w:beforeLines="40" w:before="96" w:after="60" w:line="240" w:lineRule="auto"/>
              <w:jc w:val="center"/>
              <w:rPr>
                <w:rFonts w:eastAsia="MS Mincho" w:cs="Arial"/>
                <w:color w:val="FFFFFF"/>
                <w:w w:val="105"/>
                <w:sz w:val="18"/>
                <w:szCs w:val="18"/>
                <w:lang w:eastAsia="en-AU"/>
              </w:rPr>
            </w:pPr>
            <w:r w:rsidRPr="00392B2D">
              <w:rPr>
                <w:rFonts w:eastAsia="MS Mincho" w:cs="Arial"/>
                <w:color w:val="FFFFFF"/>
                <w:w w:val="105"/>
                <w:sz w:val="18"/>
                <w:szCs w:val="18"/>
                <w:lang w:eastAsia="en-AU"/>
              </w:rPr>
              <w:t>Regulatory Burden ($m)</w:t>
            </w:r>
          </w:p>
        </w:tc>
      </w:tr>
      <w:tr w:rsidR="002F4EAD" w:rsidRPr="00392B2D" w14:paraId="73CF0F30" w14:textId="77777777" w:rsidTr="00C62B61">
        <w:trPr>
          <w:trHeight w:hRule="exact" w:val="510"/>
        </w:trPr>
        <w:tc>
          <w:tcPr>
            <w:tcW w:w="5420" w:type="dxa"/>
            <w:shd w:val="clear" w:color="auto" w:fill="auto"/>
            <w:vAlign w:val="center"/>
          </w:tcPr>
          <w:p w14:paraId="4A73D4BE" w14:textId="77777777" w:rsidR="002F4EAD" w:rsidRPr="00392B2D" w:rsidRDefault="002F4EAD" w:rsidP="009465BE">
            <w:pPr>
              <w:widowControl w:val="0"/>
              <w:kinsoku w:val="0"/>
              <w:overflowPunct w:val="0"/>
              <w:autoSpaceDE w:val="0"/>
              <w:autoSpaceDN w:val="0"/>
              <w:adjustRightInd w:val="0"/>
              <w:spacing w:before="54" w:after="0" w:line="254" w:lineRule="auto"/>
              <w:ind w:left="135" w:right="102"/>
              <w:rPr>
                <w:rFonts w:eastAsia="MS Mincho" w:cs="Arial"/>
                <w:spacing w:val="-3"/>
                <w:sz w:val="18"/>
                <w:szCs w:val="18"/>
                <w:lang w:eastAsia="en-AU"/>
              </w:rPr>
            </w:pPr>
            <w:r>
              <w:rPr>
                <w:rFonts w:eastAsia="MS Mincho" w:cs="Arial"/>
                <w:spacing w:val="-3"/>
                <w:sz w:val="18"/>
                <w:szCs w:val="18"/>
                <w:lang w:eastAsia="en-AU"/>
              </w:rPr>
              <w:t xml:space="preserve">Enhancing US-Bound Air Cargo Security </w:t>
            </w:r>
          </w:p>
        </w:tc>
        <w:tc>
          <w:tcPr>
            <w:tcW w:w="1245" w:type="dxa"/>
            <w:shd w:val="clear" w:color="auto" w:fill="auto"/>
            <w:vAlign w:val="center"/>
          </w:tcPr>
          <w:p w14:paraId="58B54B19" w14:textId="77777777" w:rsidR="002F4EAD" w:rsidRPr="00392B2D" w:rsidRDefault="002F4EAD" w:rsidP="004D2654">
            <w:pPr>
              <w:widowControl w:val="0"/>
              <w:kinsoku w:val="0"/>
              <w:overflowPunct w:val="0"/>
              <w:autoSpaceDE w:val="0"/>
              <w:autoSpaceDN w:val="0"/>
              <w:adjustRightInd w:val="0"/>
              <w:spacing w:before="54" w:after="0" w:line="240" w:lineRule="auto"/>
              <w:jc w:val="center"/>
              <w:rPr>
                <w:rFonts w:eastAsia="MS Mincho" w:cs="Arial"/>
                <w:spacing w:val="-2"/>
                <w:w w:val="90"/>
                <w:sz w:val="18"/>
                <w:szCs w:val="18"/>
                <w:lang w:eastAsia="en-AU"/>
              </w:rPr>
            </w:pPr>
            <w:r w:rsidRPr="00392B2D">
              <w:rPr>
                <w:rFonts w:eastAsia="MS Mincho" w:cs="Arial"/>
                <w:spacing w:val="-3"/>
                <w:sz w:val="18"/>
                <w:szCs w:val="18"/>
                <w:lang w:eastAsia="en-AU"/>
              </w:rPr>
              <w:t>Compliant</w:t>
            </w:r>
          </w:p>
        </w:tc>
        <w:tc>
          <w:tcPr>
            <w:tcW w:w="1105" w:type="dxa"/>
            <w:shd w:val="clear" w:color="auto" w:fill="auto"/>
            <w:vAlign w:val="center"/>
          </w:tcPr>
          <w:p w14:paraId="3E0EE243" w14:textId="77777777" w:rsidR="002F4EAD" w:rsidRPr="00392B2D" w:rsidRDefault="002F4EAD" w:rsidP="004D2654">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392B2D">
              <w:rPr>
                <w:rFonts w:eastAsia="MS Mincho" w:cs="Arial"/>
                <w:spacing w:val="-3"/>
                <w:sz w:val="18"/>
                <w:szCs w:val="18"/>
                <w:lang w:eastAsia="en-AU"/>
              </w:rPr>
              <w:t>Yes</w:t>
            </w:r>
          </w:p>
        </w:tc>
        <w:tc>
          <w:tcPr>
            <w:tcW w:w="1104" w:type="dxa"/>
            <w:shd w:val="clear" w:color="auto" w:fill="auto"/>
            <w:vAlign w:val="center"/>
          </w:tcPr>
          <w:p w14:paraId="5C0AF88F" w14:textId="77777777" w:rsidR="002F4EAD" w:rsidRPr="00392B2D" w:rsidRDefault="002F4EAD" w:rsidP="004D2654">
            <w:pPr>
              <w:widowControl w:val="0"/>
              <w:kinsoku w:val="0"/>
              <w:overflowPunct w:val="0"/>
              <w:autoSpaceDE w:val="0"/>
              <w:autoSpaceDN w:val="0"/>
              <w:adjustRightInd w:val="0"/>
              <w:spacing w:before="54" w:after="0" w:line="240" w:lineRule="auto"/>
              <w:jc w:val="center"/>
              <w:rPr>
                <w:rFonts w:eastAsia="MS Mincho" w:cs="Arial"/>
                <w:w w:val="85"/>
                <w:sz w:val="18"/>
                <w:szCs w:val="18"/>
                <w:lang w:eastAsia="en-AU"/>
              </w:rPr>
            </w:pPr>
            <w:r w:rsidRPr="00392B2D">
              <w:rPr>
                <w:rFonts w:eastAsia="MS Mincho" w:cs="Arial"/>
                <w:spacing w:val="-3"/>
                <w:sz w:val="18"/>
                <w:szCs w:val="18"/>
                <w:lang w:eastAsia="en-AU"/>
              </w:rPr>
              <w:t>No</w:t>
            </w:r>
          </w:p>
        </w:tc>
        <w:tc>
          <w:tcPr>
            <w:tcW w:w="1191" w:type="dxa"/>
            <w:vAlign w:val="center"/>
          </w:tcPr>
          <w:p w14:paraId="2BEE6615" w14:textId="77777777" w:rsidR="002F4EAD" w:rsidRPr="00392B2D" w:rsidRDefault="002F4EAD" w:rsidP="004D2654">
            <w:pPr>
              <w:widowControl w:val="0"/>
              <w:kinsoku w:val="0"/>
              <w:overflowPunct w:val="0"/>
              <w:autoSpaceDE w:val="0"/>
              <w:autoSpaceDN w:val="0"/>
              <w:adjustRightInd w:val="0"/>
              <w:spacing w:before="54" w:after="0" w:line="240" w:lineRule="auto"/>
              <w:ind w:right="227"/>
              <w:jc w:val="right"/>
              <w:rPr>
                <w:rFonts w:eastAsia="MS Mincho" w:cs="Arial"/>
                <w:spacing w:val="-3"/>
                <w:sz w:val="18"/>
                <w:szCs w:val="18"/>
                <w:lang w:eastAsia="en-AU"/>
              </w:rPr>
            </w:pPr>
            <w:r>
              <w:rPr>
                <w:rFonts w:eastAsia="MS Mincho" w:cs="Arial"/>
                <w:spacing w:val="-3"/>
                <w:sz w:val="18"/>
                <w:szCs w:val="18"/>
                <w:lang w:eastAsia="en-AU"/>
              </w:rPr>
              <w:t>$0.5</w:t>
            </w:r>
          </w:p>
        </w:tc>
      </w:tr>
    </w:tbl>
    <w:p w14:paraId="33E53829" w14:textId="2E1E7F32" w:rsidR="004A3411" w:rsidRPr="004A3411" w:rsidRDefault="004A3411" w:rsidP="004A3411">
      <w:pPr>
        <w:spacing w:before="120" w:after="150"/>
        <w:rPr>
          <w:rFonts w:cs="Arial"/>
          <w:sz w:val="18"/>
          <w:szCs w:val="18"/>
        </w:rPr>
      </w:pPr>
      <w:r w:rsidRPr="004A3411">
        <w:rPr>
          <w:rFonts w:cs="Arial"/>
          <w:sz w:val="18"/>
          <w:szCs w:val="18"/>
        </w:rPr>
        <w:t>This proposal gives effect to new air cargo security arrangements for US-Bound air cargo which will meet the United States Transportation Security Administration requirement for all US-Bound air cargo to be examined at a piece level.</w:t>
      </w:r>
    </w:p>
    <w:p w14:paraId="34049102" w14:textId="77777777" w:rsidR="00BA2600" w:rsidRDefault="00BA2600" w:rsidP="00BA2600">
      <w:pPr>
        <w:pStyle w:val="Heading3"/>
      </w:pPr>
      <w:bookmarkStart w:id="290" w:name="_Toc5375761"/>
      <w:r>
        <w:t>Department of Social Services</w:t>
      </w:r>
      <w:bookmarkEnd w:id="290"/>
    </w:p>
    <w:tbl>
      <w:tblPr>
        <w:tblW w:w="10065" w:type="dxa"/>
        <w:tblInd w:w="-142" w:type="dxa"/>
        <w:tblLayout w:type="fixed"/>
        <w:tblCellMar>
          <w:left w:w="0" w:type="dxa"/>
          <w:right w:w="0" w:type="dxa"/>
        </w:tblCellMar>
        <w:tblLook w:val="04A0" w:firstRow="1" w:lastRow="0" w:firstColumn="1" w:lastColumn="0" w:noHBand="0" w:noVBand="1"/>
        <w:tblCaption w:val="New Disability Employment Services Program from 2018 "/>
        <w:tblDescription w:val="New Disability Employment Services Program from 2018: Compliant, Best practice, No PIR required. Regulatory Burden: -$42.6m."/>
      </w:tblPr>
      <w:tblGrid>
        <w:gridCol w:w="5422"/>
        <w:gridCol w:w="1245"/>
        <w:gridCol w:w="1106"/>
        <w:gridCol w:w="1105"/>
        <w:gridCol w:w="1187"/>
      </w:tblGrid>
      <w:tr w:rsidR="00BA2600" w:rsidRPr="00C30B2D" w14:paraId="1FBEB758" w14:textId="77777777" w:rsidTr="006E5A19">
        <w:trPr>
          <w:trHeight w:val="567"/>
          <w:tblHeader/>
        </w:trPr>
        <w:tc>
          <w:tcPr>
            <w:tcW w:w="5422" w:type="dxa"/>
            <w:shd w:val="clear" w:color="auto" w:fill="F4973F"/>
            <w:vAlign w:val="center"/>
            <w:hideMark/>
          </w:tcPr>
          <w:p w14:paraId="2E3BC914" w14:textId="77777777" w:rsidR="00BA2600" w:rsidRPr="00C30B2D" w:rsidRDefault="00BA2600" w:rsidP="006E5A19">
            <w:pPr>
              <w:widowControl w:val="0"/>
              <w:kinsoku w:val="0"/>
              <w:overflowPunct w:val="0"/>
              <w:autoSpaceDE w:val="0"/>
              <w:autoSpaceDN w:val="0"/>
              <w:adjustRightInd w:val="0"/>
              <w:spacing w:beforeLines="30" w:before="72" w:after="60" w:line="276" w:lineRule="auto"/>
              <w:ind w:left="85"/>
              <w:rPr>
                <w:rFonts w:ascii="Times New Roman" w:eastAsia="MS Mincho" w:hAnsi="Times New Roman"/>
                <w:sz w:val="24"/>
              </w:rPr>
            </w:pPr>
            <w:r w:rsidRPr="00C30B2D">
              <w:rPr>
                <w:rFonts w:eastAsia="MS Mincho" w:cs="Arial"/>
                <w:color w:val="FFFFFF"/>
                <w:w w:val="105"/>
                <w:sz w:val="18"/>
                <w:szCs w:val="18"/>
              </w:rPr>
              <w:t>Proposal</w:t>
            </w:r>
          </w:p>
        </w:tc>
        <w:tc>
          <w:tcPr>
            <w:tcW w:w="1245" w:type="dxa"/>
            <w:shd w:val="clear" w:color="auto" w:fill="F4973F"/>
            <w:vAlign w:val="center"/>
            <w:hideMark/>
          </w:tcPr>
          <w:p w14:paraId="469DC574" w14:textId="77777777" w:rsidR="00BA2600" w:rsidRPr="00C30B2D" w:rsidRDefault="00BA2600" w:rsidP="006E5A19">
            <w:pPr>
              <w:widowControl w:val="0"/>
              <w:kinsoku w:val="0"/>
              <w:overflowPunct w:val="0"/>
              <w:autoSpaceDE w:val="0"/>
              <w:autoSpaceDN w:val="0"/>
              <w:adjustRightInd w:val="0"/>
              <w:spacing w:beforeLines="30" w:before="72"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2DACCE08" w14:textId="77777777" w:rsidR="00BA2600" w:rsidRPr="00C30B2D" w:rsidRDefault="00BA2600" w:rsidP="006E5A19">
            <w:pPr>
              <w:widowControl w:val="0"/>
              <w:kinsoku w:val="0"/>
              <w:overflowPunct w:val="0"/>
              <w:autoSpaceDE w:val="0"/>
              <w:autoSpaceDN w:val="0"/>
              <w:adjustRightInd w:val="0"/>
              <w:spacing w:beforeLines="30" w:before="72"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5968C90B" w14:textId="77777777" w:rsidR="00BA2600" w:rsidRPr="00C30B2D" w:rsidRDefault="00BA2600" w:rsidP="006E5A19">
            <w:pPr>
              <w:widowControl w:val="0"/>
              <w:kinsoku w:val="0"/>
              <w:overflowPunct w:val="0"/>
              <w:autoSpaceDE w:val="0"/>
              <w:autoSpaceDN w:val="0"/>
              <w:adjustRightInd w:val="0"/>
              <w:spacing w:beforeLines="30" w:before="72"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23F5976B" w14:textId="77777777" w:rsidR="00BA2600" w:rsidRPr="00C30B2D" w:rsidRDefault="00BA2600" w:rsidP="006E5A19">
            <w:pPr>
              <w:widowControl w:val="0"/>
              <w:kinsoku w:val="0"/>
              <w:overflowPunct w:val="0"/>
              <w:autoSpaceDE w:val="0"/>
              <w:autoSpaceDN w:val="0"/>
              <w:adjustRightInd w:val="0"/>
              <w:spacing w:beforeLines="30" w:before="72"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BA2600" w:rsidRPr="00C30B2D" w14:paraId="7941A1E3" w14:textId="77777777" w:rsidTr="00C62B61">
        <w:trPr>
          <w:trHeight w:hRule="exact" w:val="510"/>
        </w:trPr>
        <w:tc>
          <w:tcPr>
            <w:tcW w:w="5422" w:type="dxa"/>
            <w:vAlign w:val="center"/>
            <w:hideMark/>
          </w:tcPr>
          <w:p w14:paraId="728C6BC7" w14:textId="77777777" w:rsidR="00BA2600" w:rsidRPr="00C30B2D" w:rsidRDefault="00BA2600" w:rsidP="009465BE">
            <w:pPr>
              <w:widowControl w:val="0"/>
              <w:kinsoku w:val="0"/>
              <w:overflowPunct w:val="0"/>
              <w:autoSpaceDE w:val="0"/>
              <w:autoSpaceDN w:val="0"/>
              <w:adjustRightInd w:val="0"/>
              <w:spacing w:before="54" w:after="0" w:line="252" w:lineRule="auto"/>
              <w:ind w:left="135" w:right="102"/>
              <w:rPr>
                <w:rFonts w:eastAsia="MS Mincho" w:cs="Arial"/>
                <w:spacing w:val="-3"/>
                <w:sz w:val="18"/>
                <w:szCs w:val="18"/>
              </w:rPr>
            </w:pPr>
            <w:r>
              <w:rPr>
                <w:rFonts w:cs="Arial"/>
                <w:sz w:val="18"/>
                <w:szCs w:val="18"/>
              </w:rPr>
              <w:t xml:space="preserve">New Disability Employment Services Program from 2018 </w:t>
            </w:r>
          </w:p>
        </w:tc>
        <w:tc>
          <w:tcPr>
            <w:tcW w:w="1245" w:type="dxa"/>
            <w:vAlign w:val="center"/>
            <w:hideMark/>
          </w:tcPr>
          <w:p w14:paraId="100FB612" w14:textId="77777777" w:rsidR="00BA2600" w:rsidRPr="00C30B2D" w:rsidRDefault="00BA2600" w:rsidP="006E5A19">
            <w:pPr>
              <w:widowControl w:val="0"/>
              <w:kinsoku w:val="0"/>
              <w:overflowPunct w:val="0"/>
              <w:autoSpaceDE w:val="0"/>
              <w:autoSpaceDN w:val="0"/>
              <w:adjustRightInd w:val="0"/>
              <w:spacing w:before="54" w:after="0" w:line="276" w:lineRule="auto"/>
              <w:jc w:val="center"/>
              <w:rPr>
                <w:rFonts w:eastAsia="MS Mincho" w:cs="Arial"/>
                <w:spacing w:val="-2"/>
                <w:w w:val="90"/>
                <w:sz w:val="18"/>
                <w:szCs w:val="18"/>
              </w:rPr>
            </w:pPr>
            <w:r w:rsidRPr="00C30B2D">
              <w:rPr>
                <w:rFonts w:eastAsia="MS Mincho" w:cs="Arial"/>
                <w:spacing w:val="-3"/>
                <w:sz w:val="18"/>
                <w:szCs w:val="18"/>
              </w:rPr>
              <w:t>Compliant</w:t>
            </w:r>
          </w:p>
        </w:tc>
        <w:tc>
          <w:tcPr>
            <w:tcW w:w="1106" w:type="dxa"/>
            <w:vAlign w:val="center"/>
            <w:hideMark/>
          </w:tcPr>
          <w:p w14:paraId="45C87EEB" w14:textId="77777777" w:rsidR="00BA2600" w:rsidRPr="00C30B2D" w:rsidRDefault="00BA2600" w:rsidP="006E5A19">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Yes</w:t>
            </w:r>
          </w:p>
        </w:tc>
        <w:tc>
          <w:tcPr>
            <w:tcW w:w="1105" w:type="dxa"/>
            <w:vAlign w:val="center"/>
            <w:hideMark/>
          </w:tcPr>
          <w:p w14:paraId="37B9E7EC" w14:textId="77777777" w:rsidR="00BA2600" w:rsidRPr="00C30B2D" w:rsidRDefault="00BA2600" w:rsidP="006E5A19">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72030772" w14:textId="77777777" w:rsidR="00BA2600" w:rsidRPr="00C30B2D" w:rsidRDefault="00BA2600" w:rsidP="006E5A19">
            <w:pPr>
              <w:widowControl w:val="0"/>
              <w:kinsoku w:val="0"/>
              <w:overflowPunct w:val="0"/>
              <w:autoSpaceDE w:val="0"/>
              <w:autoSpaceDN w:val="0"/>
              <w:adjustRightInd w:val="0"/>
              <w:spacing w:before="54" w:after="0" w:line="276" w:lineRule="auto"/>
              <w:ind w:right="227"/>
              <w:jc w:val="right"/>
              <w:rPr>
                <w:rFonts w:eastAsia="MS Mincho" w:cs="Arial"/>
                <w:spacing w:val="-3"/>
                <w:sz w:val="18"/>
                <w:szCs w:val="18"/>
              </w:rPr>
            </w:pPr>
            <w:r>
              <w:rPr>
                <w:rFonts w:eastAsia="MS Mincho" w:cs="Arial"/>
                <w:spacing w:val="-3"/>
                <w:sz w:val="18"/>
                <w:szCs w:val="18"/>
              </w:rPr>
              <w:t>-$42.6</w:t>
            </w:r>
          </w:p>
        </w:tc>
      </w:tr>
    </w:tbl>
    <w:p w14:paraId="5EE607BD" w14:textId="29C5DD22" w:rsidR="006E5A19" w:rsidRPr="006E5A19" w:rsidRDefault="00BA2600" w:rsidP="009465BE">
      <w:pPr>
        <w:spacing w:before="120" w:after="320"/>
        <w:rPr>
          <w:rFonts w:cs="Arial"/>
          <w:sz w:val="18"/>
          <w:szCs w:val="18"/>
        </w:rPr>
      </w:pPr>
      <w:r w:rsidRPr="006C34C6">
        <w:rPr>
          <w:rFonts w:cs="Arial"/>
          <w:sz w:val="18"/>
          <w:szCs w:val="18"/>
        </w:rPr>
        <w:t>In response to a recent decline in disability participation rates a number of changes are made to the Disability Employment Services (DES) program that will provide participants with more choice and control and are supported by financial arrangements that will better take into account the difficulty in achieving an employment outcome.</w:t>
      </w:r>
    </w:p>
    <w:p w14:paraId="05B4B0BD" w14:textId="3DA786AA" w:rsidR="006C34C6" w:rsidRDefault="0051060E" w:rsidP="00C07154">
      <w:pPr>
        <w:pStyle w:val="Heading2"/>
        <w:spacing w:after="0"/>
      </w:pPr>
      <w:bookmarkStart w:id="291" w:name="_Toc5375762"/>
      <w:r>
        <w:t>Treasury Portfolio</w:t>
      </w:r>
      <w:bookmarkEnd w:id="291"/>
    </w:p>
    <w:p w14:paraId="52874A24" w14:textId="63347F10" w:rsidR="00340653" w:rsidRPr="00340653" w:rsidRDefault="00340653" w:rsidP="00340653">
      <w:pPr>
        <w:pStyle w:val="Heading3"/>
        <w:keepNext/>
        <w:spacing w:before="120"/>
      </w:pPr>
      <w:bookmarkStart w:id="292" w:name="_Toc5375763"/>
      <w:r w:rsidRPr="00C30B2D">
        <w:t xml:space="preserve">Australian </w:t>
      </w:r>
      <w:r>
        <w:t>Accounting Standards Board</w:t>
      </w:r>
      <w:bookmarkEnd w:id="292"/>
      <w:r w:rsidRPr="00C30B2D">
        <w:t xml:space="preserve"> </w:t>
      </w:r>
    </w:p>
    <w:tbl>
      <w:tblPr>
        <w:tblW w:w="10065" w:type="dxa"/>
        <w:tblInd w:w="-142" w:type="dxa"/>
        <w:tblLayout w:type="fixed"/>
        <w:tblCellMar>
          <w:left w:w="0" w:type="dxa"/>
          <w:right w:w="0" w:type="dxa"/>
        </w:tblCellMar>
        <w:tblLook w:val="04A0" w:firstRow="1" w:lastRow="0" w:firstColumn="1" w:lastColumn="0" w:noHBand="0" w:noVBand="1"/>
        <w:tblCaption w:val="AASB 1058 Income of Not-for-Profit Entities"/>
        <w:tblDescription w:val="AASB 1058 Income of Not-for-Profit Entities: Compliant, Best practice, No PIR required. Regulatory Burden: $13.2m."/>
      </w:tblPr>
      <w:tblGrid>
        <w:gridCol w:w="5422"/>
        <w:gridCol w:w="1245"/>
        <w:gridCol w:w="1106"/>
        <w:gridCol w:w="1105"/>
        <w:gridCol w:w="1187"/>
      </w:tblGrid>
      <w:tr w:rsidR="00340653" w:rsidRPr="00C30B2D" w14:paraId="19148383" w14:textId="77777777" w:rsidTr="006E5A19">
        <w:trPr>
          <w:trHeight w:val="567"/>
          <w:tblHeader/>
        </w:trPr>
        <w:tc>
          <w:tcPr>
            <w:tcW w:w="5422" w:type="dxa"/>
            <w:shd w:val="clear" w:color="auto" w:fill="F4973F"/>
            <w:vAlign w:val="center"/>
            <w:hideMark/>
          </w:tcPr>
          <w:p w14:paraId="12D647EC" w14:textId="77777777" w:rsidR="00340653" w:rsidRPr="00C30B2D" w:rsidRDefault="00340653"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sidRPr="00C30B2D">
              <w:rPr>
                <w:rFonts w:eastAsia="MS Mincho" w:cs="Arial"/>
                <w:color w:val="FFFFFF"/>
                <w:w w:val="105"/>
                <w:sz w:val="18"/>
                <w:szCs w:val="18"/>
              </w:rPr>
              <w:t>Proposal</w:t>
            </w:r>
          </w:p>
        </w:tc>
        <w:tc>
          <w:tcPr>
            <w:tcW w:w="1245" w:type="dxa"/>
            <w:shd w:val="clear" w:color="auto" w:fill="F4973F"/>
            <w:vAlign w:val="center"/>
            <w:hideMark/>
          </w:tcPr>
          <w:p w14:paraId="4191DAF0" w14:textId="77777777" w:rsidR="00340653" w:rsidRPr="00C30B2D" w:rsidRDefault="00340653"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1388F77E" w14:textId="77777777" w:rsidR="00340653" w:rsidRPr="00C30B2D" w:rsidRDefault="00340653"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088B4922" w14:textId="77777777" w:rsidR="00340653" w:rsidRPr="00C30B2D" w:rsidRDefault="00340653"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62816535" w14:textId="77777777" w:rsidR="00340653" w:rsidRPr="00C30B2D" w:rsidRDefault="00340653"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340653" w:rsidRPr="00C30B2D" w14:paraId="75250CE1" w14:textId="77777777" w:rsidTr="006E5A19">
        <w:trPr>
          <w:trHeight w:hRule="exact" w:val="737"/>
        </w:trPr>
        <w:tc>
          <w:tcPr>
            <w:tcW w:w="5422" w:type="dxa"/>
            <w:vAlign w:val="center"/>
            <w:hideMark/>
          </w:tcPr>
          <w:p w14:paraId="43060996" w14:textId="77777777" w:rsidR="00340653" w:rsidRPr="00C30B2D" w:rsidRDefault="00340653" w:rsidP="00340653">
            <w:pPr>
              <w:widowControl w:val="0"/>
              <w:kinsoku w:val="0"/>
              <w:overflowPunct w:val="0"/>
              <w:autoSpaceDE w:val="0"/>
              <w:autoSpaceDN w:val="0"/>
              <w:adjustRightInd w:val="0"/>
              <w:spacing w:before="120" w:after="0" w:line="252" w:lineRule="auto"/>
              <w:ind w:left="135" w:right="102"/>
              <w:rPr>
                <w:rFonts w:eastAsia="MS Mincho" w:cs="Arial"/>
                <w:spacing w:val="-3"/>
                <w:sz w:val="18"/>
                <w:szCs w:val="18"/>
              </w:rPr>
            </w:pPr>
            <w:r w:rsidRPr="007C5589">
              <w:rPr>
                <w:rFonts w:cs="Arial"/>
                <w:sz w:val="18"/>
                <w:szCs w:val="18"/>
              </w:rPr>
              <w:t xml:space="preserve">AASB 1058 Income of Not-for-Profit Entities </w:t>
            </w:r>
            <w:r w:rsidRPr="00185750">
              <w:rPr>
                <w:rFonts w:cs="Arial"/>
                <w:sz w:val="18"/>
                <w:szCs w:val="18"/>
              </w:rPr>
              <w:t>– Independent Review</w:t>
            </w:r>
          </w:p>
        </w:tc>
        <w:tc>
          <w:tcPr>
            <w:tcW w:w="1245" w:type="dxa"/>
            <w:vAlign w:val="center"/>
            <w:hideMark/>
          </w:tcPr>
          <w:p w14:paraId="59AAA6E4" w14:textId="549A42E7" w:rsidR="00340653" w:rsidRPr="00C30B2D" w:rsidRDefault="00340653" w:rsidP="00340653">
            <w:pPr>
              <w:widowControl w:val="0"/>
              <w:kinsoku w:val="0"/>
              <w:overflowPunct w:val="0"/>
              <w:autoSpaceDE w:val="0"/>
              <w:autoSpaceDN w:val="0"/>
              <w:adjustRightInd w:val="0"/>
              <w:spacing w:before="120" w:after="0" w:line="276" w:lineRule="auto"/>
              <w:jc w:val="center"/>
              <w:rPr>
                <w:rFonts w:eastAsia="MS Mincho" w:cs="Arial"/>
                <w:spacing w:val="-2"/>
                <w:w w:val="90"/>
                <w:sz w:val="18"/>
                <w:szCs w:val="18"/>
              </w:rPr>
            </w:pPr>
            <w:r>
              <w:rPr>
                <w:rFonts w:eastAsia="MS Mincho" w:cs="Arial"/>
                <w:spacing w:val="-3"/>
                <w:sz w:val="18"/>
                <w:szCs w:val="18"/>
              </w:rPr>
              <w:t>Compliant</w:t>
            </w:r>
          </w:p>
        </w:tc>
        <w:tc>
          <w:tcPr>
            <w:tcW w:w="1106" w:type="dxa"/>
            <w:vAlign w:val="center"/>
            <w:hideMark/>
          </w:tcPr>
          <w:p w14:paraId="02D16C26" w14:textId="77777777" w:rsidR="00340653" w:rsidRPr="00AD7705" w:rsidRDefault="00340653" w:rsidP="00340653">
            <w:pPr>
              <w:widowControl w:val="0"/>
              <w:kinsoku w:val="0"/>
              <w:overflowPunct w:val="0"/>
              <w:autoSpaceDE w:val="0"/>
              <w:autoSpaceDN w:val="0"/>
              <w:adjustRightInd w:val="0"/>
              <w:spacing w:before="120" w:after="0" w:line="276" w:lineRule="auto"/>
              <w:jc w:val="center"/>
              <w:rPr>
                <w:rFonts w:eastAsia="MS Mincho" w:cs="Arial"/>
                <w:w w:val="85"/>
                <w:sz w:val="18"/>
                <w:szCs w:val="18"/>
                <w:vertAlign w:val="superscript"/>
              </w:rPr>
            </w:pPr>
            <w:r w:rsidRPr="00C30B2D">
              <w:rPr>
                <w:rFonts w:eastAsia="MS Mincho" w:cs="Arial"/>
                <w:spacing w:val="-3"/>
                <w:sz w:val="18"/>
                <w:szCs w:val="18"/>
              </w:rPr>
              <w:t>Yes</w:t>
            </w:r>
          </w:p>
        </w:tc>
        <w:tc>
          <w:tcPr>
            <w:tcW w:w="1105" w:type="dxa"/>
            <w:vAlign w:val="center"/>
            <w:hideMark/>
          </w:tcPr>
          <w:p w14:paraId="372E8FD3" w14:textId="77777777" w:rsidR="00340653" w:rsidRPr="00C30B2D" w:rsidRDefault="00340653" w:rsidP="00340653">
            <w:pPr>
              <w:widowControl w:val="0"/>
              <w:kinsoku w:val="0"/>
              <w:overflowPunct w:val="0"/>
              <w:autoSpaceDE w:val="0"/>
              <w:autoSpaceDN w:val="0"/>
              <w:adjustRightInd w:val="0"/>
              <w:spacing w:before="120"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105056F7" w14:textId="77777777" w:rsidR="00340653" w:rsidRPr="00C30B2D" w:rsidRDefault="00340653" w:rsidP="00340653">
            <w:pPr>
              <w:widowControl w:val="0"/>
              <w:kinsoku w:val="0"/>
              <w:overflowPunct w:val="0"/>
              <w:autoSpaceDE w:val="0"/>
              <w:autoSpaceDN w:val="0"/>
              <w:adjustRightInd w:val="0"/>
              <w:spacing w:before="120" w:after="0" w:line="276" w:lineRule="auto"/>
              <w:ind w:right="227"/>
              <w:jc w:val="right"/>
              <w:rPr>
                <w:rFonts w:eastAsia="MS Mincho" w:cs="Arial"/>
                <w:spacing w:val="-3"/>
                <w:sz w:val="18"/>
                <w:szCs w:val="18"/>
              </w:rPr>
            </w:pPr>
            <w:r>
              <w:rPr>
                <w:rFonts w:eastAsia="MS Mincho" w:cs="Arial"/>
                <w:spacing w:val="-3"/>
                <w:sz w:val="18"/>
                <w:szCs w:val="18"/>
              </w:rPr>
              <w:t>$13.2</w:t>
            </w:r>
          </w:p>
        </w:tc>
      </w:tr>
    </w:tbl>
    <w:p w14:paraId="52F94123" w14:textId="296C1B0F" w:rsidR="00340653" w:rsidRPr="00340653" w:rsidRDefault="00340653" w:rsidP="006E5A19">
      <w:pPr>
        <w:pStyle w:val="BodyText2"/>
        <w:spacing w:before="120" w:after="150"/>
        <w:rPr>
          <w:rFonts w:ascii="Arial" w:hAnsi="Arial" w:cs="Arial"/>
          <w:sz w:val="18"/>
        </w:rPr>
      </w:pPr>
      <w:r w:rsidRPr="00340653">
        <w:rPr>
          <w:rFonts w:ascii="Arial" w:hAnsi="Arial" w:cs="Arial"/>
          <w:sz w:val="18"/>
        </w:rPr>
        <w:t>Allow not-for profit entities to report donations and grants with performance obligations as revenue when the obligation has been met. Broaden the range of assets reported on a not-for-profit’s balance sheet at ‘fair value’. The OBPR does not assess the adequacy of the content of an independent review used in lieu of a RIS.</w:t>
      </w:r>
    </w:p>
    <w:p w14:paraId="0014C635" w14:textId="38092C67" w:rsidR="00C30B2D" w:rsidRDefault="00C30B2D" w:rsidP="00C07154">
      <w:pPr>
        <w:pStyle w:val="Heading3"/>
        <w:keepNext/>
        <w:spacing w:before="120"/>
      </w:pPr>
      <w:bookmarkStart w:id="293" w:name="_Toc5375764"/>
      <w:r w:rsidRPr="00C30B2D">
        <w:t>Australian Competition and Consumer Commission</w:t>
      </w:r>
      <w:bookmarkEnd w:id="293"/>
      <w:r w:rsidRPr="00C30B2D">
        <w:t xml:space="preserve"> </w:t>
      </w:r>
    </w:p>
    <w:tbl>
      <w:tblPr>
        <w:tblW w:w="10065" w:type="dxa"/>
        <w:tblInd w:w="-142" w:type="dxa"/>
        <w:tblLayout w:type="fixed"/>
        <w:tblCellMar>
          <w:left w:w="0" w:type="dxa"/>
          <w:right w:w="0" w:type="dxa"/>
        </w:tblCellMar>
        <w:tblLook w:val="04A0" w:firstRow="1" w:lastRow="0" w:firstColumn="1" w:lastColumn="0" w:noHBand="0" w:noVBand="1"/>
        <w:tblCaption w:val="Declaration of Wholesale ADSL"/>
        <w:tblDescription w:val="Declaration of Wholesale ADSL: Compliant, Best practice, No PIR required. Regulatory Burden: $0.0m."/>
      </w:tblPr>
      <w:tblGrid>
        <w:gridCol w:w="5422"/>
        <w:gridCol w:w="1245"/>
        <w:gridCol w:w="1106"/>
        <w:gridCol w:w="1105"/>
        <w:gridCol w:w="1187"/>
      </w:tblGrid>
      <w:tr w:rsidR="00D339A2" w:rsidRPr="00C30B2D" w14:paraId="4EAD91CA" w14:textId="77777777" w:rsidTr="00173754">
        <w:trPr>
          <w:tblHeader/>
        </w:trPr>
        <w:tc>
          <w:tcPr>
            <w:tcW w:w="5422" w:type="dxa"/>
            <w:shd w:val="clear" w:color="auto" w:fill="F4973F"/>
            <w:vAlign w:val="center"/>
            <w:hideMark/>
          </w:tcPr>
          <w:p w14:paraId="49F3D8FC" w14:textId="77777777" w:rsidR="00D339A2" w:rsidRPr="00C30B2D" w:rsidRDefault="00D339A2"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sidRPr="00C30B2D">
              <w:rPr>
                <w:rFonts w:eastAsia="MS Mincho" w:cs="Arial"/>
                <w:color w:val="FFFFFF"/>
                <w:w w:val="105"/>
                <w:sz w:val="18"/>
                <w:szCs w:val="18"/>
              </w:rPr>
              <w:t>Proposal</w:t>
            </w:r>
          </w:p>
        </w:tc>
        <w:tc>
          <w:tcPr>
            <w:tcW w:w="1245" w:type="dxa"/>
            <w:shd w:val="clear" w:color="auto" w:fill="F4973F"/>
            <w:vAlign w:val="center"/>
            <w:hideMark/>
          </w:tcPr>
          <w:p w14:paraId="2AD81CF5" w14:textId="77777777" w:rsidR="00D339A2" w:rsidRPr="00C30B2D" w:rsidRDefault="00D339A2"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3FDB9B93" w14:textId="77777777" w:rsidR="00D339A2" w:rsidRPr="00C30B2D" w:rsidRDefault="00D339A2"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66EC358F" w14:textId="77777777" w:rsidR="00D339A2" w:rsidRPr="00C30B2D" w:rsidRDefault="00D339A2"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0ECFA304" w14:textId="77777777" w:rsidR="00D339A2" w:rsidRPr="00C30B2D" w:rsidRDefault="00D339A2"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D339A2" w:rsidRPr="00C30B2D" w14:paraId="68E190F3" w14:textId="77777777" w:rsidTr="006E5A19">
        <w:trPr>
          <w:trHeight w:hRule="exact" w:val="510"/>
        </w:trPr>
        <w:tc>
          <w:tcPr>
            <w:tcW w:w="5422" w:type="dxa"/>
            <w:vAlign w:val="center"/>
            <w:hideMark/>
          </w:tcPr>
          <w:p w14:paraId="73BEDB34" w14:textId="7EA1511C" w:rsidR="00D339A2" w:rsidRPr="00C30B2D" w:rsidRDefault="00D339A2" w:rsidP="009465BE">
            <w:pPr>
              <w:widowControl w:val="0"/>
              <w:kinsoku w:val="0"/>
              <w:overflowPunct w:val="0"/>
              <w:autoSpaceDE w:val="0"/>
              <w:autoSpaceDN w:val="0"/>
              <w:adjustRightInd w:val="0"/>
              <w:spacing w:before="54" w:after="0" w:line="252" w:lineRule="auto"/>
              <w:ind w:left="135" w:right="102"/>
              <w:rPr>
                <w:rFonts w:eastAsia="MS Mincho" w:cs="Arial"/>
                <w:spacing w:val="-3"/>
                <w:sz w:val="18"/>
                <w:szCs w:val="18"/>
              </w:rPr>
            </w:pPr>
            <w:r w:rsidRPr="007C5589">
              <w:rPr>
                <w:rFonts w:cs="Arial"/>
                <w:sz w:val="18"/>
                <w:szCs w:val="18"/>
              </w:rPr>
              <w:t>Declaration of Wholesale ADSL</w:t>
            </w:r>
            <w:r w:rsidR="007C5589">
              <w:rPr>
                <w:rFonts w:cs="Arial"/>
                <w:sz w:val="18"/>
                <w:szCs w:val="18"/>
              </w:rPr>
              <w:t xml:space="preserve"> </w:t>
            </w:r>
            <w:r w:rsidR="007C5589" w:rsidRPr="00185750">
              <w:rPr>
                <w:rFonts w:cs="Arial"/>
                <w:sz w:val="18"/>
                <w:szCs w:val="18"/>
              </w:rPr>
              <w:t>– Independent Review</w:t>
            </w:r>
          </w:p>
        </w:tc>
        <w:tc>
          <w:tcPr>
            <w:tcW w:w="1245" w:type="dxa"/>
            <w:vAlign w:val="center"/>
            <w:hideMark/>
          </w:tcPr>
          <w:p w14:paraId="7BEC5E83" w14:textId="52E0B1BA" w:rsidR="00D339A2" w:rsidRPr="00C30B2D" w:rsidRDefault="00340653" w:rsidP="00160EBE">
            <w:pPr>
              <w:widowControl w:val="0"/>
              <w:kinsoku w:val="0"/>
              <w:overflowPunct w:val="0"/>
              <w:autoSpaceDE w:val="0"/>
              <w:autoSpaceDN w:val="0"/>
              <w:adjustRightInd w:val="0"/>
              <w:spacing w:before="54" w:after="0" w:line="276" w:lineRule="auto"/>
              <w:jc w:val="center"/>
              <w:rPr>
                <w:rFonts w:eastAsia="MS Mincho" w:cs="Arial"/>
                <w:spacing w:val="-2"/>
                <w:w w:val="90"/>
                <w:sz w:val="18"/>
                <w:szCs w:val="18"/>
              </w:rPr>
            </w:pPr>
            <w:r>
              <w:rPr>
                <w:rFonts w:eastAsia="MS Mincho" w:cs="Arial"/>
                <w:spacing w:val="-3"/>
                <w:sz w:val="18"/>
                <w:szCs w:val="18"/>
              </w:rPr>
              <w:t>Compliant</w:t>
            </w:r>
          </w:p>
        </w:tc>
        <w:tc>
          <w:tcPr>
            <w:tcW w:w="1106" w:type="dxa"/>
            <w:vAlign w:val="center"/>
            <w:hideMark/>
          </w:tcPr>
          <w:p w14:paraId="35F2B4C3" w14:textId="0A44DD53" w:rsidR="00D339A2" w:rsidRPr="00AD7705" w:rsidRDefault="00D339A2" w:rsidP="00AD7705">
            <w:pPr>
              <w:widowControl w:val="0"/>
              <w:kinsoku w:val="0"/>
              <w:overflowPunct w:val="0"/>
              <w:autoSpaceDE w:val="0"/>
              <w:autoSpaceDN w:val="0"/>
              <w:adjustRightInd w:val="0"/>
              <w:spacing w:before="54" w:after="0" w:line="276" w:lineRule="auto"/>
              <w:jc w:val="center"/>
              <w:rPr>
                <w:rFonts w:eastAsia="MS Mincho" w:cs="Arial"/>
                <w:w w:val="85"/>
                <w:sz w:val="18"/>
                <w:szCs w:val="18"/>
                <w:vertAlign w:val="superscript"/>
              </w:rPr>
            </w:pPr>
            <w:r w:rsidRPr="00C30B2D">
              <w:rPr>
                <w:rFonts w:eastAsia="MS Mincho" w:cs="Arial"/>
                <w:spacing w:val="-3"/>
                <w:sz w:val="18"/>
                <w:szCs w:val="18"/>
              </w:rPr>
              <w:t>Yes</w:t>
            </w:r>
          </w:p>
        </w:tc>
        <w:tc>
          <w:tcPr>
            <w:tcW w:w="1105" w:type="dxa"/>
            <w:vAlign w:val="center"/>
            <w:hideMark/>
          </w:tcPr>
          <w:p w14:paraId="3B0D6958" w14:textId="77777777" w:rsidR="00D339A2" w:rsidRPr="00C30B2D" w:rsidRDefault="00D339A2" w:rsidP="00160EBE">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0C8F19E8" w14:textId="7E5ED164" w:rsidR="00D339A2" w:rsidRPr="00C30B2D" w:rsidRDefault="00D339A2" w:rsidP="00D339A2">
            <w:pPr>
              <w:widowControl w:val="0"/>
              <w:kinsoku w:val="0"/>
              <w:overflowPunct w:val="0"/>
              <w:autoSpaceDE w:val="0"/>
              <w:autoSpaceDN w:val="0"/>
              <w:adjustRightInd w:val="0"/>
              <w:spacing w:before="54" w:after="0" w:line="276" w:lineRule="auto"/>
              <w:ind w:right="227"/>
              <w:jc w:val="right"/>
              <w:rPr>
                <w:rFonts w:eastAsia="MS Mincho" w:cs="Arial"/>
                <w:spacing w:val="-3"/>
                <w:sz w:val="18"/>
                <w:szCs w:val="18"/>
              </w:rPr>
            </w:pPr>
            <w:r w:rsidRPr="00C30B2D">
              <w:rPr>
                <w:rFonts w:eastAsia="MS Mincho" w:cs="Arial"/>
                <w:spacing w:val="-3"/>
                <w:sz w:val="18"/>
                <w:szCs w:val="18"/>
              </w:rPr>
              <w:t>$</w:t>
            </w:r>
            <w:r>
              <w:rPr>
                <w:rFonts w:eastAsia="MS Mincho" w:cs="Arial"/>
                <w:spacing w:val="-3"/>
                <w:sz w:val="18"/>
                <w:szCs w:val="18"/>
              </w:rPr>
              <w:t>0</w:t>
            </w:r>
            <w:r w:rsidRPr="00C30B2D">
              <w:rPr>
                <w:rFonts w:eastAsia="MS Mincho" w:cs="Arial"/>
                <w:spacing w:val="-3"/>
                <w:sz w:val="18"/>
                <w:szCs w:val="18"/>
              </w:rPr>
              <w:t>.</w:t>
            </w:r>
            <w:r>
              <w:rPr>
                <w:rFonts w:eastAsia="MS Mincho" w:cs="Arial"/>
                <w:spacing w:val="-3"/>
                <w:sz w:val="18"/>
                <w:szCs w:val="18"/>
              </w:rPr>
              <w:t>0</w:t>
            </w:r>
          </w:p>
        </w:tc>
      </w:tr>
    </w:tbl>
    <w:p w14:paraId="1A5DEEE7" w14:textId="28FB13EB" w:rsidR="00DE3AE5" w:rsidRPr="006C34C6" w:rsidRDefault="00DE3AE5" w:rsidP="006E5A19">
      <w:pPr>
        <w:spacing w:before="120" w:after="150"/>
        <w:rPr>
          <w:rFonts w:cs="Arial"/>
          <w:sz w:val="18"/>
          <w:szCs w:val="18"/>
        </w:rPr>
      </w:pPr>
      <w:bookmarkStart w:id="294" w:name="_Toc479345527"/>
      <w:bookmarkStart w:id="295" w:name="_Toc479345889"/>
      <w:bookmarkStart w:id="296" w:name="_Toc480281453"/>
      <w:r w:rsidRPr="006C34C6">
        <w:rPr>
          <w:rFonts w:cs="Arial"/>
          <w:sz w:val="18"/>
          <w:szCs w:val="18"/>
        </w:rPr>
        <w:t>Extend a declaration on Telstra’s wholesale ADSL internet services for five more years. The declaration means that the Australian Competition and Consumer Commission (ACCC) can set the price and other conditions when Telstra sells wholesale access of ADSL internet services to other retail internet providers.</w:t>
      </w:r>
      <w:bookmarkEnd w:id="294"/>
      <w:bookmarkEnd w:id="295"/>
      <w:bookmarkEnd w:id="296"/>
      <w:r w:rsidR="00CC687B" w:rsidRPr="006C34C6">
        <w:rPr>
          <w:rFonts w:cs="Arial"/>
          <w:sz w:val="18"/>
          <w:szCs w:val="18"/>
        </w:rPr>
        <w:t xml:space="preserve"> </w:t>
      </w:r>
      <w:r w:rsidR="0050744B" w:rsidRPr="0050744B">
        <w:rPr>
          <w:rFonts w:cs="Arial"/>
          <w:sz w:val="18"/>
          <w:szCs w:val="18"/>
        </w:rPr>
        <w:t>The OBPR does not assess the adequacy of the content of an independent review used in lieu of a RIS.</w:t>
      </w:r>
      <w:r w:rsidR="00C426D7">
        <w:rPr>
          <w:rFonts w:cs="Arial"/>
          <w:sz w:val="18"/>
          <w:szCs w:val="18"/>
        </w:rPr>
        <w:t xml:space="preserve"> </w:t>
      </w:r>
    </w:p>
    <w:tbl>
      <w:tblPr>
        <w:tblW w:w="10065" w:type="dxa"/>
        <w:tblInd w:w="-142" w:type="dxa"/>
        <w:tblLayout w:type="fixed"/>
        <w:tblCellMar>
          <w:left w:w="0" w:type="dxa"/>
          <w:right w:w="0" w:type="dxa"/>
        </w:tblCellMar>
        <w:tblLook w:val="04A0" w:firstRow="1" w:lastRow="0" w:firstColumn="1" w:lastColumn="0" w:noHBand="0" w:noVBand="1"/>
        <w:tblCaption w:val="Superfast Broadband Declaration"/>
        <w:tblDescription w:val="Superfast Broadband Declaration: Compliant, Best practice, No PIR required. Regulatory Burden: $1.2m."/>
      </w:tblPr>
      <w:tblGrid>
        <w:gridCol w:w="5422"/>
        <w:gridCol w:w="1245"/>
        <w:gridCol w:w="1106"/>
        <w:gridCol w:w="1105"/>
        <w:gridCol w:w="1187"/>
      </w:tblGrid>
      <w:tr w:rsidR="00C30B2D" w:rsidRPr="00C30B2D" w14:paraId="0014C63B" w14:textId="77777777" w:rsidTr="00173754">
        <w:trPr>
          <w:tblHeader/>
        </w:trPr>
        <w:tc>
          <w:tcPr>
            <w:tcW w:w="5422" w:type="dxa"/>
            <w:shd w:val="clear" w:color="auto" w:fill="F4973F"/>
            <w:vAlign w:val="center"/>
            <w:hideMark/>
          </w:tcPr>
          <w:p w14:paraId="0014C636" w14:textId="7FD5C0DF" w:rsidR="00C30B2D" w:rsidRPr="00C30B2D" w:rsidRDefault="00C30B2D" w:rsidP="006E5A19">
            <w:pPr>
              <w:widowControl w:val="0"/>
              <w:kinsoku w:val="0"/>
              <w:overflowPunct w:val="0"/>
              <w:autoSpaceDE w:val="0"/>
              <w:autoSpaceDN w:val="0"/>
              <w:adjustRightInd w:val="0"/>
              <w:spacing w:beforeLines="40" w:before="96" w:after="60" w:line="276" w:lineRule="auto"/>
              <w:ind w:left="142"/>
              <w:rPr>
                <w:rFonts w:ascii="Times New Roman" w:eastAsia="MS Mincho" w:hAnsi="Times New Roman"/>
                <w:sz w:val="24"/>
              </w:rPr>
            </w:pPr>
            <w:r w:rsidRPr="00C30B2D">
              <w:rPr>
                <w:rFonts w:eastAsia="MS Mincho" w:cs="Arial"/>
                <w:color w:val="FFFFFF"/>
                <w:w w:val="105"/>
                <w:sz w:val="18"/>
                <w:szCs w:val="18"/>
              </w:rPr>
              <w:t>Proposal</w:t>
            </w:r>
          </w:p>
        </w:tc>
        <w:tc>
          <w:tcPr>
            <w:tcW w:w="1245" w:type="dxa"/>
            <w:shd w:val="clear" w:color="auto" w:fill="F4973F"/>
            <w:vAlign w:val="center"/>
            <w:hideMark/>
          </w:tcPr>
          <w:p w14:paraId="0014C637" w14:textId="77777777" w:rsidR="00C30B2D" w:rsidRPr="00C30B2D" w:rsidRDefault="00C30B2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0014C638" w14:textId="77777777" w:rsidR="00C30B2D" w:rsidRPr="00C30B2D" w:rsidRDefault="00C30B2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0014C639" w14:textId="77777777" w:rsidR="00C30B2D" w:rsidRPr="00C30B2D" w:rsidRDefault="00C30B2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0014C63A" w14:textId="77777777" w:rsidR="00C30B2D" w:rsidRPr="00C30B2D" w:rsidRDefault="00C30B2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C30B2D" w:rsidRPr="00C30B2D" w14:paraId="0014C641" w14:textId="77777777" w:rsidTr="006E5A19">
        <w:trPr>
          <w:trHeight w:hRule="exact" w:val="510"/>
        </w:trPr>
        <w:tc>
          <w:tcPr>
            <w:tcW w:w="5422" w:type="dxa"/>
            <w:vAlign w:val="center"/>
            <w:hideMark/>
          </w:tcPr>
          <w:p w14:paraId="0014C63C" w14:textId="49F64028" w:rsidR="00C30B2D" w:rsidRPr="00925302" w:rsidRDefault="00C30B2D" w:rsidP="009465BE">
            <w:pPr>
              <w:widowControl w:val="0"/>
              <w:kinsoku w:val="0"/>
              <w:overflowPunct w:val="0"/>
              <w:autoSpaceDE w:val="0"/>
              <w:autoSpaceDN w:val="0"/>
              <w:adjustRightInd w:val="0"/>
              <w:spacing w:before="54" w:after="0" w:line="252" w:lineRule="auto"/>
              <w:ind w:left="135" w:right="102"/>
              <w:rPr>
                <w:rFonts w:eastAsia="MS Mincho" w:cs="Arial"/>
                <w:spacing w:val="-3"/>
                <w:sz w:val="18"/>
                <w:szCs w:val="18"/>
                <w:highlight w:val="yellow"/>
              </w:rPr>
            </w:pPr>
            <w:r w:rsidRPr="007C5589">
              <w:rPr>
                <w:rFonts w:cs="Arial"/>
                <w:sz w:val="18"/>
                <w:szCs w:val="18"/>
              </w:rPr>
              <w:t>Superfast Broadband Declaration</w:t>
            </w:r>
            <w:r w:rsidR="007C5589" w:rsidRPr="007C5589">
              <w:rPr>
                <w:rFonts w:cs="Arial"/>
                <w:sz w:val="18"/>
                <w:szCs w:val="18"/>
              </w:rPr>
              <w:t xml:space="preserve"> </w:t>
            </w:r>
            <w:r w:rsidR="007C5589" w:rsidRPr="00185750">
              <w:rPr>
                <w:rFonts w:cs="Arial"/>
                <w:sz w:val="18"/>
                <w:szCs w:val="18"/>
              </w:rPr>
              <w:t>– Independent Review</w:t>
            </w:r>
          </w:p>
        </w:tc>
        <w:tc>
          <w:tcPr>
            <w:tcW w:w="1245" w:type="dxa"/>
            <w:vAlign w:val="center"/>
            <w:hideMark/>
          </w:tcPr>
          <w:p w14:paraId="0014C63D" w14:textId="084143EE" w:rsidR="00C30B2D" w:rsidRPr="00925302" w:rsidRDefault="00340653" w:rsidP="00925302">
            <w:pPr>
              <w:widowControl w:val="0"/>
              <w:kinsoku w:val="0"/>
              <w:overflowPunct w:val="0"/>
              <w:autoSpaceDE w:val="0"/>
              <w:autoSpaceDN w:val="0"/>
              <w:adjustRightInd w:val="0"/>
              <w:spacing w:before="54" w:after="0" w:line="276" w:lineRule="auto"/>
              <w:jc w:val="center"/>
              <w:rPr>
                <w:rFonts w:eastAsia="MS Mincho" w:cs="Arial"/>
                <w:spacing w:val="-2"/>
                <w:w w:val="90"/>
                <w:sz w:val="18"/>
                <w:szCs w:val="18"/>
                <w:highlight w:val="yellow"/>
              </w:rPr>
            </w:pPr>
            <w:r>
              <w:rPr>
                <w:rFonts w:eastAsia="MS Mincho" w:cs="Arial"/>
                <w:spacing w:val="-3"/>
                <w:sz w:val="18"/>
                <w:szCs w:val="18"/>
              </w:rPr>
              <w:t>Compliant</w:t>
            </w:r>
          </w:p>
        </w:tc>
        <w:tc>
          <w:tcPr>
            <w:tcW w:w="1106" w:type="dxa"/>
            <w:vAlign w:val="center"/>
            <w:hideMark/>
          </w:tcPr>
          <w:p w14:paraId="0014C63E" w14:textId="7CB8B96E" w:rsidR="00C30B2D" w:rsidRPr="00AD7705" w:rsidRDefault="00C30B2D" w:rsidP="00AD7705">
            <w:pPr>
              <w:widowControl w:val="0"/>
              <w:kinsoku w:val="0"/>
              <w:overflowPunct w:val="0"/>
              <w:autoSpaceDE w:val="0"/>
              <w:autoSpaceDN w:val="0"/>
              <w:adjustRightInd w:val="0"/>
              <w:spacing w:before="54" w:after="0" w:line="276" w:lineRule="auto"/>
              <w:jc w:val="center"/>
              <w:rPr>
                <w:rFonts w:eastAsia="MS Mincho" w:cs="Arial"/>
                <w:w w:val="85"/>
                <w:sz w:val="18"/>
                <w:szCs w:val="18"/>
                <w:vertAlign w:val="superscript"/>
              </w:rPr>
            </w:pPr>
            <w:r w:rsidRPr="00C30B2D">
              <w:rPr>
                <w:rFonts w:eastAsia="MS Mincho" w:cs="Arial"/>
                <w:spacing w:val="-3"/>
                <w:sz w:val="18"/>
                <w:szCs w:val="18"/>
              </w:rPr>
              <w:t>Yes</w:t>
            </w:r>
          </w:p>
        </w:tc>
        <w:tc>
          <w:tcPr>
            <w:tcW w:w="1105" w:type="dxa"/>
            <w:vAlign w:val="center"/>
            <w:hideMark/>
          </w:tcPr>
          <w:p w14:paraId="0014C63F" w14:textId="77777777" w:rsidR="00C30B2D" w:rsidRPr="00C30B2D" w:rsidRDefault="00C30B2D" w:rsidP="00C30B2D">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0014C640" w14:textId="77777777" w:rsidR="00C30B2D" w:rsidRPr="00C30B2D" w:rsidRDefault="00C30B2D" w:rsidP="00C30B2D">
            <w:pPr>
              <w:widowControl w:val="0"/>
              <w:kinsoku w:val="0"/>
              <w:overflowPunct w:val="0"/>
              <w:autoSpaceDE w:val="0"/>
              <w:autoSpaceDN w:val="0"/>
              <w:adjustRightInd w:val="0"/>
              <w:spacing w:before="54" w:after="0" w:line="276" w:lineRule="auto"/>
              <w:ind w:right="227"/>
              <w:jc w:val="right"/>
              <w:rPr>
                <w:rFonts w:eastAsia="MS Mincho" w:cs="Arial"/>
                <w:spacing w:val="-3"/>
                <w:sz w:val="18"/>
                <w:szCs w:val="18"/>
              </w:rPr>
            </w:pPr>
            <w:r w:rsidRPr="00C30B2D">
              <w:rPr>
                <w:rFonts w:eastAsia="MS Mincho" w:cs="Arial"/>
                <w:spacing w:val="-3"/>
                <w:sz w:val="18"/>
                <w:szCs w:val="18"/>
              </w:rPr>
              <w:t>$1.2</w:t>
            </w:r>
          </w:p>
        </w:tc>
      </w:tr>
    </w:tbl>
    <w:bookmarkEnd w:id="257"/>
    <w:p w14:paraId="09DFE476" w14:textId="1E1523B6" w:rsidR="00DE3AE5" w:rsidRPr="006C34C6" w:rsidRDefault="00DE3AE5" w:rsidP="006E5A19">
      <w:pPr>
        <w:spacing w:before="120" w:after="150"/>
        <w:rPr>
          <w:rFonts w:cs="Arial"/>
          <w:sz w:val="18"/>
          <w:szCs w:val="18"/>
        </w:rPr>
      </w:pPr>
      <w:r w:rsidRPr="006C34C6">
        <w:rPr>
          <w:rFonts w:cs="Arial"/>
          <w:sz w:val="18"/>
          <w:szCs w:val="18"/>
        </w:rPr>
        <w:t xml:space="preserve">The Declaration means that non-NBN broadband services with data rates normally more than 25 Mbps will have the price that they charge for wholesale access determined by the ACCC. The decision was informed by the Superfast Broadband Access Service Declaration Inquiry, which the ACCC certified as meeting the requirements of a RIS. </w:t>
      </w:r>
      <w:r w:rsidR="0050744B" w:rsidRPr="0050744B">
        <w:rPr>
          <w:rFonts w:cs="Arial"/>
          <w:sz w:val="18"/>
          <w:szCs w:val="18"/>
        </w:rPr>
        <w:t>The OBPR does not assess the adequacy of the content of an independent review used in lieu of a RIS.</w:t>
      </w:r>
      <w:r w:rsidR="00C426D7">
        <w:rPr>
          <w:rFonts w:cs="Arial"/>
          <w:sz w:val="18"/>
          <w:szCs w:val="18"/>
        </w:rPr>
        <w:t xml:space="preserve"> </w:t>
      </w:r>
    </w:p>
    <w:p w14:paraId="71CB7C3F" w14:textId="1D86BF85" w:rsidR="00F30B0D" w:rsidRDefault="00766AE3" w:rsidP="003E6252">
      <w:pPr>
        <w:pStyle w:val="Heading3"/>
      </w:pPr>
      <w:bookmarkStart w:id="297" w:name="_Toc5375765"/>
      <w:r>
        <w:t>Australian Prudential Regulation Authority</w:t>
      </w:r>
      <w:bookmarkEnd w:id="297"/>
    </w:p>
    <w:tbl>
      <w:tblPr>
        <w:tblW w:w="10065" w:type="dxa"/>
        <w:tblInd w:w="-142" w:type="dxa"/>
        <w:tblLayout w:type="fixed"/>
        <w:tblCellMar>
          <w:left w:w="0" w:type="dxa"/>
          <w:right w:w="0" w:type="dxa"/>
        </w:tblCellMar>
        <w:tblLook w:val="04A0" w:firstRow="1" w:lastRow="0" w:firstColumn="1" w:lastColumn="0" w:noHBand="0" w:noVBand="1"/>
        <w:tblCaption w:val="Implementing the Net Stable Funding Ratio in Australia"/>
        <w:tblDescription w:val="Implementing the Net Stable Funding Ratio in Australia: Compliant, Not best practice, PIR required. Regulatory Burden: $2.4m."/>
      </w:tblPr>
      <w:tblGrid>
        <w:gridCol w:w="5417"/>
        <w:gridCol w:w="1244"/>
        <w:gridCol w:w="1105"/>
        <w:gridCol w:w="1104"/>
        <w:gridCol w:w="1195"/>
      </w:tblGrid>
      <w:tr w:rsidR="00F30B0D" w14:paraId="6E0D284A" w14:textId="77777777" w:rsidTr="00173754">
        <w:trPr>
          <w:tblHeader/>
        </w:trPr>
        <w:tc>
          <w:tcPr>
            <w:tcW w:w="5417" w:type="dxa"/>
            <w:shd w:val="clear" w:color="auto" w:fill="F4973F"/>
            <w:vAlign w:val="center"/>
            <w:hideMark/>
          </w:tcPr>
          <w:p w14:paraId="266A63C4" w14:textId="77777777" w:rsidR="00F30B0D" w:rsidRDefault="00F30B0D"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Pr>
                <w:rFonts w:eastAsia="MS Mincho" w:cs="Arial"/>
                <w:color w:val="FFFFFF"/>
                <w:w w:val="105"/>
                <w:sz w:val="18"/>
                <w:szCs w:val="18"/>
              </w:rPr>
              <w:t>Proposal</w:t>
            </w:r>
          </w:p>
        </w:tc>
        <w:tc>
          <w:tcPr>
            <w:tcW w:w="1244" w:type="dxa"/>
            <w:shd w:val="clear" w:color="auto" w:fill="F4973F"/>
            <w:vAlign w:val="center"/>
            <w:hideMark/>
          </w:tcPr>
          <w:p w14:paraId="5A8218D0"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RIS Status</w:t>
            </w:r>
          </w:p>
        </w:tc>
        <w:tc>
          <w:tcPr>
            <w:tcW w:w="1105" w:type="dxa"/>
            <w:shd w:val="clear" w:color="auto" w:fill="F4973F"/>
            <w:vAlign w:val="center"/>
            <w:hideMark/>
          </w:tcPr>
          <w:p w14:paraId="4BFECFC2"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 xml:space="preserve">Best </w:t>
            </w:r>
            <w:r>
              <w:rPr>
                <w:rFonts w:eastAsia="MS Mincho" w:cs="Arial"/>
                <w:color w:val="FFFFFF"/>
                <w:w w:val="105"/>
                <w:sz w:val="18"/>
                <w:szCs w:val="18"/>
              </w:rPr>
              <w:br/>
              <w:t>practice</w:t>
            </w:r>
          </w:p>
        </w:tc>
        <w:tc>
          <w:tcPr>
            <w:tcW w:w="1104" w:type="dxa"/>
            <w:shd w:val="clear" w:color="auto" w:fill="F4973F"/>
            <w:vAlign w:val="center"/>
            <w:hideMark/>
          </w:tcPr>
          <w:p w14:paraId="09752A69"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 xml:space="preserve">PIR </w:t>
            </w:r>
            <w:r>
              <w:rPr>
                <w:rFonts w:eastAsia="MS Mincho" w:cs="Arial"/>
                <w:color w:val="FFFFFF"/>
                <w:w w:val="105"/>
                <w:sz w:val="18"/>
                <w:szCs w:val="18"/>
              </w:rPr>
              <w:br/>
              <w:t>required</w:t>
            </w:r>
          </w:p>
        </w:tc>
        <w:tc>
          <w:tcPr>
            <w:tcW w:w="1195" w:type="dxa"/>
            <w:shd w:val="clear" w:color="auto" w:fill="F4973F"/>
            <w:vAlign w:val="center"/>
            <w:hideMark/>
          </w:tcPr>
          <w:p w14:paraId="6EE8A4F4"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Regulatory Burden ($m)</w:t>
            </w:r>
          </w:p>
        </w:tc>
      </w:tr>
      <w:tr w:rsidR="00F30B0D" w14:paraId="4A04C2B8" w14:textId="77777777" w:rsidTr="006E5A19">
        <w:trPr>
          <w:trHeight w:hRule="exact" w:val="510"/>
        </w:trPr>
        <w:tc>
          <w:tcPr>
            <w:tcW w:w="5417" w:type="dxa"/>
            <w:vAlign w:val="center"/>
            <w:hideMark/>
          </w:tcPr>
          <w:p w14:paraId="09CF7E45" w14:textId="0226F0A2" w:rsidR="00F30B0D" w:rsidRPr="00D558B8" w:rsidRDefault="00796F63" w:rsidP="009465BE">
            <w:pPr>
              <w:widowControl w:val="0"/>
              <w:kinsoku w:val="0"/>
              <w:overflowPunct w:val="0"/>
              <w:autoSpaceDE w:val="0"/>
              <w:autoSpaceDN w:val="0"/>
              <w:adjustRightInd w:val="0"/>
              <w:spacing w:after="0" w:line="252" w:lineRule="auto"/>
              <w:ind w:left="135" w:right="102"/>
              <w:rPr>
                <w:rFonts w:eastAsia="MS Mincho" w:cs="Arial"/>
                <w:spacing w:val="-3"/>
                <w:sz w:val="18"/>
                <w:szCs w:val="18"/>
              </w:rPr>
            </w:pPr>
            <w:r>
              <w:rPr>
                <w:rFonts w:eastAsia="MS Mincho" w:cs="Arial"/>
                <w:bCs/>
                <w:spacing w:val="-3"/>
                <w:sz w:val="18"/>
                <w:szCs w:val="18"/>
              </w:rPr>
              <w:t>Implementing the Net Stable Funding Ratio in Australia</w:t>
            </w:r>
          </w:p>
        </w:tc>
        <w:tc>
          <w:tcPr>
            <w:tcW w:w="1244" w:type="dxa"/>
            <w:vAlign w:val="center"/>
            <w:hideMark/>
          </w:tcPr>
          <w:p w14:paraId="782BD961" w14:textId="2CDDD43E" w:rsidR="00F30B0D" w:rsidRDefault="00340653" w:rsidP="00796F63">
            <w:pPr>
              <w:widowControl w:val="0"/>
              <w:kinsoku w:val="0"/>
              <w:overflowPunct w:val="0"/>
              <w:autoSpaceDE w:val="0"/>
              <w:autoSpaceDN w:val="0"/>
              <w:adjustRightInd w:val="0"/>
              <w:spacing w:after="0" w:line="276" w:lineRule="auto"/>
              <w:jc w:val="center"/>
              <w:rPr>
                <w:rFonts w:eastAsia="MS Mincho" w:cs="Arial"/>
                <w:spacing w:val="-2"/>
                <w:w w:val="90"/>
                <w:sz w:val="18"/>
                <w:szCs w:val="18"/>
              </w:rPr>
            </w:pPr>
            <w:r>
              <w:rPr>
                <w:rFonts w:eastAsia="MS Mincho" w:cs="Arial"/>
                <w:spacing w:val="-3"/>
                <w:sz w:val="18"/>
                <w:szCs w:val="18"/>
              </w:rPr>
              <w:t>Compliant</w:t>
            </w:r>
          </w:p>
        </w:tc>
        <w:tc>
          <w:tcPr>
            <w:tcW w:w="1105" w:type="dxa"/>
            <w:vAlign w:val="center"/>
            <w:hideMark/>
          </w:tcPr>
          <w:p w14:paraId="453F66E8" w14:textId="11A35478" w:rsidR="00F30B0D" w:rsidRDefault="00796F63" w:rsidP="00796F63">
            <w:pPr>
              <w:widowControl w:val="0"/>
              <w:kinsoku w:val="0"/>
              <w:overflowPunct w:val="0"/>
              <w:autoSpaceDE w:val="0"/>
              <w:autoSpaceDN w:val="0"/>
              <w:adjustRightInd w:val="0"/>
              <w:spacing w:after="0" w:line="276" w:lineRule="auto"/>
              <w:jc w:val="center"/>
              <w:rPr>
                <w:rFonts w:eastAsia="MS Mincho" w:cs="Arial"/>
                <w:w w:val="85"/>
                <w:sz w:val="18"/>
                <w:szCs w:val="18"/>
              </w:rPr>
            </w:pPr>
            <w:r w:rsidRPr="00BA7893">
              <w:rPr>
                <w:rFonts w:eastAsia="MS Mincho" w:cs="Arial"/>
                <w:spacing w:val="-3"/>
                <w:sz w:val="18"/>
                <w:szCs w:val="18"/>
              </w:rPr>
              <w:t>No</w:t>
            </w:r>
          </w:p>
        </w:tc>
        <w:tc>
          <w:tcPr>
            <w:tcW w:w="1104" w:type="dxa"/>
            <w:vAlign w:val="center"/>
            <w:hideMark/>
          </w:tcPr>
          <w:p w14:paraId="2C5BB81C" w14:textId="219BE3D5" w:rsidR="00F30B0D" w:rsidRDefault="00796F63" w:rsidP="00796F63">
            <w:pPr>
              <w:widowControl w:val="0"/>
              <w:kinsoku w:val="0"/>
              <w:overflowPunct w:val="0"/>
              <w:autoSpaceDE w:val="0"/>
              <w:autoSpaceDN w:val="0"/>
              <w:adjustRightInd w:val="0"/>
              <w:spacing w:after="0" w:line="276" w:lineRule="auto"/>
              <w:jc w:val="center"/>
              <w:rPr>
                <w:rFonts w:eastAsia="MS Mincho" w:cs="Arial"/>
                <w:w w:val="85"/>
                <w:sz w:val="18"/>
                <w:szCs w:val="18"/>
              </w:rPr>
            </w:pPr>
            <w:r>
              <w:rPr>
                <w:rFonts w:eastAsia="MS Mincho" w:cs="Arial"/>
                <w:spacing w:val="-3"/>
                <w:sz w:val="18"/>
                <w:szCs w:val="18"/>
              </w:rPr>
              <w:t>Yes</w:t>
            </w:r>
          </w:p>
        </w:tc>
        <w:tc>
          <w:tcPr>
            <w:tcW w:w="1195" w:type="dxa"/>
            <w:vAlign w:val="center"/>
            <w:hideMark/>
          </w:tcPr>
          <w:p w14:paraId="55B2DE3E" w14:textId="2A6D647E" w:rsidR="00F30B0D" w:rsidRDefault="00F30B0D" w:rsidP="00796F63">
            <w:pPr>
              <w:widowControl w:val="0"/>
              <w:kinsoku w:val="0"/>
              <w:overflowPunct w:val="0"/>
              <w:autoSpaceDE w:val="0"/>
              <w:autoSpaceDN w:val="0"/>
              <w:adjustRightInd w:val="0"/>
              <w:spacing w:after="0" w:line="276" w:lineRule="auto"/>
              <w:ind w:right="227"/>
              <w:jc w:val="right"/>
              <w:rPr>
                <w:rFonts w:eastAsia="MS Mincho" w:cs="Arial"/>
                <w:spacing w:val="-3"/>
                <w:sz w:val="18"/>
                <w:szCs w:val="18"/>
              </w:rPr>
            </w:pPr>
            <w:r>
              <w:rPr>
                <w:rFonts w:eastAsia="MS Mincho" w:cs="Arial"/>
                <w:spacing w:val="-3"/>
                <w:sz w:val="18"/>
                <w:szCs w:val="18"/>
              </w:rPr>
              <w:t>$</w:t>
            </w:r>
            <w:r w:rsidR="00796F63">
              <w:rPr>
                <w:rFonts w:eastAsia="MS Mincho" w:cs="Arial"/>
                <w:spacing w:val="-3"/>
                <w:sz w:val="18"/>
                <w:szCs w:val="18"/>
              </w:rPr>
              <w:t>2.4</w:t>
            </w:r>
          </w:p>
        </w:tc>
      </w:tr>
    </w:tbl>
    <w:p w14:paraId="4C03B9F7" w14:textId="77777777" w:rsidR="00DE3AE5" w:rsidRPr="006C34C6" w:rsidRDefault="00DE3AE5" w:rsidP="006E5A19">
      <w:pPr>
        <w:spacing w:before="120" w:after="150"/>
        <w:rPr>
          <w:rFonts w:cs="Arial"/>
          <w:sz w:val="18"/>
          <w:szCs w:val="18"/>
        </w:rPr>
      </w:pPr>
      <w:r w:rsidRPr="006C34C6">
        <w:rPr>
          <w:rFonts w:cs="Arial"/>
          <w:sz w:val="18"/>
          <w:szCs w:val="18"/>
        </w:rPr>
        <w:t>Require Authorised Deposit-taking Institutions to fund their activities with more stable sources of funding on an ongoing basis, commencing on 1 January 2018. The RIS was not assessed as consistent with best practice because it did not provide a level of analysis commensurate with the likely impacts on key stakeholders.</w:t>
      </w:r>
    </w:p>
    <w:tbl>
      <w:tblPr>
        <w:tblW w:w="10065" w:type="dxa"/>
        <w:tblInd w:w="-142" w:type="dxa"/>
        <w:tblLayout w:type="fixed"/>
        <w:tblCellMar>
          <w:left w:w="0" w:type="dxa"/>
          <w:right w:w="0" w:type="dxa"/>
        </w:tblCellMar>
        <w:tblLook w:val="04A0" w:firstRow="1" w:lastRow="0" w:firstColumn="1" w:lastColumn="0" w:noHBand="0" w:noVBand="1"/>
        <w:tblCaption w:val="Margining and Risk Mitigation for Non-centrally Cleared Derivatives"/>
        <w:tblDescription w:val="Margining and Risk Mitigation for Non-centrally Cleared Derivatives: Compliant, Best practice, No PIR required. Regulatory Burden: -$24.6m."/>
      </w:tblPr>
      <w:tblGrid>
        <w:gridCol w:w="5417"/>
        <w:gridCol w:w="1244"/>
        <w:gridCol w:w="1105"/>
        <w:gridCol w:w="1104"/>
        <w:gridCol w:w="1195"/>
      </w:tblGrid>
      <w:tr w:rsidR="00F30B0D" w14:paraId="66ADF113" w14:textId="77777777" w:rsidTr="00173754">
        <w:trPr>
          <w:tblHeader/>
        </w:trPr>
        <w:tc>
          <w:tcPr>
            <w:tcW w:w="5417" w:type="dxa"/>
            <w:shd w:val="clear" w:color="auto" w:fill="F4973F"/>
            <w:vAlign w:val="center"/>
            <w:hideMark/>
          </w:tcPr>
          <w:p w14:paraId="4BE85D32" w14:textId="053227D8" w:rsidR="00F30B0D" w:rsidRDefault="00F30B0D"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Pr>
                <w:rFonts w:eastAsia="MS Mincho" w:cs="Arial"/>
                <w:color w:val="FFFFFF"/>
                <w:w w:val="105"/>
                <w:sz w:val="18"/>
                <w:szCs w:val="18"/>
              </w:rPr>
              <w:t>Proposal</w:t>
            </w:r>
          </w:p>
        </w:tc>
        <w:tc>
          <w:tcPr>
            <w:tcW w:w="1244" w:type="dxa"/>
            <w:shd w:val="clear" w:color="auto" w:fill="F4973F"/>
            <w:vAlign w:val="center"/>
            <w:hideMark/>
          </w:tcPr>
          <w:p w14:paraId="2C4C21C1"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RIS Status</w:t>
            </w:r>
          </w:p>
        </w:tc>
        <w:tc>
          <w:tcPr>
            <w:tcW w:w="1105" w:type="dxa"/>
            <w:shd w:val="clear" w:color="auto" w:fill="F4973F"/>
            <w:vAlign w:val="center"/>
            <w:hideMark/>
          </w:tcPr>
          <w:p w14:paraId="7FB7B3BD"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 xml:space="preserve">Best </w:t>
            </w:r>
            <w:r>
              <w:rPr>
                <w:rFonts w:eastAsia="MS Mincho" w:cs="Arial"/>
                <w:color w:val="FFFFFF"/>
                <w:w w:val="105"/>
                <w:sz w:val="18"/>
                <w:szCs w:val="18"/>
              </w:rPr>
              <w:br/>
              <w:t>practice</w:t>
            </w:r>
          </w:p>
        </w:tc>
        <w:tc>
          <w:tcPr>
            <w:tcW w:w="1104" w:type="dxa"/>
            <w:shd w:val="clear" w:color="auto" w:fill="F4973F"/>
            <w:vAlign w:val="center"/>
            <w:hideMark/>
          </w:tcPr>
          <w:p w14:paraId="45775691"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 xml:space="preserve">PIR </w:t>
            </w:r>
            <w:r>
              <w:rPr>
                <w:rFonts w:eastAsia="MS Mincho" w:cs="Arial"/>
                <w:color w:val="FFFFFF"/>
                <w:w w:val="105"/>
                <w:sz w:val="18"/>
                <w:szCs w:val="18"/>
              </w:rPr>
              <w:br/>
              <w:t>required</w:t>
            </w:r>
          </w:p>
        </w:tc>
        <w:tc>
          <w:tcPr>
            <w:tcW w:w="1195" w:type="dxa"/>
            <w:shd w:val="clear" w:color="auto" w:fill="F4973F"/>
            <w:vAlign w:val="center"/>
            <w:hideMark/>
          </w:tcPr>
          <w:p w14:paraId="0E40CABA"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Regulatory Burden ($m)</w:t>
            </w:r>
          </w:p>
        </w:tc>
      </w:tr>
      <w:tr w:rsidR="00F30B0D" w14:paraId="6DD9EE3B" w14:textId="77777777" w:rsidTr="006E5A19">
        <w:trPr>
          <w:trHeight w:hRule="exact" w:val="737"/>
        </w:trPr>
        <w:tc>
          <w:tcPr>
            <w:tcW w:w="5417" w:type="dxa"/>
            <w:vAlign w:val="center"/>
            <w:hideMark/>
          </w:tcPr>
          <w:p w14:paraId="3A0645E3" w14:textId="77777777" w:rsidR="00F30B0D" w:rsidRDefault="00F30B0D" w:rsidP="006E5A19">
            <w:pPr>
              <w:widowControl w:val="0"/>
              <w:kinsoku w:val="0"/>
              <w:overflowPunct w:val="0"/>
              <w:autoSpaceDE w:val="0"/>
              <w:autoSpaceDN w:val="0"/>
              <w:adjustRightInd w:val="0"/>
              <w:spacing w:after="0" w:line="252" w:lineRule="auto"/>
              <w:ind w:left="135" w:right="102"/>
              <w:rPr>
                <w:rFonts w:eastAsia="MS Mincho" w:cs="Arial"/>
                <w:spacing w:val="-3"/>
                <w:sz w:val="18"/>
                <w:szCs w:val="18"/>
              </w:rPr>
            </w:pPr>
            <w:r>
              <w:rPr>
                <w:rFonts w:eastAsia="MS Mincho" w:cs="Arial"/>
                <w:spacing w:val="-3"/>
                <w:sz w:val="18"/>
                <w:szCs w:val="18"/>
              </w:rPr>
              <w:t>Margining and Risk Mitigation for Non-Centrally Cleared Derivatives</w:t>
            </w:r>
          </w:p>
        </w:tc>
        <w:tc>
          <w:tcPr>
            <w:tcW w:w="1244" w:type="dxa"/>
            <w:vAlign w:val="center"/>
            <w:hideMark/>
          </w:tcPr>
          <w:p w14:paraId="1DB3E318" w14:textId="77777777" w:rsidR="00F30B0D" w:rsidRDefault="00F30B0D" w:rsidP="00160EBE">
            <w:pPr>
              <w:widowControl w:val="0"/>
              <w:kinsoku w:val="0"/>
              <w:overflowPunct w:val="0"/>
              <w:autoSpaceDE w:val="0"/>
              <w:autoSpaceDN w:val="0"/>
              <w:adjustRightInd w:val="0"/>
              <w:spacing w:before="54" w:line="276" w:lineRule="auto"/>
              <w:jc w:val="center"/>
              <w:rPr>
                <w:rFonts w:eastAsia="MS Mincho" w:cs="Arial"/>
                <w:spacing w:val="-2"/>
                <w:w w:val="90"/>
                <w:sz w:val="18"/>
                <w:szCs w:val="18"/>
              </w:rPr>
            </w:pPr>
            <w:r>
              <w:rPr>
                <w:rFonts w:eastAsia="MS Mincho" w:cs="Arial"/>
                <w:spacing w:val="-3"/>
                <w:sz w:val="18"/>
                <w:szCs w:val="18"/>
              </w:rPr>
              <w:t>Compliant</w:t>
            </w:r>
          </w:p>
        </w:tc>
        <w:tc>
          <w:tcPr>
            <w:tcW w:w="1105" w:type="dxa"/>
            <w:vAlign w:val="center"/>
            <w:hideMark/>
          </w:tcPr>
          <w:p w14:paraId="191BCA17" w14:textId="77777777" w:rsidR="00F30B0D" w:rsidRDefault="00F30B0D" w:rsidP="00160EBE">
            <w:pPr>
              <w:widowControl w:val="0"/>
              <w:kinsoku w:val="0"/>
              <w:overflowPunct w:val="0"/>
              <w:autoSpaceDE w:val="0"/>
              <w:autoSpaceDN w:val="0"/>
              <w:adjustRightInd w:val="0"/>
              <w:spacing w:before="54" w:line="276" w:lineRule="auto"/>
              <w:jc w:val="center"/>
              <w:rPr>
                <w:rFonts w:eastAsia="MS Mincho" w:cs="Arial"/>
                <w:w w:val="85"/>
                <w:sz w:val="18"/>
                <w:szCs w:val="18"/>
              </w:rPr>
            </w:pPr>
            <w:r>
              <w:rPr>
                <w:rFonts w:eastAsia="MS Mincho" w:cs="Arial"/>
                <w:spacing w:val="-3"/>
                <w:sz w:val="18"/>
                <w:szCs w:val="18"/>
              </w:rPr>
              <w:t>Yes</w:t>
            </w:r>
          </w:p>
        </w:tc>
        <w:tc>
          <w:tcPr>
            <w:tcW w:w="1104" w:type="dxa"/>
            <w:vAlign w:val="center"/>
            <w:hideMark/>
          </w:tcPr>
          <w:p w14:paraId="5A249AF0" w14:textId="77777777" w:rsidR="00F30B0D" w:rsidRDefault="00F30B0D" w:rsidP="00160EBE">
            <w:pPr>
              <w:widowControl w:val="0"/>
              <w:kinsoku w:val="0"/>
              <w:overflowPunct w:val="0"/>
              <w:autoSpaceDE w:val="0"/>
              <w:autoSpaceDN w:val="0"/>
              <w:adjustRightInd w:val="0"/>
              <w:spacing w:before="54" w:line="276" w:lineRule="auto"/>
              <w:jc w:val="center"/>
              <w:rPr>
                <w:rFonts w:eastAsia="MS Mincho" w:cs="Arial"/>
                <w:w w:val="85"/>
                <w:sz w:val="18"/>
                <w:szCs w:val="18"/>
              </w:rPr>
            </w:pPr>
            <w:r>
              <w:rPr>
                <w:rFonts w:eastAsia="MS Mincho" w:cs="Arial"/>
                <w:spacing w:val="-3"/>
                <w:sz w:val="18"/>
                <w:szCs w:val="18"/>
              </w:rPr>
              <w:t>No</w:t>
            </w:r>
          </w:p>
        </w:tc>
        <w:tc>
          <w:tcPr>
            <w:tcW w:w="1195" w:type="dxa"/>
            <w:vAlign w:val="center"/>
            <w:hideMark/>
          </w:tcPr>
          <w:p w14:paraId="4958C713" w14:textId="77777777" w:rsidR="00F30B0D" w:rsidRDefault="00F30B0D" w:rsidP="00160EBE">
            <w:pPr>
              <w:widowControl w:val="0"/>
              <w:kinsoku w:val="0"/>
              <w:overflowPunct w:val="0"/>
              <w:autoSpaceDE w:val="0"/>
              <w:autoSpaceDN w:val="0"/>
              <w:adjustRightInd w:val="0"/>
              <w:spacing w:before="54" w:line="276" w:lineRule="auto"/>
              <w:ind w:right="227"/>
              <w:jc w:val="right"/>
              <w:rPr>
                <w:rFonts w:eastAsia="MS Mincho" w:cs="Arial"/>
                <w:spacing w:val="-3"/>
                <w:sz w:val="18"/>
                <w:szCs w:val="18"/>
              </w:rPr>
            </w:pPr>
            <w:r>
              <w:rPr>
                <w:rFonts w:eastAsia="MS Mincho" w:cs="Arial"/>
                <w:spacing w:val="-3"/>
                <w:sz w:val="18"/>
                <w:szCs w:val="18"/>
              </w:rPr>
              <w:t>-$24.6</w:t>
            </w:r>
          </w:p>
        </w:tc>
      </w:tr>
    </w:tbl>
    <w:p w14:paraId="75124087" w14:textId="27F68C9E" w:rsidR="00F82A14" w:rsidRPr="006C34C6" w:rsidRDefault="00DE3AE5" w:rsidP="006E5A19">
      <w:pPr>
        <w:spacing w:before="120" w:after="150"/>
        <w:rPr>
          <w:rFonts w:cs="Arial"/>
          <w:sz w:val="18"/>
          <w:szCs w:val="18"/>
        </w:rPr>
      </w:pPr>
      <w:r w:rsidRPr="006C34C6">
        <w:rPr>
          <w:rFonts w:cs="Arial"/>
          <w:sz w:val="18"/>
          <w:szCs w:val="18"/>
        </w:rPr>
        <w:t>Examines options to implement internationally agreed reforms for margining and risk mitigation for non-centrally cleared derivative transactions in the Australian financial system.</w:t>
      </w:r>
    </w:p>
    <w:tbl>
      <w:tblPr>
        <w:tblW w:w="10065" w:type="dxa"/>
        <w:tblInd w:w="-142" w:type="dxa"/>
        <w:tblLayout w:type="fixed"/>
        <w:tblCellMar>
          <w:left w:w="0" w:type="dxa"/>
          <w:right w:w="0" w:type="dxa"/>
        </w:tblCellMar>
        <w:tblLook w:val="04A0" w:firstRow="1" w:lastRow="0" w:firstColumn="1" w:lastColumn="0" w:noHBand="0" w:noVBand="1"/>
        <w:tblCaption w:val="Prudential Standard APS 120 - Securitisation"/>
        <w:tblDescription w:val="Prudential Standard APS 120 - Securitisation: Compliant, Best practice, No PIR required. Regulatory Burden: $4.6m."/>
      </w:tblPr>
      <w:tblGrid>
        <w:gridCol w:w="5417"/>
        <w:gridCol w:w="1244"/>
        <w:gridCol w:w="1105"/>
        <w:gridCol w:w="1104"/>
        <w:gridCol w:w="1195"/>
      </w:tblGrid>
      <w:tr w:rsidR="00F30B0D" w14:paraId="6A7A0E16" w14:textId="77777777" w:rsidTr="00173754">
        <w:trPr>
          <w:tblHeader/>
        </w:trPr>
        <w:tc>
          <w:tcPr>
            <w:tcW w:w="5417" w:type="dxa"/>
            <w:shd w:val="clear" w:color="auto" w:fill="F4973F"/>
            <w:vAlign w:val="center"/>
            <w:hideMark/>
          </w:tcPr>
          <w:p w14:paraId="479D2182" w14:textId="56049E37" w:rsidR="00F30B0D" w:rsidRDefault="00F30B0D"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Pr>
                <w:rFonts w:eastAsia="MS Mincho" w:cs="Arial"/>
                <w:color w:val="FFFFFF"/>
                <w:w w:val="105"/>
                <w:sz w:val="18"/>
                <w:szCs w:val="18"/>
              </w:rPr>
              <w:t>Proposal</w:t>
            </w:r>
          </w:p>
        </w:tc>
        <w:tc>
          <w:tcPr>
            <w:tcW w:w="1244" w:type="dxa"/>
            <w:shd w:val="clear" w:color="auto" w:fill="F4973F"/>
            <w:vAlign w:val="center"/>
            <w:hideMark/>
          </w:tcPr>
          <w:p w14:paraId="721B5E93"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RIS Status</w:t>
            </w:r>
          </w:p>
        </w:tc>
        <w:tc>
          <w:tcPr>
            <w:tcW w:w="1105" w:type="dxa"/>
            <w:shd w:val="clear" w:color="auto" w:fill="F4973F"/>
            <w:vAlign w:val="center"/>
            <w:hideMark/>
          </w:tcPr>
          <w:p w14:paraId="1F083241"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 xml:space="preserve">Best </w:t>
            </w:r>
            <w:r>
              <w:rPr>
                <w:rFonts w:eastAsia="MS Mincho" w:cs="Arial"/>
                <w:color w:val="FFFFFF"/>
                <w:w w:val="105"/>
                <w:sz w:val="18"/>
                <w:szCs w:val="18"/>
              </w:rPr>
              <w:br/>
              <w:t>practice</w:t>
            </w:r>
          </w:p>
        </w:tc>
        <w:tc>
          <w:tcPr>
            <w:tcW w:w="1104" w:type="dxa"/>
            <w:shd w:val="clear" w:color="auto" w:fill="F4973F"/>
            <w:vAlign w:val="center"/>
            <w:hideMark/>
          </w:tcPr>
          <w:p w14:paraId="187C9D0A"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 xml:space="preserve">PIR </w:t>
            </w:r>
            <w:r>
              <w:rPr>
                <w:rFonts w:eastAsia="MS Mincho" w:cs="Arial"/>
                <w:color w:val="FFFFFF"/>
                <w:w w:val="105"/>
                <w:sz w:val="18"/>
                <w:szCs w:val="18"/>
              </w:rPr>
              <w:br/>
              <w:t>required</w:t>
            </w:r>
          </w:p>
        </w:tc>
        <w:tc>
          <w:tcPr>
            <w:tcW w:w="1195" w:type="dxa"/>
            <w:shd w:val="clear" w:color="auto" w:fill="F4973F"/>
            <w:vAlign w:val="center"/>
            <w:hideMark/>
          </w:tcPr>
          <w:p w14:paraId="7FA14FA9" w14:textId="77777777" w:rsidR="00F30B0D" w:rsidRDefault="00F30B0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Regulatory Burden ($m)</w:t>
            </w:r>
          </w:p>
        </w:tc>
      </w:tr>
      <w:tr w:rsidR="00F30B0D" w14:paraId="708AC7D5" w14:textId="77777777" w:rsidTr="006E5A19">
        <w:trPr>
          <w:trHeight w:hRule="exact" w:val="737"/>
        </w:trPr>
        <w:tc>
          <w:tcPr>
            <w:tcW w:w="5417" w:type="dxa"/>
            <w:vAlign w:val="center"/>
            <w:hideMark/>
          </w:tcPr>
          <w:p w14:paraId="677B6065" w14:textId="06E355DE" w:rsidR="00F30B0D" w:rsidRPr="00D558B8" w:rsidRDefault="00F30B0D" w:rsidP="006E5A19">
            <w:pPr>
              <w:widowControl w:val="0"/>
              <w:kinsoku w:val="0"/>
              <w:overflowPunct w:val="0"/>
              <w:autoSpaceDE w:val="0"/>
              <w:autoSpaceDN w:val="0"/>
              <w:adjustRightInd w:val="0"/>
              <w:spacing w:after="0" w:line="252" w:lineRule="auto"/>
              <w:ind w:left="135" w:right="102"/>
              <w:rPr>
                <w:rFonts w:eastAsia="MS Mincho" w:cs="Arial"/>
                <w:spacing w:val="-3"/>
                <w:sz w:val="18"/>
                <w:szCs w:val="18"/>
              </w:rPr>
            </w:pPr>
            <w:r w:rsidRPr="007C5589">
              <w:rPr>
                <w:rFonts w:eastAsia="MS Mincho" w:cs="Arial"/>
                <w:bCs/>
                <w:spacing w:val="-3"/>
                <w:sz w:val="18"/>
                <w:szCs w:val="18"/>
              </w:rPr>
              <w:t xml:space="preserve">Prudential Standard APS 120 </w:t>
            </w:r>
            <w:r w:rsidR="007C5589" w:rsidRPr="007C5589">
              <w:rPr>
                <w:rFonts w:eastAsia="MS Mincho" w:cs="Arial"/>
                <w:bCs/>
                <w:spacing w:val="-3"/>
                <w:sz w:val="18"/>
                <w:szCs w:val="18"/>
              </w:rPr>
              <w:t>–</w:t>
            </w:r>
            <w:r w:rsidRPr="007C5589">
              <w:rPr>
                <w:rFonts w:eastAsia="MS Mincho" w:cs="Arial"/>
                <w:bCs/>
                <w:spacing w:val="-3"/>
                <w:sz w:val="18"/>
                <w:szCs w:val="18"/>
              </w:rPr>
              <w:t xml:space="preserve"> Securitisation</w:t>
            </w:r>
            <w:r w:rsidR="007C5589" w:rsidRPr="007C5589">
              <w:rPr>
                <w:rFonts w:eastAsia="MS Mincho" w:cs="Arial"/>
                <w:bCs/>
                <w:spacing w:val="-3"/>
                <w:sz w:val="18"/>
                <w:szCs w:val="18"/>
              </w:rPr>
              <w:t xml:space="preserve"> </w:t>
            </w:r>
            <w:r w:rsidR="007C5589" w:rsidRPr="00185750">
              <w:rPr>
                <w:rFonts w:eastAsia="MS Mincho" w:cs="Arial"/>
                <w:bCs/>
                <w:spacing w:val="-3"/>
                <w:sz w:val="18"/>
                <w:szCs w:val="18"/>
              </w:rPr>
              <w:t>– Independent Review</w:t>
            </w:r>
          </w:p>
        </w:tc>
        <w:tc>
          <w:tcPr>
            <w:tcW w:w="1244" w:type="dxa"/>
            <w:vAlign w:val="center"/>
            <w:hideMark/>
          </w:tcPr>
          <w:p w14:paraId="032DECF2" w14:textId="5B4DE9D0" w:rsidR="00F30B0D" w:rsidRDefault="00340653" w:rsidP="006E5A19">
            <w:pPr>
              <w:widowControl w:val="0"/>
              <w:kinsoku w:val="0"/>
              <w:overflowPunct w:val="0"/>
              <w:autoSpaceDE w:val="0"/>
              <w:autoSpaceDN w:val="0"/>
              <w:adjustRightInd w:val="0"/>
              <w:spacing w:after="0" w:line="276" w:lineRule="auto"/>
              <w:jc w:val="center"/>
              <w:rPr>
                <w:rFonts w:eastAsia="MS Mincho" w:cs="Arial"/>
                <w:spacing w:val="-2"/>
                <w:w w:val="90"/>
                <w:sz w:val="18"/>
                <w:szCs w:val="18"/>
              </w:rPr>
            </w:pPr>
            <w:r>
              <w:rPr>
                <w:rFonts w:eastAsia="MS Mincho" w:cs="Arial"/>
                <w:spacing w:val="-3"/>
                <w:sz w:val="18"/>
                <w:szCs w:val="18"/>
              </w:rPr>
              <w:t>Compliant</w:t>
            </w:r>
          </w:p>
        </w:tc>
        <w:tc>
          <w:tcPr>
            <w:tcW w:w="1105" w:type="dxa"/>
            <w:vAlign w:val="center"/>
            <w:hideMark/>
          </w:tcPr>
          <w:p w14:paraId="13E7A2C2" w14:textId="29B0A21B" w:rsidR="00F30B0D" w:rsidRPr="00AD7705" w:rsidRDefault="00F30B0D" w:rsidP="006E5A19">
            <w:pPr>
              <w:widowControl w:val="0"/>
              <w:kinsoku w:val="0"/>
              <w:overflowPunct w:val="0"/>
              <w:autoSpaceDE w:val="0"/>
              <w:autoSpaceDN w:val="0"/>
              <w:adjustRightInd w:val="0"/>
              <w:spacing w:after="0" w:line="276" w:lineRule="auto"/>
              <w:jc w:val="center"/>
              <w:rPr>
                <w:rFonts w:eastAsia="MS Mincho" w:cs="Arial"/>
                <w:w w:val="85"/>
                <w:sz w:val="18"/>
                <w:szCs w:val="18"/>
                <w:vertAlign w:val="superscript"/>
              </w:rPr>
            </w:pPr>
            <w:r>
              <w:rPr>
                <w:rFonts w:eastAsia="MS Mincho" w:cs="Arial"/>
                <w:spacing w:val="-3"/>
                <w:sz w:val="18"/>
                <w:szCs w:val="18"/>
              </w:rPr>
              <w:t>Yes</w:t>
            </w:r>
          </w:p>
        </w:tc>
        <w:tc>
          <w:tcPr>
            <w:tcW w:w="1104" w:type="dxa"/>
            <w:vAlign w:val="center"/>
            <w:hideMark/>
          </w:tcPr>
          <w:p w14:paraId="385BB1B7" w14:textId="77777777" w:rsidR="00F30B0D" w:rsidRDefault="00F30B0D" w:rsidP="006E5A19">
            <w:pPr>
              <w:widowControl w:val="0"/>
              <w:kinsoku w:val="0"/>
              <w:overflowPunct w:val="0"/>
              <w:autoSpaceDE w:val="0"/>
              <w:autoSpaceDN w:val="0"/>
              <w:adjustRightInd w:val="0"/>
              <w:spacing w:after="0" w:line="276" w:lineRule="auto"/>
              <w:jc w:val="center"/>
              <w:rPr>
                <w:rFonts w:eastAsia="MS Mincho" w:cs="Arial"/>
                <w:w w:val="85"/>
                <w:sz w:val="18"/>
                <w:szCs w:val="18"/>
              </w:rPr>
            </w:pPr>
            <w:r>
              <w:rPr>
                <w:rFonts w:eastAsia="MS Mincho" w:cs="Arial"/>
                <w:spacing w:val="-3"/>
                <w:sz w:val="18"/>
                <w:szCs w:val="18"/>
              </w:rPr>
              <w:t>No</w:t>
            </w:r>
          </w:p>
        </w:tc>
        <w:tc>
          <w:tcPr>
            <w:tcW w:w="1195" w:type="dxa"/>
            <w:vAlign w:val="center"/>
            <w:hideMark/>
          </w:tcPr>
          <w:p w14:paraId="30BD7DAB" w14:textId="77777777" w:rsidR="00F30B0D" w:rsidRDefault="00F30B0D" w:rsidP="006E5A19">
            <w:pPr>
              <w:widowControl w:val="0"/>
              <w:kinsoku w:val="0"/>
              <w:overflowPunct w:val="0"/>
              <w:autoSpaceDE w:val="0"/>
              <w:autoSpaceDN w:val="0"/>
              <w:adjustRightInd w:val="0"/>
              <w:spacing w:after="0" w:line="276" w:lineRule="auto"/>
              <w:ind w:right="227"/>
              <w:jc w:val="right"/>
              <w:rPr>
                <w:rFonts w:eastAsia="MS Mincho" w:cs="Arial"/>
                <w:spacing w:val="-3"/>
                <w:sz w:val="18"/>
                <w:szCs w:val="18"/>
              </w:rPr>
            </w:pPr>
            <w:r>
              <w:rPr>
                <w:rFonts w:eastAsia="MS Mincho" w:cs="Arial"/>
                <w:spacing w:val="-3"/>
                <w:sz w:val="18"/>
                <w:szCs w:val="18"/>
              </w:rPr>
              <w:t>$4.6</w:t>
            </w:r>
          </w:p>
        </w:tc>
      </w:tr>
    </w:tbl>
    <w:p w14:paraId="5BD639F9" w14:textId="2EDA6390" w:rsidR="00DE3AE5" w:rsidRPr="006C34C6" w:rsidRDefault="00DE3AE5" w:rsidP="006E5A19">
      <w:pPr>
        <w:spacing w:before="120" w:after="150"/>
        <w:rPr>
          <w:rFonts w:cs="Arial"/>
          <w:sz w:val="18"/>
          <w:szCs w:val="18"/>
        </w:rPr>
      </w:pPr>
      <w:bookmarkStart w:id="298" w:name="_Toc479345529"/>
      <w:bookmarkStart w:id="299" w:name="_Toc479345891"/>
      <w:bookmarkStart w:id="300" w:name="_Toc480281455"/>
      <w:r w:rsidRPr="006C34C6">
        <w:rPr>
          <w:rFonts w:cs="Arial"/>
          <w:sz w:val="18"/>
          <w:szCs w:val="18"/>
        </w:rPr>
        <w:t xml:space="preserve">Provide </w:t>
      </w:r>
      <w:r w:rsidR="003B261C" w:rsidRPr="003B261C">
        <w:rPr>
          <w:rFonts w:cs="Arial"/>
          <w:sz w:val="18"/>
          <w:szCs w:val="18"/>
        </w:rPr>
        <w:t xml:space="preserve">Authorised Deposit-taking Institutions </w:t>
      </w:r>
      <w:r w:rsidRPr="006C34C6">
        <w:rPr>
          <w:rFonts w:cs="Arial"/>
          <w:sz w:val="18"/>
          <w:szCs w:val="18"/>
        </w:rPr>
        <w:t>with more flexibility in their securitisation funding arrangements; provide a simpler set of requirements for the use of securitisation and introduce more conservative regulatory capital requirements for some types of securitisation exposures.</w:t>
      </w:r>
      <w:bookmarkEnd w:id="298"/>
      <w:bookmarkEnd w:id="299"/>
      <w:bookmarkEnd w:id="300"/>
      <w:r w:rsidR="00B75E39" w:rsidRPr="006C34C6">
        <w:rPr>
          <w:rFonts w:cs="Arial"/>
          <w:sz w:val="18"/>
          <w:szCs w:val="18"/>
        </w:rPr>
        <w:t xml:space="preserve"> </w:t>
      </w:r>
      <w:r w:rsidR="0050744B" w:rsidRPr="0050744B">
        <w:rPr>
          <w:rFonts w:cs="Arial"/>
          <w:sz w:val="18"/>
          <w:szCs w:val="18"/>
        </w:rPr>
        <w:t>The OBPR does not assess the adequacy of the content of an independent review used in lieu of a RIS.</w:t>
      </w:r>
      <w:r w:rsidR="00C426D7">
        <w:rPr>
          <w:rFonts w:cs="Arial"/>
          <w:sz w:val="18"/>
          <w:szCs w:val="18"/>
        </w:rPr>
        <w:t xml:space="preserve"> </w:t>
      </w:r>
    </w:p>
    <w:p w14:paraId="25C2246E" w14:textId="564A77D8" w:rsidR="0062105A" w:rsidRPr="00D56678" w:rsidRDefault="00D558B8" w:rsidP="00643445">
      <w:pPr>
        <w:pStyle w:val="Heading3"/>
        <w:keepNext/>
      </w:pPr>
      <w:bookmarkStart w:id="301" w:name="_Toc5375766"/>
      <w:r w:rsidRPr="00A456CD">
        <w:t>Australian Securities and Investments Commission</w:t>
      </w:r>
      <w:bookmarkEnd w:id="301"/>
    </w:p>
    <w:tbl>
      <w:tblPr>
        <w:tblW w:w="10065" w:type="dxa"/>
        <w:tblInd w:w="-142" w:type="dxa"/>
        <w:tblLayout w:type="fixed"/>
        <w:tblCellMar>
          <w:left w:w="0" w:type="dxa"/>
          <w:right w:w="0" w:type="dxa"/>
        </w:tblCellMar>
        <w:tblLook w:val="04A0" w:firstRow="1" w:lastRow="0" w:firstColumn="1" w:lastColumn="0" w:noHBand="0" w:noVBand="1"/>
        <w:tblCaption w:val="Providing Conditional Relief from the Corporations Act 2001 to Charitable Schemes and School Enrolment Deposits"/>
        <w:tblDescription w:val="Providing Conditional Relief from the Corporations Act 2001 to Charitable Schemes and School Enrolment Deposits: Compliant, Best practice, No PIR required. Regulatory Burden: $0.1m."/>
      </w:tblPr>
      <w:tblGrid>
        <w:gridCol w:w="5417"/>
        <w:gridCol w:w="1244"/>
        <w:gridCol w:w="1105"/>
        <w:gridCol w:w="1104"/>
        <w:gridCol w:w="1195"/>
      </w:tblGrid>
      <w:tr w:rsidR="0062105A" w14:paraId="77625A27" w14:textId="77777777" w:rsidTr="00173754">
        <w:trPr>
          <w:tblHeader/>
        </w:trPr>
        <w:tc>
          <w:tcPr>
            <w:tcW w:w="5417" w:type="dxa"/>
            <w:shd w:val="clear" w:color="auto" w:fill="F4973F"/>
            <w:vAlign w:val="center"/>
            <w:hideMark/>
          </w:tcPr>
          <w:p w14:paraId="23FC5A4B" w14:textId="77777777" w:rsidR="0062105A" w:rsidRDefault="0062105A"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Pr>
                <w:rFonts w:eastAsia="MS Mincho" w:cs="Arial"/>
                <w:color w:val="FFFFFF"/>
                <w:w w:val="105"/>
                <w:sz w:val="18"/>
                <w:szCs w:val="18"/>
              </w:rPr>
              <w:t>Proposal</w:t>
            </w:r>
          </w:p>
        </w:tc>
        <w:tc>
          <w:tcPr>
            <w:tcW w:w="1244" w:type="dxa"/>
            <w:shd w:val="clear" w:color="auto" w:fill="F4973F"/>
            <w:vAlign w:val="center"/>
            <w:hideMark/>
          </w:tcPr>
          <w:p w14:paraId="2320A9EB" w14:textId="77777777" w:rsidR="0062105A" w:rsidRDefault="0062105A"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RIS Status</w:t>
            </w:r>
          </w:p>
        </w:tc>
        <w:tc>
          <w:tcPr>
            <w:tcW w:w="1105" w:type="dxa"/>
            <w:shd w:val="clear" w:color="auto" w:fill="F4973F"/>
            <w:vAlign w:val="center"/>
            <w:hideMark/>
          </w:tcPr>
          <w:p w14:paraId="37235877" w14:textId="77777777" w:rsidR="0062105A" w:rsidRDefault="0062105A"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 xml:space="preserve">Best </w:t>
            </w:r>
            <w:r>
              <w:rPr>
                <w:rFonts w:eastAsia="MS Mincho" w:cs="Arial"/>
                <w:color w:val="FFFFFF"/>
                <w:w w:val="105"/>
                <w:sz w:val="18"/>
                <w:szCs w:val="18"/>
              </w:rPr>
              <w:br/>
              <w:t>practice</w:t>
            </w:r>
          </w:p>
        </w:tc>
        <w:tc>
          <w:tcPr>
            <w:tcW w:w="1104" w:type="dxa"/>
            <w:shd w:val="clear" w:color="auto" w:fill="F4973F"/>
            <w:vAlign w:val="center"/>
            <w:hideMark/>
          </w:tcPr>
          <w:p w14:paraId="62059AA1" w14:textId="77777777" w:rsidR="0062105A" w:rsidRDefault="0062105A"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 xml:space="preserve">PIR </w:t>
            </w:r>
            <w:r>
              <w:rPr>
                <w:rFonts w:eastAsia="MS Mincho" w:cs="Arial"/>
                <w:color w:val="FFFFFF"/>
                <w:w w:val="105"/>
                <w:sz w:val="18"/>
                <w:szCs w:val="18"/>
              </w:rPr>
              <w:br/>
              <w:t>required</w:t>
            </w:r>
          </w:p>
        </w:tc>
        <w:tc>
          <w:tcPr>
            <w:tcW w:w="1195" w:type="dxa"/>
            <w:shd w:val="clear" w:color="auto" w:fill="F4973F"/>
            <w:vAlign w:val="center"/>
            <w:hideMark/>
          </w:tcPr>
          <w:p w14:paraId="0C0A04AF" w14:textId="77777777" w:rsidR="0062105A" w:rsidRDefault="0062105A"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Regulatory Burden ($m)</w:t>
            </w:r>
          </w:p>
        </w:tc>
      </w:tr>
      <w:tr w:rsidR="0062105A" w14:paraId="4F97E42D" w14:textId="77777777" w:rsidTr="006E5A19">
        <w:trPr>
          <w:trHeight w:hRule="exact" w:val="737"/>
        </w:trPr>
        <w:tc>
          <w:tcPr>
            <w:tcW w:w="5417" w:type="dxa"/>
            <w:vAlign w:val="center"/>
            <w:hideMark/>
          </w:tcPr>
          <w:p w14:paraId="13298D4C" w14:textId="77777777" w:rsidR="0062105A" w:rsidRPr="00D558B8" w:rsidRDefault="0062105A" w:rsidP="006E5A19">
            <w:pPr>
              <w:widowControl w:val="0"/>
              <w:kinsoku w:val="0"/>
              <w:overflowPunct w:val="0"/>
              <w:autoSpaceDE w:val="0"/>
              <w:autoSpaceDN w:val="0"/>
              <w:adjustRightInd w:val="0"/>
              <w:spacing w:after="0" w:line="252" w:lineRule="auto"/>
              <w:ind w:left="135" w:right="102"/>
              <w:rPr>
                <w:rFonts w:eastAsia="MS Mincho" w:cs="Arial"/>
                <w:spacing w:val="-3"/>
                <w:sz w:val="18"/>
                <w:szCs w:val="18"/>
              </w:rPr>
            </w:pPr>
            <w:r w:rsidRPr="00CE2207">
              <w:rPr>
                <w:rFonts w:eastAsia="MS Mincho" w:cs="Arial"/>
                <w:bCs/>
                <w:spacing w:val="-3"/>
                <w:sz w:val="18"/>
                <w:szCs w:val="18"/>
              </w:rPr>
              <w:t xml:space="preserve">Providing </w:t>
            </w:r>
            <w:r w:rsidRPr="00D558B8">
              <w:rPr>
                <w:rFonts w:eastAsia="MS Mincho" w:cs="Arial"/>
                <w:bCs/>
                <w:spacing w:val="-3"/>
                <w:sz w:val="18"/>
                <w:szCs w:val="18"/>
              </w:rPr>
              <w:t xml:space="preserve">Conditional Relief </w:t>
            </w:r>
            <w:r>
              <w:rPr>
                <w:rFonts w:eastAsia="MS Mincho" w:cs="Arial"/>
                <w:bCs/>
                <w:spacing w:val="-3"/>
                <w:sz w:val="18"/>
                <w:szCs w:val="18"/>
              </w:rPr>
              <w:t>f</w:t>
            </w:r>
            <w:r w:rsidRPr="00D558B8">
              <w:rPr>
                <w:rFonts w:eastAsia="MS Mincho" w:cs="Arial"/>
                <w:bCs/>
                <w:spacing w:val="-3"/>
                <w:sz w:val="18"/>
                <w:szCs w:val="18"/>
              </w:rPr>
              <w:t xml:space="preserve">rom </w:t>
            </w:r>
            <w:r>
              <w:rPr>
                <w:rFonts w:eastAsia="MS Mincho" w:cs="Arial"/>
                <w:bCs/>
                <w:spacing w:val="-3"/>
                <w:sz w:val="18"/>
                <w:szCs w:val="18"/>
              </w:rPr>
              <w:t>t</w:t>
            </w:r>
            <w:r w:rsidRPr="00D558B8">
              <w:rPr>
                <w:rFonts w:eastAsia="MS Mincho" w:cs="Arial"/>
                <w:bCs/>
                <w:spacing w:val="-3"/>
                <w:sz w:val="18"/>
                <w:szCs w:val="18"/>
              </w:rPr>
              <w:t xml:space="preserve">he </w:t>
            </w:r>
            <w:r w:rsidRPr="00CE2207">
              <w:rPr>
                <w:rFonts w:eastAsia="MS Mincho" w:cs="Arial"/>
                <w:bCs/>
                <w:i/>
                <w:spacing w:val="-3"/>
                <w:sz w:val="18"/>
                <w:szCs w:val="18"/>
              </w:rPr>
              <w:t xml:space="preserve">Corporations Act </w:t>
            </w:r>
            <w:r w:rsidRPr="00D558B8">
              <w:rPr>
                <w:rFonts w:eastAsia="MS Mincho" w:cs="Arial"/>
                <w:bCs/>
                <w:i/>
                <w:spacing w:val="-3"/>
                <w:sz w:val="18"/>
                <w:szCs w:val="18"/>
              </w:rPr>
              <w:t>2001</w:t>
            </w:r>
            <w:r w:rsidRPr="00D558B8">
              <w:rPr>
                <w:rFonts w:eastAsia="MS Mincho" w:cs="Arial"/>
                <w:bCs/>
                <w:spacing w:val="-3"/>
                <w:sz w:val="18"/>
                <w:szCs w:val="18"/>
              </w:rPr>
              <w:t xml:space="preserve"> </w:t>
            </w:r>
            <w:r>
              <w:rPr>
                <w:rFonts w:eastAsia="MS Mincho" w:cs="Arial"/>
                <w:bCs/>
                <w:spacing w:val="-3"/>
                <w:sz w:val="18"/>
                <w:szCs w:val="18"/>
              </w:rPr>
              <w:t>t</w:t>
            </w:r>
            <w:r w:rsidRPr="00D558B8">
              <w:rPr>
                <w:rFonts w:eastAsia="MS Mincho" w:cs="Arial"/>
                <w:bCs/>
                <w:spacing w:val="-3"/>
                <w:sz w:val="18"/>
                <w:szCs w:val="18"/>
              </w:rPr>
              <w:t xml:space="preserve">o Charitable Schemes </w:t>
            </w:r>
            <w:r>
              <w:rPr>
                <w:rFonts w:eastAsia="MS Mincho" w:cs="Arial"/>
                <w:bCs/>
                <w:spacing w:val="-3"/>
                <w:sz w:val="18"/>
                <w:szCs w:val="18"/>
              </w:rPr>
              <w:t>a</w:t>
            </w:r>
            <w:r w:rsidRPr="00D558B8">
              <w:rPr>
                <w:rFonts w:eastAsia="MS Mincho" w:cs="Arial"/>
                <w:bCs/>
                <w:spacing w:val="-3"/>
                <w:sz w:val="18"/>
                <w:szCs w:val="18"/>
              </w:rPr>
              <w:t>nd School Enrolment Deposits</w:t>
            </w:r>
          </w:p>
        </w:tc>
        <w:tc>
          <w:tcPr>
            <w:tcW w:w="1244" w:type="dxa"/>
            <w:vAlign w:val="center"/>
            <w:hideMark/>
          </w:tcPr>
          <w:p w14:paraId="3C1E4B24" w14:textId="77777777" w:rsidR="0062105A" w:rsidRDefault="0062105A" w:rsidP="006E5A19">
            <w:pPr>
              <w:widowControl w:val="0"/>
              <w:kinsoku w:val="0"/>
              <w:overflowPunct w:val="0"/>
              <w:autoSpaceDE w:val="0"/>
              <w:autoSpaceDN w:val="0"/>
              <w:adjustRightInd w:val="0"/>
              <w:spacing w:after="0" w:line="276" w:lineRule="auto"/>
              <w:jc w:val="center"/>
              <w:rPr>
                <w:rFonts w:eastAsia="MS Mincho" w:cs="Arial"/>
                <w:spacing w:val="-2"/>
                <w:w w:val="90"/>
                <w:sz w:val="18"/>
                <w:szCs w:val="18"/>
              </w:rPr>
            </w:pPr>
            <w:r>
              <w:rPr>
                <w:rFonts w:eastAsia="MS Mincho" w:cs="Arial"/>
                <w:spacing w:val="-3"/>
                <w:sz w:val="18"/>
                <w:szCs w:val="18"/>
              </w:rPr>
              <w:t>Compliant</w:t>
            </w:r>
          </w:p>
        </w:tc>
        <w:tc>
          <w:tcPr>
            <w:tcW w:w="1105" w:type="dxa"/>
            <w:vAlign w:val="center"/>
            <w:hideMark/>
          </w:tcPr>
          <w:p w14:paraId="71357632" w14:textId="77777777" w:rsidR="0062105A" w:rsidRDefault="0062105A" w:rsidP="006E5A19">
            <w:pPr>
              <w:widowControl w:val="0"/>
              <w:kinsoku w:val="0"/>
              <w:overflowPunct w:val="0"/>
              <w:autoSpaceDE w:val="0"/>
              <w:autoSpaceDN w:val="0"/>
              <w:adjustRightInd w:val="0"/>
              <w:spacing w:after="0" w:line="276" w:lineRule="auto"/>
              <w:jc w:val="center"/>
              <w:rPr>
                <w:rFonts w:eastAsia="MS Mincho" w:cs="Arial"/>
                <w:w w:val="85"/>
                <w:sz w:val="18"/>
                <w:szCs w:val="18"/>
              </w:rPr>
            </w:pPr>
            <w:r>
              <w:rPr>
                <w:rFonts w:eastAsia="MS Mincho" w:cs="Arial"/>
                <w:spacing w:val="-3"/>
                <w:sz w:val="18"/>
                <w:szCs w:val="18"/>
              </w:rPr>
              <w:t>Yes</w:t>
            </w:r>
          </w:p>
        </w:tc>
        <w:tc>
          <w:tcPr>
            <w:tcW w:w="1104" w:type="dxa"/>
            <w:vAlign w:val="center"/>
            <w:hideMark/>
          </w:tcPr>
          <w:p w14:paraId="2B045F5D" w14:textId="77777777" w:rsidR="0062105A" w:rsidRDefault="0062105A" w:rsidP="006E5A19">
            <w:pPr>
              <w:widowControl w:val="0"/>
              <w:kinsoku w:val="0"/>
              <w:overflowPunct w:val="0"/>
              <w:autoSpaceDE w:val="0"/>
              <w:autoSpaceDN w:val="0"/>
              <w:adjustRightInd w:val="0"/>
              <w:spacing w:after="0" w:line="276" w:lineRule="auto"/>
              <w:jc w:val="center"/>
              <w:rPr>
                <w:rFonts w:eastAsia="MS Mincho" w:cs="Arial"/>
                <w:w w:val="85"/>
                <w:sz w:val="18"/>
                <w:szCs w:val="18"/>
              </w:rPr>
            </w:pPr>
            <w:r>
              <w:rPr>
                <w:rFonts w:eastAsia="MS Mincho" w:cs="Arial"/>
                <w:spacing w:val="-3"/>
                <w:sz w:val="18"/>
                <w:szCs w:val="18"/>
              </w:rPr>
              <w:t>No</w:t>
            </w:r>
          </w:p>
        </w:tc>
        <w:tc>
          <w:tcPr>
            <w:tcW w:w="1195" w:type="dxa"/>
            <w:vAlign w:val="center"/>
            <w:hideMark/>
          </w:tcPr>
          <w:p w14:paraId="61CB4EB8" w14:textId="1D178C54" w:rsidR="0062105A" w:rsidRDefault="0062105A" w:rsidP="006E5A19">
            <w:pPr>
              <w:widowControl w:val="0"/>
              <w:kinsoku w:val="0"/>
              <w:overflowPunct w:val="0"/>
              <w:autoSpaceDE w:val="0"/>
              <w:autoSpaceDN w:val="0"/>
              <w:adjustRightInd w:val="0"/>
              <w:spacing w:after="0" w:line="276" w:lineRule="auto"/>
              <w:ind w:right="227"/>
              <w:jc w:val="right"/>
              <w:rPr>
                <w:rFonts w:eastAsia="MS Mincho" w:cs="Arial"/>
                <w:spacing w:val="-3"/>
                <w:sz w:val="18"/>
                <w:szCs w:val="18"/>
              </w:rPr>
            </w:pPr>
            <w:r>
              <w:rPr>
                <w:rFonts w:eastAsia="MS Mincho" w:cs="Arial"/>
                <w:spacing w:val="-3"/>
                <w:sz w:val="18"/>
                <w:szCs w:val="18"/>
              </w:rPr>
              <w:t>$</w:t>
            </w:r>
            <w:r w:rsidR="00734DBF">
              <w:rPr>
                <w:rFonts w:eastAsia="MS Mincho" w:cs="Arial"/>
                <w:spacing w:val="-3"/>
                <w:sz w:val="18"/>
                <w:szCs w:val="18"/>
              </w:rPr>
              <w:t>66</w:t>
            </w:r>
            <w:r>
              <w:rPr>
                <w:rFonts w:eastAsia="MS Mincho" w:cs="Arial"/>
                <w:spacing w:val="-3"/>
                <w:sz w:val="18"/>
                <w:szCs w:val="18"/>
              </w:rPr>
              <w:t>.</w:t>
            </w:r>
            <w:r w:rsidR="00734DBF">
              <w:rPr>
                <w:rFonts w:eastAsia="MS Mincho" w:cs="Arial"/>
                <w:spacing w:val="-3"/>
                <w:sz w:val="18"/>
                <w:szCs w:val="18"/>
              </w:rPr>
              <w:t>4</w:t>
            </w:r>
          </w:p>
        </w:tc>
      </w:tr>
    </w:tbl>
    <w:p w14:paraId="10AAAA4B" w14:textId="77777777" w:rsidR="00DE3AE5" w:rsidRPr="006C34C6" w:rsidRDefault="00DE3AE5" w:rsidP="006E5A19">
      <w:pPr>
        <w:spacing w:before="120" w:after="150"/>
        <w:rPr>
          <w:rFonts w:cs="Arial"/>
          <w:sz w:val="18"/>
          <w:szCs w:val="18"/>
        </w:rPr>
      </w:pPr>
      <w:r w:rsidRPr="006C34C6">
        <w:rPr>
          <w:rFonts w:cs="Arial"/>
          <w:sz w:val="18"/>
          <w:szCs w:val="18"/>
        </w:rPr>
        <w:t xml:space="preserve">The New Class Order maintains the relief provided to charitable entities and schools to assist them in achieving their fundraising objectives. The instrument imposes new restrictions on short-term and at-call investments to reduce the risks posed to investors. </w:t>
      </w:r>
    </w:p>
    <w:tbl>
      <w:tblPr>
        <w:tblW w:w="10065" w:type="dxa"/>
        <w:tblInd w:w="-142" w:type="dxa"/>
        <w:tblLayout w:type="fixed"/>
        <w:tblCellMar>
          <w:left w:w="0" w:type="dxa"/>
          <w:right w:w="0" w:type="dxa"/>
        </w:tblCellMar>
        <w:tblLook w:val="04A0" w:firstRow="1" w:lastRow="0" w:firstColumn="1" w:lastColumn="0" w:noHBand="0" w:noVBand="1"/>
        <w:tblCaption w:val="Risk Management Systems of Responsible Entities"/>
        <w:tblDescription w:val="Risk Management Systems of Responsible Entities: Compliant, Best practice, No PIR required. Regulatory Burden: $1.2m."/>
      </w:tblPr>
      <w:tblGrid>
        <w:gridCol w:w="5417"/>
        <w:gridCol w:w="1244"/>
        <w:gridCol w:w="1105"/>
        <w:gridCol w:w="1104"/>
        <w:gridCol w:w="1195"/>
      </w:tblGrid>
      <w:tr w:rsidR="00D558B8" w14:paraId="03764A3B" w14:textId="77777777" w:rsidTr="00173754">
        <w:trPr>
          <w:tblHeader/>
        </w:trPr>
        <w:tc>
          <w:tcPr>
            <w:tcW w:w="5417" w:type="dxa"/>
            <w:shd w:val="clear" w:color="auto" w:fill="F4973F"/>
            <w:vAlign w:val="center"/>
            <w:hideMark/>
          </w:tcPr>
          <w:p w14:paraId="478B6878" w14:textId="611ED6E0" w:rsidR="00D558B8" w:rsidRDefault="00D558B8"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Pr>
                <w:rFonts w:eastAsia="MS Mincho" w:cs="Arial"/>
                <w:color w:val="FFFFFF"/>
                <w:w w:val="105"/>
                <w:sz w:val="18"/>
                <w:szCs w:val="18"/>
              </w:rPr>
              <w:t>Proposal</w:t>
            </w:r>
          </w:p>
        </w:tc>
        <w:tc>
          <w:tcPr>
            <w:tcW w:w="1244" w:type="dxa"/>
            <w:shd w:val="clear" w:color="auto" w:fill="F4973F"/>
            <w:vAlign w:val="center"/>
            <w:hideMark/>
          </w:tcPr>
          <w:p w14:paraId="4A339856" w14:textId="77777777" w:rsidR="00D558B8" w:rsidRDefault="00D558B8"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RIS Status</w:t>
            </w:r>
          </w:p>
        </w:tc>
        <w:tc>
          <w:tcPr>
            <w:tcW w:w="1105" w:type="dxa"/>
            <w:shd w:val="clear" w:color="auto" w:fill="F4973F"/>
            <w:vAlign w:val="center"/>
            <w:hideMark/>
          </w:tcPr>
          <w:p w14:paraId="386805CA" w14:textId="77777777" w:rsidR="00D558B8" w:rsidRDefault="00D558B8"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 xml:space="preserve">Best </w:t>
            </w:r>
            <w:r>
              <w:rPr>
                <w:rFonts w:eastAsia="MS Mincho" w:cs="Arial"/>
                <w:color w:val="FFFFFF"/>
                <w:w w:val="105"/>
                <w:sz w:val="18"/>
                <w:szCs w:val="18"/>
              </w:rPr>
              <w:br/>
              <w:t>practice</w:t>
            </w:r>
          </w:p>
        </w:tc>
        <w:tc>
          <w:tcPr>
            <w:tcW w:w="1104" w:type="dxa"/>
            <w:shd w:val="clear" w:color="auto" w:fill="F4973F"/>
            <w:vAlign w:val="center"/>
            <w:hideMark/>
          </w:tcPr>
          <w:p w14:paraId="09B2FB77" w14:textId="77777777" w:rsidR="00D558B8" w:rsidRDefault="00D558B8"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Pr>
                <w:rFonts w:eastAsia="MS Mincho" w:cs="Arial"/>
                <w:color w:val="FFFFFF"/>
                <w:w w:val="105"/>
                <w:sz w:val="18"/>
                <w:szCs w:val="18"/>
              </w:rPr>
              <w:t xml:space="preserve">PIR </w:t>
            </w:r>
            <w:r>
              <w:rPr>
                <w:rFonts w:eastAsia="MS Mincho" w:cs="Arial"/>
                <w:color w:val="FFFFFF"/>
                <w:w w:val="105"/>
                <w:sz w:val="18"/>
                <w:szCs w:val="18"/>
              </w:rPr>
              <w:br/>
              <w:t>required</w:t>
            </w:r>
          </w:p>
        </w:tc>
        <w:tc>
          <w:tcPr>
            <w:tcW w:w="1195" w:type="dxa"/>
            <w:shd w:val="clear" w:color="auto" w:fill="F4973F"/>
            <w:vAlign w:val="center"/>
            <w:hideMark/>
          </w:tcPr>
          <w:p w14:paraId="3265B8FB" w14:textId="77777777" w:rsidR="00D558B8" w:rsidRDefault="00D558B8"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Pr>
                <w:rFonts w:eastAsia="MS Mincho" w:cs="Arial"/>
                <w:color w:val="FFFFFF"/>
                <w:w w:val="105"/>
                <w:sz w:val="18"/>
                <w:szCs w:val="18"/>
              </w:rPr>
              <w:t>Regulatory Burden ($m)</w:t>
            </w:r>
          </w:p>
        </w:tc>
      </w:tr>
      <w:tr w:rsidR="00D558B8" w14:paraId="36CFE626" w14:textId="77777777" w:rsidTr="006E5A19">
        <w:trPr>
          <w:trHeight w:hRule="exact" w:val="510"/>
        </w:trPr>
        <w:tc>
          <w:tcPr>
            <w:tcW w:w="5417" w:type="dxa"/>
            <w:vAlign w:val="center"/>
            <w:hideMark/>
          </w:tcPr>
          <w:p w14:paraId="6C0A7320" w14:textId="50CEDAD8" w:rsidR="00D558B8" w:rsidRPr="00D558B8" w:rsidRDefault="0062105A" w:rsidP="009465BE">
            <w:pPr>
              <w:widowControl w:val="0"/>
              <w:kinsoku w:val="0"/>
              <w:overflowPunct w:val="0"/>
              <w:autoSpaceDE w:val="0"/>
              <w:autoSpaceDN w:val="0"/>
              <w:adjustRightInd w:val="0"/>
              <w:spacing w:after="0" w:line="252" w:lineRule="auto"/>
              <w:ind w:left="135" w:right="102"/>
              <w:rPr>
                <w:rFonts w:eastAsia="MS Mincho" w:cs="Arial"/>
                <w:spacing w:val="-3"/>
                <w:sz w:val="18"/>
                <w:szCs w:val="18"/>
              </w:rPr>
            </w:pPr>
            <w:r>
              <w:rPr>
                <w:rFonts w:eastAsia="MS Mincho" w:cs="Arial"/>
                <w:bCs/>
                <w:spacing w:val="-3"/>
                <w:sz w:val="18"/>
                <w:szCs w:val="18"/>
              </w:rPr>
              <w:t>Risk Management Systems of Responsible Entities</w:t>
            </w:r>
          </w:p>
        </w:tc>
        <w:tc>
          <w:tcPr>
            <w:tcW w:w="1244" w:type="dxa"/>
            <w:vAlign w:val="center"/>
            <w:hideMark/>
          </w:tcPr>
          <w:p w14:paraId="67EF8D95" w14:textId="77777777" w:rsidR="00D558B8" w:rsidRDefault="00D558B8" w:rsidP="0062105A">
            <w:pPr>
              <w:widowControl w:val="0"/>
              <w:kinsoku w:val="0"/>
              <w:overflowPunct w:val="0"/>
              <w:autoSpaceDE w:val="0"/>
              <w:autoSpaceDN w:val="0"/>
              <w:adjustRightInd w:val="0"/>
              <w:spacing w:after="0" w:line="276" w:lineRule="auto"/>
              <w:jc w:val="center"/>
              <w:rPr>
                <w:rFonts w:eastAsia="MS Mincho" w:cs="Arial"/>
                <w:spacing w:val="-2"/>
                <w:w w:val="90"/>
                <w:sz w:val="18"/>
                <w:szCs w:val="18"/>
              </w:rPr>
            </w:pPr>
            <w:r>
              <w:rPr>
                <w:rFonts w:eastAsia="MS Mincho" w:cs="Arial"/>
                <w:spacing w:val="-3"/>
                <w:sz w:val="18"/>
                <w:szCs w:val="18"/>
              </w:rPr>
              <w:t>Compliant</w:t>
            </w:r>
          </w:p>
        </w:tc>
        <w:tc>
          <w:tcPr>
            <w:tcW w:w="1105" w:type="dxa"/>
            <w:vAlign w:val="center"/>
            <w:hideMark/>
          </w:tcPr>
          <w:p w14:paraId="6C1769D0" w14:textId="77777777" w:rsidR="00D558B8" w:rsidRDefault="00D558B8" w:rsidP="0062105A">
            <w:pPr>
              <w:widowControl w:val="0"/>
              <w:kinsoku w:val="0"/>
              <w:overflowPunct w:val="0"/>
              <w:autoSpaceDE w:val="0"/>
              <w:autoSpaceDN w:val="0"/>
              <w:adjustRightInd w:val="0"/>
              <w:spacing w:after="0" w:line="276" w:lineRule="auto"/>
              <w:jc w:val="center"/>
              <w:rPr>
                <w:rFonts w:eastAsia="MS Mincho" w:cs="Arial"/>
                <w:w w:val="85"/>
                <w:sz w:val="18"/>
                <w:szCs w:val="18"/>
              </w:rPr>
            </w:pPr>
            <w:r>
              <w:rPr>
                <w:rFonts w:eastAsia="MS Mincho" w:cs="Arial"/>
                <w:spacing w:val="-3"/>
                <w:sz w:val="18"/>
                <w:szCs w:val="18"/>
              </w:rPr>
              <w:t>Yes</w:t>
            </w:r>
          </w:p>
        </w:tc>
        <w:tc>
          <w:tcPr>
            <w:tcW w:w="1104" w:type="dxa"/>
            <w:vAlign w:val="center"/>
            <w:hideMark/>
          </w:tcPr>
          <w:p w14:paraId="594344DA" w14:textId="77777777" w:rsidR="00D558B8" w:rsidRDefault="00D558B8" w:rsidP="0062105A">
            <w:pPr>
              <w:widowControl w:val="0"/>
              <w:kinsoku w:val="0"/>
              <w:overflowPunct w:val="0"/>
              <w:autoSpaceDE w:val="0"/>
              <w:autoSpaceDN w:val="0"/>
              <w:adjustRightInd w:val="0"/>
              <w:spacing w:after="0" w:line="276" w:lineRule="auto"/>
              <w:jc w:val="center"/>
              <w:rPr>
                <w:rFonts w:eastAsia="MS Mincho" w:cs="Arial"/>
                <w:w w:val="85"/>
                <w:sz w:val="18"/>
                <w:szCs w:val="18"/>
              </w:rPr>
            </w:pPr>
            <w:r>
              <w:rPr>
                <w:rFonts w:eastAsia="MS Mincho" w:cs="Arial"/>
                <w:spacing w:val="-3"/>
                <w:sz w:val="18"/>
                <w:szCs w:val="18"/>
              </w:rPr>
              <w:t>No</w:t>
            </w:r>
          </w:p>
        </w:tc>
        <w:tc>
          <w:tcPr>
            <w:tcW w:w="1195" w:type="dxa"/>
            <w:vAlign w:val="center"/>
            <w:hideMark/>
          </w:tcPr>
          <w:p w14:paraId="04B53571" w14:textId="52DDD011" w:rsidR="00D558B8" w:rsidRDefault="00D558B8" w:rsidP="0062105A">
            <w:pPr>
              <w:widowControl w:val="0"/>
              <w:kinsoku w:val="0"/>
              <w:overflowPunct w:val="0"/>
              <w:autoSpaceDE w:val="0"/>
              <w:autoSpaceDN w:val="0"/>
              <w:adjustRightInd w:val="0"/>
              <w:spacing w:after="0" w:line="276" w:lineRule="auto"/>
              <w:ind w:right="227"/>
              <w:jc w:val="right"/>
              <w:rPr>
                <w:rFonts w:eastAsia="MS Mincho" w:cs="Arial"/>
                <w:spacing w:val="-3"/>
                <w:sz w:val="18"/>
                <w:szCs w:val="18"/>
              </w:rPr>
            </w:pPr>
            <w:r>
              <w:rPr>
                <w:rFonts w:eastAsia="MS Mincho" w:cs="Arial"/>
                <w:spacing w:val="-3"/>
                <w:sz w:val="18"/>
                <w:szCs w:val="18"/>
              </w:rPr>
              <w:t>$</w:t>
            </w:r>
            <w:r w:rsidR="0062105A">
              <w:rPr>
                <w:rFonts w:eastAsia="MS Mincho" w:cs="Arial"/>
                <w:spacing w:val="-3"/>
                <w:sz w:val="18"/>
                <w:szCs w:val="18"/>
              </w:rPr>
              <w:t>1</w:t>
            </w:r>
            <w:r>
              <w:rPr>
                <w:rFonts w:eastAsia="MS Mincho" w:cs="Arial"/>
                <w:spacing w:val="-3"/>
                <w:sz w:val="18"/>
                <w:szCs w:val="18"/>
              </w:rPr>
              <w:t>.</w:t>
            </w:r>
            <w:r w:rsidR="0062105A">
              <w:rPr>
                <w:rFonts w:eastAsia="MS Mincho" w:cs="Arial"/>
                <w:spacing w:val="-3"/>
                <w:sz w:val="18"/>
                <w:szCs w:val="18"/>
              </w:rPr>
              <w:t>2</w:t>
            </w:r>
          </w:p>
        </w:tc>
      </w:tr>
    </w:tbl>
    <w:p w14:paraId="01D1A3D1" w14:textId="77777777" w:rsidR="00DE3AE5" w:rsidRPr="006C34C6" w:rsidRDefault="00DE3AE5" w:rsidP="006E5A19">
      <w:pPr>
        <w:spacing w:before="120" w:after="150"/>
        <w:rPr>
          <w:rFonts w:cs="Arial"/>
          <w:sz w:val="18"/>
          <w:szCs w:val="18"/>
        </w:rPr>
      </w:pPr>
      <w:bookmarkStart w:id="302" w:name="_Toc479345531"/>
      <w:bookmarkStart w:id="303" w:name="_Toc479345893"/>
      <w:bookmarkStart w:id="304" w:name="_Toc480281457"/>
      <w:r w:rsidRPr="006C34C6">
        <w:rPr>
          <w:rFonts w:cs="Arial"/>
          <w:sz w:val="18"/>
          <w:szCs w:val="18"/>
        </w:rPr>
        <w:t>The released guidance on risk management systems provides tailored guidance for responsible entities on how to meet the obligation, and seeks to set minimum standards and address inconsistencies among existing arrangements of various responsible entities.</w:t>
      </w:r>
      <w:bookmarkEnd w:id="302"/>
      <w:bookmarkEnd w:id="303"/>
      <w:bookmarkEnd w:id="304"/>
    </w:p>
    <w:p w14:paraId="6471E517" w14:textId="46347727" w:rsidR="00D91FF3" w:rsidRPr="00340653" w:rsidRDefault="00F029A5" w:rsidP="00340653">
      <w:pPr>
        <w:pStyle w:val="Heading3"/>
      </w:pPr>
      <w:bookmarkStart w:id="305" w:name="_Toc5375767"/>
      <w:r>
        <w:t>Department of the Treasury</w:t>
      </w:r>
      <w:bookmarkEnd w:id="305"/>
    </w:p>
    <w:tbl>
      <w:tblPr>
        <w:tblW w:w="10065" w:type="dxa"/>
        <w:tblInd w:w="-142" w:type="dxa"/>
        <w:tblLayout w:type="fixed"/>
        <w:tblCellMar>
          <w:left w:w="0" w:type="dxa"/>
          <w:right w:w="0" w:type="dxa"/>
        </w:tblCellMar>
        <w:tblLook w:val="04A0" w:firstRow="1" w:lastRow="0" w:firstColumn="1" w:lastColumn="0" w:noHBand="0" w:noVBand="1"/>
        <w:tblCaption w:val="Crowd-Sourced Equity Funding"/>
        <w:tblDescription w:val="Crowd-Sourced Equity Funding: Compliant, Best practice, No PIR required. Regulatory Burden: $50.9m."/>
      </w:tblPr>
      <w:tblGrid>
        <w:gridCol w:w="5422"/>
        <w:gridCol w:w="1245"/>
        <w:gridCol w:w="1106"/>
        <w:gridCol w:w="1105"/>
        <w:gridCol w:w="1187"/>
      </w:tblGrid>
      <w:tr w:rsidR="00FF3E2A" w:rsidRPr="00C30B2D" w14:paraId="1A8D91AC" w14:textId="77777777" w:rsidTr="00173754">
        <w:trPr>
          <w:tblHeader/>
        </w:trPr>
        <w:tc>
          <w:tcPr>
            <w:tcW w:w="5422" w:type="dxa"/>
            <w:shd w:val="clear" w:color="auto" w:fill="F4973F"/>
            <w:vAlign w:val="center"/>
            <w:hideMark/>
          </w:tcPr>
          <w:p w14:paraId="6BD8D47A" w14:textId="7FC29EC1" w:rsidR="00FF3E2A" w:rsidRPr="00C30B2D" w:rsidRDefault="00D826C8"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sidRPr="00D826C8">
              <w:rPr>
                <w:sz w:val="18"/>
              </w:rPr>
              <w:t xml:space="preserve"> </w:t>
            </w:r>
            <w:r w:rsidR="00FF3E2A" w:rsidRPr="00C30B2D">
              <w:rPr>
                <w:rFonts w:eastAsia="MS Mincho" w:cs="Arial"/>
                <w:color w:val="FFFFFF"/>
                <w:w w:val="105"/>
                <w:sz w:val="18"/>
                <w:szCs w:val="18"/>
              </w:rPr>
              <w:t>Proposal</w:t>
            </w:r>
          </w:p>
        </w:tc>
        <w:tc>
          <w:tcPr>
            <w:tcW w:w="1245" w:type="dxa"/>
            <w:shd w:val="clear" w:color="auto" w:fill="F4973F"/>
            <w:vAlign w:val="center"/>
            <w:hideMark/>
          </w:tcPr>
          <w:p w14:paraId="785C2A81" w14:textId="77777777" w:rsidR="00FF3E2A" w:rsidRPr="00C30B2D" w:rsidRDefault="00FF3E2A"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02D77D25" w14:textId="77777777" w:rsidR="00FF3E2A" w:rsidRPr="00C30B2D" w:rsidRDefault="00FF3E2A"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1FE8A5AC" w14:textId="77777777" w:rsidR="00FF3E2A" w:rsidRPr="00C30B2D" w:rsidRDefault="00FF3E2A"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3B2877ED" w14:textId="77777777" w:rsidR="00FF3E2A" w:rsidRPr="00C30B2D" w:rsidRDefault="00FF3E2A"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FF3E2A" w:rsidRPr="00C30B2D" w14:paraId="61BD28B3" w14:textId="77777777" w:rsidTr="006E5A19">
        <w:trPr>
          <w:trHeight w:hRule="exact" w:val="510"/>
        </w:trPr>
        <w:tc>
          <w:tcPr>
            <w:tcW w:w="5422" w:type="dxa"/>
            <w:vAlign w:val="center"/>
            <w:hideMark/>
          </w:tcPr>
          <w:p w14:paraId="441A2D67" w14:textId="5B53ACF6" w:rsidR="00FF3E2A" w:rsidRPr="00C30B2D" w:rsidRDefault="00FF3E2A" w:rsidP="009465BE">
            <w:pPr>
              <w:widowControl w:val="0"/>
              <w:kinsoku w:val="0"/>
              <w:overflowPunct w:val="0"/>
              <w:autoSpaceDE w:val="0"/>
              <w:autoSpaceDN w:val="0"/>
              <w:adjustRightInd w:val="0"/>
              <w:spacing w:before="54" w:after="0" w:line="252" w:lineRule="auto"/>
              <w:ind w:left="135" w:right="102"/>
              <w:rPr>
                <w:rFonts w:eastAsia="MS Mincho" w:cs="Arial"/>
                <w:spacing w:val="-3"/>
                <w:sz w:val="18"/>
                <w:szCs w:val="18"/>
              </w:rPr>
            </w:pPr>
            <w:r>
              <w:rPr>
                <w:rFonts w:cs="Arial"/>
                <w:sz w:val="18"/>
                <w:szCs w:val="18"/>
              </w:rPr>
              <w:t>Crow</w:t>
            </w:r>
            <w:r w:rsidR="00B60300">
              <w:rPr>
                <w:rFonts w:cs="Arial"/>
                <w:sz w:val="18"/>
                <w:szCs w:val="18"/>
              </w:rPr>
              <w:t>d</w:t>
            </w:r>
            <w:r w:rsidR="00212DA1">
              <w:rPr>
                <w:rFonts w:cs="Arial"/>
                <w:sz w:val="18"/>
                <w:szCs w:val="18"/>
              </w:rPr>
              <w:t>-</w:t>
            </w:r>
            <w:r>
              <w:rPr>
                <w:rFonts w:cs="Arial"/>
                <w:sz w:val="18"/>
                <w:szCs w:val="18"/>
              </w:rPr>
              <w:t xml:space="preserve">Sourced Equity Funding </w:t>
            </w:r>
          </w:p>
        </w:tc>
        <w:tc>
          <w:tcPr>
            <w:tcW w:w="1245" w:type="dxa"/>
            <w:vAlign w:val="center"/>
            <w:hideMark/>
          </w:tcPr>
          <w:p w14:paraId="3B4CB1EB" w14:textId="77777777" w:rsidR="00FF3E2A" w:rsidRPr="00C30B2D" w:rsidRDefault="00FF3E2A" w:rsidP="00C405AC">
            <w:pPr>
              <w:widowControl w:val="0"/>
              <w:kinsoku w:val="0"/>
              <w:overflowPunct w:val="0"/>
              <w:autoSpaceDE w:val="0"/>
              <w:autoSpaceDN w:val="0"/>
              <w:adjustRightInd w:val="0"/>
              <w:spacing w:before="54" w:after="0" w:line="276" w:lineRule="auto"/>
              <w:jc w:val="center"/>
              <w:rPr>
                <w:rFonts w:eastAsia="MS Mincho" w:cs="Arial"/>
                <w:spacing w:val="-2"/>
                <w:w w:val="90"/>
                <w:sz w:val="18"/>
                <w:szCs w:val="18"/>
              </w:rPr>
            </w:pPr>
            <w:r w:rsidRPr="00C30B2D">
              <w:rPr>
                <w:rFonts w:eastAsia="MS Mincho" w:cs="Arial"/>
                <w:spacing w:val="-3"/>
                <w:sz w:val="18"/>
                <w:szCs w:val="18"/>
              </w:rPr>
              <w:t>Compliant</w:t>
            </w:r>
          </w:p>
        </w:tc>
        <w:tc>
          <w:tcPr>
            <w:tcW w:w="1106" w:type="dxa"/>
            <w:vAlign w:val="center"/>
            <w:hideMark/>
          </w:tcPr>
          <w:p w14:paraId="0852549F" w14:textId="77777777" w:rsidR="00FF3E2A" w:rsidRPr="00C30B2D" w:rsidRDefault="00FF3E2A" w:rsidP="00C405AC">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Yes</w:t>
            </w:r>
          </w:p>
        </w:tc>
        <w:tc>
          <w:tcPr>
            <w:tcW w:w="1105" w:type="dxa"/>
            <w:vAlign w:val="center"/>
            <w:hideMark/>
          </w:tcPr>
          <w:p w14:paraId="59851FD7" w14:textId="77777777" w:rsidR="00FF3E2A" w:rsidRPr="00C30B2D" w:rsidRDefault="00FF3E2A" w:rsidP="00C405AC">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63237144" w14:textId="57A133FC" w:rsidR="00FF3E2A" w:rsidRPr="00C30B2D" w:rsidRDefault="00FF3E2A" w:rsidP="00C405AC">
            <w:pPr>
              <w:widowControl w:val="0"/>
              <w:kinsoku w:val="0"/>
              <w:overflowPunct w:val="0"/>
              <w:autoSpaceDE w:val="0"/>
              <w:autoSpaceDN w:val="0"/>
              <w:adjustRightInd w:val="0"/>
              <w:spacing w:before="54" w:after="0" w:line="276" w:lineRule="auto"/>
              <w:ind w:right="227"/>
              <w:jc w:val="right"/>
              <w:rPr>
                <w:rFonts w:eastAsia="MS Mincho" w:cs="Arial"/>
                <w:spacing w:val="-3"/>
                <w:sz w:val="18"/>
                <w:szCs w:val="18"/>
              </w:rPr>
            </w:pPr>
            <w:r>
              <w:rPr>
                <w:rFonts w:eastAsia="MS Mincho" w:cs="Arial"/>
                <w:spacing w:val="-3"/>
                <w:sz w:val="18"/>
                <w:szCs w:val="18"/>
              </w:rPr>
              <w:t>$50.9</w:t>
            </w:r>
          </w:p>
        </w:tc>
      </w:tr>
    </w:tbl>
    <w:p w14:paraId="40A63DC8" w14:textId="5C49E921" w:rsidR="00370A59" w:rsidRDefault="00DE3AE5" w:rsidP="006E5A19">
      <w:pPr>
        <w:spacing w:before="120" w:after="150"/>
        <w:rPr>
          <w:rFonts w:cs="Arial"/>
          <w:sz w:val="18"/>
          <w:szCs w:val="18"/>
        </w:rPr>
      </w:pPr>
      <w:r w:rsidRPr="006C34C6">
        <w:rPr>
          <w:rFonts w:cs="Arial"/>
          <w:sz w:val="18"/>
          <w:szCs w:val="18"/>
        </w:rPr>
        <w:t>The Bill establishes a regulatory framework to facilitate crowd-sourced funding by small, unlisted public companies. The crowd-sourced funding (CSF) regime includes: eligibility requirements for a company to fundraise via CSF, including disclosure requirements for CSF offers; obligations of a CSF intermediary in facilitating CSF offers; the process for making CSF offers; rules relating to defective disclosure as part of a CSF offer; investor protection provisions; and temporary relief for new public companies eligible to crowdfund from certain reporting and governance requirements.</w:t>
      </w:r>
    </w:p>
    <w:tbl>
      <w:tblPr>
        <w:tblW w:w="10065" w:type="dxa"/>
        <w:tblInd w:w="-142" w:type="dxa"/>
        <w:tblLayout w:type="fixed"/>
        <w:tblCellMar>
          <w:left w:w="0" w:type="dxa"/>
          <w:right w:w="0" w:type="dxa"/>
        </w:tblCellMar>
        <w:tblLook w:val="0000" w:firstRow="0" w:lastRow="0" w:firstColumn="0" w:lastColumn="0" w:noHBand="0" w:noVBand="0"/>
        <w:tblCaption w:val="Non-Authorised Deposit-taking Institutions (ADI) Lender Rules"/>
        <w:tblDescription w:val="Non-Authorised Deposit-taking Institutions (ADI) Lender Rules: Compliant, Best practice, No PIR required. Regulatory Burden: $1.2m."/>
      </w:tblPr>
      <w:tblGrid>
        <w:gridCol w:w="5420"/>
        <w:gridCol w:w="1245"/>
        <w:gridCol w:w="1105"/>
        <w:gridCol w:w="1104"/>
        <w:gridCol w:w="1191"/>
      </w:tblGrid>
      <w:tr w:rsidR="00057214" w:rsidRPr="0084580D" w14:paraId="1632960D" w14:textId="77777777" w:rsidTr="00C07154">
        <w:trPr>
          <w:trHeight w:val="569"/>
          <w:tblHeader/>
        </w:trPr>
        <w:tc>
          <w:tcPr>
            <w:tcW w:w="5420" w:type="dxa"/>
            <w:shd w:val="clear" w:color="auto" w:fill="F4973F"/>
            <w:vAlign w:val="center"/>
          </w:tcPr>
          <w:p w14:paraId="24C65306" w14:textId="77777777" w:rsidR="00057214" w:rsidRPr="0084580D" w:rsidRDefault="00057214" w:rsidP="00C07154">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676BCC44" w14:textId="77777777" w:rsidR="00057214" w:rsidRPr="0084580D" w:rsidRDefault="00057214" w:rsidP="00C07154">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2D884AA9" w14:textId="77777777" w:rsidR="00057214" w:rsidRPr="0084580D" w:rsidRDefault="00057214" w:rsidP="00C07154">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60A4F5D5" w14:textId="77777777" w:rsidR="00057214" w:rsidRPr="0084580D" w:rsidRDefault="00057214" w:rsidP="00C07154">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3377CE50" w14:textId="77777777" w:rsidR="00057214" w:rsidRPr="0084580D" w:rsidRDefault="00057214" w:rsidP="00C07154">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057214" w:rsidRPr="00287769" w14:paraId="478BABC5" w14:textId="77777777" w:rsidTr="006E5A19">
        <w:trPr>
          <w:trHeight w:hRule="exact" w:val="737"/>
        </w:trPr>
        <w:tc>
          <w:tcPr>
            <w:tcW w:w="5420" w:type="dxa"/>
            <w:shd w:val="clear" w:color="auto" w:fill="auto"/>
            <w:vAlign w:val="center"/>
          </w:tcPr>
          <w:p w14:paraId="2DB33309" w14:textId="5CBDFC4D" w:rsidR="00057214" w:rsidRPr="00287769" w:rsidRDefault="00057214" w:rsidP="00862EDF">
            <w:pPr>
              <w:widowControl w:val="0"/>
              <w:kinsoku w:val="0"/>
              <w:overflowPunct w:val="0"/>
              <w:autoSpaceDE w:val="0"/>
              <w:autoSpaceDN w:val="0"/>
              <w:adjustRightInd w:val="0"/>
              <w:spacing w:after="0"/>
              <w:ind w:left="135" w:right="102"/>
              <w:rPr>
                <w:rFonts w:eastAsia="MS Mincho" w:cs="Arial"/>
                <w:spacing w:val="-3"/>
                <w:sz w:val="18"/>
                <w:szCs w:val="18"/>
              </w:rPr>
            </w:pPr>
            <w:r w:rsidRPr="00287769">
              <w:rPr>
                <w:rFonts w:eastAsia="MS Mincho" w:cs="Arial"/>
                <w:spacing w:val="-3"/>
                <w:sz w:val="18"/>
                <w:szCs w:val="18"/>
              </w:rPr>
              <w:t xml:space="preserve">Extending </w:t>
            </w:r>
            <w:r w:rsidR="001047D9" w:rsidRPr="00287769">
              <w:rPr>
                <w:rFonts w:eastAsia="MS Mincho" w:cs="Arial"/>
                <w:spacing w:val="-3"/>
                <w:sz w:val="18"/>
                <w:szCs w:val="18"/>
              </w:rPr>
              <w:t xml:space="preserve">Immediate Deductibility Threshold </w:t>
            </w:r>
            <w:r w:rsidRPr="00287769">
              <w:rPr>
                <w:rFonts w:eastAsia="MS Mincho" w:cs="Arial"/>
                <w:spacing w:val="-3"/>
                <w:sz w:val="18"/>
                <w:szCs w:val="18"/>
              </w:rPr>
              <w:t xml:space="preserve">for </w:t>
            </w:r>
            <w:r w:rsidR="001047D9" w:rsidRPr="00287769">
              <w:rPr>
                <w:rFonts w:eastAsia="MS Mincho" w:cs="Arial"/>
                <w:spacing w:val="-3"/>
                <w:sz w:val="18"/>
                <w:szCs w:val="18"/>
              </w:rPr>
              <w:t xml:space="preserve">Small Businesses </w:t>
            </w:r>
            <w:r>
              <w:rPr>
                <w:rFonts w:eastAsia="MS Mincho" w:cs="Arial"/>
                <w:spacing w:val="-3"/>
                <w:sz w:val="18"/>
                <w:szCs w:val="18"/>
              </w:rPr>
              <w:t>– Independent Review</w:t>
            </w:r>
          </w:p>
        </w:tc>
        <w:tc>
          <w:tcPr>
            <w:tcW w:w="1245" w:type="dxa"/>
            <w:shd w:val="clear" w:color="auto" w:fill="auto"/>
            <w:vAlign w:val="center"/>
          </w:tcPr>
          <w:p w14:paraId="4EB9B098" w14:textId="40CF5D52" w:rsidR="00057214" w:rsidRPr="00287769" w:rsidRDefault="007A424F" w:rsidP="001677AA">
            <w:pPr>
              <w:widowControl w:val="0"/>
              <w:kinsoku w:val="0"/>
              <w:overflowPunct w:val="0"/>
              <w:autoSpaceDE w:val="0"/>
              <w:autoSpaceDN w:val="0"/>
              <w:adjustRightInd w:val="0"/>
              <w:spacing w:after="0"/>
              <w:jc w:val="center"/>
              <w:rPr>
                <w:rFonts w:eastAsia="MS Mincho" w:cs="Arial"/>
                <w:spacing w:val="-2"/>
                <w:w w:val="90"/>
                <w:sz w:val="18"/>
                <w:szCs w:val="18"/>
              </w:rPr>
            </w:pPr>
            <w:r>
              <w:rPr>
                <w:rFonts w:eastAsia="MS Mincho" w:cs="Arial"/>
                <w:spacing w:val="-3"/>
                <w:sz w:val="18"/>
                <w:szCs w:val="18"/>
              </w:rPr>
              <w:t>Compliant</w:t>
            </w:r>
          </w:p>
        </w:tc>
        <w:tc>
          <w:tcPr>
            <w:tcW w:w="1105" w:type="dxa"/>
            <w:shd w:val="clear" w:color="auto" w:fill="auto"/>
            <w:vAlign w:val="center"/>
          </w:tcPr>
          <w:p w14:paraId="44B88645" w14:textId="157837C1" w:rsidR="00057214" w:rsidRPr="00C53B8D" w:rsidRDefault="00057214" w:rsidP="001677AA">
            <w:pPr>
              <w:widowControl w:val="0"/>
              <w:kinsoku w:val="0"/>
              <w:overflowPunct w:val="0"/>
              <w:autoSpaceDE w:val="0"/>
              <w:autoSpaceDN w:val="0"/>
              <w:adjustRightInd w:val="0"/>
              <w:spacing w:before="54" w:after="0" w:line="276" w:lineRule="auto"/>
              <w:jc w:val="center"/>
              <w:rPr>
                <w:rFonts w:eastAsia="MS Mincho" w:cs="Arial"/>
                <w:w w:val="85"/>
                <w:sz w:val="18"/>
                <w:szCs w:val="18"/>
                <w:vertAlign w:val="superscript"/>
              </w:rPr>
            </w:pPr>
            <w:r w:rsidRPr="00287769">
              <w:rPr>
                <w:rFonts w:eastAsia="MS Mincho" w:cs="Arial"/>
                <w:spacing w:val="-3"/>
                <w:sz w:val="18"/>
                <w:szCs w:val="18"/>
              </w:rPr>
              <w:t>Yes</w:t>
            </w:r>
          </w:p>
        </w:tc>
        <w:tc>
          <w:tcPr>
            <w:tcW w:w="1104" w:type="dxa"/>
            <w:shd w:val="clear" w:color="auto" w:fill="auto"/>
            <w:vAlign w:val="center"/>
          </w:tcPr>
          <w:p w14:paraId="7603D0BE" w14:textId="77777777" w:rsidR="00057214" w:rsidRPr="00287769" w:rsidRDefault="00057214" w:rsidP="001677AA">
            <w:pPr>
              <w:widowControl w:val="0"/>
              <w:kinsoku w:val="0"/>
              <w:overflowPunct w:val="0"/>
              <w:autoSpaceDE w:val="0"/>
              <w:autoSpaceDN w:val="0"/>
              <w:adjustRightInd w:val="0"/>
              <w:spacing w:after="0"/>
              <w:jc w:val="center"/>
              <w:rPr>
                <w:rFonts w:eastAsia="MS Mincho" w:cs="Arial"/>
                <w:w w:val="85"/>
                <w:sz w:val="18"/>
                <w:szCs w:val="18"/>
              </w:rPr>
            </w:pPr>
            <w:r w:rsidRPr="00287769">
              <w:rPr>
                <w:rFonts w:eastAsia="MS Mincho" w:cs="Arial"/>
                <w:spacing w:val="-3"/>
                <w:sz w:val="18"/>
                <w:szCs w:val="18"/>
              </w:rPr>
              <w:t>No</w:t>
            </w:r>
          </w:p>
        </w:tc>
        <w:tc>
          <w:tcPr>
            <w:tcW w:w="1191" w:type="dxa"/>
            <w:vAlign w:val="center"/>
          </w:tcPr>
          <w:p w14:paraId="0B6BF466" w14:textId="77777777" w:rsidR="00057214" w:rsidRPr="00287769" w:rsidRDefault="00057214" w:rsidP="001677AA">
            <w:pPr>
              <w:widowControl w:val="0"/>
              <w:kinsoku w:val="0"/>
              <w:overflowPunct w:val="0"/>
              <w:autoSpaceDE w:val="0"/>
              <w:autoSpaceDN w:val="0"/>
              <w:adjustRightInd w:val="0"/>
              <w:spacing w:after="0"/>
              <w:ind w:right="227"/>
              <w:jc w:val="right"/>
              <w:rPr>
                <w:rFonts w:eastAsia="MS Mincho" w:cs="Arial"/>
                <w:spacing w:val="-3"/>
                <w:sz w:val="18"/>
                <w:szCs w:val="18"/>
              </w:rPr>
            </w:pPr>
            <w:r w:rsidRPr="00287769">
              <w:rPr>
                <w:rFonts w:eastAsia="MS Mincho" w:cs="Arial"/>
                <w:spacing w:val="-3"/>
                <w:sz w:val="18"/>
                <w:szCs w:val="18"/>
              </w:rPr>
              <w:t>-$2.4</w:t>
            </w:r>
          </w:p>
        </w:tc>
      </w:tr>
    </w:tbl>
    <w:p w14:paraId="54497FAE" w14:textId="59DB136A" w:rsidR="00057214" w:rsidRPr="00F25143" w:rsidRDefault="00057214" w:rsidP="006E5A19">
      <w:pPr>
        <w:spacing w:before="120" w:after="150"/>
        <w:rPr>
          <w:rFonts w:cs="Arial"/>
          <w:sz w:val="18"/>
          <w:szCs w:val="18"/>
        </w:rPr>
      </w:pPr>
      <w:r w:rsidRPr="00F25143">
        <w:rPr>
          <w:rFonts w:cs="Arial"/>
          <w:sz w:val="18"/>
          <w:szCs w:val="18"/>
        </w:rPr>
        <w:t xml:space="preserve">This proposal proposes to extend the $20,000 instant asset write-off by 12 months to 30 June 2018 for small businesses with aggregated annual turnover less than $10 million. </w:t>
      </w:r>
      <w:r w:rsidR="0050744B" w:rsidRPr="0050744B">
        <w:rPr>
          <w:rFonts w:cs="Arial"/>
          <w:sz w:val="18"/>
          <w:szCs w:val="18"/>
        </w:rPr>
        <w:t>The OBPR does not assess the adequacy of the content of an independent review used in lieu of a RIS.</w:t>
      </w:r>
    </w:p>
    <w:tbl>
      <w:tblPr>
        <w:tblW w:w="10065" w:type="dxa"/>
        <w:tblInd w:w="-142" w:type="dxa"/>
        <w:tblLayout w:type="fixed"/>
        <w:tblCellMar>
          <w:left w:w="0" w:type="dxa"/>
          <w:right w:w="0" w:type="dxa"/>
        </w:tblCellMar>
        <w:tblLook w:val="04A0" w:firstRow="1" w:lastRow="0" w:firstColumn="1" w:lastColumn="0" w:noHBand="0" w:noVBand="1"/>
        <w:tblCaption w:val="Introduce a Diverted Profits Tax"/>
        <w:tblDescription w:val="Introduce a Diverted Profits Tax: Compliant, Best practice, No PIR required. Regulatory Burden: $16.4m."/>
      </w:tblPr>
      <w:tblGrid>
        <w:gridCol w:w="5422"/>
        <w:gridCol w:w="1245"/>
        <w:gridCol w:w="1106"/>
        <w:gridCol w:w="1105"/>
        <w:gridCol w:w="1187"/>
      </w:tblGrid>
      <w:tr w:rsidR="006E02B7" w:rsidRPr="00C30B2D" w14:paraId="7614CB85" w14:textId="77777777" w:rsidTr="00173754">
        <w:trPr>
          <w:tblHeader/>
        </w:trPr>
        <w:tc>
          <w:tcPr>
            <w:tcW w:w="5422" w:type="dxa"/>
            <w:shd w:val="clear" w:color="auto" w:fill="F4973F"/>
            <w:vAlign w:val="center"/>
            <w:hideMark/>
          </w:tcPr>
          <w:p w14:paraId="4C0248D1" w14:textId="0EFE5037" w:rsidR="006E02B7" w:rsidRPr="00C30B2D" w:rsidRDefault="002773BF"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br w:type="page"/>
            </w:r>
            <w:r w:rsidR="006E02B7" w:rsidRPr="00C30B2D">
              <w:rPr>
                <w:rFonts w:eastAsia="MS Mincho" w:cs="Arial"/>
                <w:color w:val="FFFFFF"/>
                <w:w w:val="105"/>
                <w:sz w:val="18"/>
                <w:szCs w:val="18"/>
              </w:rPr>
              <w:t>Proposal</w:t>
            </w:r>
          </w:p>
        </w:tc>
        <w:tc>
          <w:tcPr>
            <w:tcW w:w="1245" w:type="dxa"/>
            <w:shd w:val="clear" w:color="auto" w:fill="F4973F"/>
            <w:vAlign w:val="center"/>
            <w:hideMark/>
          </w:tcPr>
          <w:p w14:paraId="0EB0642D" w14:textId="77777777" w:rsidR="006E02B7" w:rsidRPr="00C30B2D" w:rsidRDefault="006E02B7"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1FFFDB8E" w14:textId="77777777" w:rsidR="006E02B7" w:rsidRPr="00C30B2D" w:rsidRDefault="006E02B7"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35969BD2" w14:textId="77777777" w:rsidR="006E02B7" w:rsidRPr="00C30B2D" w:rsidRDefault="006E02B7"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6DE49AD5" w14:textId="77777777" w:rsidR="006E02B7" w:rsidRPr="00C30B2D" w:rsidRDefault="006E02B7"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54451F" w:rsidRPr="00C30B2D" w14:paraId="267E2A2A" w14:textId="77777777" w:rsidTr="006E5A19">
        <w:trPr>
          <w:trHeight w:hRule="exact" w:val="510"/>
        </w:trPr>
        <w:tc>
          <w:tcPr>
            <w:tcW w:w="5422" w:type="dxa"/>
            <w:vAlign w:val="center"/>
            <w:hideMark/>
          </w:tcPr>
          <w:p w14:paraId="3782CDF2" w14:textId="77777777" w:rsidR="0054451F" w:rsidRPr="00C30B2D" w:rsidRDefault="0054451F" w:rsidP="006E5A19">
            <w:pPr>
              <w:widowControl w:val="0"/>
              <w:kinsoku w:val="0"/>
              <w:overflowPunct w:val="0"/>
              <w:autoSpaceDE w:val="0"/>
              <w:autoSpaceDN w:val="0"/>
              <w:adjustRightInd w:val="0"/>
              <w:spacing w:before="54" w:after="0" w:line="252" w:lineRule="auto"/>
              <w:ind w:left="135" w:right="102"/>
              <w:rPr>
                <w:rFonts w:eastAsia="MS Mincho" w:cs="Arial"/>
                <w:spacing w:val="-3"/>
                <w:sz w:val="18"/>
                <w:szCs w:val="18"/>
              </w:rPr>
            </w:pPr>
            <w:r>
              <w:rPr>
                <w:rFonts w:cs="Arial"/>
                <w:sz w:val="18"/>
                <w:szCs w:val="18"/>
              </w:rPr>
              <w:t>Increase in Tobacco Excises</w:t>
            </w:r>
          </w:p>
        </w:tc>
        <w:tc>
          <w:tcPr>
            <w:tcW w:w="1245" w:type="dxa"/>
            <w:vAlign w:val="center"/>
            <w:hideMark/>
          </w:tcPr>
          <w:p w14:paraId="30239E3F" w14:textId="77777777" w:rsidR="0054451F" w:rsidRPr="00C30B2D" w:rsidRDefault="0054451F" w:rsidP="00937267">
            <w:pPr>
              <w:widowControl w:val="0"/>
              <w:kinsoku w:val="0"/>
              <w:overflowPunct w:val="0"/>
              <w:autoSpaceDE w:val="0"/>
              <w:autoSpaceDN w:val="0"/>
              <w:adjustRightInd w:val="0"/>
              <w:spacing w:before="54" w:after="0" w:line="276" w:lineRule="auto"/>
              <w:jc w:val="center"/>
              <w:rPr>
                <w:rFonts w:eastAsia="MS Mincho" w:cs="Arial"/>
                <w:spacing w:val="-2"/>
                <w:w w:val="90"/>
                <w:sz w:val="18"/>
                <w:szCs w:val="18"/>
              </w:rPr>
            </w:pPr>
            <w:r w:rsidRPr="00C30B2D">
              <w:rPr>
                <w:rFonts w:eastAsia="MS Mincho" w:cs="Arial"/>
                <w:spacing w:val="-3"/>
                <w:sz w:val="18"/>
                <w:szCs w:val="18"/>
              </w:rPr>
              <w:t>Compliant</w:t>
            </w:r>
          </w:p>
        </w:tc>
        <w:tc>
          <w:tcPr>
            <w:tcW w:w="1106" w:type="dxa"/>
            <w:vAlign w:val="center"/>
            <w:hideMark/>
          </w:tcPr>
          <w:p w14:paraId="617AAEDA" w14:textId="77777777" w:rsidR="0054451F" w:rsidRPr="00C30B2D" w:rsidRDefault="0054451F" w:rsidP="00937267">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Yes</w:t>
            </w:r>
          </w:p>
        </w:tc>
        <w:tc>
          <w:tcPr>
            <w:tcW w:w="1105" w:type="dxa"/>
            <w:vAlign w:val="center"/>
            <w:hideMark/>
          </w:tcPr>
          <w:p w14:paraId="3A92C47A" w14:textId="77777777" w:rsidR="0054451F" w:rsidRPr="00C30B2D" w:rsidRDefault="0054451F" w:rsidP="00937267">
            <w:pPr>
              <w:widowControl w:val="0"/>
              <w:kinsoku w:val="0"/>
              <w:overflowPunct w:val="0"/>
              <w:autoSpaceDE w:val="0"/>
              <w:autoSpaceDN w:val="0"/>
              <w:adjustRightInd w:val="0"/>
              <w:spacing w:before="54"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2B8849A6" w14:textId="77777777" w:rsidR="0054451F" w:rsidRPr="00C30B2D" w:rsidRDefault="0054451F" w:rsidP="00937267">
            <w:pPr>
              <w:widowControl w:val="0"/>
              <w:kinsoku w:val="0"/>
              <w:overflowPunct w:val="0"/>
              <w:autoSpaceDE w:val="0"/>
              <w:autoSpaceDN w:val="0"/>
              <w:adjustRightInd w:val="0"/>
              <w:spacing w:before="54" w:after="0" w:line="276" w:lineRule="auto"/>
              <w:ind w:right="227"/>
              <w:jc w:val="right"/>
              <w:rPr>
                <w:rFonts w:eastAsia="MS Mincho" w:cs="Arial"/>
                <w:spacing w:val="-3"/>
                <w:sz w:val="18"/>
                <w:szCs w:val="18"/>
              </w:rPr>
            </w:pPr>
            <w:r>
              <w:rPr>
                <w:rFonts w:eastAsia="MS Mincho" w:cs="Arial"/>
                <w:spacing w:val="-3"/>
                <w:sz w:val="18"/>
                <w:szCs w:val="18"/>
              </w:rPr>
              <w:t>$0.3</w:t>
            </w:r>
          </w:p>
        </w:tc>
      </w:tr>
    </w:tbl>
    <w:p w14:paraId="538E7762" w14:textId="39735D47" w:rsidR="0054451F" w:rsidRDefault="0054451F" w:rsidP="006E5A19">
      <w:pPr>
        <w:spacing w:before="120" w:after="150"/>
        <w:rPr>
          <w:rFonts w:cs="Arial"/>
          <w:sz w:val="18"/>
          <w:szCs w:val="18"/>
        </w:rPr>
      </w:pPr>
      <w:r w:rsidRPr="006C34C6">
        <w:rPr>
          <w:rFonts w:cs="Arial"/>
          <w:sz w:val="18"/>
          <w:szCs w:val="18"/>
        </w:rPr>
        <w:t>Increases the rate of excise-equivalent customs duty on tobacco and tobacco products through a series of four annual increases of 12.5 per cent, commencing on 1 September 2017.</w:t>
      </w:r>
    </w:p>
    <w:tbl>
      <w:tblPr>
        <w:tblW w:w="10065" w:type="dxa"/>
        <w:tblInd w:w="-142" w:type="dxa"/>
        <w:tblLayout w:type="fixed"/>
        <w:tblCellMar>
          <w:left w:w="0" w:type="dxa"/>
          <w:right w:w="0" w:type="dxa"/>
        </w:tblCellMar>
        <w:tblLook w:val="04A0" w:firstRow="1" w:lastRow="0" w:firstColumn="1" w:lastColumn="0" w:noHBand="0" w:noVBand="1"/>
        <w:tblCaption w:val="Introduce a Diverted Profits Tax"/>
        <w:tblDescription w:val="Introduce a Diverted Profits Tax: Compliant, Best practice, No PIR required. Regulatory Burden: $16.4m."/>
      </w:tblPr>
      <w:tblGrid>
        <w:gridCol w:w="5422"/>
        <w:gridCol w:w="1245"/>
        <w:gridCol w:w="1106"/>
        <w:gridCol w:w="1105"/>
        <w:gridCol w:w="1187"/>
      </w:tblGrid>
      <w:tr w:rsidR="00756A1D" w:rsidRPr="00C30B2D" w14:paraId="664ED900" w14:textId="77777777" w:rsidTr="00173754">
        <w:trPr>
          <w:tblHeader/>
        </w:trPr>
        <w:tc>
          <w:tcPr>
            <w:tcW w:w="5422" w:type="dxa"/>
            <w:shd w:val="clear" w:color="auto" w:fill="F4973F"/>
            <w:vAlign w:val="center"/>
            <w:hideMark/>
          </w:tcPr>
          <w:p w14:paraId="1089BF6C" w14:textId="77777777" w:rsidR="00756A1D" w:rsidRPr="00C30B2D" w:rsidRDefault="00756A1D"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br w:type="page"/>
            </w:r>
            <w:r w:rsidRPr="00C30B2D">
              <w:rPr>
                <w:rFonts w:eastAsia="MS Mincho" w:cs="Arial"/>
                <w:color w:val="FFFFFF"/>
                <w:w w:val="105"/>
                <w:sz w:val="18"/>
                <w:szCs w:val="18"/>
              </w:rPr>
              <w:t>Proposal</w:t>
            </w:r>
          </w:p>
        </w:tc>
        <w:tc>
          <w:tcPr>
            <w:tcW w:w="1245" w:type="dxa"/>
            <w:shd w:val="clear" w:color="auto" w:fill="F4973F"/>
            <w:vAlign w:val="center"/>
            <w:hideMark/>
          </w:tcPr>
          <w:p w14:paraId="0F81541A" w14:textId="77777777" w:rsidR="00756A1D" w:rsidRPr="00C30B2D" w:rsidRDefault="00756A1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6F840FF5" w14:textId="77777777" w:rsidR="00756A1D" w:rsidRPr="00C30B2D" w:rsidRDefault="00756A1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386511C8" w14:textId="77777777" w:rsidR="00756A1D" w:rsidRPr="00C30B2D" w:rsidRDefault="00756A1D"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1867EF2A" w14:textId="77777777" w:rsidR="00756A1D" w:rsidRPr="00C30B2D" w:rsidRDefault="00756A1D"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756A1D" w:rsidRPr="00C30B2D" w14:paraId="240FB2FF" w14:textId="77777777" w:rsidTr="006E5A19">
        <w:trPr>
          <w:trHeight w:hRule="exact" w:val="737"/>
        </w:trPr>
        <w:tc>
          <w:tcPr>
            <w:tcW w:w="5422" w:type="dxa"/>
            <w:vAlign w:val="center"/>
            <w:hideMark/>
          </w:tcPr>
          <w:p w14:paraId="79E7BE6C" w14:textId="33BBA1AB" w:rsidR="00756A1D" w:rsidRPr="00C30B2D" w:rsidRDefault="00756A1D" w:rsidP="00862EDF">
            <w:pPr>
              <w:widowControl w:val="0"/>
              <w:kinsoku w:val="0"/>
              <w:overflowPunct w:val="0"/>
              <w:autoSpaceDE w:val="0"/>
              <w:autoSpaceDN w:val="0"/>
              <w:adjustRightInd w:val="0"/>
              <w:spacing w:before="120" w:after="0" w:line="252" w:lineRule="auto"/>
              <w:ind w:left="135" w:right="102"/>
              <w:rPr>
                <w:rFonts w:eastAsia="MS Mincho" w:cs="Arial"/>
                <w:spacing w:val="-3"/>
                <w:sz w:val="18"/>
                <w:szCs w:val="18"/>
              </w:rPr>
            </w:pPr>
            <w:r w:rsidRPr="00756A1D">
              <w:rPr>
                <w:rFonts w:cs="Arial"/>
                <w:sz w:val="18"/>
                <w:szCs w:val="18"/>
              </w:rPr>
              <w:t>Industry funding for Australian Securities and Investments Commission</w:t>
            </w:r>
          </w:p>
        </w:tc>
        <w:tc>
          <w:tcPr>
            <w:tcW w:w="1245" w:type="dxa"/>
            <w:vAlign w:val="center"/>
            <w:hideMark/>
          </w:tcPr>
          <w:p w14:paraId="4A8124E1" w14:textId="77777777" w:rsidR="00756A1D" w:rsidRPr="00C30B2D" w:rsidRDefault="00756A1D" w:rsidP="00C07154">
            <w:pPr>
              <w:widowControl w:val="0"/>
              <w:kinsoku w:val="0"/>
              <w:overflowPunct w:val="0"/>
              <w:autoSpaceDE w:val="0"/>
              <w:autoSpaceDN w:val="0"/>
              <w:adjustRightInd w:val="0"/>
              <w:spacing w:before="120" w:after="0" w:line="276" w:lineRule="auto"/>
              <w:jc w:val="center"/>
              <w:rPr>
                <w:rFonts w:eastAsia="MS Mincho" w:cs="Arial"/>
                <w:spacing w:val="-2"/>
                <w:w w:val="90"/>
                <w:sz w:val="18"/>
                <w:szCs w:val="18"/>
              </w:rPr>
            </w:pPr>
            <w:r w:rsidRPr="00C30B2D">
              <w:rPr>
                <w:rFonts w:eastAsia="MS Mincho" w:cs="Arial"/>
                <w:spacing w:val="-3"/>
                <w:sz w:val="18"/>
                <w:szCs w:val="18"/>
              </w:rPr>
              <w:t>Compliant</w:t>
            </w:r>
          </w:p>
        </w:tc>
        <w:tc>
          <w:tcPr>
            <w:tcW w:w="1106" w:type="dxa"/>
            <w:vAlign w:val="center"/>
            <w:hideMark/>
          </w:tcPr>
          <w:p w14:paraId="57709817" w14:textId="537EF750" w:rsidR="00756A1D" w:rsidRPr="00C30B2D" w:rsidRDefault="00756A1D" w:rsidP="00C07154">
            <w:pPr>
              <w:widowControl w:val="0"/>
              <w:kinsoku w:val="0"/>
              <w:overflowPunct w:val="0"/>
              <w:autoSpaceDE w:val="0"/>
              <w:autoSpaceDN w:val="0"/>
              <w:adjustRightInd w:val="0"/>
              <w:spacing w:before="120" w:after="0" w:line="276" w:lineRule="auto"/>
              <w:jc w:val="center"/>
              <w:rPr>
                <w:rFonts w:eastAsia="MS Mincho" w:cs="Arial"/>
                <w:w w:val="85"/>
                <w:sz w:val="18"/>
                <w:szCs w:val="18"/>
              </w:rPr>
            </w:pPr>
            <w:r>
              <w:rPr>
                <w:rFonts w:eastAsia="MS Mincho" w:cs="Arial"/>
                <w:spacing w:val="-3"/>
                <w:sz w:val="18"/>
                <w:szCs w:val="18"/>
              </w:rPr>
              <w:t>No</w:t>
            </w:r>
          </w:p>
        </w:tc>
        <w:tc>
          <w:tcPr>
            <w:tcW w:w="1105" w:type="dxa"/>
            <w:vAlign w:val="center"/>
            <w:hideMark/>
          </w:tcPr>
          <w:p w14:paraId="158787B8" w14:textId="77777777" w:rsidR="00756A1D" w:rsidRPr="00C30B2D" w:rsidRDefault="00756A1D" w:rsidP="00C07154">
            <w:pPr>
              <w:widowControl w:val="0"/>
              <w:kinsoku w:val="0"/>
              <w:overflowPunct w:val="0"/>
              <w:autoSpaceDE w:val="0"/>
              <w:autoSpaceDN w:val="0"/>
              <w:adjustRightInd w:val="0"/>
              <w:spacing w:before="120" w:after="0" w:line="276" w:lineRule="auto"/>
              <w:jc w:val="center"/>
              <w:rPr>
                <w:rFonts w:eastAsia="MS Mincho" w:cs="Arial"/>
                <w:w w:val="85"/>
                <w:sz w:val="18"/>
                <w:szCs w:val="18"/>
              </w:rPr>
            </w:pPr>
            <w:r w:rsidRPr="00C30B2D">
              <w:rPr>
                <w:rFonts w:eastAsia="MS Mincho" w:cs="Arial"/>
                <w:spacing w:val="-3"/>
                <w:sz w:val="18"/>
                <w:szCs w:val="18"/>
              </w:rPr>
              <w:t>No</w:t>
            </w:r>
          </w:p>
        </w:tc>
        <w:tc>
          <w:tcPr>
            <w:tcW w:w="1187" w:type="dxa"/>
            <w:vAlign w:val="center"/>
            <w:hideMark/>
          </w:tcPr>
          <w:p w14:paraId="0B6E5DC3" w14:textId="79E77927" w:rsidR="00756A1D" w:rsidRPr="00C30B2D" w:rsidRDefault="00756A1D" w:rsidP="00C07154">
            <w:pPr>
              <w:widowControl w:val="0"/>
              <w:kinsoku w:val="0"/>
              <w:overflowPunct w:val="0"/>
              <w:autoSpaceDE w:val="0"/>
              <w:autoSpaceDN w:val="0"/>
              <w:adjustRightInd w:val="0"/>
              <w:spacing w:before="120" w:after="0" w:line="276" w:lineRule="auto"/>
              <w:ind w:right="227"/>
              <w:jc w:val="right"/>
              <w:rPr>
                <w:rFonts w:eastAsia="MS Mincho" w:cs="Arial"/>
                <w:spacing w:val="-3"/>
                <w:sz w:val="18"/>
                <w:szCs w:val="18"/>
              </w:rPr>
            </w:pPr>
            <w:r>
              <w:rPr>
                <w:rFonts w:eastAsia="MS Mincho" w:cs="Arial"/>
                <w:spacing w:val="-3"/>
                <w:sz w:val="18"/>
                <w:szCs w:val="18"/>
              </w:rPr>
              <w:t>$8.8</w:t>
            </w:r>
          </w:p>
        </w:tc>
      </w:tr>
    </w:tbl>
    <w:p w14:paraId="4DF25143" w14:textId="481EECF5" w:rsidR="00D05A03" w:rsidRPr="00C07154" w:rsidRDefault="00534C3D" w:rsidP="006E5A19">
      <w:pPr>
        <w:spacing w:before="120" w:after="150"/>
        <w:rPr>
          <w:rFonts w:cs="Arial"/>
          <w:sz w:val="18"/>
          <w:szCs w:val="18"/>
        </w:rPr>
      </w:pPr>
      <w:r w:rsidRPr="00534C3D">
        <w:rPr>
          <w:rFonts w:cs="Arial"/>
          <w:sz w:val="18"/>
          <w:szCs w:val="18"/>
        </w:rPr>
        <w:t xml:space="preserve">Introduces a combination of levies and fees for services </w:t>
      </w:r>
      <w:r w:rsidR="00C07154">
        <w:rPr>
          <w:rFonts w:cs="Arial"/>
          <w:sz w:val="18"/>
          <w:szCs w:val="18"/>
        </w:rPr>
        <w:t>for the purpose of ASIC</w:t>
      </w:r>
      <w:r w:rsidRPr="00534C3D">
        <w:rPr>
          <w:rFonts w:cs="Arial"/>
          <w:sz w:val="18"/>
          <w:szCs w:val="18"/>
        </w:rPr>
        <w:t xml:space="preserve"> recover</w:t>
      </w:r>
      <w:r w:rsidR="00C07154">
        <w:rPr>
          <w:rFonts w:cs="Arial"/>
          <w:sz w:val="18"/>
          <w:szCs w:val="18"/>
        </w:rPr>
        <w:t>ing</w:t>
      </w:r>
      <w:r w:rsidRPr="00534C3D">
        <w:rPr>
          <w:rFonts w:cs="Arial"/>
          <w:sz w:val="18"/>
          <w:szCs w:val="18"/>
        </w:rPr>
        <w:t xml:space="preserve"> all costs related to ASIC’s regulatory activities. The</w:t>
      </w:r>
      <w:r>
        <w:rPr>
          <w:rFonts w:cs="Arial"/>
          <w:sz w:val="18"/>
          <w:szCs w:val="18"/>
        </w:rPr>
        <w:t xml:space="preserve"> RIS was assessed as compliant but not best practice because the explanatory memorandum of the bill only included a summary of the RIS. </w:t>
      </w:r>
    </w:p>
    <w:tbl>
      <w:tblPr>
        <w:tblW w:w="10065" w:type="dxa"/>
        <w:tblInd w:w="-142" w:type="dxa"/>
        <w:tblLayout w:type="fixed"/>
        <w:tblCellMar>
          <w:left w:w="0" w:type="dxa"/>
          <w:right w:w="0" w:type="dxa"/>
        </w:tblCellMar>
        <w:tblLook w:val="04A0" w:firstRow="1" w:lastRow="0" w:firstColumn="1" w:lastColumn="0" w:noHBand="0" w:noVBand="1"/>
        <w:tblCaption w:val="Introduce a Diverted Profits Tax "/>
        <w:tblDescription w:val="Introduce a Diverted Profits Tax : Compliant, Best practice, No PIR required. Regulatory Burden: $16.4m."/>
      </w:tblPr>
      <w:tblGrid>
        <w:gridCol w:w="5422"/>
        <w:gridCol w:w="1245"/>
        <w:gridCol w:w="1106"/>
        <w:gridCol w:w="1105"/>
        <w:gridCol w:w="1187"/>
      </w:tblGrid>
      <w:tr w:rsidR="00F029A5" w:rsidRPr="00C30B2D" w14:paraId="3A313BD9" w14:textId="77777777" w:rsidTr="00173754">
        <w:trPr>
          <w:tblHeader/>
        </w:trPr>
        <w:tc>
          <w:tcPr>
            <w:tcW w:w="5422" w:type="dxa"/>
            <w:shd w:val="clear" w:color="auto" w:fill="F4973F"/>
            <w:vAlign w:val="center"/>
            <w:hideMark/>
          </w:tcPr>
          <w:p w14:paraId="14AE989D" w14:textId="3C136AB7" w:rsidR="00F029A5" w:rsidRPr="00C30B2D" w:rsidRDefault="00B60300" w:rsidP="006E5A19">
            <w:pPr>
              <w:widowControl w:val="0"/>
              <w:kinsoku w:val="0"/>
              <w:overflowPunct w:val="0"/>
              <w:autoSpaceDE w:val="0"/>
              <w:autoSpaceDN w:val="0"/>
              <w:adjustRightInd w:val="0"/>
              <w:spacing w:beforeLines="40" w:before="96" w:after="60" w:line="276" w:lineRule="auto"/>
              <w:ind w:left="85"/>
              <w:rPr>
                <w:rFonts w:ascii="Times New Roman" w:eastAsia="MS Mincho" w:hAnsi="Times New Roman"/>
                <w:sz w:val="24"/>
              </w:rPr>
            </w:pPr>
            <w:r>
              <w:rPr>
                <w:sz w:val="18"/>
              </w:rPr>
              <w:br w:type="page"/>
            </w:r>
            <w:r w:rsidR="00F029A5" w:rsidRPr="00C30B2D">
              <w:rPr>
                <w:rFonts w:eastAsia="MS Mincho" w:cs="Arial"/>
                <w:color w:val="FFFFFF"/>
                <w:w w:val="105"/>
                <w:sz w:val="18"/>
                <w:szCs w:val="18"/>
              </w:rPr>
              <w:t>Proposal</w:t>
            </w:r>
          </w:p>
        </w:tc>
        <w:tc>
          <w:tcPr>
            <w:tcW w:w="1245" w:type="dxa"/>
            <w:shd w:val="clear" w:color="auto" w:fill="F4973F"/>
            <w:vAlign w:val="center"/>
            <w:hideMark/>
          </w:tcPr>
          <w:p w14:paraId="092177D6" w14:textId="77777777" w:rsidR="00F029A5" w:rsidRPr="00C30B2D" w:rsidRDefault="00F029A5"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RIS Status</w:t>
            </w:r>
          </w:p>
        </w:tc>
        <w:tc>
          <w:tcPr>
            <w:tcW w:w="1106" w:type="dxa"/>
            <w:shd w:val="clear" w:color="auto" w:fill="F4973F"/>
            <w:vAlign w:val="center"/>
            <w:hideMark/>
          </w:tcPr>
          <w:p w14:paraId="63FEF414" w14:textId="77777777" w:rsidR="00F029A5" w:rsidRPr="00C30B2D" w:rsidRDefault="00F029A5"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 xml:space="preserve">Best </w:t>
            </w:r>
            <w:r w:rsidRPr="00C30B2D">
              <w:rPr>
                <w:rFonts w:eastAsia="MS Mincho" w:cs="Arial"/>
                <w:color w:val="FFFFFF"/>
                <w:w w:val="105"/>
                <w:sz w:val="18"/>
                <w:szCs w:val="18"/>
              </w:rPr>
              <w:br/>
              <w:t>practice</w:t>
            </w:r>
          </w:p>
        </w:tc>
        <w:tc>
          <w:tcPr>
            <w:tcW w:w="1105" w:type="dxa"/>
            <w:shd w:val="clear" w:color="auto" w:fill="F4973F"/>
            <w:vAlign w:val="center"/>
            <w:hideMark/>
          </w:tcPr>
          <w:p w14:paraId="46E68AF7" w14:textId="77777777" w:rsidR="00F029A5" w:rsidRPr="00C30B2D" w:rsidRDefault="00F029A5" w:rsidP="006E5A19">
            <w:pPr>
              <w:widowControl w:val="0"/>
              <w:kinsoku w:val="0"/>
              <w:overflowPunct w:val="0"/>
              <w:autoSpaceDE w:val="0"/>
              <w:autoSpaceDN w:val="0"/>
              <w:adjustRightInd w:val="0"/>
              <w:spacing w:beforeLines="40" w:before="96" w:after="60" w:line="276" w:lineRule="auto"/>
              <w:jc w:val="center"/>
              <w:rPr>
                <w:rFonts w:ascii="Times New Roman" w:eastAsia="MS Mincho" w:hAnsi="Times New Roman"/>
                <w:sz w:val="24"/>
              </w:rPr>
            </w:pPr>
            <w:r w:rsidRPr="00C30B2D">
              <w:rPr>
                <w:rFonts w:eastAsia="MS Mincho" w:cs="Arial"/>
                <w:color w:val="FFFFFF"/>
                <w:w w:val="105"/>
                <w:sz w:val="18"/>
                <w:szCs w:val="18"/>
              </w:rPr>
              <w:t xml:space="preserve">PIR </w:t>
            </w:r>
            <w:r w:rsidRPr="00C30B2D">
              <w:rPr>
                <w:rFonts w:eastAsia="MS Mincho" w:cs="Arial"/>
                <w:color w:val="FFFFFF"/>
                <w:w w:val="105"/>
                <w:sz w:val="18"/>
                <w:szCs w:val="18"/>
              </w:rPr>
              <w:br/>
              <w:t>required</w:t>
            </w:r>
          </w:p>
        </w:tc>
        <w:tc>
          <w:tcPr>
            <w:tcW w:w="1187" w:type="dxa"/>
            <w:shd w:val="clear" w:color="auto" w:fill="F4973F"/>
            <w:vAlign w:val="center"/>
            <w:hideMark/>
          </w:tcPr>
          <w:p w14:paraId="156E0E8F" w14:textId="77777777" w:rsidR="00F029A5" w:rsidRPr="00C30B2D" w:rsidRDefault="00F029A5" w:rsidP="006E5A19">
            <w:pPr>
              <w:widowControl w:val="0"/>
              <w:kinsoku w:val="0"/>
              <w:overflowPunct w:val="0"/>
              <w:autoSpaceDE w:val="0"/>
              <w:autoSpaceDN w:val="0"/>
              <w:adjustRightInd w:val="0"/>
              <w:spacing w:beforeLines="40" w:before="96" w:after="60" w:line="276" w:lineRule="auto"/>
              <w:jc w:val="center"/>
              <w:rPr>
                <w:rFonts w:eastAsia="MS Mincho" w:cs="Arial"/>
                <w:color w:val="FFFFFF"/>
                <w:w w:val="105"/>
                <w:sz w:val="18"/>
                <w:szCs w:val="18"/>
              </w:rPr>
            </w:pPr>
            <w:r w:rsidRPr="00C30B2D">
              <w:rPr>
                <w:rFonts w:eastAsia="MS Mincho" w:cs="Arial"/>
                <w:color w:val="FFFFFF"/>
                <w:w w:val="105"/>
                <w:sz w:val="18"/>
                <w:szCs w:val="18"/>
              </w:rPr>
              <w:t>Regulatory Burden ($m)</w:t>
            </w:r>
          </w:p>
        </w:tc>
      </w:tr>
      <w:tr w:rsidR="00AA7038" w:rsidRPr="00C30B2D" w14:paraId="77BA01FF" w14:textId="77777777" w:rsidTr="006E5A19">
        <w:trPr>
          <w:trHeight w:hRule="exact" w:val="510"/>
        </w:trPr>
        <w:tc>
          <w:tcPr>
            <w:tcW w:w="5422" w:type="dxa"/>
            <w:vAlign w:val="center"/>
          </w:tcPr>
          <w:p w14:paraId="54C44F0F" w14:textId="46D55072" w:rsidR="00AA7038" w:rsidRDefault="00AA7038" w:rsidP="009465BE">
            <w:pPr>
              <w:widowControl w:val="0"/>
              <w:kinsoku w:val="0"/>
              <w:overflowPunct w:val="0"/>
              <w:autoSpaceDE w:val="0"/>
              <w:autoSpaceDN w:val="0"/>
              <w:adjustRightInd w:val="0"/>
              <w:spacing w:before="54" w:after="0" w:line="252" w:lineRule="auto"/>
              <w:ind w:left="135" w:right="102"/>
              <w:rPr>
                <w:rFonts w:cs="Arial"/>
                <w:sz w:val="18"/>
                <w:szCs w:val="18"/>
              </w:rPr>
            </w:pPr>
            <w:r>
              <w:rPr>
                <w:rFonts w:cs="Arial"/>
                <w:sz w:val="18"/>
                <w:szCs w:val="18"/>
              </w:rPr>
              <w:t xml:space="preserve">Introduce a Diverted Profits Tax </w:t>
            </w:r>
          </w:p>
        </w:tc>
        <w:tc>
          <w:tcPr>
            <w:tcW w:w="1245" w:type="dxa"/>
            <w:vAlign w:val="center"/>
          </w:tcPr>
          <w:p w14:paraId="0A19D25C" w14:textId="007C12D0" w:rsidR="00AA7038" w:rsidRPr="00C30B2D" w:rsidRDefault="00AA7038" w:rsidP="00AA7038">
            <w:pPr>
              <w:widowControl w:val="0"/>
              <w:kinsoku w:val="0"/>
              <w:overflowPunct w:val="0"/>
              <w:autoSpaceDE w:val="0"/>
              <w:autoSpaceDN w:val="0"/>
              <w:adjustRightInd w:val="0"/>
              <w:spacing w:before="54" w:after="0" w:line="276" w:lineRule="auto"/>
              <w:jc w:val="center"/>
              <w:rPr>
                <w:rFonts w:eastAsia="MS Mincho" w:cs="Arial"/>
                <w:spacing w:val="-3"/>
                <w:sz w:val="18"/>
                <w:szCs w:val="18"/>
              </w:rPr>
            </w:pPr>
            <w:r w:rsidRPr="00C30B2D">
              <w:rPr>
                <w:rFonts w:eastAsia="MS Mincho" w:cs="Arial"/>
                <w:spacing w:val="-3"/>
                <w:sz w:val="18"/>
                <w:szCs w:val="18"/>
              </w:rPr>
              <w:t>Compliant</w:t>
            </w:r>
          </w:p>
        </w:tc>
        <w:tc>
          <w:tcPr>
            <w:tcW w:w="1106" w:type="dxa"/>
            <w:vAlign w:val="center"/>
          </w:tcPr>
          <w:p w14:paraId="1BA7DA15" w14:textId="32EA7088" w:rsidR="00AA7038" w:rsidRPr="00C30B2D" w:rsidRDefault="00AA7038" w:rsidP="00AA7038">
            <w:pPr>
              <w:widowControl w:val="0"/>
              <w:kinsoku w:val="0"/>
              <w:overflowPunct w:val="0"/>
              <w:autoSpaceDE w:val="0"/>
              <w:autoSpaceDN w:val="0"/>
              <w:adjustRightInd w:val="0"/>
              <w:spacing w:before="54" w:after="0" w:line="276" w:lineRule="auto"/>
              <w:jc w:val="center"/>
              <w:rPr>
                <w:rFonts w:eastAsia="MS Mincho" w:cs="Arial"/>
                <w:spacing w:val="-3"/>
                <w:sz w:val="18"/>
                <w:szCs w:val="18"/>
              </w:rPr>
            </w:pPr>
            <w:r w:rsidRPr="00C30B2D">
              <w:rPr>
                <w:rFonts w:eastAsia="MS Mincho" w:cs="Arial"/>
                <w:spacing w:val="-3"/>
                <w:sz w:val="18"/>
                <w:szCs w:val="18"/>
              </w:rPr>
              <w:t>Yes</w:t>
            </w:r>
          </w:p>
        </w:tc>
        <w:tc>
          <w:tcPr>
            <w:tcW w:w="1105" w:type="dxa"/>
            <w:vAlign w:val="center"/>
          </w:tcPr>
          <w:p w14:paraId="1166161F" w14:textId="66EBE95F" w:rsidR="00AA7038" w:rsidRPr="00C30B2D" w:rsidRDefault="00AA7038" w:rsidP="00AA7038">
            <w:pPr>
              <w:widowControl w:val="0"/>
              <w:kinsoku w:val="0"/>
              <w:overflowPunct w:val="0"/>
              <w:autoSpaceDE w:val="0"/>
              <w:autoSpaceDN w:val="0"/>
              <w:adjustRightInd w:val="0"/>
              <w:spacing w:before="54" w:after="0" w:line="276" w:lineRule="auto"/>
              <w:jc w:val="center"/>
              <w:rPr>
                <w:rFonts w:eastAsia="MS Mincho" w:cs="Arial"/>
                <w:spacing w:val="-3"/>
                <w:sz w:val="18"/>
                <w:szCs w:val="18"/>
              </w:rPr>
            </w:pPr>
            <w:r w:rsidRPr="00C30B2D">
              <w:rPr>
                <w:rFonts w:eastAsia="MS Mincho" w:cs="Arial"/>
                <w:spacing w:val="-3"/>
                <w:sz w:val="18"/>
                <w:szCs w:val="18"/>
              </w:rPr>
              <w:t>No</w:t>
            </w:r>
          </w:p>
        </w:tc>
        <w:tc>
          <w:tcPr>
            <w:tcW w:w="1187" w:type="dxa"/>
            <w:vAlign w:val="center"/>
          </w:tcPr>
          <w:p w14:paraId="146B6979" w14:textId="0364D04C" w:rsidR="00AA7038" w:rsidRDefault="00AA7038" w:rsidP="00AA7038">
            <w:pPr>
              <w:widowControl w:val="0"/>
              <w:kinsoku w:val="0"/>
              <w:overflowPunct w:val="0"/>
              <w:autoSpaceDE w:val="0"/>
              <w:autoSpaceDN w:val="0"/>
              <w:adjustRightInd w:val="0"/>
              <w:spacing w:before="54" w:after="0" w:line="276" w:lineRule="auto"/>
              <w:ind w:right="227"/>
              <w:jc w:val="right"/>
              <w:rPr>
                <w:rFonts w:eastAsia="MS Mincho" w:cs="Arial"/>
                <w:spacing w:val="-3"/>
                <w:sz w:val="18"/>
                <w:szCs w:val="18"/>
              </w:rPr>
            </w:pPr>
            <w:r>
              <w:rPr>
                <w:rFonts w:eastAsia="MS Mincho" w:cs="Arial"/>
                <w:spacing w:val="-3"/>
                <w:sz w:val="18"/>
                <w:szCs w:val="18"/>
              </w:rPr>
              <w:t>$16.4</w:t>
            </w:r>
          </w:p>
        </w:tc>
      </w:tr>
    </w:tbl>
    <w:p w14:paraId="12157F69" w14:textId="5CF80F94" w:rsidR="00D91FF3" w:rsidRDefault="0054451F" w:rsidP="006E5A19">
      <w:pPr>
        <w:spacing w:before="120" w:after="150"/>
        <w:rPr>
          <w:sz w:val="18"/>
        </w:rPr>
      </w:pPr>
      <w:r w:rsidRPr="0054451F">
        <w:rPr>
          <w:sz w:val="18"/>
        </w:rPr>
        <w:t>Introduces a 40 per cent tax on diverted profits to encourage greater compliance by large multinational enterprises with their tax obligations in Australia.</w:t>
      </w:r>
    </w:p>
    <w:tbl>
      <w:tblPr>
        <w:tblW w:w="10065" w:type="dxa"/>
        <w:tblInd w:w="-142" w:type="dxa"/>
        <w:tblLayout w:type="fixed"/>
        <w:tblCellMar>
          <w:left w:w="0" w:type="dxa"/>
          <w:right w:w="0" w:type="dxa"/>
        </w:tblCellMar>
        <w:tblLook w:val="0000" w:firstRow="0" w:lastRow="0" w:firstColumn="0" w:lastColumn="0" w:noHBand="0" w:noVBand="0"/>
        <w:tblCaption w:val="Lower Business Taxes"/>
        <w:tblDescription w:val="Lower Business Taxes: Compliant, Not best practice, No PIR required. Regulatory Burden: -$32.0m."/>
      </w:tblPr>
      <w:tblGrid>
        <w:gridCol w:w="5420"/>
        <w:gridCol w:w="1245"/>
        <w:gridCol w:w="1105"/>
        <w:gridCol w:w="1104"/>
        <w:gridCol w:w="1191"/>
      </w:tblGrid>
      <w:tr w:rsidR="00D832BB" w:rsidRPr="0084580D" w14:paraId="3FE2AB40" w14:textId="77777777" w:rsidTr="00CF7A96">
        <w:trPr>
          <w:tblHeader/>
        </w:trPr>
        <w:tc>
          <w:tcPr>
            <w:tcW w:w="5420" w:type="dxa"/>
            <w:shd w:val="clear" w:color="auto" w:fill="F4973F"/>
            <w:vAlign w:val="center"/>
          </w:tcPr>
          <w:p w14:paraId="4088AC67" w14:textId="6154F400" w:rsidR="00D832BB" w:rsidRPr="0084580D" w:rsidRDefault="00D832BB"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564AD12B" w14:textId="77777777" w:rsidR="00D832BB" w:rsidRPr="0084580D" w:rsidRDefault="00D832BB"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0F475217" w14:textId="77777777" w:rsidR="00D832BB" w:rsidRPr="0084580D" w:rsidRDefault="00D832BB"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3E24EC4F" w14:textId="77777777" w:rsidR="00D832BB" w:rsidRPr="0084580D" w:rsidRDefault="00D832BB"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298A7621" w14:textId="77777777" w:rsidR="00D832BB" w:rsidRPr="0084580D" w:rsidRDefault="00D832BB"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D832BB" w:rsidRPr="0084580D" w14:paraId="60A020F5" w14:textId="77777777" w:rsidTr="006E5A19">
        <w:trPr>
          <w:trHeight w:hRule="exact" w:val="510"/>
        </w:trPr>
        <w:tc>
          <w:tcPr>
            <w:tcW w:w="5420" w:type="dxa"/>
            <w:shd w:val="clear" w:color="auto" w:fill="auto"/>
            <w:vAlign w:val="center"/>
          </w:tcPr>
          <w:p w14:paraId="75D0993A" w14:textId="2874396F" w:rsidR="00D832BB" w:rsidRPr="0084580D" w:rsidRDefault="00D832BB" w:rsidP="009465BE">
            <w:pPr>
              <w:widowControl w:val="0"/>
              <w:kinsoku w:val="0"/>
              <w:overflowPunct w:val="0"/>
              <w:autoSpaceDE w:val="0"/>
              <w:autoSpaceDN w:val="0"/>
              <w:adjustRightInd w:val="0"/>
              <w:spacing w:after="0"/>
              <w:ind w:left="135" w:right="102"/>
              <w:rPr>
                <w:rFonts w:eastAsia="MS Mincho" w:cs="Arial"/>
                <w:spacing w:val="-3"/>
                <w:sz w:val="18"/>
                <w:szCs w:val="18"/>
              </w:rPr>
            </w:pPr>
            <w:r>
              <w:rPr>
                <w:rFonts w:eastAsia="MS Mincho" w:cs="Arial"/>
                <w:spacing w:val="-3"/>
                <w:sz w:val="18"/>
                <w:szCs w:val="18"/>
              </w:rPr>
              <w:t xml:space="preserve">Lower </w:t>
            </w:r>
            <w:r w:rsidR="003F4D09">
              <w:rPr>
                <w:rFonts w:eastAsia="MS Mincho" w:cs="Arial"/>
                <w:spacing w:val="-3"/>
                <w:sz w:val="18"/>
                <w:szCs w:val="18"/>
              </w:rPr>
              <w:t>B</w:t>
            </w:r>
            <w:r>
              <w:rPr>
                <w:rFonts w:eastAsia="MS Mincho" w:cs="Arial"/>
                <w:spacing w:val="-3"/>
                <w:sz w:val="18"/>
                <w:szCs w:val="18"/>
              </w:rPr>
              <w:t xml:space="preserve">usiness </w:t>
            </w:r>
            <w:r w:rsidR="003F4D09">
              <w:rPr>
                <w:rFonts w:eastAsia="MS Mincho" w:cs="Arial"/>
                <w:spacing w:val="-3"/>
                <w:sz w:val="18"/>
                <w:szCs w:val="18"/>
              </w:rPr>
              <w:t>T</w:t>
            </w:r>
            <w:r>
              <w:rPr>
                <w:rFonts w:eastAsia="MS Mincho" w:cs="Arial"/>
                <w:spacing w:val="-3"/>
                <w:sz w:val="18"/>
                <w:szCs w:val="18"/>
              </w:rPr>
              <w:t>axes</w:t>
            </w:r>
          </w:p>
        </w:tc>
        <w:tc>
          <w:tcPr>
            <w:tcW w:w="1245" w:type="dxa"/>
            <w:shd w:val="clear" w:color="auto" w:fill="auto"/>
            <w:vAlign w:val="center"/>
          </w:tcPr>
          <w:p w14:paraId="5E93443F" w14:textId="77777777" w:rsidR="00D832BB" w:rsidRPr="0084580D" w:rsidRDefault="00D832BB" w:rsidP="00796F63">
            <w:pPr>
              <w:widowControl w:val="0"/>
              <w:kinsoku w:val="0"/>
              <w:overflowPunct w:val="0"/>
              <w:autoSpaceDE w:val="0"/>
              <w:autoSpaceDN w:val="0"/>
              <w:adjustRightInd w:val="0"/>
              <w:spacing w:after="0"/>
              <w:jc w:val="center"/>
              <w:rPr>
                <w:rFonts w:eastAsia="MS Mincho" w:cs="Arial"/>
                <w:spacing w:val="-2"/>
                <w:w w:val="90"/>
                <w:sz w:val="18"/>
                <w:szCs w:val="18"/>
              </w:rPr>
            </w:pPr>
            <w:r w:rsidRPr="0084580D">
              <w:rPr>
                <w:rFonts w:eastAsia="MS Mincho" w:cs="Arial"/>
                <w:spacing w:val="-3"/>
                <w:sz w:val="18"/>
                <w:szCs w:val="18"/>
              </w:rPr>
              <w:t>Compliant</w:t>
            </w:r>
          </w:p>
        </w:tc>
        <w:tc>
          <w:tcPr>
            <w:tcW w:w="1105" w:type="dxa"/>
            <w:shd w:val="clear" w:color="auto" w:fill="auto"/>
            <w:vAlign w:val="center"/>
          </w:tcPr>
          <w:p w14:paraId="52AE2098" w14:textId="77777777" w:rsidR="00D832BB" w:rsidRPr="0084580D" w:rsidRDefault="00D832BB" w:rsidP="00796F63">
            <w:pPr>
              <w:widowControl w:val="0"/>
              <w:kinsoku w:val="0"/>
              <w:overflowPunct w:val="0"/>
              <w:autoSpaceDE w:val="0"/>
              <w:autoSpaceDN w:val="0"/>
              <w:adjustRightInd w:val="0"/>
              <w:spacing w:after="0"/>
              <w:jc w:val="center"/>
              <w:rPr>
                <w:rFonts w:eastAsia="MS Mincho" w:cs="Arial"/>
                <w:w w:val="85"/>
                <w:sz w:val="18"/>
                <w:szCs w:val="18"/>
              </w:rPr>
            </w:pPr>
            <w:r w:rsidRPr="00BA7893">
              <w:rPr>
                <w:rFonts w:eastAsia="MS Mincho" w:cs="Arial"/>
                <w:spacing w:val="-3"/>
                <w:sz w:val="18"/>
                <w:szCs w:val="18"/>
              </w:rPr>
              <w:t>No</w:t>
            </w:r>
          </w:p>
        </w:tc>
        <w:tc>
          <w:tcPr>
            <w:tcW w:w="1104" w:type="dxa"/>
            <w:shd w:val="clear" w:color="auto" w:fill="auto"/>
            <w:vAlign w:val="center"/>
          </w:tcPr>
          <w:p w14:paraId="7D253CC9" w14:textId="77777777" w:rsidR="00D832BB" w:rsidRPr="0084580D" w:rsidRDefault="00D832BB" w:rsidP="00796F63">
            <w:pPr>
              <w:widowControl w:val="0"/>
              <w:kinsoku w:val="0"/>
              <w:overflowPunct w:val="0"/>
              <w:autoSpaceDE w:val="0"/>
              <w:autoSpaceDN w:val="0"/>
              <w:adjustRightInd w:val="0"/>
              <w:spacing w:after="0"/>
              <w:jc w:val="center"/>
              <w:rPr>
                <w:rFonts w:eastAsia="MS Mincho" w:cs="Arial"/>
                <w:w w:val="85"/>
                <w:sz w:val="18"/>
                <w:szCs w:val="18"/>
              </w:rPr>
            </w:pPr>
            <w:r w:rsidRPr="0084580D">
              <w:rPr>
                <w:rFonts w:eastAsia="MS Mincho" w:cs="Arial"/>
                <w:spacing w:val="-3"/>
                <w:sz w:val="18"/>
                <w:szCs w:val="18"/>
              </w:rPr>
              <w:t>No</w:t>
            </w:r>
          </w:p>
        </w:tc>
        <w:tc>
          <w:tcPr>
            <w:tcW w:w="1191" w:type="dxa"/>
            <w:vAlign w:val="center"/>
          </w:tcPr>
          <w:p w14:paraId="1899D57F" w14:textId="305FEDDA" w:rsidR="00D832BB" w:rsidRPr="0084580D" w:rsidRDefault="00D832BB" w:rsidP="00796F63">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-$32</w:t>
            </w:r>
            <w:r w:rsidR="00523E46">
              <w:rPr>
                <w:rFonts w:eastAsia="MS Mincho" w:cs="Arial"/>
                <w:spacing w:val="-3"/>
                <w:sz w:val="18"/>
                <w:szCs w:val="18"/>
              </w:rPr>
              <w:t>.0</w:t>
            </w:r>
          </w:p>
        </w:tc>
      </w:tr>
    </w:tbl>
    <w:p w14:paraId="27367360" w14:textId="2447F1A7" w:rsidR="00736EF0" w:rsidRPr="00C07154" w:rsidRDefault="00DE3AE5" w:rsidP="006E5A19">
      <w:pPr>
        <w:spacing w:before="120" w:after="150"/>
        <w:rPr>
          <w:rFonts w:cs="Arial"/>
          <w:sz w:val="18"/>
          <w:szCs w:val="18"/>
        </w:rPr>
      </w:pPr>
      <w:r w:rsidRPr="006C34C6">
        <w:rPr>
          <w:rFonts w:cs="Arial"/>
          <w:sz w:val="18"/>
          <w:szCs w:val="18"/>
        </w:rPr>
        <w:t xml:space="preserve">Reduces corporate tax rates, increases the small business income tax offset for unincorporated small businesses and increases the small business annual turnover threshold from $2 million to $10 million. The RIS was assessed as compliant but not best practice because the level of analysis in the RIS was not commensurate with the likely impacts of the proposals; the views of all stakeholders (including dissenting views) were not identified in the RIS; the conclusion that the proposals will result in a net benefit was not demonstrated by the impact analysis in the RIS; and the status of the RIS at each major decision-making point was not clearly identified. </w:t>
      </w:r>
    </w:p>
    <w:tbl>
      <w:tblPr>
        <w:tblW w:w="10065" w:type="dxa"/>
        <w:tblInd w:w="-142" w:type="dxa"/>
        <w:tblLayout w:type="fixed"/>
        <w:tblCellMar>
          <w:left w:w="0" w:type="dxa"/>
          <w:right w:w="0" w:type="dxa"/>
        </w:tblCellMar>
        <w:tblLook w:val="0000" w:firstRow="0" w:lastRow="0" w:firstColumn="0" w:lastColumn="0" w:noHBand="0" w:noVBand="0"/>
        <w:tblCaption w:val="Major Bank Levy"/>
        <w:tblDescription w:val="Major Bank Levy: Compliant, Not best practice, No PIR required. Regulatory Burden: $1.5m."/>
      </w:tblPr>
      <w:tblGrid>
        <w:gridCol w:w="5420"/>
        <w:gridCol w:w="1245"/>
        <w:gridCol w:w="1105"/>
        <w:gridCol w:w="1104"/>
        <w:gridCol w:w="1191"/>
      </w:tblGrid>
      <w:tr w:rsidR="00A70377" w:rsidRPr="0084580D" w14:paraId="4F72B67A" w14:textId="77777777" w:rsidTr="00862EDF">
        <w:trPr>
          <w:trHeight w:val="568"/>
          <w:tblHeader/>
        </w:trPr>
        <w:tc>
          <w:tcPr>
            <w:tcW w:w="5420" w:type="dxa"/>
            <w:shd w:val="clear" w:color="auto" w:fill="F4973F"/>
            <w:vAlign w:val="center"/>
          </w:tcPr>
          <w:p w14:paraId="6E753CFF" w14:textId="77777777" w:rsidR="00A70377" w:rsidRPr="0084580D" w:rsidRDefault="00A70377"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22B2023E" w14:textId="77777777" w:rsidR="00A70377" w:rsidRPr="0084580D" w:rsidRDefault="00A70377"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220CC4E4" w14:textId="77777777" w:rsidR="00A70377" w:rsidRPr="0084580D" w:rsidRDefault="00A70377"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5EEA136D" w14:textId="77777777" w:rsidR="00A70377" w:rsidRPr="0084580D" w:rsidRDefault="00A70377"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54F82A11" w14:textId="77777777" w:rsidR="00A70377" w:rsidRPr="0084580D" w:rsidRDefault="00A70377"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A70377" w:rsidRPr="0084580D" w14:paraId="502098BE" w14:textId="77777777" w:rsidTr="006E5A19">
        <w:trPr>
          <w:trHeight w:hRule="exact" w:val="510"/>
        </w:trPr>
        <w:tc>
          <w:tcPr>
            <w:tcW w:w="5420" w:type="dxa"/>
            <w:shd w:val="clear" w:color="auto" w:fill="auto"/>
            <w:vAlign w:val="center"/>
          </w:tcPr>
          <w:p w14:paraId="7ECF3A29" w14:textId="62DE67D0" w:rsidR="00A70377" w:rsidRPr="0084580D" w:rsidRDefault="00A70377" w:rsidP="009465BE">
            <w:pPr>
              <w:widowControl w:val="0"/>
              <w:kinsoku w:val="0"/>
              <w:overflowPunct w:val="0"/>
              <w:autoSpaceDE w:val="0"/>
              <w:autoSpaceDN w:val="0"/>
              <w:adjustRightInd w:val="0"/>
              <w:spacing w:after="0"/>
              <w:ind w:left="135" w:right="102"/>
              <w:rPr>
                <w:rFonts w:eastAsia="MS Mincho" w:cs="Arial"/>
                <w:spacing w:val="-3"/>
                <w:sz w:val="18"/>
                <w:szCs w:val="18"/>
              </w:rPr>
            </w:pPr>
            <w:r>
              <w:rPr>
                <w:rFonts w:eastAsia="MS Mincho" w:cs="Arial"/>
                <w:spacing w:val="-3"/>
                <w:sz w:val="18"/>
                <w:szCs w:val="18"/>
              </w:rPr>
              <w:t>Major Bank Levy</w:t>
            </w:r>
          </w:p>
        </w:tc>
        <w:tc>
          <w:tcPr>
            <w:tcW w:w="1245" w:type="dxa"/>
            <w:shd w:val="clear" w:color="auto" w:fill="auto"/>
            <w:vAlign w:val="center"/>
          </w:tcPr>
          <w:p w14:paraId="6EF740E9" w14:textId="77777777" w:rsidR="00A70377" w:rsidRPr="0084580D" w:rsidRDefault="00A70377" w:rsidP="00BA6273">
            <w:pPr>
              <w:widowControl w:val="0"/>
              <w:kinsoku w:val="0"/>
              <w:overflowPunct w:val="0"/>
              <w:autoSpaceDE w:val="0"/>
              <w:autoSpaceDN w:val="0"/>
              <w:adjustRightInd w:val="0"/>
              <w:spacing w:after="0"/>
              <w:jc w:val="center"/>
              <w:rPr>
                <w:rFonts w:eastAsia="MS Mincho" w:cs="Arial"/>
                <w:spacing w:val="-2"/>
                <w:w w:val="90"/>
                <w:sz w:val="18"/>
                <w:szCs w:val="18"/>
              </w:rPr>
            </w:pPr>
            <w:r w:rsidRPr="0084580D">
              <w:rPr>
                <w:rFonts w:eastAsia="MS Mincho" w:cs="Arial"/>
                <w:spacing w:val="-3"/>
                <w:sz w:val="18"/>
                <w:szCs w:val="18"/>
              </w:rPr>
              <w:t>Compliant</w:t>
            </w:r>
          </w:p>
        </w:tc>
        <w:tc>
          <w:tcPr>
            <w:tcW w:w="1105" w:type="dxa"/>
            <w:shd w:val="clear" w:color="auto" w:fill="FFFFFF" w:themeFill="background1"/>
            <w:vAlign w:val="center"/>
          </w:tcPr>
          <w:p w14:paraId="1E821AF7" w14:textId="0CD5BEBC" w:rsidR="00A70377" w:rsidRPr="0084580D" w:rsidRDefault="00A70377" w:rsidP="00BA6273">
            <w:pPr>
              <w:widowControl w:val="0"/>
              <w:kinsoku w:val="0"/>
              <w:overflowPunct w:val="0"/>
              <w:autoSpaceDE w:val="0"/>
              <w:autoSpaceDN w:val="0"/>
              <w:adjustRightInd w:val="0"/>
              <w:spacing w:after="0"/>
              <w:jc w:val="center"/>
              <w:rPr>
                <w:rFonts w:eastAsia="MS Mincho" w:cs="Arial"/>
                <w:w w:val="85"/>
                <w:sz w:val="18"/>
                <w:szCs w:val="18"/>
              </w:rPr>
            </w:pPr>
            <w:r w:rsidRPr="00BA7893">
              <w:rPr>
                <w:rFonts w:eastAsia="MS Mincho" w:cs="Arial"/>
                <w:spacing w:val="-3"/>
                <w:sz w:val="18"/>
                <w:szCs w:val="18"/>
              </w:rPr>
              <w:t>No</w:t>
            </w:r>
          </w:p>
        </w:tc>
        <w:tc>
          <w:tcPr>
            <w:tcW w:w="1104" w:type="dxa"/>
            <w:shd w:val="clear" w:color="auto" w:fill="auto"/>
            <w:vAlign w:val="center"/>
          </w:tcPr>
          <w:p w14:paraId="00513400" w14:textId="77777777" w:rsidR="00A70377" w:rsidRPr="0084580D" w:rsidRDefault="00A70377" w:rsidP="00BA6273">
            <w:pPr>
              <w:widowControl w:val="0"/>
              <w:kinsoku w:val="0"/>
              <w:overflowPunct w:val="0"/>
              <w:autoSpaceDE w:val="0"/>
              <w:autoSpaceDN w:val="0"/>
              <w:adjustRightInd w:val="0"/>
              <w:spacing w:after="0"/>
              <w:jc w:val="center"/>
              <w:rPr>
                <w:rFonts w:eastAsia="MS Mincho" w:cs="Arial"/>
                <w:w w:val="85"/>
                <w:sz w:val="18"/>
                <w:szCs w:val="18"/>
              </w:rPr>
            </w:pPr>
            <w:r w:rsidRPr="0084580D">
              <w:rPr>
                <w:rFonts w:eastAsia="MS Mincho" w:cs="Arial"/>
                <w:spacing w:val="-3"/>
                <w:sz w:val="18"/>
                <w:szCs w:val="18"/>
              </w:rPr>
              <w:t>No</w:t>
            </w:r>
          </w:p>
        </w:tc>
        <w:tc>
          <w:tcPr>
            <w:tcW w:w="1191" w:type="dxa"/>
            <w:vAlign w:val="center"/>
          </w:tcPr>
          <w:p w14:paraId="4644954E" w14:textId="5469C90F" w:rsidR="00A70377" w:rsidRPr="0084580D" w:rsidRDefault="00A70377" w:rsidP="00A70377">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$1.5</w:t>
            </w:r>
          </w:p>
        </w:tc>
      </w:tr>
    </w:tbl>
    <w:p w14:paraId="0C644711" w14:textId="5FC0624F" w:rsidR="0042460A" w:rsidRDefault="00A70377" w:rsidP="006E5A19">
      <w:pPr>
        <w:spacing w:before="120" w:after="150"/>
        <w:rPr>
          <w:rFonts w:cs="Arial"/>
          <w:sz w:val="18"/>
          <w:szCs w:val="18"/>
        </w:rPr>
      </w:pPr>
      <w:r w:rsidRPr="006C34C6">
        <w:rPr>
          <w:rFonts w:cs="Arial"/>
          <w:sz w:val="18"/>
          <w:szCs w:val="18"/>
        </w:rPr>
        <w:t>The bill will introduce a levy on authorised deposit</w:t>
      </w:r>
      <w:r w:rsidRPr="006C34C6">
        <w:rPr>
          <w:rFonts w:ascii="Cambria Math" w:hAnsi="Cambria Math" w:cs="Cambria Math"/>
          <w:sz w:val="18"/>
          <w:szCs w:val="18"/>
        </w:rPr>
        <w:t>‑</w:t>
      </w:r>
      <w:r w:rsidRPr="006C34C6">
        <w:rPr>
          <w:rFonts w:cs="Arial"/>
          <w:sz w:val="18"/>
          <w:szCs w:val="18"/>
        </w:rPr>
        <w:t>taking institutions (ADIs) with total liabilities of greater than $100 billion</w:t>
      </w:r>
      <w:r w:rsidR="00377259" w:rsidRPr="006C34C6">
        <w:rPr>
          <w:rFonts w:cs="Arial"/>
          <w:sz w:val="18"/>
          <w:szCs w:val="18"/>
        </w:rPr>
        <w:t>.</w:t>
      </w:r>
      <w:r w:rsidR="00944118" w:rsidRPr="006C34C6">
        <w:rPr>
          <w:rFonts w:cs="Arial"/>
          <w:sz w:val="18"/>
          <w:szCs w:val="18"/>
        </w:rPr>
        <w:t xml:space="preserve"> The RIS was</w:t>
      </w:r>
      <w:r w:rsidR="002B42B4" w:rsidRPr="006C34C6">
        <w:rPr>
          <w:rFonts w:cs="Arial"/>
          <w:sz w:val="18"/>
          <w:szCs w:val="18"/>
        </w:rPr>
        <w:t xml:space="preserve"> assessed as compliant </w:t>
      </w:r>
      <w:r w:rsidR="006E5A19">
        <w:rPr>
          <w:rFonts w:cs="Arial"/>
          <w:sz w:val="18"/>
          <w:szCs w:val="18"/>
        </w:rPr>
        <w:t>but</w:t>
      </w:r>
      <w:r w:rsidR="002B42B4" w:rsidRPr="006C34C6">
        <w:rPr>
          <w:rFonts w:cs="Arial"/>
          <w:sz w:val="18"/>
          <w:szCs w:val="18"/>
        </w:rPr>
        <w:t xml:space="preserve"> not</w:t>
      </w:r>
      <w:r w:rsidR="00944118" w:rsidRPr="006C34C6">
        <w:rPr>
          <w:rFonts w:cs="Arial"/>
          <w:sz w:val="18"/>
          <w:szCs w:val="18"/>
        </w:rPr>
        <w:t xml:space="preserve"> best practice as the period for formal consultation on this proposal was shorter than the Government’s minimum requirement of 30 days.</w:t>
      </w:r>
    </w:p>
    <w:p w14:paraId="728860B7" w14:textId="4C70E7DF" w:rsidR="004A3411" w:rsidRDefault="004A3411" w:rsidP="006E5A19">
      <w:pPr>
        <w:spacing w:before="120" w:after="150"/>
        <w:rPr>
          <w:rFonts w:cs="Arial"/>
          <w:sz w:val="18"/>
          <w:szCs w:val="18"/>
        </w:rPr>
      </w:pPr>
    </w:p>
    <w:p w14:paraId="227C43C9" w14:textId="77777777" w:rsidR="004A3411" w:rsidRPr="006C34C6" w:rsidRDefault="004A3411" w:rsidP="006E5A19">
      <w:pPr>
        <w:spacing w:before="120" w:after="150"/>
        <w:rPr>
          <w:rFonts w:cs="Arial"/>
          <w:sz w:val="18"/>
          <w:szCs w:val="18"/>
        </w:rPr>
      </w:pPr>
    </w:p>
    <w:tbl>
      <w:tblPr>
        <w:tblW w:w="10065" w:type="dxa"/>
        <w:tblInd w:w="-142" w:type="dxa"/>
        <w:tblLayout w:type="fixed"/>
        <w:tblCellMar>
          <w:left w:w="0" w:type="dxa"/>
          <w:right w:w="0" w:type="dxa"/>
        </w:tblCellMar>
        <w:tblLook w:val="0000" w:firstRow="0" w:lastRow="0" w:firstColumn="0" w:lastColumn="0" w:noHBand="0" w:noVBand="0"/>
        <w:tblCaption w:val="Register of Foreign Ownership of Water Entitlements"/>
        <w:tblDescription w:val="Register of Foreign Ownership of Water Entitlements: Compliant, Best practice, No PIR required. Regulatory Burden: $0.1m."/>
      </w:tblPr>
      <w:tblGrid>
        <w:gridCol w:w="5420"/>
        <w:gridCol w:w="1245"/>
        <w:gridCol w:w="1105"/>
        <w:gridCol w:w="1104"/>
        <w:gridCol w:w="1191"/>
      </w:tblGrid>
      <w:tr w:rsidR="005C6972" w:rsidRPr="005C6972" w14:paraId="7BE2DE84" w14:textId="77777777" w:rsidTr="006E5A19">
        <w:trPr>
          <w:trHeight w:val="624"/>
          <w:tblHeader/>
        </w:trPr>
        <w:tc>
          <w:tcPr>
            <w:tcW w:w="5420" w:type="dxa"/>
            <w:shd w:val="clear" w:color="auto" w:fill="F4973F"/>
            <w:vAlign w:val="center"/>
          </w:tcPr>
          <w:p w14:paraId="534A0C97" w14:textId="77777777" w:rsidR="005C6972" w:rsidRPr="005C6972" w:rsidRDefault="005C6972"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5C6972">
              <w:rPr>
                <w:rFonts w:eastAsia="MS Mincho" w:cs="Arial"/>
                <w:color w:val="FFFFFF"/>
                <w:w w:val="105"/>
                <w:sz w:val="18"/>
                <w:szCs w:val="18"/>
              </w:rPr>
              <w:t>Proposal</w:t>
            </w:r>
          </w:p>
        </w:tc>
        <w:tc>
          <w:tcPr>
            <w:tcW w:w="1245" w:type="dxa"/>
            <w:shd w:val="clear" w:color="auto" w:fill="F4973F"/>
            <w:vAlign w:val="center"/>
          </w:tcPr>
          <w:p w14:paraId="5AD1D38C" w14:textId="77777777" w:rsidR="005C6972" w:rsidRPr="005C6972" w:rsidRDefault="005C6972"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5C6972">
              <w:rPr>
                <w:rFonts w:eastAsia="MS Mincho" w:cs="Arial"/>
                <w:color w:val="FFFFFF"/>
                <w:w w:val="105"/>
                <w:sz w:val="18"/>
                <w:szCs w:val="18"/>
              </w:rPr>
              <w:t>RIS Status</w:t>
            </w:r>
          </w:p>
        </w:tc>
        <w:tc>
          <w:tcPr>
            <w:tcW w:w="1105" w:type="dxa"/>
            <w:shd w:val="clear" w:color="auto" w:fill="F4973F"/>
            <w:vAlign w:val="center"/>
          </w:tcPr>
          <w:p w14:paraId="3EAD81C5" w14:textId="77777777" w:rsidR="005C6972" w:rsidRPr="005C6972" w:rsidRDefault="005C6972"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5C6972">
              <w:rPr>
                <w:rFonts w:eastAsia="MS Mincho" w:cs="Arial"/>
                <w:color w:val="FFFFFF"/>
                <w:w w:val="105"/>
                <w:sz w:val="18"/>
                <w:szCs w:val="18"/>
              </w:rPr>
              <w:t xml:space="preserve">Best </w:t>
            </w:r>
            <w:r w:rsidRPr="005C6972">
              <w:rPr>
                <w:rFonts w:eastAsia="MS Mincho" w:cs="Arial"/>
                <w:color w:val="FFFFFF"/>
                <w:w w:val="105"/>
                <w:sz w:val="18"/>
                <w:szCs w:val="18"/>
              </w:rPr>
              <w:br/>
              <w:t>practice</w:t>
            </w:r>
          </w:p>
        </w:tc>
        <w:tc>
          <w:tcPr>
            <w:tcW w:w="1104" w:type="dxa"/>
            <w:shd w:val="clear" w:color="auto" w:fill="F4973F"/>
            <w:vAlign w:val="center"/>
          </w:tcPr>
          <w:p w14:paraId="2158293A" w14:textId="77777777" w:rsidR="005C6972" w:rsidRPr="005C6972" w:rsidRDefault="005C6972"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5C6972">
              <w:rPr>
                <w:rFonts w:eastAsia="MS Mincho" w:cs="Arial"/>
                <w:color w:val="FFFFFF"/>
                <w:w w:val="105"/>
                <w:sz w:val="18"/>
                <w:szCs w:val="18"/>
              </w:rPr>
              <w:t xml:space="preserve">PIR </w:t>
            </w:r>
            <w:r w:rsidRPr="005C6972">
              <w:rPr>
                <w:rFonts w:eastAsia="MS Mincho" w:cs="Arial"/>
                <w:color w:val="FFFFFF"/>
                <w:w w:val="105"/>
                <w:sz w:val="18"/>
                <w:szCs w:val="18"/>
              </w:rPr>
              <w:br/>
              <w:t>required</w:t>
            </w:r>
          </w:p>
        </w:tc>
        <w:tc>
          <w:tcPr>
            <w:tcW w:w="1191" w:type="dxa"/>
            <w:shd w:val="clear" w:color="auto" w:fill="F4973F"/>
            <w:vAlign w:val="center"/>
          </w:tcPr>
          <w:p w14:paraId="4E32548F" w14:textId="77777777" w:rsidR="005C6972" w:rsidRPr="005C6972" w:rsidRDefault="005C6972"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5C6972">
              <w:rPr>
                <w:rFonts w:eastAsia="MS Mincho" w:cs="Arial"/>
                <w:color w:val="FFFFFF"/>
                <w:w w:val="105"/>
                <w:sz w:val="18"/>
                <w:szCs w:val="18"/>
              </w:rPr>
              <w:t>Regulatory Burden ($m)</w:t>
            </w:r>
          </w:p>
        </w:tc>
      </w:tr>
      <w:tr w:rsidR="005C6972" w:rsidRPr="00025F29" w14:paraId="14C2B597" w14:textId="77777777" w:rsidTr="003923F1">
        <w:trPr>
          <w:trHeight w:hRule="exact" w:val="737"/>
        </w:trPr>
        <w:tc>
          <w:tcPr>
            <w:tcW w:w="5420" w:type="dxa"/>
            <w:shd w:val="clear" w:color="auto" w:fill="auto"/>
            <w:vAlign w:val="center"/>
          </w:tcPr>
          <w:p w14:paraId="497F75B9" w14:textId="59F9B6FF" w:rsidR="005C6972" w:rsidRPr="00025F29" w:rsidRDefault="005C6972" w:rsidP="00862EDF">
            <w:pPr>
              <w:widowControl w:val="0"/>
              <w:kinsoku w:val="0"/>
              <w:overflowPunct w:val="0"/>
              <w:autoSpaceDE w:val="0"/>
              <w:autoSpaceDN w:val="0"/>
              <w:adjustRightInd w:val="0"/>
              <w:spacing w:after="0"/>
              <w:ind w:left="135" w:right="102"/>
              <w:rPr>
                <w:rFonts w:eastAsia="MS Mincho" w:cs="Arial"/>
                <w:spacing w:val="-3"/>
                <w:sz w:val="18"/>
                <w:szCs w:val="18"/>
              </w:rPr>
            </w:pPr>
            <w:r w:rsidRPr="00025F29">
              <w:rPr>
                <w:rFonts w:eastAsia="MS Mincho" w:cs="Arial"/>
                <w:spacing w:val="-3"/>
                <w:sz w:val="18"/>
                <w:szCs w:val="18"/>
              </w:rPr>
              <w:t>Reforms to raise the professional standard of financial advisers</w:t>
            </w:r>
            <w:r w:rsidR="00025F29" w:rsidRPr="00025F29">
              <w:rPr>
                <w:rFonts w:eastAsia="MS Mincho" w:cs="Arial"/>
                <w:spacing w:val="-3"/>
                <w:sz w:val="18"/>
                <w:szCs w:val="18"/>
              </w:rPr>
              <w:t xml:space="preserve"> – </w:t>
            </w:r>
            <w:r w:rsidR="00025F29" w:rsidRPr="00185750">
              <w:rPr>
                <w:rFonts w:eastAsia="MS Mincho" w:cs="Arial"/>
                <w:spacing w:val="-3"/>
                <w:sz w:val="18"/>
                <w:szCs w:val="18"/>
              </w:rPr>
              <w:t>Independent Review</w:t>
            </w:r>
          </w:p>
        </w:tc>
        <w:tc>
          <w:tcPr>
            <w:tcW w:w="1245" w:type="dxa"/>
            <w:shd w:val="clear" w:color="auto" w:fill="auto"/>
            <w:vAlign w:val="center"/>
          </w:tcPr>
          <w:p w14:paraId="39D41924" w14:textId="57B50D0F" w:rsidR="005C6972" w:rsidRPr="00025F29" w:rsidRDefault="00025F29" w:rsidP="005C6972">
            <w:pPr>
              <w:widowControl w:val="0"/>
              <w:kinsoku w:val="0"/>
              <w:overflowPunct w:val="0"/>
              <w:autoSpaceDE w:val="0"/>
              <w:autoSpaceDN w:val="0"/>
              <w:adjustRightInd w:val="0"/>
              <w:spacing w:after="0"/>
              <w:jc w:val="center"/>
              <w:rPr>
                <w:rFonts w:eastAsia="MS Mincho" w:cs="Arial"/>
                <w:spacing w:val="-2"/>
                <w:w w:val="90"/>
                <w:sz w:val="18"/>
                <w:szCs w:val="18"/>
              </w:rPr>
            </w:pPr>
            <w:r w:rsidRPr="00025F29">
              <w:rPr>
                <w:rFonts w:eastAsia="MS Mincho" w:cs="Arial"/>
                <w:spacing w:val="-2"/>
                <w:w w:val="90"/>
                <w:sz w:val="18"/>
                <w:szCs w:val="18"/>
              </w:rPr>
              <w:t>Compliant</w:t>
            </w:r>
          </w:p>
        </w:tc>
        <w:tc>
          <w:tcPr>
            <w:tcW w:w="1105" w:type="dxa"/>
            <w:shd w:val="clear" w:color="auto" w:fill="auto"/>
            <w:vAlign w:val="center"/>
          </w:tcPr>
          <w:p w14:paraId="18D5593D" w14:textId="0BF3DA67" w:rsidR="005C6972" w:rsidRPr="0032634B" w:rsidRDefault="005C6972" w:rsidP="0032634B">
            <w:pPr>
              <w:widowControl w:val="0"/>
              <w:kinsoku w:val="0"/>
              <w:overflowPunct w:val="0"/>
              <w:autoSpaceDE w:val="0"/>
              <w:autoSpaceDN w:val="0"/>
              <w:adjustRightInd w:val="0"/>
              <w:spacing w:after="0"/>
              <w:jc w:val="center"/>
              <w:rPr>
                <w:rFonts w:eastAsia="MS Mincho" w:cs="Arial"/>
                <w:w w:val="85"/>
                <w:sz w:val="18"/>
                <w:szCs w:val="18"/>
                <w:vertAlign w:val="superscript"/>
              </w:rPr>
            </w:pPr>
            <w:r w:rsidRPr="00025F29">
              <w:rPr>
                <w:rFonts w:eastAsia="MS Mincho" w:cs="Arial"/>
                <w:spacing w:val="-3"/>
                <w:sz w:val="18"/>
                <w:szCs w:val="18"/>
              </w:rPr>
              <w:t>Yes</w:t>
            </w:r>
          </w:p>
        </w:tc>
        <w:tc>
          <w:tcPr>
            <w:tcW w:w="1104" w:type="dxa"/>
            <w:shd w:val="clear" w:color="auto" w:fill="auto"/>
            <w:vAlign w:val="center"/>
          </w:tcPr>
          <w:p w14:paraId="4BCD46DC" w14:textId="77777777" w:rsidR="005C6972" w:rsidRPr="00025F29" w:rsidRDefault="005C6972" w:rsidP="005C6972">
            <w:pPr>
              <w:widowControl w:val="0"/>
              <w:kinsoku w:val="0"/>
              <w:overflowPunct w:val="0"/>
              <w:autoSpaceDE w:val="0"/>
              <w:autoSpaceDN w:val="0"/>
              <w:adjustRightInd w:val="0"/>
              <w:spacing w:after="0"/>
              <w:jc w:val="center"/>
              <w:rPr>
                <w:rFonts w:eastAsia="MS Mincho" w:cs="Arial"/>
                <w:w w:val="85"/>
                <w:sz w:val="18"/>
                <w:szCs w:val="18"/>
              </w:rPr>
            </w:pPr>
            <w:r w:rsidRPr="00025F29">
              <w:rPr>
                <w:rFonts w:eastAsia="MS Mincho" w:cs="Arial"/>
                <w:spacing w:val="-3"/>
                <w:sz w:val="18"/>
                <w:szCs w:val="18"/>
              </w:rPr>
              <w:t>No</w:t>
            </w:r>
          </w:p>
        </w:tc>
        <w:tc>
          <w:tcPr>
            <w:tcW w:w="1191" w:type="dxa"/>
            <w:vAlign w:val="center"/>
          </w:tcPr>
          <w:p w14:paraId="1D244DA0" w14:textId="77777777" w:rsidR="005C6972" w:rsidRPr="00025F29" w:rsidRDefault="005C6972" w:rsidP="005C6972">
            <w:pPr>
              <w:widowControl w:val="0"/>
              <w:kinsoku w:val="0"/>
              <w:overflowPunct w:val="0"/>
              <w:autoSpaceDE w:val="0"/>
              <w:autoSpaceDN w:val="0"/>
              <w:adjustRightInd w:val="0"/>
              <w:spacing w:after="0"/>
              <w:ind w:right="227"/>
              <w:jc w:val="right"/>
              <w:rPr>
                <w:rFonts w:eastAsia="MS Mincho" w:cs="Arial"/>
                <w:spacing w:val="-3"/>
                <w:sz w:val="18"/>
                <w:szCs w:val="18"/>
              </w:rPr>
            </w:pPr>
            <w:r w:rsidRPr="00025F29">
              <w:rPr>
                <w:rFonts w:eastAsia="MS Mincho" w:cs="Arial"/>
                <w:spacing w:val="-3"/>
                <w:sz w:val="18"/>
                <w:szCs w:val="18"/>
              </w:rPr>
              <w:t>$165.1</w:t>
            </w:r>
          </w:p>
        </w:tc>
      </w:tr>
    </w:tbl>
    <w:p w14:paraId="686A2903" w14:textId="74639E1E" w:rsidR="009465BE" w:rsidRPr="006C34C6" w:rsidRDefault="005C6972" w:rsidP="006E5A19">
      <w:pPr>
        <w:spacing w:before="120" w:after="150"/>
        <w:rPr>
          <w:rFonts w:cs="Arial"/>
          <w:sz w:val="18"/>
          <w:szCs w:val="18"/>
        </w:rPr>
      </w:pPr>
      <w:r w:rsidRPr="006C34C6">
        <w:rPr>
          <w:rFonts w:cs="Arial"/>
          <w:sz w:val="18"/>
          <w:szCs w:val="18"/>
        </w:rPr>
        <w:t xml:space="preserve">The proposed amendments seek to raise the education, training and ethical standards of financial advisers by requiring relevant providers of personal advice to retail clients to hold minimum professional qualifications, and comply with a code of ethics. </w:t>
      </w:r>
      <w:r w:rsidR="0050744B" w:rsidRPr="0050744B">
        <w:rPr>
          <w:rFonts w:cs="Arial"/>
          <w:sz w:val="18"/>
          <w:szCs w:val="18"/>
        </w:rPr>
        <w:t>The OBPR does not assess the adequacy of the content of an independe</w:t>
      </w:r>
      <w:r w:rsidR="00977AB1">
        <w:rPr>
          <w:rFonts w:cs="Arial"/>
          <w:sz w:val="18"/>
          <w:szCs w:val="18"/>
        </w:rPr>
        <w:t>nt review used in lieu of a RIS.</w:t>
      </w:r>
    </w:p>
    <w:tbl>
      <w:tblPr>
        <w:tblW w:w="10065" w:type="dxa"/>
        <w:tblInd w:w="-142" w:type="dxa"/>
        <w:tblLayout w:type="fixed"/>
        <w:tblCellMar>
          <w:left w:w="0" w:type="dxa"/>
          <w:right w:w="0" w:type="dxa"/>
        </w:tblCellMar>
        <w:tblLook w:val="0000" w:firstRow="0" w:lastRow="0" w:firstColumn="0" w:lastColumn="0" w:noHBand="0" w:noVBand="0"/>
        <w:tblCaption w:val="Register of Foreign Ownership of Water Entitlements"/>
        <w:tblDescription w:val="Register of Foreign Ownership of Water Entitlements: Compliant, Best practice, No PIR required. Regulatory Burden: $0.1m."/>
      </w:tblPr>
      <w:tblGrid>
        <w:gridCol w:w="5420"/>
        <w:gridCol w:w="1245"/>
        <w:gridCol w:w="1105"/>
        <w:gridCol w:w="1104"/>
        <w:gridCol w:w="1191"/>
      </w:tblGrid>
      <w:tr w:rsidR="003F4D09" w:rsidRPr="0084580D" w14:paraId="78A4CE17" w14:textId="77777777" w:rsidTr="004007ED">
        <w:trPr>
          <w:tblHeader/>
        </w:trPr>
        <w:tc>
          <w:tcPr>
            <w:tcW w:w="5420" w:type="dxa"/>
            <w:shd w:val="clear" w:color="auto" w:fill="F4973F"/>
            <w:vAlign w:val="center"/>
          </w:tcPr>
          <w:p w14:paraId="309FB691" w14:textId="77777777" w:rsidR="003F4D09" w:rsidRPr="0084580D" w:rsidRDefault="003F4D09"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7A2B973D"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7555F2B2"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7D4C9A4F"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7EC8CE71"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3F4D09" w:rsidRPr="0084580D" w14:paraId="258EA7F8" w14:textId="77777777" w:rsidTr="004007ED">
        <w:trPr>
          <w:trHeight w:hRule="exact" w:val="525"/>
        </w:trPr>
        <w:tc>
          <w:tcPr>
            <w:tcW w:w="5420" w:type="dxa"/>
            <w:shd w:val="clear" w:color="auto" w:fill="auto"/>
            <w:vAlign w:val="center"/>
          </w:tcPr>
          <w:p w14:paraId="65835119" w14:textId="46646719" w:rsidR="003F4D09" w:rsidRPr="0084580D" w:rsidRDefault="003F4D09" w:rsidP="009465BE">
            <w:pPr>
              <w:widowControl w:val="0"/>
              <w:kinsoku w:val="0"/>
              <w:overflowPunct w:val="0"/>
              <w:autoSpaceDE w:val="0"/>
              <w:autoSpaceDN w:val="0"/>
              <w:adjustRightInd w:val="0"/>
              <w:spacing w:after="0"/>
              <w:ind w:left="135" w:right="102"/>
              <w:rPr>
                <w:rFonts w:eastAsia="MS Mincho" w:cs="Arial"/>
                <w:spacing w:val="-3"/>
                <w:sz w:val="18"/>
                <w:szCs w:val="18"/>
              </w:rPr>
            </w:pPr>
            <w:r w:rsidRPr="003F4D09">
              <w:rPr>
                <w:rFonts w:eastAsia="MS Mincho" w:cs="Arial"/>
                <w:spacing w:val="-3"/>
                <w:sz w:val="18"/>
                <w:szCs w:val="18"/>
              </w:rPr>
              <w:t>Register of Foreign Ownership of Water Entitlements</w:t>
            </w:r>
          </w:p>
        </w:tc>
        <w:tc>
          <w:tcPr>
            <w:tcW w:w="1245" w:type="dxa"/>
            <w:shd w:val="clear" w:color="auto" w:fill="auto"/>
            <w:vAlign w:val="center"/>
          </w:tcPr>
          <w:p w14:paraId="79CB18F3" w14:textId="77777777" w:rsidR="003F4D09" w:rsidRPr="0084580D" w:rsidRDefault="003F4D09" w:rsidP="004007ED">
            <w:pPr>
              <w:widowControl w:val="0"/>
              <w:kinsoku w:val="0"/>
              <w:overflowPunct w:val="0"/>
              <w:autoSpaceDE w:val="0"/>
              <w:autoSpaceDN w:val="0"/>
              <w:adjustRightInd w:val="0"/>
              <w:spacing w:after="0"/>
              <w:jc w:val="center"/>
              <w:rPr>
                <w:rFonts w:eastAsia="MS Mincho" w:cs="Arial"/>
                <w:spacing w:val="-2"/>
                <w:w w:val="90"/>
                <w:sz w:val="18"/>
                <w:szCs w:val="18"/>
              </w:rPr>
            </w:pPr>
            <w:r w:rsidRPr="0084580D">
              <w:rPr>
                <w:rFonts w:eastAsia="MS Mincho" w:cs="Arial"/>
                <w:spacing w:val="-3"/>
                <w:sz w:val="18"/>
                <w:szCs w:val="18"/>
              </w:rPr>
              <w:t>Compliant</w:t>
            </w:r>
          </w:p>
        </w:tc>
        <w:tc>
          <w:tcPr>
            <w:tcW w:w="1105" w:type="dxa"/>
            <w:shd w:val="clear" w:color="auto" w:fill="auto"/>
            <w:vAlign w:val="center"/>
          </w:tcPr>
          <w:p w14:paraId="7F891F8E" w14:textId="7AE81179" w:rsidR="003F4D09" w:rsidRPr="0084580D" w:rsidRDefault="003F4D09" w:rsidP="004007ED">
            <w:pPr>
              <w:widowControl w:val="0"/>
              <w:kinsoku w:val="0"/>
              <w:overflowPunct w:val="0"/>
              <w:autoSpaceDE w:val="0"/>
              <w:autoSpaceDN w:val="0"/>
              <w:adjustRightInd w:val="0"/>
              <w:spacing w:after="0"/>
              <w:jc w:val="center"/>
              <w:rPr>
                <w:rFonts w:eastAsia="MS Mincho" w:cs="Arial"/>
                <w:w w:val="85"/>
                <w:sz w:val="18"/>
                <w:szCs w:val="18"/>
              </w:rPr>
            </w:pPr>
            <w:r>
              <w:rPr>
                <w:rFonts w:eastAsia="MS Mincho" w:cs="Arial"/>
                <w:spacing w:val="-3"/>
                <w:sz w:val="18"/>
                <w:szCs w:val="18"/>
              </w:rPr>
              <w:t>Yes</w:t>
            </w:r>
          </w:p>
        </w:tc>
        <w:tc>
          <w:tcPr>
            <w:tcW w:w="1104" w:type="dxa"/>
            <w:shd w:val="clear" w:color="auto" w:fill="auto"/>
            <w:vAlign w:val="center"/>
          </w:tcPr>
          <w:p w14:paraId="4A8C7F66" w14:textId="77777777" w:rsidR="003F4D09" w:rsidRPr="0084580D" w:rsidRDefault="003F4D09" w:rsidP="004007ED">
            <w:pPr>
              <w:widowControl w:val="0"/>
              <w:kinsoku w:val="0"/>
              <w:overflowPunct w:val="0"/>
              <w:autoSpaceDE w:val="0"/>
              <w:autoSpaceDN w:val="0"/>
              <w:adjustRightInd w:val="0"/>
              <w:spacing w:after="0"/>
              <w:jc w:val="center"/>
              <w:rPr>
                <w:rFonts w:eastAsia="MS Mincho" w:cs="Arial"/>
                <w:w w:val="85"/>
                <w:sz w:val="18"/>
                <w:szCs w:val="18"/>
              </w:rPr>
            </w:pPr>
            <w:r w:rsidRPr="0084580D">
              <w:rPr>
                <w:rFonts w:eastAsia="MS Mincho" w:cs="Arial"/>
                <w:spacing w:val="-3"/>
                <w:sz w:val="18"/>
                <w:szCs w:val="18"/>
              </w:rPr>
              <w:t>No</w:t>
            </w:r>
          </w:p>
        </w:tc>
        <w:tc>
          <w:tcPr>
            <w:tcW w:w="1191" w:type="dxa"/>
            <w:vAlign w:val="center"/>
          </w:tcPr>
          <w:p w14:paraId="0B004CCA" w14:textId="293A60E6" w:rsidR="003F4D09" w:rsidRPr="0084580D" w:rsidRDefault="003F4D09" w:rsidP="003F4D09">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$0.1</w:t>
            </w:r>
          </w:p>
        </w:tc>
      </w:tr>
    </w:tbl>
    <w:p w14:paraId="1F5C64E6" w14:textId="77777777" w:rsidR="00370A59" w:rsidRPr="006C34C6" w:rsidRDefault="002D019B" w:rsidP="006E5A19">
      <w:pPr>
        <w:spacing w:before="120" w:after="150"/>
        <w:rPr>
          <w:rFonts w:cs="Arial"/>
          <w:sz w:val="18"/>
          <w:szCs w:val="18"/>
        </w:rPr>
      </w:pPr>
      <w:r w:rsidRPr="006C34C6">
        <w:rPr>
          <w:rFonts w:cs="Arial"/>
          <w:sz w:val="18"/>
          <w:szCs w:val="18"/>
        </w:rPr>
        <w:t>Establishes a</w:t>
      </w:r>
      <w:r w:rsidR="00DE0D0F" w:rsidRPr="006C34C6">
        <w:rPr>
          <w:rFonts w:cs="Arial"/>
          <w:sz w:val="18"/>
          <w:szCs w:val="18"/>
        </w:rPr>
        <w:t xml:space="preserve"> register of foreign ownership of water entitlements.</w:t>
      </w:r>
    </w:p>
    <w:tbl>
      <w:tblPr>
        <w:tblW w:w="10065" w:type="dxa"/>
        <w:tblInd w:w="-142" w:type="dxa"/>
        <w:tblLayout w:type="fixed"/>
        <w:tblCellMar>
          <w:left w:w="0" w:type="dxa"/>
          <w:right w:w="0" w:type="dxa"/>
        </w:tblCellMar>
        <w:tblLook w:val="0000" w:firstRow="0" w:lastRow="0" w:firstColumn="0" w:lastColumn="0" w:noHBand="0" w:noVBand="0"/>
        <w:tblCaption w:val="Sugar Industry Code"/>
        <w:tblDescription w:val="Sugar Industry Code: Exceptional circumstances granted by the Prime Minister, Best practice, PIR required. Regulatory Burden: n/a."/>
      </w:tblPr>
      <w:tblGrid>
        <w:gridCol w:w="5420"/>
        <w:gridCol w:w="1245"/>
        <w:gridCol w:w="1105"/>
        <w:gridCol w:w="1104"/>
        <w:gridCol w:w="1191"/>
      </w:tblGrid>
      <w:tr w:rsidR="003F4D09" w:rsidRPr="0084580D" w14:paraId="782B3420" w14:textId="77777777" w:rsidTr="004007ED">
        <w:trPr>
          <w:tblHeader/>
        </w:trPr>
        <w:tc>
          <w:tcPr>
            <w:tcW w:w="5420" w:type="dxa"/>
            <w:shd w:val="clear" w:color="auto" w:fill="F4973F"/>
            <w:vAlign w:val="center"/>
          </w:tcPr>
          <w:p w14:paraId="21EDC1CB" w14:textId="77777777" w:rsidR="003F4D09" w:rsidRPr="0084580D" w:rsidRDefault="003F4D09"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39304A02"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0C941096"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274D0683"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50FF9606" w14:textId="77777777" w:rsidR="003F4D09" w:rsidRPr="0084580D" w:rsidRDefault="003F4D09"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3F4D09" w:rsidRPr="0084580D" w14:paraId="48561258" w14:textId="77777777" w:rsidTr="004007ED">
        <w:trPr>
          <w:trHeight w:hRule="exact" w:val="525"/>
        </w:trPr>
        <w:tc>
          <w:tcPr>
            <w:tcW w:w="5420" w:type="dxa"/>
            <w:shd w:val="clear" w:color="auto" w:fill="auto"/>
            <w:vAlign w:val="center"/>
          </w:tcPr>
          <w:p w14:paraId="2C7BA890" w14:textId="6F3E7D3C" w:rsidR="003F4D09" w:rsidRPr="0084580D" w:rsidRDefault="00381611" w:rsidP="006E5A19">
            <w:pPr>
              <w:widowControl w:val="0"/>
              <w:kinsoku w:val="0"/>
              <w:overflowPunct w:val="0"/>
              <w:autoSpaceDE w:val="0"/>
              <w:autoSpaceDN w:val="0"/>
              <w:adjustRightInd w:val="0"/>
              <w:spacing w:after="0"/>
              <w:ind w:left="135" w:right="102"/>
              <w:rPr>
                <w:rFonts w:eastAsia="MS Mincho" w:cs="Arial"/>
                <w:spacing w:val="-3"/>
                <w:sz w:val="18"/>
                <w:szCs w:val="18"/>
              </w:rPr>
            </w:pPr>
            <w:r>
              <w:rPr>
                <w:rFonts w:eastAsia="MS Mincho" w:cs="Arial"/>
                <w:spacing w:val="-3"/>
                <w:sz w:val="18"/>
                <w:szCs w:val="18"/>
              </w:rPr>
              <w:t>Sugar Industry Code</w:t>
            </w:r>
            <w:r w:rsidR="001A7307">
              <w:rPr>
                <w:rFonts w:eastAsia="MS Mincho" w:cs="Arial"/>
                <w:spacing w:val="-3"/>
                <w:sz w:val="18"/>
                <w:szCs w:val="18"/>
              </w:rPr>
              <w:t xml:space="preserve"> – Prime Minister’s Exemption</w:t>
            </w:r>
          </w:p>
        </w:tc>
        <w:tc>
          <w:tcPr>
            <w:tcW w:w="1245" w:type="dxa"/>
            <w:shd w:val="clear" w:color="auto" w:fill="auto"/>
            <w:vAlign w:val="center"/>
          </w:tcPr>
          <w:p w14:paraId="1EFE563C" w14:textId="32F28162" w:rsidR="003F4D09" w:rsidRPr="0084580D" w:rsidRDefault="007A424F" w:rsidP="004007ED">
            <w:pPr>
              <w:widowControl w:val="0"/>
              <w:kinsoku w:val="0"/>
              <w:overflowPunct w:val="0"/>
              <w:autoSpaceDE w:val="0"/>
              <w:autoSpaceDN w:val="0"/>
              <w:adjustRightInd w:val="0"/>
              <w:spacing w:after="0"/>
              <w:jc w:val="center"/>
              <w:rPr>
                <w:rFonts w:eastAsia="MS Mincho" w:cs="Arial"/>
                <w:spacing w:val="-2"/>
                <w:w w:val="90"/>
                <w:sz w:val="18"/>
                <w:szCs w:val="18"/>
              </w:rPr>
            </w:pPr>
            <w:r>
              <w:rPr>
                <w:rFonts w:eastAsia="MS Mincho" w:cs="Arial"/>
                <w:spacing w:val="-3"/>
                <w:sz w:val="18"/>
                <w:szCs w:val="18"/>
              </w:rPr>
              <w:t>Compliant</w:t>
            </w:r>
          </w:p>
        </w:tc>
        <w:tc>
          <w:tcPr>
            <w:tcW w:w="1105" w:type="dxa"/>
            <w:shd w:val="clear" w:color="auto" w:fill="auto"/>
            <w:vAlign w:val="center"/>
          </w:tcPr>
          <w:p w14:paraId="1E3EFEEF" w14:textId="781D9D9E" w:rsidR="003F4D09" w:rsidRPr="004F1DD1" w:rsidRDefault="001A7307" w:rsidP="001A7307">
            <w:pPr>
              <w:widowControl w:val="0"/>
              <w:kinsoku w:val="0"/>
              <w:overflowPunct w:val="0"/>
              <w:autoSpaceDE w:val="0"/>
              <w:autoSpaceDN w:val="0"/>
              <w:adjustRightInd w:val="0"/>
              <w:spacing w:after="0"/>
              <w:jc w:val="center"/>
              <w:rPr>
                <w:rFonts w:eastAsia="MS Mincho" w:cs="Arial"/>
                <w:w w:val="85"/>
                <w:sz w:val="18"/>
                <w:szCs w:val="18"/>
                <w:vertAlign w:val="superscript"/>
              </w:rPr>
            </w:pPr>
            <w:r>
              <w:rPr>
                <w:rFonts w:eastAsia="MS Mincho" w:cs="Arial"/>
                <w:spacing w:val="-3"/>
                <w:sz w:val="18"/>
                <w:szCs w:val="18"/>
              </w:rPr>
              <w:t>E/c</w:t>
            </w:r>
            <w:r w:rsidR="004F1DD1">
              <w:rPr>
                <w:rStyle w:val="FootnoteReference"/>
                <w:rFonts w:eastAsia="MS Mincho" w:cs="Arial"/>
                <w:spacing w:val="-3"/>
                <w:sz w:val="18"/>
                <w:szCs w:val="18"/>
              </w:rPr>
              <w:footnoteReference w:id="2"/>
            </w:r>
          </w:p>
        </w:tc>
        <w:tc>
          <w:tcPr>
            <w:tcW w:w="1104" w:type="dxa"/>
            <w:shd w:val="clear" w:color="auto" w:fill="auto"/>
            <w:vAlign w:val="center"/>
          </w:tcPr>
          <w:p w14:paraId="71C6E712" w14:textId="4E99C320" w:rsidR="003F4D09" w:rsidRPr="0084580D" w:rsidRDefault="00381611" w:rsidP="004007ED">
            <w:pPr>
              <w:widowControl w:val="0"/>
              <w:kinsoku w:val="0"/>
              <w:overflowPunct w:val="0"/>
              <w:autoSpaceDE w:val="0"/>
              <w:autoSpaceDN w:val="0"/>
              <w:adjustRightInd w:val="0"/>
              <w:spacing w:after="0"/>
              <w:jc w:val="center"/>
              <w:rPr>
                <w:rFonts w:eastAsia="MS Mincho" w:cs="Arial"/>
                <w:w w:val="85"/>
                <w:sz w:val="18"/>
                <w:szCs w:val="18"/>
              </w:rPr>
            </w:pPr>
            <w:r>
              <w:rPr>
                <w:rFonts w:eastAsia="MS Mincho" w:cs="Arial"/>
                <w:spacing w:val="-3"/>
                <w:sz w:val="18"/>
                <w:szCs w:val="18"/>
              </w:rPr>
              <w:t>Yes</w:t>
            </w:r>
          </w:p>
        </w:tc>
        <w:tc>
          <w:tcPr>
            <w:tcW w:w="1191" w:type="dxa"/>
            <w:vAlign w:val="center"/>
          </w:tcPr>
          <w:p w14:paraId="769B8BFB" w14:textId="4451FD31" w:rsidR="003F4D09" w:rsidRPr="0084580D" w:rsidRDefault="00390684" w:rsidP="004007ED">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$0.8</w:t>
            </w:r>
          </w:p>
        </w:tc>
      </w:tr>
    </w:tbl>
    <w:p w14:paraId="698AAE61" w14:textId="34428EB0" w:rsidR="00381611" w:rsidRPr="006C34C6" w:rsidRDefault="00DE3AE5" w:rsidP="006E5A19">
      <w:pPr>
        <w:spacing w:before="120" w:after="150"/>
        <w:rPr>
          <w:rFonts w:cs="Arial"/>
          <w:sz w:val="18"/>
          <w:szCs w:val="18"/>
        </w:rPr>
      </w:pPr>
      <w:r w:rsidRPr="006C34C6">
        <w:rPr>
          <w:rFonts w:cs="Arial"/>
          <w:sz w:val="18"/>
          <w:szCs w:val="18"/>
        </w:rPr>
        <w:t>Provides for an arbitration framework for sugar industry participants, and ensures growers have the right to choose who markets their sugar. An exemption from the RIS requirements was granted by the Prime Minister due to urgent and unforeseen events.</w:t>
      </w:r>
    </w:p>
    <w:tbl>
      <w:tblPr>
        <w:tblW w:w="10065" w:type="dxa"/>
        <w:tblInd w:w="-142" w:type="dxa"/>
        <w:tblLayout w:type="fixed"/>
        <w:tblCellMar>
          <w:left w:w="0" w:type="dxa"/>
          <w:right w:w="0" w:type="dxa"/>
        </w:tblCellMar>
        <w:tblLook w:val="0000" w:firstRow="0" w:lastRow="0" w:firstColumn="0" w:lastColumn="0" w:noHBand="0" w:noVBand="0"/>
        <w:tblCaption w:val="Superannuation Reform Package"/>
        <w:tblDescription w:val="Superannuation Reform Package: Compliant, Not best practice, No PIR required. Regulatory Burden: $80.3m."/>
      </w:tblPr>
      <w:tblGrid>
        <w:gridCol w:w="5420"/>
        <w:gridCol w:w="1245"/>
        <w:gridCol w:w="1105"/>
        <w:gridCol w:w="1104"/>
        <w:gridCol w:w="1191"/>
      </w:tblGrid>
      <w:tr w:rsidR="00381611" w:rsidRPr="0084580D" w14:paraId="1DE00817" w14:textId="77777777" w:rsidTr="004007ED">
        <w:trPr>
          <w:tblHeader/>
        </w:trPr>
        <w:tc>
          <w:tcPr>
            <w:tcW w:w="5420" w:type="dxa"/>
            <w:shd w:val="clear" w:color="auto" w:fill="F4973F"/>
            <w:vAlign w:val="center"/>
          </w:tcPr>
          <w:p w14:paraId="772B00F6" w14:textId="21104B94" w:rsidR="00381611" w:rsidRPr="0084580D" w:rsidRDefault="00381611"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47D0C6DE" w14:textId="77777777" w:rsidR="00381611" w:rsidRPr="0084580D" w:rsidRDefault="00381611"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2F6A02E6" w14:textId="77777777" w:rsidR="00381611" w:rsidRPr="0084580D" w:rsidRDefault="00381611"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10FDF9A4" w14:textId="77777777" w:rsidR="00381611" w:rsidRPr="0084580D" w:rsidRDefault="00381611"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7A5EB203" w14:textId="77777777" w:rsidR="00381611" w:rsidRPr="0084580D" w:rsidRDefault="00381611"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381611" w:rsidRPr="0084580D" w14:paraId="1A8968DC" w14:textId="77777777" w:rsidTr="004007ED">
        <w:trPr>
          <w:trHeight w:hRule="exact" w:val="525"/>
        </w:trPr>
        <w:tc>
          <w:tcPr>
            <w:tcW w:w="5420" w:type="dxa"/>
            <w:shd w:val="clear" w:color="auto" w:fill="auto"/>
            <w:vAlign w:val="center"/>
          </w:tcPr>
          <w:p w14:paraId="36A31C85" w14:textId="1F6F1FC2" w:rsidR="00381611" w:rsidRPr="0084580D" w:rsidRDefault="00381611" w:rsidP="009465BE">
            <w:pPr>
              <w:widowControl w:val="0"/>
              <w:kinsoku w:val="0"/>
              <w:overflowPunct w:val="0"/>
              <w:autoSpaceDE w:val="0"/>
              <w:autoSpaceDN w:val="0"/>
              <w:adjustRightInd w:val="0"/>
              <w:spacing w:after="0"/>
              <w:ind w:left="135" w:right="102"/>
              <w:rPr>
                <w:rFonts w:eastAsia="MS Mincho" w:cs="Arial"/>
                <w:spacing w:val="-3"/>
                <w:sz w:val="18"/>
                <w:szCs w:val="18"/>
              </w:rPr>
            </w:pPr>
            <w:r>
              <w:rPr>
                <w:rFonts w:eastAsia="MS Mincho" w:cs="Arial"/>
                <w:spacing w:val="-3"/>
                <w:sz w:val="18"/>
                <w:szCs w:val="18"/>
              </w:rPr>
              <w:t>Superannuation Reform Package</w:t>
            </w:r>
          </w:p>
        </w:tc>
        <w:tc>
          <w:tcPr>
            <w:tcW w:w="1245" w:type="dxa"/>
            <w:shd w:val="clear" w:color="auto" w:fill="auto"/>
            <w:vAlign w:val="center"/>
          </w:tcPr>
          <w:p w14:paraId="2A89DCB4" w14:textId="63F29452" w:rsidR="00381611" w:rsidRPr="0084580D" w:rsidRDefault="00381611" w:rsidP="004007ED">
            <w:pPr>
              <w:widowControl w:val="0"/>
              <w:kinsoku w:val="0"/>
              <w:overflowPunct w:val="0"/>
              <w:autoSpaceDE w:val="0"/>
              <w:autoSpaceDN w:val="0"/>
              <w:adjustRightInd w:val="0"/>
              <w:spacing w:after="0"/>
              <w:jc w:val="center"/>
              <w:rPr>
                <w:rFonts w:eastAsia="MS Mincho" w:cs="Arial"/>
                <w:spacing w:val="-2"/>
                <w:w w:val="90"/>
                <w:sz w:val="18"/>
                <w:szCs w:val="18"/>
              </w:rPr>
            </w:pPr>
            <w:r>
              <w:rPr>
                <w:rFonts w:eastAsia="MS Mincho" w:cs="Arial"/>
                <w:spacing w:val="-3"/>
                <w:sz w:val="18"/>
                <w:szCs w:val="18"/>
              </w:rPr>
              <w:t>Compliant</w:t>
            </w:r>
          </w:p>
        </w:tc>
        <w:tc>
          <w:tcPr>
            <w:tcW w:w="1105" w:type="dxa"/>
            <w:shd w:val="clear" w:color="auto" w:fill="auto"/>
            <w:vAlign w:val="center"/>
          </w:tcPr>
          <w:p w14:paraId="05E4BCB0" w14:textId="3DC1E589" w:rsidR="00381611" w:rsidRPr="0084580D" w:rsidRDefault="00381611" w:rsidP="004007ED">
            <w:pPr>
              <w:widowControl w:val="0"/>
              <w:kinsoku w:val="0"/>
              <w:overflowPunct w:val="0"/>
              <w:autoSpaceDE w:val="0"/>
              <w:autoSpaceDN w:val="0"/>
              <w:adjustRightInd w:val="0"/>
              <w:spacing w:after="0"/>
              <w:jc w:val="center"/>
              <w:rPr>
                <w:rFonts w:eastAsia="MS Mincho" w:cs="Arial"/>
                <w:w w:val="85"/>
                <w:sz w:val="18"/>
                <w:szCs w:val="18"/>
              </w:rPr>
            </w:pPr>
            <w:r w:rsidRPr="00BA7893">
              <w:rPr>
                <w:rFonts w:eastAsia="MS Mincho" w:cs="Arial"/>
                <w:spacing w:val="-3"/>
                <w:sz w:val="18"/>
                <w:szCs w:val="18"/>
              </w:rPr>
              <w:t>No</w:t>
            </w:r>
          </w:p>
        </w:tc>
        <w:tc>
          <w:tcPr>
            <w:tcW w:w="1104" w:type="dxa"/>
            <w:shd w:val="clear" w:color="auto" w:fill="auto"/>
            <w:vAlign w:val="center"/>
          </w:tcPr>
          <w:p w14:paraId="33275081" w14:textId="478ECF8F" w:rsidR="00381611" w:rsidRPr="0084580D" w:rsidRDefault="00381611" w:rsidP="004007ED">
            <w:pPr>
              <w:widowControl w:val="0"/>
              <w:kinsoku w:val="0"/>
              <w:overflowPunct w:val="0"/>
              <w:autoSpaceDE w:val="0"/>
              <w:autoSpaceDN w:val="0"/>
              <w:adjustRightInd w:val="0"/>
              <w:spacing w:after="0"/>
              <w:jc w:val="center"/>
              <w:rPr>
                <w:rFonts w:eastAsia="MS Mincho" w:cs="Arial"/>
                <w:w w:val="85"/>
                <w:sz w:val="18"/>
                <w:szCs w:val="18"/>
              </w:rPr>
            </w:pPr>
            <w:r>
              <w:rPr>
                <w:rFonts w:eastAsia="MS Mincho" w:cs="Arial"/>
                <w:spacing w:val="-3"/>
                <w:sz w:val="18"/>
                <w:szCs w:val="18"/>
              </w:rPr>
              <w:t>No</w:t>
            </w:r>
          </w:p>
        </w:tc>
        <w:tc>
          <w:tcPr>
            <w:tcW w:w="1191" w:type="dxa"/>
            <w:vAlign w:val="center"/>
          </w:tcPr>
          <w:p w14:paraId="064830EB" w14:textId="4803A571" w:rsidR="00381611" w:rsidRPr="0084580D" w:rsidRDefault="00381611" w:rsidP="004007ED">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$80.3</w:t>
            </w:r>
          </w:p>
        </w:tc>
      </w:tr>
    </w:tbl>
    <w:p w14:paraId="62C8DB0F" w14:textId="5B75EA75" w:rsidR="002773BF" w:rsidRPr="006C34C6" w:rsidRDefault="00DE3AE5" w:rsidP="006E5A19">
      <w:pPr>
        <w:spacing w:before="120" w:after="150"/>
        <w:rPr>
          <w:rFonts w:cs="Arial"/>
          <w:sz w:val="18"/>
          <w:szCs w:val="18"/>
        </w:rPr>
      </w:pPr>
      <w:r w:rsidRPr="006C34C6">
        <w:rPr>
          <w:rFonts w:cs="Arial"/>
          <w:sz w:val="18"/>
          <w:szCs w:val="18"/>
        </w:rPr>
        <w:t>Makes the superannuation system fairer and more fiscally sustainable; encourages and provides more opportunities for people to save for their retirement; and improves the integrity of the superannuation system to ensure that it is used for the purpose of providing income in retirement to substitute or supplement the age pension and not for tax minimisation and estate planning purposes. The RIS was assessed as compliant but not best practice as significant and major policy decisions were announced on 15 September 2016 that were not informed by an updated RIS.</w:t>
      </w:r>
    </w:p>
    <w:tbl>
      <w:tblPr>
        <w:tblW w:w="10065" w:type="dxa"/>
        <w:tblInd w:w="-142" w:type="dxa"/>
        <w:tblLayout w:type="fixed"/>
        <w:tblCellMar>
          <w:left w:w="0" w:type="dxa"/>
          <w:right w:w="0" w:type="dxa"/>
        </w:tblCellMar>
        <w:tblLook w:val="0000" w:firstRow="0" w:lastRow="0" w:firstColumn="0" w:lastColumn="0" w:noHBand="0" w:noVBand="0"/>
        <w:tblCaption w:val="Wine Equalisation Tax Rebate"/>
        <w:tblDescription w:val="Wine Equalisation Tax Rebate: Compliant, Best practice, No PIR required. Regulatory Burden: $0.1m."/>
      </w:tblPr>
      <w:tblGrid>
        <w:gridCol w:w="5420"/>
        <w:gridCol w:w="1245"/>
        <w:gridCol w:w="1105"/>
        <w:gridCol w:w="1104"/>
        <w:gridCol w:w="1191"/>
      </w:tblGrid>
      <w:tr w:rsidR="003F698B" w:rsidRPr="0084580D" w14:paraId="6165CE4A" w14:textId="77777777" w:rsidTr="00937267">
        <w:trPr>
          <w:tblHeader/>
        </w:trPr>
        <w:tc>
          <w:tcPr>
            <w:tcW w:w="5420" w:type="dxa"/>
            <w:shd w:val="clear" w:color="auto" w:fill="F4973F"/>
            <w:vAlign w:val="center"/>
          </w:tcPr>
          <w:p w14:paraId="11B08F21" w14:textId="77777777" w:rsidR="003F698B" w:rsidRPr="0084580D" w:rsidRDefault="003F698B"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3D6F9AA3" w14:textId="77777777" w:rsidR="003F698B" w:rsidRPr="0084580D" w:rsidRDefault="003F698B"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7D8C3B26" w14:textId="77777777" w:rsidR="003F698B" w:rsidRPr="0084580D" w:rsidRDefault="003F698B"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07C61C24" w14:textId="77777777" w:rsidR="003F698B" w:rsidRPr="0084580D" w:rsidRDefault="003F698B"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563243F4" w14:textId="77777777" w:rsidR="003F698B" w:rsidRPr="0084580D" w:rsidRDefault="003F698B"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3F698B" w:rsidRPr="0084580D" w14:paraId="1BBA37BF" w14:textId="77777777" w:rsidTr="00937267">
        <w:trPr>
          <w:trHeight w:hRule="exact" w:val="525"/>
        </w:trPr>
        <w:tc>
          <w:tcPr>
            <w:tcW w:w="5420" w:type="dxa"/>
            <w:shd w:val="clear" w:color="auto" w:fill="auto"/>
            <w:vAlign w:val="center"/>
          </w:tcPr>
          <w:p w14:paraId="19A7E73E" w14:textId="377B03DF" w:rsidR="003F698B" w:rsidRPr="0084580D" w:rsidRDefault="003F698B" w:rsidP="00862EDF">
            <w:pPr>
              <w:widowControl w:val="0"/>
              <w:kinsoku w:val="0"/>
              <w:overflowPunct w:val="0"/>
              <w:autoSpaceDE w:val="0"/>
              <w:autoSpaceDN w:val="0"/>
              <w:adjustRightInd w:val="0"/>
              <w:spacing w:after="0"/>
              <w:ind w:left="135" w:right="102"/>
              <w:rPr>
                <w:rFonts w:eastAsia="MS Mincho" w:cs="Arial"/>
                <w:spacing w:val="-3"/>
                <w:sz w:val="18"/>
                <w:szCs w:val="18"/>
              </w:rPr>
            </w:pPr>
            <w:r>
              <w:rPr>
                <w:rFonts w:eastAsia="MS Mincho" w:cs="Arial"/>
                <w:spacing w:val="-3"/>
                <w:sz w:val="18"/>
                <w:szCs w:val="18"/>
              </w:rPr>
              <w:t>Wine Equalisation Tax Rebate</w:t>
            </w:r>
          </w:p>
        </w:tc>
        <w:tc>
          <w:tcPr>
            <w:tcW w:w="1245" w:type="dxa"/>
            <w:shd w:val="clear" w:color="auto" w:fill="auto"/>
            <w:vAlign w:val="center"/>
          </w:tcPr>
          <w:p w14:paraId="595F00C0" w14:textId="77777777" w:rsidR="003F698B" w:rsidRPr="0084580D" w:rsidRDefault="003F698B" w:rsidP="00937267">
            <w:pPr>
              <w:widowControl w:val="0"/>
              <w:kinsoku w:val="0"/>
              <w:overflowPunct w:val="0"/>
              <w:autoSpaceDE w:val="0"/>
              <w:autoSpaceDN w:val="0"/>
              <w:adjustRightInd w:val="0"/>
              <w:spacing w:after="0"/>
              <w:jc w:val="center"/>
              <w:rPr>
                <w:rFonts w:eastAsia="MS Mincho" w:cs="Arial"/>
                <w:spacing w:val="-2"/>
                <w:w w:val="90"/>
                <w:sz w:val="18"/>
                <w:szCs w:val="18"/>
              </w:rPr>
            </w:pPr>
            <w:r>
              <w:rPr>
                <w:rFonts w:eastAsia="MS Mincho" w:cs="Arial"/>
                <w:spacing w:val="-3"/>
                <w:sz w:val="18"/>
                <w:szCs w:val="18"/>
              </w:rPr>
              <w:t>Compliant</w:t>
            </w:r>
          </w:p>
        </w:tc>
        <w:tc>
          <w:tcPr>
            <w:tcW w:w="1105" w:type="dxa"/>
            <w:shd w:val="clear" w:color="auto" w:fill="auto"/>
            <w:vAlign w:val="center"/>
          </w:tcPr>
          <w:p w14:paraId="2CACADAD" w14:textId="25707CFD" w:rsidR="003F698B" w:rsidRPr="0084580D" w:rsidRDefault="003F698B" w:rsidP="00937267">
            <w:pPr>
              <w:widowControl w:val="0"/>
              <w:kinsoku w:val="0"/>
              <w:overflowPunct w:val="0"/>
              <w:autoSpaceDE w:val="0"/>
              <w:autoSpaceDN w:val="0"/>
              <w:adjustRightInd w:val="0"/>
              <w:spacing w:after="0"/>
              <w:jc w:val="center"/>
              <w:rPr>
                <w:rFonts w:eastAsia="MS Mincho" w:cs="Arial"/>
                <w:w w:val="85"/>
                <w:sz w:val="18"/>
                <w:szCs w:val="18"/>
              </w:rPr>
            </w:pPr>
            <w:r>
              <w:rPr>
                <w:rFonts w:eastAsia="MS Mincho" w:cs="Arial"/>
                <w:spacing w:val="-3"/>
                <w:sz w:val="18"/>
                <w:szCs w:val="18"/>
              </w:rPr>
              <w:t>Yes</w:t>
            </w:r>
          </w:p>
        </w:tc>
        <w:tc>
          <w:tcPr>
            <w:tcW w:w="1104" w:type="dxa"/>
            <w:shd w:val="clear" w:color="auto" w:fill="auto"/>
            <w:vAlign w:val="center"/>
          </w:tcPr>
          <w:p w14:paraId="778F9D36" w14:textId="77777777" w:rsidR="003F698B" w:rsidRPr="0084580D" w:rsidRDefault="003F698B" w:rsidP="00937267">
            <w:pPr>
              <w:widowControl w:val="0"/>
              <w:kinsoku w:val="0"/>
              <w:overflowPunct w:val="0"/>
              <w:autoSpaceDE w:val="0"/>
              <w:autoSpaceDN w:val="0"/>
              <w:adjustRightInd w:val="0"/>
              <w:spacing w:after="0"/>
              <w:jc w:val="center"/>
              <w:rPr>
                <w:rFonts w:eastAsia="MS Mincho" w:cs="Arial"/>
                <w:w w:val="85"/>
                <w:sz w:val="18"/>
                <w:szCs w:val="18"/>
              </w:rPr>
            </w:pPr>
            <w:r>
              <w:rPr>
                <w:rFonts w:eastAsia="MS Mincho" w:cs="Arial"/>
                <w:spacing w:val="-3"/>
                <w:sz w:val="18"/>
                <w:szCs w:val="18"/>
              </w:rPr>
              <w:t>No</w:t>
            </w:r>
          </w:p>
        </w:tc>
        <w:tc>
          <w:tcPr>
            <w:tcW w:w="1191" w:type="dxa"/>
            <w:vAlign w:val="center"/>
          </w:tcPr>
          <w:p w14:paraId="5B8F18E0" w14:textId="746BE48A" w:rsidR="003F698B" w:rsidRPr="0084580D" w:rsidRDefault="003F698B" w:rsidP="00937267">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$0.1</w:t>
            </w:r>
          </w:p>
        </w:tc>
      </w:tr>
    </w:tbl>
    <w:p w14:paraId="79F15B22" w14:textId="269C2764" w:rsidR="003F698B" w:rsidRDefault="00F958BE" w:rsidP="006E5A19">
      <w:pPr>
        <w:spacing w:before="120" w:after="150"/>
        <w:rPr>
          <w:rFonts w:cs="Arial"/>
          <w:sz w:val="18"/>
          <w:szCs w:val="18"/>
        </w:rPr>
      </w:pPr>
      <w:r w:rsidRPr="006C34C6">
        <w:rPr>
          <w:rFonts w:cs="Arial"/>
          <w:sz w:val="18"/>
          <w:szCs w:val="18"/>
        </w:rPr>
        <w:t xml:space="preserve">A reform that tightens the eligibility for a rebate to those producers that own at least 85 per cent of the grapes used to make the wine throughout the winemaking process, package the win in a container not exceeding five </w:t>
      </w:r>
      <w:r w:rsidR="00EA63D2" w:rsidRPr="006C34C6">
        <w:rPr>
          <w:rFonts w:cs="Arial"/>
          <w:sz w:val="18"/>
          <w:szCs w:val="18"/>
        </w:rPr>
        <w:t>litres</w:t>
      </w:r>
      <w:r w:rsidRPr="006C34C6">
        <w:rPr>
          <w:rFonts w:cs="Arial"/>
          <w:sz w:val="18"/>
          <w:szCs w:val="18"/>
        </w:rPr>
        <w:t xml:space="preserve"> and brand their wine with a trademark.</w:t>
      </w:r>
    </w:p>
    <w:p w14:paraId="4F9FFCAC" w14:textId="374648C9" w:rsidR="004A3411" w:rsidRDefault="004A3411" w:rsidP="006E5A19">
      <w:pPr>
        <w:spacing w:before="120" w:after="150"/>
        <w:rPr>
          <w:rFonts w:cs="Arial"/>
          <w:sz w:val="18"/>
          <w:szCs w:val="18"/>
        </w:rPr>
      </w:pPr>
    </w:p>
    <w:p w14:paraId="1E630C55" w14:textId="77777777" w:rsidR="004A3411" w:rsidRPr="006C34C6" w:rsidRDefault="004A3411" w:rsidP="006E5A19">
      <w:pPr>
        <w:spacing w:before="120" w:after="150"/>
        <w:rPr>
          <w:rFonts w:cs="Arial"/>
          <w:sz w:val="18"/>
          <w:szCs w:val="18"/>
        </w:rPr>
      </w:pPr>
    </w:p>
    <w:tbl>
      <w:tblPr>
        <w:tblW w:w="10065" w:type="dxa"/>
        <w:tblInd w:w="-142" w:type="dxa"/>
        <w:tblLayout w:type="fixed"/>
        <w:tblCellMar>
          <w:left w:w="0" w:type="dxa"/>
          <w:right w:w="0" w:type="dxa"/>
        </w:tblCellMar>
        <w:tblLook w:val="0000" w:firstRow="0" w:lastRow="0" w:firstColumn="0" w:lastColumn="0" w:noHBand="0" w:noVBand="0"/>
        <w:tblCaption w:val="Working Holiday Makers"/>
        <w:tblDescription w:val="Working Holiday Makers: Compliant, Not best practice, No PIR required. Regulatory Burden: $3.6m."/>
      </w:tblPr>
      <w:tblGrid>
        <w:gridCol w:w="5420"/>
        <w:gridCol w:w="1245"/>
        <w:gridCol w:w="1105"/>
        <w:gridCol w:w="1104"/>
        <w:gridCol w:w="1191"/>
      </w:tblGrid>
      <w:tr w:rsidR="002773BF" w:rsidRPr="0084580D" w14:paraId="7B6EC386" w14:textId="77777777" w:rsidTr="00173754">
        <w:trPr>
          <w:tblHeader/>
        </w:trPr>
        <w:tc>
          <w:tcPr>
            <w:tcW w:w="5420" w:type="dxa"/>
            <w:shd w:val="clear" w:color="auto" w:fill="F4973F"/>
            <w:vAlign w:val="center"/>
          </w:tcPr>
          <w:p w14:paraId="4AC1DD22" w14:textId="77777777" w:rsidR="002773BF" w:rsidRPr="0084580D" w:rsidRDefault="002773BF" w:rsidP="00862EDF">
            <w:pPr>
              <w:widowControl w:val="0"/>
              <w:kinsoku w:val="0"/>
              <w:overflowPunct w:val="0"/>
              <w:autoSpaceDE w:val="0"/>
              <w:autoSpaceDN w:val="0"/>
              <w:adjustRightInd w:val="0"/>
              <w:spacing w:beforeLines="40" w:before="96" w:after="60"/>
              <w:ind w:left="85"/>
              <w:rPr>
                <w:rFonts w:ascii="Times New Roman" w:eastAsia="MS Mincho" w:hAnsi="Times New Roman"/>
                <w:sz w:val="24"/>
              </w:rPr>
            </w:pPr>
            <w:r w:rsidRPr="0084580D">
              <w:rPr>
                <w:rFonts w:eastAsia="MS Mincho" w:cs="Arial"/>
                <w:color w:val="FFFFFF"/>
                <w:w w:val="105"/>
                <w:sz w:val="18"/>
                <w:szCs w:val="18"/>
              </w:rPr>
              <w:t>Proposal</w:t>
            </w:r>
          </w:p>
        </w:tc>
        <w:tc>
          <w:tcPr>
            <w:tcW w:w="1245" w:type="dxa"/>
            <w:shd w:val="clear" w:color="auto" w:fill="F4973F"/>
            <w:vAlign w:val="center"/>
          </w:tcPr>
          <w:p w14:paraId="0A4D4ED3" w14:textId="77777777" w:rsidR="002773BF" w:rsidRPr="0084580D" w:rsidRDefault="002773BF"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RIS Status</w:t>
            </w:r>
          </w:p>
        </w:tc>
        <w:tc>
          <w:tcPr>
            <w:tcW w:w="1105" w:type="dxa"/>
            <w:shd w:val="clear" w:color="auto" w:fill="F4973F"/>
            <w:vAlign w:val="center"/>
          </w:tcPr>
          <w:p w14:paraId="52D5B697" w14:textId="77777777" w:rsidR="002773BF" w:rsidRPr="0084580D" w:rsidRDefault="002773BF"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sidRPr="0084580D">
              <w:rPr>
                <w:rFonts w:eastAsia="MS Mincho" w:cs="Arial"/>
                <w:color w:val="FFFFFF"/>
                <w:w w:val="105"/>
                <w:sz w:val="18"/>
                <w:szCs w:val="18"/>
              </w:rPr>
              <w:t xml:space="preserve">Best </w:t>
            </w:r>
            <w:r w:rsidRPr="0084580D">
              <w:rPr>
                <w:rFonts w:eastAsia="MS Mincho" w:cs="Arial"/>
                <w:color w:val="FFFFFF"/>
                <w:w w:val="105"/>
                <w:sz w:val="18"/>
                <w:szCs w:val="18"/>
              </w:rPr>
              <w:br/>
              <w:t>practice</w:t>
            </w:r>
          </w:p>
        </w:tc>
        <w:tc>
          <w:tcPr>
            <w:tcW w:w="1104" w:type="dxa"/>
            <w:shd w:val="clear" w:color="auto" w:fill="F4973F"/>
            <w:vAlign w:val="center"/>
          </w:tcPr>
          <w:p w14:paraId="6BCA92B3" w14:textId="77777777" w:rsidR="002773BF" w:rsidRPr="0084580D" w:rsidRDefault="002773BF" w:rsidP="00862EDF">
            <w:pPr>
              <w:widowControl w:val="0"/>
              <w:kinsoku w:val="0"/>
              <w:overflowPunct w:val="0"/>
              <w:autoSpaceDE w:val="0"/>
              <w:autoSpaceDN w:val="0"/>
              <w:adjustRightInd w:val="0"/>
              <w:spacing w:beforeLines="40" w:before="96" w:after="60"/>
              <w:jc w:val="center"/>
              <w:rPr>
                <w:rFonts w:ascii="Times New Roman" w:eastAsia="MS Mincho" w:hAnsi="Times New Roman"/>
                <w:sz w:val="24"/>
              </w:rPr>
            </w:pPr>
            <w:r w:rsidRPr="0084580D">
              <w:rPr>
                <w:rFonts w:eastAsia="MS Mincho" w:cs="Arial"/>
                <w:color w:val="FFFFFF"/>
                <w:w w:val="105"/>
                <w:sz w:val="18"/>
                <w:szCs w:val="18"/>
              </w:rPr>
              <w:t xml:space="preserve">PIR </w:t>
            </w:r>
            <w:r w:rsidRPr="0084580D">
              <w:rPr>
                <w:rFonts w:eastAsia="MS Mincho" w:cs="Arial"/>
                <w:color w:val="FFFFFF"/>
                <w:w w:val="105"/>
                <w:sz w:val="18"/>
                <w:szCs w:val="18"/>
              </w:rPr>
              <w:br/>
              <w:t>required</w:t>
            </w:r>
          </w:p>
        </w:tc>
        <w:tc>
          <w:tcPr>
            <w:tcW w:w="1191" w:type="dxa"/>
            <w:shd w:val="clear" w:color="auto" w:fill="F4973F"/>
            <w:vAlign w:val="center"/>
          </w:tcPr>
          <w:p w14:paraId="556AC0AE" w14:textId="77777777" w:rsidR="002773BF" w:rsidRPr="0084580D" w:rsidRDefault="002773BF" w:rsidP="00862EDF">
            <w:pPr>
              <w:widowControl w:val="0"/>
              <w:kinsoku w:val="0"/>
              <w:overflowPunct w:val="0"/>
              <w:autoSpaceDE w:val="0"/>
              <w:autoSpaceDN w:val="0"/>
              <w:adjustRightInd w:val="0"/>
              <w:spacing w:beforeLines="40" w:before="96" w:after="60"/>
              <w:jc w:val="center"/>
              <w:rPr>
                <w:rFonts w:eastAsia="MS Mincho" w:cs="Arial"/>
                <w:color w:val="FFFFFF"/>
                <w:w w:val="105"/>
                <w:sz w:val="18"/>
                <w:szCs w:val="18"/>
              </w:rPr>
            </w:pPr>
            <w:r>
              <w:rPr>
                <w:rFonts w:eastAsia="MS Mincho" w:cs="Arial"/>
                <w:color w:val="FFFFFF"/>
                <w:w w:val="105"/>
                <w:sz w:val="18"/>
                <w:szCs w:val="18"/>
              </w:rPr>
              <w:t>Regulatory Burden</w:t>
            </w:r>
            <w:r w:rsidRPr="0084580D">
              <w:rPr>
                <w:rFonts w:eastAsia="MS Mincho" w:cs="Arial"/>
                <w:color w:val="FFFFFF"/>
                <w:w w:val="105"/>
                <w:sz w:val="18"/>
                <w:szCs w:val="18"/>
              </w:rPr>
              <w:t xml:space="preserve"> ($m)</w:t>
            </w:r>
          </w:p>
        </w:tc>
      </w:tr>
      <w:tr w:rsidR="002773BF" w:rsidRPr="0084580D" w14:paraId="33905B97" w14:textId="77777777" w:rsidTr="00173754">
        <w:trPr>
          <w:trHeight w:hRule="exact" w:val="525"/>
        </w:trPr>
        <w:tc>
          <w:tcPr>
            <w:tcW w:w="5420" w:type="dxa"/>
            <w:shd w:val="clear" w:color="auto" w:fill="auto"/>
            <w:vAlign w:val="center"/>
          </w:tcPr>
          <w:p w14:paraId="634FF698" w14:textId="7F6884E9" w:rsidR="002773BF" w:rsidRPr="0084580D" w:rsidRDefault="002773BF" w:rsidP="00862EDF">
            <w:pPr>
              <w:widowControl w:val="0"/>
              <w:kinsoku w:val="0"/>
              <w:overflowPunct w:val="0"/>
              <w:autoSpaceDE w:val="0"/>
              <w:autoSpaceDN w:val="0"/>
              <w:adjustRightInd w:val="0"/>
              <w:spacing w:after="0"/>
              <w:ind w:left="135" w:right="102"/>
              <w:rPr>
                <w:rFonts w:eastAsia="MS Mincho" w:cs="Arial"/>
                <w:spacing w:val="-3"/>
                <w:sz w:val="18"/>
                <w:szCs w:val="18"/>
              </w:rPr>
            </w:pPr>
            <w:r>
              <w:rPr>
                <w:rFonts w:eastAsia="MS Mincho" w:cs="Arial"/>
                <w:spacing w:val="-3"/>
                <w:sz w:val="18"/>
                <w:szCs w:val="18"/>
              </w:rPr>
              <w:t>Working Holiday Makers</w:t>
            </w:r>
          </w:p>
        </w:tc>
        <w:tc>
          <w:tcPr>
            <w:tcW w:w="1245" w:type="dxa"/>
            <w:shd w:val="clear" w:color="auto" w:fill="auto"/>
            <w:vAlign w:val="center"/>
          </w:tcPr>
          <w:p w14:paraId="0DB41C6F" w14:textId="77777777" w:rsidR="002773BF" w:rsidRPr="0084580D" w:rsidRDefault="002773BF" w:rsidP="00766472">
            <w:pPr>
              <w:widowControl w:val="0"/>
              <w:kinsoku w:val="0"/>
              <w:overflowPunct w:val="0"/>
              <w:autoSpaceDE w:val="0"/>
              <w:autoSpaceDN w:val="0"/>
              <w:adjustRightInd w:val="0"/>
              <w:spacing w:after="0"/>
              <w:jc w:val="center"/>
              <w:rPr>
                <w:rFonts w:eastAsia="MS Mincho" w:cs="Arial"/>
                <w:spacing w:val="-2"/>
                <w:w w:val="90"/>
                <w:sz w:val="18"/>
                <w:szCs w:val="18"/>
              </w:rPr>
            </w:pPr>
            <w:r>
              <w:rPr>
                <w:rFonts w:eastAsia="MS Mincho" w:cs="Arial"/>
                <w:spacing w:val="-3"/>
                <w:sz w:val="18"/>
                <w:szCs w:val="18"/>
              </w:rPr>
              <w:t>Compliant</w:t>
            </w:r>
          </w:p>
        </w:tc>
        <w:tc>
          <w:tcPr>
            <w:tcW w:w="1105" w:type="dxa"/>
            <w:shd w:val="clear" w:color="auto" w:fill="auto"/>
            <w:vAlign w:val="center"/>
          </w:tcPr>
          <w:p w14:paraId="51B3816D" w14:textId="77777777" w:rsidR="002773BF" w:rsidRPr="0084580D" w:rsidRDefault="002773BF" w:rsidP="00766472">
            <w:pPr>
              <w:widowControl w:val="0"/>
              <w:kinsoku w:val="0"/>
              <w:overflowPunct w:val="0"/>
              <w:autoSpaceDE w:val="0"/>
              <w:autoSpaceDN w:val="0"/>
              <w:adjustRightInd w:val="0"/>
              <w:spacing w:after="0"/>
              <w:jc w:val="center"/>
              <w:rPr>
                <w:rFonts w:eastAsia="MS Mincho" w:cs="Arial"/>
                <w:w w:val="85"/>
                <w:sz w:val="18"/>
                <w:szCs w:val="18"/>
              </w:rPr>
            </w:pPr>
            <w:r w:rsidRPr="00BA7893">
              <w:rPr>
                <w:rFonts w:eastAsia="MS Mincho" w:cs="Arial"/>
                <w:spacing w:val="-3"/>
                <w:sz w:val="18"/>
                <w:szCs w:val="18"/>
              </w:rPr>
              <w:t>No</w:t>
            </w:r>
          </w:p>
        </w:tc>
        <w:tc>
          <w:tcPr>
            <w:tcW w:w="1104" w:type="dxa"/>
            <w:shd w:val="clear" w:color="auto" w:fill="auto"/>
            <w:vAlign w:val="center"/>
          </w:tcPr>
          <w:p w14:paraId="6E7907CA" w14:textId="77777777" w:rsidR="002773BF" w:rsidRPr="0084580D" w:rsidRDefault="002773BF" w:rsidP="00766472">
            <w:pPr>
              <w:widowControl w:val="0"/>
              <w:kinsoku w:val="0"/>
              <w:overflowPunct w:val="0"/>
              <w:autoSpaceDE w:val="0"/>
              <w:autoSpaceDN w:val="0"/>
              <w:adjustRightInd w:val="0"/>
              <w:spacing w:after="0"/>
              <w:jc w:val="center"/>
              <w:rPr>
                <w:rFonts w:eastAsia="MS Mincho" w:cs="Arial"/>
                <w:w w:val="85"/>
                <w:sz w:val="18"/>
                <w:szCs w:val="18"/>
              </w:rPr>
            </w:pPr>
            <w:r>
              <w:rPr>
                <w:rFonts w:eastAsia="MS Mincho" w:cs="Arial"/>
                <w:spacing w:val="-3"/>
                <w:sz w:val="18"/>
                <w:szCs w:val="18"/>
              </w:rPr>
              <w:t>No</w:t>
            </w:r>
          </w:p>
        </w:tc>
        <w:tc>
          <w:tcPr>
            <w:tcW w:w="1191" w:type="dxa"/>
            <w:vAlign w:val="center"/>
          </w:tcPr>
          <w:p w14:paraId="342CBE61" w14:textId="1A9E1394" w:rsidR="002773BF" w:rsidRPr="0084580D" w:rsidRDefault="002773BF" w:rsidP="00766472">
            <w:pPr>
              <w:widowControl w:val="0"/>
              <w:kinsoku w:val="0"/>
              <w:overflowPunct w:val="0"/>
              <w:autoSpaceDE w:val="0"/>
              <w:autoSpaceDN w:val="0"/>
              <w:adjustRightInd w:val="0"/>
              <w:spacing w:after="0"/>
              <w:ind w:right="227"/>
              <w:jc w:val="right"/>
              <w:rPr>
                <w:rFonts w:eastAsia="MS Mincho" w:cs="Arial"/>
                <w:spacing w:val="-3"/>
                <w:sz w:val="18"/>
                <w:szCs w:val="18"/>
              </w:rPr>
            </w:pPr>
            <w:r>
              <w:rPr>
                <w:rFonts w:eastAsia="MS Mincho" w:cs="Arial"/>
                <w:spacing w:val="-3"/>
                <w:sz w:val="18"/>
                <w:szCs w:val="18"/>
              </w:rPr>
              <w:t>$3.6</w:t>
            </w:r>
          </w:p>
        </w:tc>
      </w:tr>
    </w:tbl>
    <w:p w14:paraId="1F9BB343" w14:textId="71150578" w:rsidR="00742040" w:rsidRPr="006C34C6" w:rsidRDefault="002773BF" w:rsidP="006E5A19">
      <w:pPr>
        <w:spacing w:before="120" w:after="150"/>
        <w:rPr>
          <w:rFonts w:cs="Arial"/>
          <w:sz w:val="18"/>
          <w:szCs w:val="18"/>
        </w:rPr>
      </w:pPr>
      <w:r w:rsidRPr="006C34C6">
        <w:rPr>
          <w:rFonts w:cs="Arial"/>
          <w:sz w:val="18"/>
          <w:szCs w:val="18"/>
        </w:rPr>
        <w:t>Reforms to working holiday makers regulations including applying a 19 per cent income tax rate to working holiday maker taxable income on amounts up to $37,000, with ordinary tax rates for taxable income exceeding this amount; and increasing the rate of the departing Australia superannuation payments tax to 95 per cent for working holiday makers, reducing the visa application charge for Subclass 417 (Working Holiday) visas and Subclass 462 (Work and Holiday) visas from $440 to $390, and increasing the passenger movement charge from $55 to $60.</w:t>
      </w:r>
      <w:r w:rsidR="008148E7" w:rsidRPr="006C34C6">
        <w:rPr>
          <w:rFonts w:cs="Arial"/>
          <w:sz w:val="18"/>
          <w:szCs w:val="18"/>
        </w:rPr>
        <w:t xml:space="preserve"> </w:t>
      </w:r>
      <w:r w:rsidR="00403A3B" w:rsidRPr="006C34C6">
        <w:rPr>
          <w:rFonts w:cs="Arial"/>
          <w:sz w:val="18"/>
          <w:szCs w:val="18"/>
        </w:rPr>
        <w:t>The RIS is</w:t>
      </w:r>
      <w:r w:rsidR="008148E7" w:rsidRPr="006C34C6">
        <w:rPr>
          <w:rFonts w:cs="Arial"/>
          <w:sz w:val="18"/>
          <w:szCs w:val="18"/>
        </w:rPr>
        <w:t xml:space="preserve"> not assessed as best practice as a significant and major policy decision on the proposal was announced on 27 September 2016 that was not informed by an updated RIS.</w:t>
      </w:r>
    </w:p>
    <w:p w14:paraId="3A5DAEF8" w14:textId="7DF50144" w:rsidR="006C34C6" w:rsidRDefault="006C34C6">
      <w:pPr>
        <w:spacing w:after="0" w:line="240" w:lineRule="auto"/>
        <w:rPr>
          <w:sz w:val="18"/>
        </w:rPr>
      </w:pPr>
      <w:r>
        <w:rPr>
          <w:sz w:val="18"/>
        </w:rPr>
        <w:br w:type="page"/>
      </w:r>
    </w:p>
    <w:p w14:paraId="6F97813C" w14:textId="3D892557" w:rsidR="005312B4" w:rsidRDefault="005312B4" w:rsidP="005312B4">
      <w:pPr>
        <w:pStyle w:val="Heading2"/>
        <w:ind w:left="0" w:firstLine="0"/>
      </w:pPr>
      <w:bookmarkStart w:id="306" w:name="_Toc428965531"/>
      <w:bookmarkStart w:id="307" w:name="_Toc457809509"/>
      <w:bookmarkStart w:id="308" w:name="_Toc440467315"/>
      <w:bookmarkStart w:id="309" w:name="_Toc5375768"/>
      <w:r>
        <w:t>Appendix A – RISs used for consultation during 201</w:t>
      </w:r>
      <w:bookmarkEnd w:id="306"/>
      <w:r>
        <w:t>6</w:t>
      </w:r>
      <w:r w:rsidR="00BD7EB4">
        <w:t>–</w:t>
      </w:r>
      <w:r>
        <w:t>1</w:t>
      </w:r>
      <w:bookmarkEnd w:id="307"/>
      <w:bookmarkEnd w:id="308"/>
      <w:r>
        <w:t>7</w:t>
      </w:r>
      <w:bookmarkEnd w:id="309"/>
    </w:p>
    <w:p w14:paraId="2245BC35" w14:textId="7969A9D7" w:rsidR="005312B4" w:rsidRDefault="005312B4" w:rsidP="005312B4">
      <w:pPr>
        <w:pStyle w:val="BodyText1"/>
      </w:pPr>
      <w:r>
        <w:t>The RISs listed below have been certified by the authoring agencies, subject to an early assessment by the OBPR and published for consultation during the current financial year.</w:t>
      </w:r>
    </w:p>
    <w:tbl>
      <w:tblPr>
        <w:tblpPr w:leftFromText="180" w:rightFromText="180" w:vertAnchor="text" w:horzAnchor="margin" w:tblpY="333"/>
        <w:tblW w:w="9975" w:type="dxa"/>
        <w:tblLayout w:type="fixed"/>
        <w:tblCellMar>
          <w:left w:w="0" w:type="dxa"/>
          <w:right w:w="0" w:type="dxa"/>
        </w:tblCellMar>
        <w:tblLook w:val="04A0" w:firstRow="1" w:lastRow="0" w:firstColumn="1" w:lastColumn="0" w:noHBand="0" w:noVBand="1"/>
        <w:tblCaption w:val="RISs used for consultation during 2016-17"/>
        <w:tblDescription w:val="RISs that have been certified by the authoring agencies, subjected to an early assessment by the OBPR and published for consultation during the current financial year."/>
      </w:tblPr>
      <w:tblGrid>
        <w:gridCol w:w="4820"/>
        <w:gridCol w:w="2835"/>
        <w:gridCol w:w="2320"/>
      </w:tblGrid>
      <w:tr w:rsidR="0095777C" w14:paraId="526A4121" w14:textId="77777777" w:rsidTr="0099501D">
        <w:trPr>
          <w:tblHeader/>
        </w:trPr>
        <w:tc>
          <w:tcPr>
            <w:tcW w:w="4820" w:type="dxa"/>
            <w:shd w:val="clear" w:color="auto" w:fill="F4973F"/>
            <w:vAlign w:val="center"/>
            <w:hideMark/>
          </w:tcPr>
          <w:p w14:paraId="0D89C6A8" w14:textId="77777777" w:rsidR="0095777C" w:rsidRDefault="0095777C" w:rsidP="0099501D">
            <w:pPr>
              <w:pStyle w:val="TableParagraph"/>
              <w:kinsoku w:val="0"/>
              <w:overflowPunct w:val="0"/>
              <w:spacing w:beforeLines="60" w:before="144" w:after="60"/>
              <w:ind w:left="79"/>
              <w:rPr>
                <w:rFonts w:ascii="Arial" w:hAnsi="Arial" w:cs="Arial"/>
                <w:color w:val="FFFFFF"/>
                <w:w w:val="105"/>
                <w:sz w:val="18"/>
                <w:szCs w:val="18"/>
              </w:rPr>
            </w:pPr>
            <w:r>
              <w:rPr>
                <w:rFonts w:ascii="Arial" w:hAnsi="Arial" w:cs="Arial"/>
                <w:color w:val="FFFFFF"/>
                <w:w w:val="105"/>
                <w:sz w:val="18"/>
                <w:szCs w:val="18"/>
              </w:rPr>
              <w:t>Proposal</w:t>
            </w:r>
          </w:p>
        </w:tc>
        <w:tc>
          <w:tcPr>
            <w:tcW w:w="2835" w:type="dxa"/>
            <w:shd w:val="clear" w:color="auto" w:fill="F4973F"/>
            <w:vAlign w:val="center"/>
            <w:hideMark/>
          </w:tcPr>
          <w:p w14:paraId="7996CE6E" w14:textId="77777777" w:rsidR="0095777C" w:rsidRDefault="0095777C" w:rsidP="00471512">
            <w:pPr>
              <w:pStyle w:val="TableParagraph"/>
              <w:kinsoku w:val="0"/>
              <w:overflowPunct w:val="0"/>
              <w:spacing w:beforeLines="60" w:before="144" w:after="60"/>
            </w:pPr>
            <w:r>
              <w:rPr>
                <w:rFonts w:ascii="Arial" w:hAnsi="Arial" w:cs="Arial"/>
                <w:color w:val="FFFFFF"/>
                <w:w w:val="105"/>
                <w:sz w:val="18"/>
                <w:szCs w:val="18"/>
              </w:rPr>
              <w:t>Agency</w:t>
            </w:r>
          </w:p>
        </w:tc>
        <w:tc>
          <w:tcPr>
            <w:tcW w:w="2320" w:type="dxa"/>
            <w:shd w:val="clear" w:color="auto" w:fill="F4973F"/>
            <w:vAlign w:val="center"/>
            <w:hideMark/>
          </w:tcPr>
          <w:p w14:paraId="297A4308" w14:textId="62FAB469" w:rsidR="0095777C" w:rsidRDefault="0095777C" w:rsidP="00354ADA">
            <w:pPr>
              <w:pStyle w:val="TableParagraph"/>
              <w:kinsoku w:val="0"/>
              <w:overflowPunct w:val="0"/>
              <w:spacing w:beforeLines="60" w:before="144" w:after="60"/>
              <w:ind w:right="190"/>
              <w:jc w:val="right"/>
              <w:rPr>
                <w:rFonts w:ascii="Arial" w:hAnsi="Arial" w:cs="Arial"/>
                <w:color w:val="FFFFFF"/>
                <w:w w:val="105"/>
                <w:sz w:val="18"/>
                <w:szCs w:val="18"/>
              </w:rPr>
            </w:pPr>
            <w:r>
              <w:rPr>
                <w:rFonts w:ascii="Arial" w:hAnsi="Arial" w:cs="Arial"/>
                <w:color w:val="FFFFFF"/>
                <w:w w:val="105"/>
                <w:sz w:val="18"/>
                <w:szCs w:val="18"/>
              </w:rPr>
              <w:t>Closing date</w:t>
            </w:r>
          </w:p>
        </w:tc>
      </w:tr>
      <w:tr w:rsidR="0095777C" w14:paraId="006CEA29" w14:textId="77777777" w:rsidTr="0099501D">
        <w:trPr>
          <w:trHeight w:hRule="exact" w:val="792"/>
        </w:trPr>
        <w:tc>
          <w:tcPr>
            <w:tcW w:w="4820" w:type="dxa"/>
            <w:vAlign w:val="center"/>
          </w:tcPr>
          <w:p w14:paraId="515163CE" w14:textId="77777777" w:rsidR="0095777C" w:rsidRPr="00F36218" w:rsidRDefault="0095777C" w:rsidP="00471512">
            <w:pPr>
              <w:pStyle w:val="TableParagraph"/>
              <w:kinsoku w:val="0"/>
              <w:overflowPunct w:val="0"/>
              <w:spacing w:before="54"/>
              <w:ind w:left="142"/>
              <w:rPr>
                <w:rFonts w:ascii="Arial" w:hAnsi="Arial" w:cs="Arial"/>
                <w:spacing w:val="-3"/>
                <w:sz w:val="18"/>
                <w:szCs w:val="18"/>
              </w:rPr>
            </w:pPr>
            <w:r>
              <w:rPr>
                <w:rFonts w:ascii="Arial" w:hAnsi="Arial" w:cs="Arial"/>
                <w:spacing w:val="-3"/>
                <w:sz w:val="18"/>
                <w:szCs w:val="18"/>
              </w:rPr>
              <w:t>Export Tariff Rate Quota Regulatory Streamlining</w:t>
            </w:r>
          </w:p>
        </w:tc>
        <w:tc>
          <w:tcPr>
            <w:tcW w:w="2835" w:type="dxa"/>
            <w:vAlign w:val="center"/>
          </w:tcPr>
          <w:p w14:paraId="3A6EC75A" w14:textId="77777777" w:rsidR="0095777C" w:rsidRDefault="0095777C" w:rsidP="00471512">
            <w:pPr>
              <w:pStyle w:val="TableParagraph"/>
              <w:kinsoku w:val="0"/>
              <w:overflowPunct w:val="0"/>
              <w:spacing w:before="54"/>
              <w:rPr>
                <w:rFonts w:ascii="Arial" w:hAnsi="Arial" w:cs="Arial"/>
                <w:spacing w:val="-3"/>
                <w:sz w:val="18"/>
                <w:szCs w:val="18"/>
              </w:rPr>
            </w:pPr>
            <w:r>
              <w:rPr>
                <w:rFonts w:ascii="Arial" w:hAnsi="Arial" w:cs="Arial"/>
                <w:spacing w:val="-3"/>
                <w:sz w:val="18"/>
                <w:szCs w:val="18"/>
              </w:rPr>
              <w:t>Department of Agriculture and Water Resources</w:t>
            </w:r>
          </w:p>
        </w:tc>
        <w:tc>
          <w:tcPr>
            <w:tcW w:w="2320" w:type="dxa"/>
            <w:vAlign w:val="center"/>
          </w:tcPr>
          <w:p w14:paraId="46E2A8A7"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31 May 2017</w:t>
            </w:r>
          </w:p>
        </w:tc>
      </w:tr>
      <w:tr w:rsidR="0095777C" w14:paraId="5F9A7CE7" w14:textId="77777777" w:rsidTr="0099501D">
        <w:trPr>
          <w:trHeight w:hRule="exact" w:val="1020"/>
        </w:trPr>
        <w:tc>
          <w:tcPr>
            <w:tcW w:w="9975" w:type="dxa"/>
            <w:gridSpan w:val="3"/>
            <w:vAlign w:val="center"/>
          </w:tcPr>
          <w:p w14:paraId="75D36B1A" w14:textId="77777777" w:rsidR="00471512"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 xml:space="preserve">The Regulation Impact Statement for Consultation examines the effectiveness and efficiency of the existing Tariff Rate Quota (TRQ) administration. It furthermore identifies areas where </w:t>
            </w:r>
            <w:r>
              <w:rPr>
                <w:rFonts w:ascii="Arial" w:hAnsi="Arial" w:cs="Arial"/>
                <w:spacing w:val="-3"/>
                <w:sz w:val="18"/>
                <w:szCs w:val="18"/>
              </w:rPr>
              <w:t>TRQ management can be improved.</w:t>
            </w:r>
          </w:p>
          <w:p w14:paraId="100A2E8B" w14:textId="74A84106" w:rsidR="0095777C"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Published: 29 May 2017 (Published by the Department of Agriculture and Water Resource on 30 March 2017)</w:t>
            </w:r>
          </w:p>
          <w:p w14:paraId="71A84636" w14:textId="77777777" w:rsidR="0095777C" w:rsidRDefault="0095777C" w:rsidP="0099501D">
            <w:pPr>
              <w:pStyle w:val="TableParagraph"/>
              <w:kinsoku w:val="0"/>
              <w:overflowPunct w:val="0"/>
              <w:spacing w:before="54"/>
              <w:ind w:left="420" w:right="227"/>
              <w:jc w:val="right"/>
              <w:rPr>
                <w:rFonts w:ascii="Arial" w:hAnsi="Arial" w:cs="Arial"/>
                <w:spacing w:val="-3"/>
                <w:sz w:val="18"/>
                <w:szCs w:val="18"/>
              </w:rPr>
            </w:pPr>
          </w:p>
        </w:tc>
      </w:tr>
      <w:tr w:rsidR="0095777C" w14:paraId="17CEF03C" w14:textId="77777777" w:rsidTr="0099501D">
        <w:trPr>
          <w:trHeight w:hRule="exact" w:val="792"/>
        </w:trPr>
        <w:tc>
          <w:tcPr>
            <w:tcW w:w="4820" w:type="dxa"/>
            <w:vAlign w:val="center"/>
          </w:tcPr>
          <w:p w14:paraId="44B68A5A" w14:textId="77777777" w:rsidR="0095777C" w:rsidRPr="00F36218" w:rsidRDefault="0095777C" w:rsidP="00471512">
            <w:pPr>
              <w:pStyle w:val="TableParagraph"/>
              <w:kinsoku w:val="0"/>
              <w:overflowPunct w:val="0"/>
              <w:spacing w:before="54"/>
              <w:ind w:left="142"/>
              <w:rPr>
                <w:rFonts w:ascii="Arial" w:hAnsi="Arial" w:cs="Arial"/>
                <w:spacing w:val="-3"/>
                <w:sz w:val="18"/>
                <w:szCs w:val="18"/>
              </w:rPr>
            </w:pPr>
            <w:r w:rsidRPr="00F36218">
              <w:rPr>
                <w:rFonts w:ascii="Arial" w:hAnsi="Arial" w:cs="Arial"/>
                <w:spacing w:val="-3"/>
                <w:sz w:val="18"/>
                <w:szCs w:val="18"/>
              </w:rPr>
              <w:t>Proposed vehicle emissions and fuel quality measures</w:t>
            </w:r>
          </w:p>
        </w:tc>
        <w:tc>
          <w:tcPr>
            <w:tcW w:w="2835" w:type="dxa"/>
            <w:vAlign w:val="center"/>
          </w:tcPr>
          <w:p w14:paraId="29E66FC5" w14:textId="77777777" w:rsidR="0095777C" w:rsidRDefault="0095777C" w:rsidP="00471512">
            <w:pPr>
              <w:pStyle w:val="TableParagraph"/>
              <w:kinsoku w:val="0"/>
              <w:overflowPunct w:val="0"/>
              <w:spacing w:before="54"/>
              <w:rPr>
                <w:rFonts w:ascii="Arial" w:hAnsi="Arial" w:cs="Arial"/>
                <w:spacing w:val="-3"/>
                <w:sz w:val="18"/>
                <w:szCs w:val="18"/>
              </w:rPr>
            </w:pPr>
            <w:r>
              <w:rPr>
                <w:rFonts w:ascii="Arial" w:hAnsi="Arial" w:cs="Arial"/>
                <w:spacing w:val="-3"/>
                <w:sz w:val="18"/>
                <w:szCs w:val="18"/>
              </w:rPr>
              <w:t>Department of Infrastructure and Regional Development</w:t>
            </w:r>
          </w:p>
        </w:tc>
        <w:tc>
          <w:tcPr>
            <w:tcW w:w="2320" w:type="dxa"/>
            <w:vAlign w:val="center"/>
          </w:tcPr>
          <w:p w14:paraId="085AA094"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10 March 2017</w:t>
            </w:r>
          </w:p>
        </w:tc>
      </w:tr>
      <w:tr w:rsidR="0095777C" w14:paraId="0FFB0B4C" w14:textId="77777777" w:rsidTr="0099501D">
        <w:trPr>
          <w:trHeight w:hRule="exact" w:val="1247"/>
        </w:trPr>
        <w:tc>
          <w:tcPr>
            <w:tcW w:w="9975" w:type="dxa"/>
            <w:gridSpan w:val="3"/>
            <w:vAlign w:val="center"/>
          </w:tcPr>
          <w:p w14:paraId="78E2F68D" w14:textId="77777777" w:rsidR="0095777C" w:rsidRPr="00DD265F"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Proposals to implement new vehicle fuel efficiency standards for light vehicles and higher air pollution standards for cars, trucks and buses</w:t>
            </w:r>
          </w:p>
          <w:p w14:paraId="36196760" w14:textId="77777777" w:rsidR="0095777C" w:rsidRPr="00F36218"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Published: 9 February 2017 (Published by the Department of Infrastructure and Regional Development on 13 January 2017)</w:t>
            </w:r>
          </w:p>
          <w:p w14:paraId="079F93F0"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p>
        </w:tc>
      </w:tr>
      <w:tr w:rsidR="0095777C" w14:paraId="77419E1F" w14:textId="77777777" w:rsidTr="0099501D">
        <w:trPr>
          <w:trHeight w:hRule="exact" w:val="792"/>
        </w:trPr>
        <w:tc>
          <w:tcPr>
            <w:tcW w:w="4820" w:type="dxa"/>
            <w:vAlign w:val="center"/>
          </w:tcPr>
          <w:p w14:paraId="2CED236D" w14:textId="77777777" w:rsidR="0095777C" w:rsidRPr="00F36218" w:rsidRDefault="0095777C" w:rsidP="00471512">
            <w:pPr>
              <w:pStyle w:val="TableParagraph"/>
              <w:kinsoku w:val="0"/>
              <w:overflowPunct w:val="0"/>
              <w:spacing w:before="54"/>
              <w:ind w:left="142"/>
              <w:rPr>
                <w:rFonts w:ascii="Arial" w:hAnsi="Arial" w:cs="Arial"/>
                <w:spacing w:val="-3"/>
                <w:sz w:val="18"/>
                <w:szCs w:val="18"/>
              </w:rPr>
            </w:pPr>
            <w:r w:rsidRPr="00F36218">
              <w:rPr>
                <w:rFonts w:ascii="Arial" w:hAnsi="Arial" w:cs="Arial"/>
                <w:spacing w:val="-3"/>
                <w:sz w:val="18"/>
                <w:szCs w:val="18"/>
              </w:rPr>
              <w:t>Regional Broadband Scheme</w:t>
            </w:r>
          </w:p>
        </w:tc>
        <w:tc>
          <w:tcPr>
            <w:tcW w:w="2835" w:type="dxa"/>
            <w:vAlign w:val="center"/>
          </w:tcPr>
          <w:p w14:paraId="2074C4A5" w14:textId="77777777" w:rsidR="0095777C" w:rsidRDefault="0095777C" w:rsidP="00471512">
            <w:pPr>
              <w:pStyle w:val="TableParagraph"/>
              <w:kinsoku w:val="0"/>
              <w:overflowPunct w:val="0"/>
              <w:spacing w:before="54"/>
              <w:rPr>
                <w:rFonts w:ascii="Arial" w:hAnsi="Arial" w:cs="Arial"/>
                <w:spacing w:val="-3"/>
                <w:sz w:val="18"/>
                <w:szCs w:val="18"/>
              </w:rPr>
            </w:pPr>
            <w:r>
              <w:rPr>
                <w:rFonts w:ascii="Arial" w:hAnsi="Arial" w:cs="Arial"/>
                <w:spacing w:val="-3"/>
                <w:sz w:val="18"/>
                <w:szCs w:val="18"/>
              </w:rPr>
              <w:t>Department of the Communications and the Arts</w:t>
            </w:r>
          </w:p>
        </w:tc>
        <w:tc>
          <w:tcPr>
            <w:tcW w:w="2320" w:type="dxa"/>
            <w:vAlign w:val="center"/>
          </w:tcPr>
          <w:p w14:paraId="3AA8C2B0"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3 February 2017</w:t>
            </w:r>
          </w:p>
        </w:tc>
      </w:tr>
      <w:tr w:rsidR="0095777C" w14:paraId="46CA8BC2" w14:textId="77777777" w:rsidTr="0099501D">
        <w:trPr>
          <w:trHeight w:hRule="exact" w:val="1247"/>
        </w:trPr>
        <w:tc>
          <w:tcPr>
            <w:tcW w:w="9975" w:type="dxa"/>
            <w:gridSpan w:val="3"/>
            <w:vAlign w:val="center"/>
          </w:tcPr>
          <w:p w14:paraId="2B5BF057" w14:textId="77777777" w:rsidR="0095777C" w:rsidRDefault="0095777C" w:rsidP="00471512">
            <w:pPr>
              <w:spacing w:before="54" w:after="120"/>
              <w:ind w:left="426" w:right="335"/>
              <w:rPr>
                <w:rFonts w:eastAsia="MS Mincho" w:cs="Arial"/>
                <w:spacing w:val="-3"/>
                <w:sz w:val="18"/>
                <w:szCs w:val="18"/>
                <w:lang w:eastAsia="en-AU"/>
              </w:rPr>
            </w:pPr>
            <w:r w:rsidRPr="00DD265F">
              <w:rPr>
                <w:rFonts w:eastAsia="MS Mincho" w:cs="Arial"/>
                <w:spacing w:val="-3"/>
                <w:sz w:val="18"/>
                <w:szCs w:val="18"/>
                <w:lang w:eastAsia="en-AU"/>
              </w:rPr>
              <w:t>Draft legislation for a package of reforms for the telecommunications industry. One part of the package proposes to implement a funding arrangement, the Regional Broadband Scheme (the Scheme), to provide ongoing funding for NBN Co Ltd’s (NBN’s) fixed wireless and satellite services (the non-commerci</w:t>
            </w:r>
            <w:r>
              <w:rPr>
                <w:rFonts w:eastAsia="MS Mincho" w:cs="Arial"/>
                <w:spacing w:val="-3"/>
                <w:sz w:val="18"/>
                <w:szCs w:val="18"/>
                <w:lang w:eastAsia="en-AU"/>
              </w:rPr>
              <w:t>al services) in regional areas.</w:t>
            </w:r>
          </w:p>
          <w:p w14:paraId="012014CC" w14:textId="77777777" w:rsidR="0095777C" w:rsidRPr="00DD265F" w:rsidRDefault="0095777C" w:rsidP="00471512">
            <w:pPr>
              <w:spacing w:before="54" w:after="120"/>
              <w:ind w:left="426" w:right="335"/>
              <w:rPr>
                <w:rFonts w:eastAsia="MS Mincho" w:cs="Arial"/>
                <w:spacing w:val="-3"/>
                <w:sz w:val="18"/>
                <w:szCs w:val="18"/>
                <w:lang w:eastAsia="en-AU"/>
              </w:rPr>
            </w:pPr>
            <w:r w:rsidRPr="00DD265F">
              <w:rPr>
                <w:rFonts w:eastAsia="MS Mincho" w:cs="Arial"/>
                <w:spacing w:val="-3"/>
                <w:sz w:val="18"/>
                <w:szCs w:val="18"/>
                <w:lang w:eastAsia="en-AU"/>
              </w:rPr>
              <w:t>Published: 7 February 2017</w:t>
            </w:r>
          </w:p>
        </w:tc>
      </w:tr>
      <w:tr w:rsidR="0095777C" w14:paraId="1F17AB22" w14:textId="77777777" w:rsidTr="0099501D">
        <w:trPr>
          <w:trHeight w:hRule="exact" w:val="792"/>
        </w:trPr>
        <w:tc>
          <w:tcPr>
            <w:tcW w:w="4820" w:type="dxa"/>
            <w:vAlign w:val="center"/>
          </w:tcPr>
          <w:p w14:paraId="63606D6A" w14:textId="27F79DC7" w:rsidR="0095777C" w:rsidRDefault="0095777C" w:rsidP="00471512">
            <w:pPr>
              <w:pStyle w:val="TableParagraph"/>
              <w:kinsoku w:val="0"/>
              <w:overflowPunct w:val="0"/>
              <w:spacing w:before="54"/>
              <w:ind w:left="142"/>
              <w:rPr>
                <w:rFonts w:ascii="Arial" w:hAnsi="Arial" w:cs="Arial"/>
                <w:spacing w:val="-3"/>
                <w:sz w:val="18"/>
                <w:szCs w:val="18"/>
              </w:rPr>
            </w:pPr>
            <w:r>
              <w:rPr>
                <w:rFonts w:ascii="Arial" w:hAnsi="Arial" w:cs="Arial"/>
                <w:spacing w:val="-3"/>
                <w:sz w:val="18"/>
                <w:szCs w:val="18"/>
              </w:rPr>
              <w:t>Draft Decision ADSL Inquiry</w:t>
            </w:r>
          </w:p>
        </w:tc>
        <w:tc>
          <w:tcPr>
            <w:tcW w:w="2835" w:type="dxa"/>
            <w:vAlign w:val="center"/>
          </w:tcPr>
          <w:p w14:paraId="05525BF2" w14:textId="0322E614" w:rsidR="0095777C" w:rsidRDefault="00471512" w:rsidP="00471512">
            <w:pPr>
              <w:pStyle w:val="TableParagraph"/>
              <w:kinsoku w:val="0"/>
              <w:overflowPunct w:val="0"/>
              <w:spacing w:before="54"/>
              <w:rPr>
                <w:rFonts w:ascii="Arial" w:hAnsi="Arial" w:cs="Arial"/>
                <w:spacing w:val="-3"/>
                <w:sz w:val="18"/>
                <w:szCs w:val="18"/>
              </w:rPr>
            </w:pPr>
            <w:r>
              <w:rPr>
                <w:rFonts w:ascii="Arial" w:hAnsi="Arial" w:cs="Arial"/>
                <w:spacing w:val="-3"/>
                <w:sz w:val="18"/>
                <w:szCs w:val="18"/>
              </w:rPr>
              <w:t xml:space="preserve">Australian Competition and </w:t>
            </w:r>
            <w:r w:rsidR="0095777C">
              <w:rPr>
                <w:rFonts w:ascii="Arial" w:hAnsi="Arial" w:cs="Arial"/>
                <w:spacing w:val="-3"/>
                <w:sz w:val="18"/>
                <w:szCs w:val="18"/>
              </w:rPr>
              <w:t>Consumer Commission</w:t>
            </w:r>
          </w:p>
        </w:tc>
        <w:tc>
          <w:tcPr>
            <w:tcW w:w="2320" w:type="dxa"/>
            <w:vAlign w:val="center"/>
          </w:tcPr>
          <w:p w14:paraId="439DFDA0"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14 November 2016</w:t>
            </w:r>
          </w:p>
        </w:tc>
      </w:tr>
      <w:tr w:rsidR="0095777C" w14:paraId="2894BB88" w14:textId="77777777" w:rsidTr="0099501D">
        <w:trPr>
          <w:trHeight w:hRule="exact" w:val="1247"/>
        </w:trPr>
        <w:tc>
          <w:tcPr>
            <w:tcW w:w="9975" w:type="dxa"/>
            <w:gridSpan w:val="3"/>
            <w:vAlign w:val="center"/>
          </w:tcPr>
          <w:p w14:paraId="6A0D002E" w14:textId="77777777" w:rsidR="0095777C" w:rsidRPr="00DD265F"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 xml:space="preserve">Extend declaration of the wholesale ADSL service for five years. The declaration means the ACCC can set the price and other conditions that apply to Telstra in the supply of the wholesale ADSL service to other retail internet providers. </w:t>
            </w:r>
          </w:p>
          <w:p w14:paraId="3FE7542B" w14:textId="6A1CE190" w:rsidR="0095777C"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Published: 21 November 2016 (Published by the ACCC on 14 October 2016)</w:t>
            </w:r>
          </w:p>
        </w:tc>
      </w:tr>
      <w:tr w:rsidR="0095777C" w14:paraId="77ED3FC0" w14:textId="77777777" w:rsidTr="0099501D">
        <w:trPr>
          <w:trHeight w:hRule="exact" w:val="792"/>
        </w:trPr>
        <w:tc>
          <w:tcPr>
            <w:tcW w:w="4820" w:type="dxa"/>
            <w:vAlign w:val="center"/>
            <w:hideMark/>
          </w:tcPr>
          <w:p w14:paraId="6CEB15F0" w14:textId="77777777" w:rsidR="0095777C" w:rsidRDefault="0095777C" w:rsidP="00471512">
            <w:pPr>
              <w:pStyle w:val="TableParagraph"/>
              <w:kinsoku w:val="0"/>
              <w:overflowPunct w:val="0"/>
              <w:spacing w:before="54"/>
              <w:ind w:left="142"/>
              <w:rPr>
                <w:rFonts w:ascii="Arial" w:hAnsi="Arial" w:cs="Arial"/>
                <w:spacing w:val="-3"/>
                <w:sz w:val="18"/>
                <w:szCs w:val="18"/>
              </w:rPr>
            </w:pPr>
            <w:r>
              <w:rPr>
                <w:rFonts w:ascii="Arial" w:hAnsi="Arial" w:cs="Arial"/>
                <w:spacing w:val="-3"/>
                <w:sz w:val="18"/>
                <w:szCs w:val="18"/>
              </w:rPr>
              <w:t>Proposed Imported Food Reforms</w:t>
            </w:r>
          </w:p>
        </w:tc>
        <w:tc>
          <w:tcPr>
            <w:tcW w:w="2835" w:type="dxa"/>
            <w:vAlign w:val="center"/>
            <w:hideMark/>
          </w:tcPr>
          <w:p w14:paraId="11B5879C" w14:textId="2C041298" w:rsidR="0095777C" w:rsidRDefault="0095777C" w:rsidP="00471512">
            <w:pPr>
              <w:pStyle w:val="TableParagraph"/>
              <w:kinsoku w:val="0"/>
              <w:overflowPunct w:val="0"/>
              <w:spacing w:before="54"/>
              <w:rPr>
                <w:rFonts w:ascii="Arial" w:hAnsi="Arial" w:cs="Arial"/>
                <w:spacing w:val="-3"/>
                <w:sz w:val="18"/>
                <w:szCs w:val="18"/>
              </w:rPr>
            </w:pPr>
            <w:r>
              <w:rPr>
                <w:rFonts w:ascii="Arial" w:hAnsi="Arial" w:cs="Arial"/>
                <w:spacing w:val="-3"/>
                <w:sz w:val="18"/>
                <w:szCs w:val="18"/>
              </w:rPr>
              <w:t>Department of Agriculture and Water Resources</w:t>
            </w:r>
          </w:p>
        </w:tc>
        <w:tc>
          <w:tcPr>
            <w:tcW w:w="2320" w:type="dxa"/>
            <w:vAlign w:val="center"/>
            <w:hideMark/>
          </w:tcPr>
          <w:p w14:paraId="7C20230A"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r>
              <w:rPr>
                <w:rFonts w:ascii="Arial" w:hAnsi="Arial" w:cs="Arial"/>
                <w:spacing w:val="-3"/>
                <w:sz w:val="18"/>
                <w:szCs w:val="18"/>
              </w:rPr>
              <w:t>30 September 2016</w:t>
            </w:r>
          </w:p>
        </w:tc>
      </w:tr>
      <w:tr w:rsidR="0095777C" w14:paraId="597154C4" w14:textId="77777777" w:rsidTr="0099501D">
        <w:trPr>
          <w:trHeight w:hRule="exact" w:val="964"/>
        </w:trPr>
        <w:tc>
          <w:tcPr>
            <w:tcW w:w="9975" w:type="dxa"/>
            <w:gridSpan w:val="3"/>
            <w:vAlign w:val="center"/>
          </w:tcPr>
          <w:p w14:paraId="63B3922C" w14:textId="77777777" w:rsidR="0095777C" w:rsidRPr="00DD265F"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 xml:space="preserve">Proposals to reform the imported food regulatory system. </w:t>
            </w:r>
          </w:p>
          <w:p w14:paraId="7AFB91B3" w14:textId="77777777" w:rsidR="0095777C" w:rsidRDefault="0095777C" w:rsidP="00471512">
            <w:pPr>
              <w:pStyle w:val="TableParagraph"/>
              <w:kinsoku w:val="0"/>
              <w:overflowPunct w:val="0"/>
              <w:spacing w:before="54" w:after="120" w:line="260" w:lineRule="exact"/>
              <w:ind w:left="426" w:right="335"/>
              <w:rPr>
                <w:rFonts w:ascii="Arial" w:hAnsi="Arial" w:cs="Arial"/>
                <w:spacing w:val="-3"/>
                <w:sz w:val="18"/>
                <w:szCs w:val="18"/>
              </w:rPr>
            </w:pPr>
            <w:r w:rsidRPr="00DD265F">
              <w:rPr>
                <w:rFonts w:ascii="Arial" w:hAnsi="Arial" w:cs="Arial"/>
                <w:spacing w:val="-3"/>
                <w:sz w:val="18"/>
                <w:szCs w:val="18"/>
              </w:rPr>
              <w:t>Published: 11 October 2016 (Published by the Department of Agriculture and Water Resources on 22 August 2016)</w:t>
            </w:r>
          </w:p>
          <w:p w14:paraId="20117990" w14:textId="77777777" w:rsidR="0095777C" w:rsidRDefault="0095777C" w:rsidP="0099501D">
            <w:pPr>
              <w:pStyle w:val="TableParagraph"/>
              <w:kinsoku w:val="0"/>
              <w:overflowPunct w:val="0"/>
              <w:spacing w:before="54"/>
              <w:ind w:right="227"/>
              <w:jc w:val="right"/>
              <w:rPr>
                <w:rFonts w:ascii="Arial" w:hAnsi="Arial" w:cs="Arial"/>
                <w:spacing w:val="-3"/>
                <w:sz w:val="18"/>
                <w:szCs w:val="18"/>
              </w:rPr>
            </w:pPr>
          </w:p>
        </w:tc>
      </w:tr>
    </w:tbl>
    <w:p w14:paraId="65A5931E" w14:textId="0A012D4D" w:rsidR="0095777C" w:rsidRDefault="0095777C" w:rsidP="005312B4">
      <w:pPr>
        <w:pStyle w:val="BodyText1"/>
      </w:pPr>
    </w:p>
    <w:sectPr w:rsidR="0095777C" w:rsidSect="006E5A19">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899" w:right="703" w:bottom="1361" w:left="1418" w:header="510"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F5BF4" w14:textId="77777777" w:rsidR="00C81435" w:rsidRDefault="00C81435" w:rsidP="003B52FC">
      <w:r>
        <w:separator/>
      </w:r>
    </w:p>
  </w:endnote>
  <w:endnote w:type="continuationSeparator" w:id="0">
    <w:p w14:paraId="528FF307" w14:textId="77777777" w:rsidR="00C81435" w:rsidRDefault="00C81435" w:rsidP="003B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Rounded Book">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heSansSemiBold-Plain">
    <w:altName w:val="Arial"/>
    <w:panose1 w:val="00000000000000000000"/>
    <w:charset w:val="00"/>
    <w:family w:val="swiss"/>
    <w:notTrueType/>
    <w:pitch w:val="variable"/>
    <w:sig w:usb0="00000001" w:usb1="00000000" w:usb2="00000000" w:usb3="00000000" w:csb0="00000009" w:csb1="00000000"/>
  </w:font>
  <w:font w:name="Interstate-Light">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E1422" w14:textId="77777777" w:rsidR="00B40E23" w:rsidRDefault="00B40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C649" w14:textId="3DDF3D4F" w:rsidR="008D6419" w:rsidRDefault="008D6419" w:rsidP="00C86A41">
    <w:pPr>
      <w:pStyle w:val="BodyText1"/>
      <w:jc w:val="right"/>
    </w:pPr>
    <w:r>
      <w:rPr>
        <w:rFonts w:cs="Arial"/>
        <w:color w:val="808080"/>
        <w:sz w:val="16"/>
        <w:szCs w:val="16"/>
      </w:rPr>
      <w:tab/>
    </w:r>
    <w:r w:rsidRPr="00C86A41">
      <w:rPr>
        <w:rFonts w:cs="Arial"/>
        <w:color w:val="808080"/>
        <w:sz w:val="16"/>
        <w:szCs w:val="16"/>
      </w:rPr>
      <w:t xml:space="preserve">Page </w:t>
    </w:r>
    <w:r w:rsidRPr="00C86A41">
      <w:rPr>
        <w:rFonts w:cs="Arial"/>
        <w:color w:val="808080"/>
        <w:sz w:val="16"/>
        <w:szCs w:val="16"/>
      </w:rPr>
      <w:fldChar w:fldCharType="begin"/>
    </w:r>
    <w:r w:rsidRPr="00C86A41">
      <w:rPr>
        <w:rFonts w:cs="Arial"/>
        <w:color w:val="808080"/>
        <w:sz w:val="16"/>
        <w:szCs w:val="16"/>
      </w:rPr>
      <w:instrText xml:space="preserve"> PAGE </w:instrText>
    </w:r>
    <w:r w:rsidRPr="00C86A41">
      <w:rPr>
        <w:rFonts w:cs="Arial"/>
        <w:color w:val="808080"/>
        <w:sz w:val="16"/>
        <w:szCs w:val="16"/>
      </w:rPr>
      <w:fldChar w:fldCharType="separate"/>
    </w:r>
    <w:r w:rsidR="00C44718">
      <w:rPr>
        <w:rFonts w:cs="Arial"/>
        <w:noProof/>
        <w:color w:val="808080"/>
        <w:sz w:val="16"/>
        <w:szCs w:val="16"/>
      </w:rPr>
      <w:t>16</w:t>
    </w:r>
    <w:r w:rsidRPr="00C86A41">
      <w:rPr>
        <w:rFonts w:cs="Arial"/>
        <w:color w:val="808080"/>
        <w:sz w:val="16"/>
        <w:szCs w:val="16"/>
      </w:rPr>
      <w:fldChar w:fldCharType="end"/>
    </w:r>
    <w:r w:rsidRPr="00C86A41">
      <w:rPr>
        <w:rFonts w:cs="Arial"/>
        <w:color w:val="808080"/>
        <w:sz w:val="16"/>
        <w:szCs w:val="16"/>
      </w:rPr>
      <w:t xml:space="preserve"> of </w:t>
    </w:r>
    <w:r w:rsidRPr="00C86A41">
      <w:rPr>
        <w:rFonts w:cs="Arial"/>
        <w:color w:val="808080"/>
        <w:sz w:val="16"/>
        <w:szCs w:val="16"/>
      </w:rPr>
      <w:fldChar w:fldCharType="begin"/>
    </w:r>
    <w:r w:rsidRPr="00C86A41">
      <w:rPr>
        <w:rFonts w:cs="Arial"/>
        <w:color w:val="808080"/>
        <w:sz w:val="16"/>
        <w:szCs w:val="16"/>
      </w:rPr>
      <w:instrText xml:space="preserve"> NUMPAGES  </w:instrText>
    </w:r>
    <w:r w:rsidRPr="00C86A41">
      <w:rPr>
        <w:rFonts w:cs="Arial"/>
        <w:color w:val="808080"/>
        <w:sz w:val="16"/>
        <w:szCs w:val="16"/>
      </w:rPr>
      <w:fldChar w:fldCharType="separate"/>
    </w:r>
    <w:r w:rsidR="00C44718">
      <w:rPr>
        <w:rFonts w:cs="Arial"/>
        <w:noProof/>
        <w:color w:val="808080"/>
        <w:sz w:val="16"/>
        <w:szCs w:val="16"/>
      </w:rPr>
      <w:t>16</w:t>
    </w:r>
    <w:r w:rsidRPr="00C86A41">
      <w:rPr>
        <w:rFonts w:cs="Arial"/>
        <w:color w:val="808080"/>
        <w:sz w:val="16"/>
        <w:szCs w:val="16"/>
      </w:rPr>
      <w:fldChar w:fldCharType="end"/>
    </w:r>
  </w:p>
  <w:p w14:paraId="0014C64A" w14:textId="77777777" w:rsidR="008D6419" w:rsidRDefault="008D6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C64C" w14:textId="65A024D7" w:rsidR="008D6419" w:rsidRDefault="008D6419" w:rsidP="00A373F3">
    <w:pPr>
      <w:pStyle w:val="BodyText1"/>
      <w:jc w:val="right"/>
    </w:pPr>
    <w:r>
      <w:rPr>
        <w:rFonts w:cs="Arial"/>
        <w:color w:val="808080"/>
        <w:sz w:val="16"/>
        <w:szCs w:val="16"/>
      </w:rPr>
      <w:tab/>
    </w:r>
    <w:r w:rsidRPr="00C86A41">
      <w:rPr>
        <w:rFonts w:cs="Arial"/>
        <w:color w:val="808080"/>
        <w:sz w:val="16"/>
        <w:szCs w:val="16"/>
      </w:rPr>
      <w:t xml:space="preserve">Page </w:t>
    </w:r>
    <w:r w:rsidRPr="00C86A41">
      <w:rPr>
        <w:rFonts w:cs="Arial"/>
        <w:color w:val="808080"/>
        <w:sz w:val="16"/>
        <w:szCs w:val="16"/>
      </w:rPr>
      <w:fldChar w:fldCharType="begin"/>
    </w:r>
    <w:r w:rsidRPr="00C86A41">
      <w:rPr>
        <w:rFonts w:cs="Arial"/>
        <w:color w:val="808080"/>
        <w:sz w:val="16"/>
        <w:szCs w:val="16"/>
      </w:rPr>
      <w:instrText xml:space="preserve"> PAGE </w:instrText>
    </w:r>
    <w:r w:rsidRPr="00C86A41">
      <w:rPr>
        <w:rFonts w:cs="Arial"/>
        <w:color w:val="808080"/>
        <w:sz w:val="16"/>
        <w:szCs w:val="16"/>
      </w:rPr>
      <w:fldChar w:fldCharType="separate"/>
    </w:r>
    <w:r w:rsidR="00C81435">
      <w:rPr>
        <w:rFonts w:cs="Arial"/>
        <w:noProof/>
        <w:color w:val="808080"/>
        <w:sz w:val="16"/>
        <w:szCs w:val="16"/>
      </w:rPr>
      <w:t>1</w:t>
    </w:r>
    <w:r w:rsidRPr="00C86A41">
      <w:rPr>
        <w:rFonts w:cs="Arial"/>
        <w:color w:val="808080"/>
        <w:sz w:val="16"/>
        <w:szCs w:val="16"/>
      </w:rPr>
      <w:fldChar w:fldCharType="end"/>
    </w:r>
    <w:r w:rsidRPr="00C86A41">
      <w:rPr>
        <w:rFonts w:cs="Arial"/>
        <w:color w:val="808080"/>
        <w:sz w:val="16"/>
        <w:szCs w:val="16"/>
      </w:rPr>
      <w:t xml:space="preserve"> of </w:t>
    </w:r>
    <w:r w:rsidRPr="00C86A41">
      <w:rPr>
        <w:rFonts w:cs="Arial"/>
        <w:color w:val="808080"/>
        <w:sz w:val="16"/>
        <w:szCs w:val="16"/>
      </w:rPr>
      <w:fldChar w:fldCharType="begin"/>
    </w:r>
    <w:r w:rsidRPr="00C86A41">
      <w:rPr>
        <w:rFonts w:cs="Arial"/>
        <w:color w:val="808080"/>
        <w:sz w:val="16"/>
        <w:szCs w:val="16"/>
      </w:rPr>
      <w:instrText xml:space="preserve"> NUMPAGES  </w:instrText>
    </w:r>
    <w:r w:rsidRPr="00C86A41">
      <w:rPr>
        <w:rFonts w:cs="Arial"/>
        <w:color w:val="808080"/>
        <w:sz w:val="16"/>
        <w:szCs w:val="16"/>
      </w:rPr>
      <w:fldChar w:fldCharType="separate"/>
    </w:r>
    <w:r w:rsidR="00C81435">
      <w:rPr>
        <w:rFonts w:cs="Arial"/>
        <w:noProof/>
        <w:color w:val="808080"/>
        <w:sz w:val="16"/>
        <w:szCs w:val="16"/>
      </w:rPr>
      <w:t>1</w:t>
    </w:r>
    <w:r w:rsidRPr="00C86A41">
      <w:rPr>
        <w:rFonts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EB21" w14:textId="77777777" w:rsidR="00C81435" w:rsidRDefault="00C81435" w:rsidP="003B52FC"/>
  </w:footnote>
  <w:footnote w:type="continuationSeparator" w:id="0">
    <w:p w14:paraId="0450E95C" w14:textId="77777777" w:rsidR="00C81435" w:rsidRDefault="00C81435" w:rsidP="003B52FC"/>
  </w:footnote>
  <w:footnote w:id="1">
    <w:p w14:paraId="62FC5174" w14:textId="4FE394CE" w:rsidR="008D6419" w:rsidRPr="005E317D" w:rsidRDefault="008D6419" w:rsidP="005E317D">
      <w:pPr>
        <w:rPr>
          <w:i/>
          <w:sz w:val="14"/>
        </w:rPr>
      </w:pPr>
    </w:p>
  </w:footnote>
  <w:footnote w:id="2">
    <w:p w14:paraId="30CD1C9F" w14:textId="67D1194A" w:rsidR="008D6419" w:rsidRDefault="008D6419">
      <w:pPr>
        <w:pStyle w:val="FootnoteText"/>
      </w:pPr>
      <w:r>
        <w:rPr>
          <w:rStyle w:val="FootnoteReference"/>
        </w:rPr>
        <w:footnoteRef/>
      </w:r>
      <w:r>
        <w:t xml:space="preserve"> </w:t>
      </w:r>
      <w:r w:rsidRPr="004F1DD1">
        <w:t xml:space="preserve">  Prime Minister’s exemption from the requirement to complete a RIS (exceptional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D53A" w14:textId="77777777" w:rsidR="00B40E23" w:rsidRDefault="00B40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C648" w14:textId="77777777" w:rsidR="008D6419" w:rsidRPr="008A1645" w:rsidRDefault="008D6419" w:rsidP="008A1645">
    <w:pPr>
      <w:pStyle w:val="Header"/>
    </w:pPr>
    <w:r>
      <w:rPr>
        <w:noProof/>
        <w:lang w:eastAsia="en-AU"/>
      </w:rPr>
      <w:drawing>
        <wp:inline distT="0" distB="0" distL="0" distR="0" wp14:anchorId="0014C64D" wp14:editId="33A45E36">
          <wp:extent cx="6907530" cy="436245"/>
          <wp:effectExtent l="0" t="0" r="7620" b="1905"/>
          <wp:docPr id="17" name="Picture 17"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30" cy="4362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C64B" w14:textId="77777777" w:rsidR="008D6419" w:rsidRDefault="008D6419" w:rsidP="00D95828">
    <w:pPr>
      <w:pStyle w:val="Header"/>
      <w:tabs>
        <w:tab w:val="clear" w:pos="4680"/>
        <w:tab w:val="clear" w:pos="9360"/>
        <w:tab w:val="left" w:pos="8102"/>
        <w:tab w:val="right" w:pos="9064"/>
      </w:tabs>
    </w:pPr>
    <w:r>
      <w:rPr>
        <w:noProof/>
        <w:lang w:eastAsia="en-AU"/>
      </w:rPr>
      <w:drawing>
        <wp:anchor distT="0" distB="0" distL="114300" distR="114300" simplePos="0" relativeHeight="251657728" behindDoc="1" locked="0" layoutInCell="1" allowOverlap="1" wp14:anchorId="0014C64F" wp14:editId="0014C650">
          <wp:simplePos x="0" y="0"/>
          <wp:positionH relativeFrom="column">
            <wp:posOffset>-908050</wp:posOffset>
          </wp:positionH>
          <wp:positionV relativeFrom="paragraph">
            <wp:posOffset>-442595</wp:posOffset>
          </wp:positionV>
          <wp:extent cx="7560310" cy="1645285"/>
          <wp:effectExtent l="0" t="0" r="0" b="0"/>
          <wp:wrapNone/>
          <wp:docPr id="18" name="Picture 13" descr="g_server:WORK IN PROGRESS:14010 PM&amp;C Best Practice Regulation Report 2012-13:Word templates:cover.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_server:WORK IN PROGRESS:14010 PM&amp;C Best Practice Regulation Report 2012-13:Word templates:cover.pdf"/>
                  <pic:cNvPicPr>
                    <a:picLocks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0310" cy="1645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EC9C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186FB8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3722D7E"/>
    <w:lvl w:ilvl="0">
      <w:start w:val="1"/>
      <w:numFmt w:val="bullet"/>
      <w:lvlText w:val=""/>
      <w:lvlJc w:val="left"/>
      <w:pPr>
        <w:ind w:left="360" w:hanging="360"/>
      </w:pPr>
      <w:rPr>
        <w:rFonts w:ascii="Symbol" w:hAnsi="Symbol" w:hint="default"/>
        <w:color w:val="14708E"/>
      </w:rPr>
    </w:lvl>
  </w:abstractNum>
  <w:abstractNum w:abstractNumId="3" w15:restartNumberingAfterBreak="0">
    <w:nsid w:val="00D04AC9"/>
    <w:multiLevelType w:val="hybridMultilevel"/>
    <w:tmpl w:val="90DCC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13048DF"/>
    <w:multiLevelType w:val="hybridMultilevel"/>
    <w:tmpl w:val="BD26DBF0"/>
    <w:lvl w:ilvl="0" w:tplc="8A9AC692">
      <w:numFmt w:val="bullet"/>
      <w:lvlText w:val="-"/>
      <w:lvlJc w:val="left"/>
      <w:pPr>
        <w:ind w:left="720" w:hanging="360"/>
      </w:pPr>
      <w:rPr>
        <w:rFonts w:ascii="Calibri" w:eastAsia="Cambria"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242F55"/>
    <w:multiLevelType w:val="hybridMultilevel"/>
    <w:tmpl w:val="28663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056096"/>
    <w:multiLevelType w:val="hybridMultilevel"/>
    <w:tmpl w:val="77E28ED6"/>
    <w:lvl w:ilvl="0" w:tplc="30023904">
      <w:start w:val="1"/>
      <w:numFmt w:val="decimal"/>
      <w:lvlText w:val="%1."/>
      <w:lvlJc w:val="left"/>
      <w:pPr>
        <w:ind w:left="720" w:hanging="360"/>
      </w:pPr>
      <w:rPr>
        <w:rFonts w:hint="default"/>
        <w:b/>
        <w:i w:val="0"/>
      </w:rPr>
    </w:lvl>
    <w:lvl w:ilvl="1" w:tplc="49E0823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52470"/>
    <w:multiLevelType w:val="hybridMultilevel"/>
    <w:tmpl w:val="0882C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8A0836"/>
    <w:multiLevelType w:val="hybridMultilevel"/>
    <w:tmpl w:val="7FF45B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D6C2D64"/>
    <w:multiLevelType w:val="hybridMultilevel"/>
    <w:tmpl w:val="5B983AE0"/>
    <w:lvl w:ilvl="0" w:tplc="DAC0AD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D23902"/>
    <w:multiLevelType w:val="hybridMultilevel"/>
    <w:tmpl w:val="A4DC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410C09"/>
    <w:multiLevelType w:val="hybridMultilevel"/>
    <w:tmpl w:val="28CED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606A51"/>
    <w:multiLevelType w:val="hybridMultilevel"/>
    <w:tmpl w:val="AC1C627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C83F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DA2EF1"/>
    <w:multiLevelType w:val="singleLevel"/>
    <w:tmpl w:val="DEA86906"/>
    <w:lvl w:ilvl="0">
      <w:start w:val="1"/>
      <w:numFmt w:val="bullet"/>
      <w:pStyle w:val="Tablebullets1stindent"/>
      <w:lvlText w:val=""/>
      <w:lvlJc w:val="left"/>
      <w:pPr>
        <w:ind w:left="644" w:hanging="360"/>
      </w:pPr>
      <w:rPr>
        <w:rFonts w:ascii="Symbol" w:hAnsi="Symbol" w:hint="default"/>
        <w:color w:val="F79646"/>
      </w:rPr>
    </w:lvl>
  </w:abstractNum>
  <w:abstractNum w:abstractNumId="15" w15:restartNumberingAfterBreak="0">
    <w:nsid w:val="2340781B"/>
    <w:multiLevelType w:val="hybridMultilevel"/>
    <w:tmpl w:val="726AC4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4214C9"/>
    <w:multiLevelType w:val="multilevel"/>
    <w:tmpl w:val="47504E52"/>
    <w:styleLink w:val="Bullets"/>
    <w:lvl w:ilvl="0">
      <w:start w:val="1"/>
      <w:numFmt w:val="bullet"/>
      <w:lvlText w:val=""/>
      <w:lvlJc w:val="left"/>
      <w:pPr>
        <w:ind w:left="360" w:hanging="360"/>
      </w:pPr>
      <w:rPr>
        <w:rFonts w:ascii="Symbol" w:hAnsi="Symbol" w:hint="default"/>
        <w:color w:val="E36C0A"/>
      </w:rPr>
    </w:lvl>
    <w:lvl w:ilvl="1">
      <w:start w:val="1"/>
      <w:numFmt w:val="bullet"/>
      <w:lvlText w:val=""/>
      <w:lvlJc w:val="left"/>
      <w:pPr>
        <w:tabs>
          <w:tab w:val="num" w:pos="567"/>
        </w:tabs>
        <w:ind w:left="567" w:hanging="283"/>
      </w:pPr>
      <w:rPr>
        <w:rFonts w:ascii="Symbol" w:hAnsi="Symbol" w:hint="default"/>
        <w:color w:val="0D6F8B"/>
      </w:rPr>
    </w:lvl>
    <w:lvl w:ilvl="2">
      <w:start w:val="1"/>
      <w:numFmt w:val="bullet"/>
      <w:lvlText w:val="•"/>
      <w:lvlJc w:val="left"/>
      <w:pPr>
        <w:tabs>
          <w:tab w:val="num" w:pos="284"/>
        </w:tabs>
        <w:ind w:left="284" w:hanging="284"/>
      </w:pPr>
      <w:rPr>
        <w:rFonts w:ascii="Cambria" w:hAnsi="Cambria" w:hint="default"/>
        <w:color w:val="45C7ED"/>
      </w:rPr>
    </w:lvl>
    <w:lvl w:ilvl="3">
      <w:start w:val="1"/>
      <w:numFmt w:val="bullet"/>
      <w:lvlText w:val="•"/>
      <w:lvlJc w:val="left"/>
      <w:pPr>
        <w:tabs>
          <w:tab w:val="num" w:pos="567"/>
        </w:tabs>
        <w:ind w:left="567" w:hanging="283"/>
      </w:pPr>
      <w:rPr>
        <w:rFonts w:ascii="Cambria" w:hAnsi="Cambria" w:hint="default"/>
        <w:color w:val="45C7ED"/>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45C7ED"/>
      </w:rPr>
    </w:lvl>
    <w:lvl w:ilvl="6">
      <w:start w:val="1"/>
      <w:numFmt w:val="bullet"/>
      <w:lvlText w:val="•"/>
      <w:lvlJc w:val="left"/>
      <w:pPr>
        <w:tabs>
          <w:tab w:val="num" w:pos="437"/>
        </w:tabs>
        <w:ind w:left="437" w:hanging="171"/>
      </w:pPr>
      <w:rPr>
        <w:rFonts w:ascii="Cambria" w:hAnsi="Cambria" w:hint="default"/>
        <w:color w:val="45C7ED"/>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1275190"/>
    <w:multiLevelType w:val="hybridMultilevel"/>
    <w:tmpl w:val="AE06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AA32B9"/>
    <w:multiLevelType w:val="hybridMultilevel"/>
    <w:tmpl w:val="4C409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9610248"/>
    <w:multiLevelType w:val="hybridMultilevel"/>
    <w:tmpl w:val="D2E0898C"/>
    <w:lvl w:ilvl="0" w:tplc="0E9A8272">
      <w:start w:val="1"/>
      <w:numFmt w:val="bullet"/>
      <w:pStyle w:val="ListBullet"/>
      <w:lvlText w:val=""/>
      <w:lvlJc w:val="left"/>
      <w:pPr>
        <w:ind w:left="36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F7B15"/>
    <w:multiLevelType w:val="hybridMultilevel"/>
    <w:tmpl w:val="4F62DE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5F4DEC"/>
    <w:multiLevelType w:val="hybridMultilevel"/>
    <w:tmpl w:val="3794B0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5E1D6E"/>
    <w:multiLevelType w:val="multilevel"/>
    <w:tmpl w:val="D52A2368"/>
    <w:lvl w:ilvl="0">
      <w:start w:val="1"/>
      <w:numFmt w:val="bullet"/>
      <w:lvlText w:val="•"/>
      <w:lvlJc w:val="left"/>
      <w:pPr>
        <w:ind w:left="360" w:hanging="360"/>
      </w:pPr>
      <w:rPr>
        <w:rFonts w:ascii="Cambria" w:hAnsi="Cambria" w:hint="default"/>
        <w:color w:val="45C7ED"/>
        <w:sz w:val="16"/>
      </w:rPr>
    </w:lvl>
    <w:lvl w:ilvl="1">
      <w:start w:val="1"/>
      <w:numFmt w:val="bullet"/>
      <w:lvlText w:val="–"/>
      <w:lvlJc w:val="left"/>
      <w:pPr>
        <w:tabs>
          <w:tab w:val="num" w:pos="567"/>
        </w:tabs>
        <w:ind w:left="567" w:hanging="283"/>
      </w:pPr>
      <w:rPr>
        <w:rFonts w:ascii="Arial" w:hAnsi="Arial" w:hint="default"/>
        <w:color w:val="auto"/>
        <w:sz w:val="17"/>
      </w:rPr>
    </w:lvl>
    <w:lvl w:ilvl="2">
      <w:start w:val="1"/>
      <w:numFmt w:val="bullet"/>
      <w:lvlText w:val="•"/>
      <w:lvlJc w:val="left"/>
      <w:pPr>
        <w:tabs>
          <w:tab w:val="num" w:pos="851"/>
        </w:tabs>
        <w:ind w:left="851" w:hanging="284"/>
      </w:pPr>
      <w:rPr>
        <w:rFonts w:ascii="Gotham Rounded Book" w:hAnsi="Gotham Rounded Book" w:hint="default"/>
        <w:sz w:val="16"/>
      </w:rPr>
    </w:lvl>
    <w:lvl w:ilvl="3">
      <w:start w:val="1"/>
      <w:numFmt w:val="bullet"/>
      <w:lvlText w:val="–"/>
      <w:lvlJc w:val="left"/>
      <w:pPr>
        <w:tabs>
          <w:tab w:val="num" w:pos="1134"/>
        </w:tabs>
        <w:ind w:left="1134" w:hanging="283"/>
      </w:pPr>
      <w:rPr>
        <w:rFonts w:ascii="Arial" w:hAnsi="Arial" w:hint="default"/>
        <w:color w:val="auto"/>
        <w:sz w:val="17"/>
      </w:rPr>
    </w:lvl>
    <w:lvl w:ilvl="4">
      <w:start w:val="1"/>
      <w:numFmt w:val="bullet"/>
      <w:lvlText w:val="•"/>
      <w:lvlJc w:val="left"/>
      <w:pPr>
        <w:tabs>
          <w:tab w:val="num" w:pos="227"/>
        </w:tabs>
        <w:ind w:left="227" w:hanging="227"/>
      </w:pPr>
      <w:rPr>
        <w:rFonts w:ascii="Gotham Rounded Book" w:hAnsi="Gotham Rounded Book" w:hint="default"/>
        <w:sz w:val="16"/>
      </w:rPr>
    </w:lvl>
    <w:lvl w:ilvl="5">
      <w:start w:val="1"/>
      <w:numFmt w:val="bullet"/>
      <w:lvlText w:val="–"/>
      <w:lvlJc w:val="left"/>
      <w:pPr>
        <w:tabs>
          <w:tab w:val="num" w:pos="454"/>
        </w:tabs>
        <w:ind w:left="454" w:hanging="227"/>
      </w:pPr>
      <w:rPr>
        <w:rFonts w:ascii="Arial" w:hAnsi="Arial" w:hint="default"/>
        <w:color w:val="auto"/>
        <w:sz w:val="17"/>
      </w:rPr>
    </w:lvl>
    <w:lvl w:ilvl="6">
      <w:start w:val="1"/>
      <w:numFmt w:val="bullet"/>
      <w:lvlText w:val="•"/>
      <w:lvlJc w:val="left"/>
      <w:pPr>
        <w:tabs>
          <w:tab w:val="num" w:pos="680"/>
        </w:tabs>
        <w:ind w:left="680" w:hanging="226"/>
      </w:pPr>
      <w:rPr>
        <w:rFonts w:ascii="Gotham Rounded Book" w:hAnsi="Gotham Rounded Book" w:hint="default"/>
        <w:sz w:val="16"/>
      </w:rPr>
    </w:lvl>
    <w:lvl w:ilvl="7">
      <w:start w:val="1"/>
      <w:numFmt w:val="bullet"/>
      <w:lvlText w:val="–"/>
      <w:lvlJc w:val="left"/>
      <w:pPr>
        <w:tabs>
          <w:tab w:val="num" w:pos="907"/>
        </w:tabs>
        <w:ind w:left="907" w:hanging="227"/>
      </w:pPr>
      <w:rPr>
        <w:rFonts w:ascii="Arial" w:hAnsi="Arial" w:hint="default"/>
        <w:color w:val="auto"/>
        <w:sz w:val="17"/>
      </w:rPr>
    </w:lvl>
    <w:lvl w:ilvl="8">
      <w:start w:val="1"/>
      <w:numFmt w:val="none"/>
      <w:lvlText w:val=""/>
      <w:lvlJc w:val="left"/>
      <w:pPr>
        <w:tabs>
          <w:tab w:val="num" w:pos="0"/>
        </w:tabs>
        <w:ind w:left="0" w:firstLine="0"/>
      </w:pPr>
      <w:rPr>
        <w:rFonts w:hint="default"/>
      </w:rPr>
    </w:lvl>
  </w:abstractNum>
  <w:abstractNum w:abstractNumId="23" w15:restartNumberingAfterBreak="0">
    <w:nsid w:val="4F1523F7"/>
    <w:multiLevelType w:val="multilevel"/>
    <w:tmpl w:val="6BC6F2D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pStyle w:val="Numberedpara1stindent"/>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24" w15:restartNumberingAfterBreak="0">
    <w:nsid w:val="63E45D09"/>
    <w:multiLevelType w:val="hybridMultilevel"/>
    <w:tmpl w:val="14685D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C66B1B"/>
    <w:multiLevelType w:val="hybridMultilevel"/>
    <w:tmpl w:val="791E0EC8"/>
    <w:lvl w:ilvl="0" w:tplc="86CA608C">
      <w:start w:val="1"/>
      <w:numFmt w:val="bullet"/>
      <w:lvlText w:val=""/>
      <w:lvlJc w:val="left"/>
      <w:pPr>
        <w:ind w:left="360" w:hanging="360"/>
      </w:pPr>
      <w:rPr>
        <w:rFonts w:ascii="Symbol" w:hAnsi="Symbol" w:hint="default"/>
      </w:rPr>
    </w:lvl>
    <w:lvl w:ilvl="1" w:tplc="60702C44" w:tentative="1">
      <w:start w:val="1"/>
      <w:numFmt w:val="bullet"/>
      <w:lvlText w:val="o"/>
      <w:lvlJc w:val="left"/>
      <w:pPr>
        <w:ind w:left="1080" w:hanging="360"/>
      </w:pPr>
      <w:rPr>
        <w:rFonts w:ascii="Courier New" w:hAnsi="Courier New" w:cs="Courier New" w:hint="default"/>
      </w:rPr>
    </w:lvl>
    <w:lvl w:ilvl="2" w:tplc="AB44D55E" w:tentative="1">
      <w:start w:val="1"/>
      <w:numFmt w:val="bullet"/>
      <w:lvlText w:val=""/>
      <w:lvlJc w:val="left"/>
      <w:pPr>
        <w:ind w:left="1800" w:hanging="360"/>
      </w:pPr>
      <w:rPr>
        <w:rFonts w:ascii="Wingdings" w:hAnsi="Wingdings" w:hint="default"/>
      </w:rPr>
    </w:lvl>
    <w:lvl w:ilvl="3" w:tplc="27568406" w:tentative="1">
      <w:start w:val="1"/>
      <w:numFmt w:val="bullet"/>
      <w:lvlText w:val=""/>
      <w:lvlJc w:val="left"/>
      <w:pPr>
        <w:ind w:left="2520" w:hanging="360"/>
      </w:pPr>
      <w:rPr>
        <w:rFonts w:ascii="Symbol" w:hAnsi="Symbol" w:hint="default"/>
      </w:rPr>
    </w:lvl>
    <w:lvl w:ilvl="4" w:tplc="6A887900" w:tentative="1">
      <w:start w:val="1"/>
      <w:numFmt w:val="bullet"/>
      <w:lvlText w:val="o"/>
      <w:lvlJc w:val="left"/>
      <w:pPr>
        <w:ind w:left="3240" w:hanging="360"/>
      </w:pPr>
      <w:rPr>
        <w:rFonts w:ascii="Courier New" w:hAnsi="Courier New" w:cs="Courier New" w:hint="default"/>
      </w:rPr>
    </w:lvl>
    <w:lvl w:ilvl="5" w:tplc="5C56B852" w:tentative="1">
      <w:start w:val="1"/>
      <w:numFmt w:val="bullet"/>
      <w:lvlText w:val=""/>
      <w:lvlJc w:val="left"/>
      <w:pPr>
        <w:ind w:left="3960" w:hanging="360"/>
      </w:pPr>
      <w:rPr>
        <w:rFonts w:ascii="Wingdings" w:hAnsi="Wingdings" w:hint="default"/>
      </w:rPr>
    </w:lvl>
    <w:lvl w:ilvl="6" w:tplc="9A8675E4" w:tentative="1">
      <w:start w:val="1"/>
      <w:numFmt w:val="bullet"/>
      <w:lvlText w:val=""/>
      <w:lvlJc w:val="left"/>
      <w:pPr>
        <w:ind w:left="4680" w:hanging="360"/>
      </w:pPr>
      <w:rPr>
        <w:rFonts w:ascii="Symbol" w:hAnsi="Symbol" w:hint="default"/>
      </w:rPr>
    </w:lvl>
    <w:lvl w:ilvl="7" w:tplc="16CABE5E" w:tentative="1">
      <w:start w:val="1"/>
      <w:numFmt w:val="bullet"/>
      <w:lvlText w:val="o"/>
      <w:lvlJc w:val="left"/>
      <w:pPr>
        <w:ind w:left="5400" w:hanging="360"/>
      </w:pPr>
      <w:rPr>
        <w:rFonts w:ascii="Courier New" w:hAnsi="Courier New" w:cs="Courier New" w:hint="default"/>
      </w:rPr>
    </w:lvl>
    <w:lvl w:ilvl="8" w:tplc="A6F0BD08" w:tentative="1">
      <w:start w:val="1"/>
      <w:numFmt w:val="bullet"/>
      <w:lvlText w:val=""/>
      <w:lvlJc w:val="left"/>
      <w:pPr>
        <w:ind w:left="6120" w:hanging="360"/>
      </w:pPr>
      <w:rPr>
        <w:rFonts w:ascii="Wingdings" w:hAnsi="Wingdings" w:hint="default"/>
      </w:rPr>
    </w:lvl>
  </w:abstractNum>
  <w:abstractNum w:abstractNumId="26" w15:restartNumberingAfterBreak="0">
    <w:nsid w:val="70107864"/>
    <w:multiLevelType w:val="hybridMultilevel"/>
    <w:tmpl w:val="4A5AC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11BEF"/>
    <w:multiLevelType w:val="hybridMultilevel"/>
    <w:tmpl w:val="A94C45EC"/>
    <w:lvl w:ilvl="0" w:tplc="0C090001">
      <w:start w:val="1"/>
      <w:numFmt w:val="decimal"/>
      <w:pStyle w:val="Chapternumber"/>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8" w15:restartNumberingAfterBreak="0">
    <w:nsid w:val="74D55861"/>
    <w:multiLevelType w:val="hybridMultilevel"/>
    <w:tmpl w:val="103AEC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D23F88"/>
    <w:multiLevelType w:val="hybridMultilevel"/>
    <w:tmpl w:val="73200FBE"/>
    <w:lvl w:ilvl="0" w:tplc="28C8C364">
      <w:numFmt w:val="bullet"/>
      <w:lvlText w:val=""/>
      <w:lvlJc w:val="left"/>
      <w:pPr>
        <w:ind w:left="720" w:hanging="360"/>
      </w:pPr>
      <w:rPr>
        <w:rFonts w:ascii="Symbol" w:eastAsia="Times New Roman" w:hAnsi="Symbol" w:cs="Aria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561065"/>
    <w:multiLevelType w:val="hybridMultilevel"/>
    <w:tmpl w:val="52A279E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3"/>
    <w:lvlOverride w:ilvl="0">
      <w:lvl w:ilvl="0">
        <w:numFmt w:val="decimal"/>
        <w:lvlText w:val=""/>
        <w:lvlJc w:val="left"/>
      </w:lvl>
    </w:lvlOverride>
    <w:lvlOverride w:ilvl="1">
      <w:lvl w:ilvl="1">
        <w:start w:val="1"/>
        <w:numFmt w:val="decimal"/>
        <w:lvlText w:val="%1.%2"/>
        <w:lvlJc w:val="left"/>
        <w:pPr>
          <w:tabs>
            <w:tab w:val="num" w:pos="1134"/>
          </w:tabs>
          <w:ind w:left="1134" w:hanging="1134"/>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2">
    <w:abstractNumId w:val="22"/>
  </w:num>
  <w:num w:numId="3">
    <w:abstractNumId w:val="6"/>
  </w:num>
  <w:num w:numId="4">
    <w:abstractNumId w:val="23"/>
  </w:num>
  <w:num w:numId="5">
    <w:abstractNumId w:val="27"/>
  </w:num>
  <w:num w:numId="6">
    <w:abstractNumId w:val="16"/>
  </w:num>
  <w:num w:numId="7">
    <w:abstractNumId w:val="4"/>
  </w:num>
  <w:num w:numId="8">
    <w:abstractNumId w:val="26"/>
  </w:num>
  <w:num w:numId="9">
    <w:abstractNumId w:val="7"/>
  </w:num>
  <w:num w:numId="10">
    <w:abstractNumId w:val="18"/>
  </w:num>
  <w:num w:numId="11">
    <w:abstractNumId w:val="25"/>
  </w:num>
  <w:num w:numId="12">
    <w:abstractNumId w:val="3"/>
  </w:num>
  <w:num w:numId="13">
    <w:abstractNumId w:val="17"/>
  </w:num>
  <w:num w:numId="14">
    <w:abstractNumId w:val="11"/>
  </w:num>
  <w:num w:numId="15">
    <w:abstractNumId w:val="5"/>
  </w:num>
  <w:num w:numId="16">
    <w:abstractNumId w:val="9"/>
  </w:num>
  <w:num w:numId="17">
    <w:abstractNumId w:val="2"/>
  </w:num>
  <w:num w:numId="18">
    <w:abstractNumId w:val="1"/>
  </w:num>
  <w:num w:numId="19">
    <w:abstractNumId w:val="1"/>
    <w:lvlOverride w:ilvl="0">
      <w:startOverride w:val="1"/>
    </w:lvlOverride>
  </w:num>
  <w:num w:numId="20">
    <w:abstractNumId w:val="19"/>
  </w:num>
  <w:num w:numId="21">
    <w:abstractNumId w:val="14"/>
  </w:num>
  <w:num w:numId="22">
    <w:abstractNumId w:val="0"/>
  </w:num>
  <w:num w:numId="23">
    <w:abstractNumId w:val="13"/>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21"/>
  </w:num>
  <w:num w:numId="26">
    <w:abstractNumId w:val="28"/>
  </w:num>
  <w:num w:numId="27">
    <w:abstractNumId w:val="24"/>
  </w:num>
  <w:num w:numId="28">
    <w:abstractNumId w:val="12"/>
  </w:num>
  <w:num w:numId="29">
    <w:abstractNumId w:val="15"/>
  </w:num>
  <w:num w:numId="30">
    <w:abstractNumId w:val="8"/>
  </w:num>
  <w:num w:numId="31">
    <w:abstractNumId w:val="29"/>
  </w:num>
  <w:num w:numId="32">
    <w:abstractNumId w:val="10"/>
  </w:num>
  <w:num w:numId="33">
    <w:abstractNumId w:val="2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9D"/>
    <w:rsid w:val="00000415"/>
    <w:rsid w:val="0000212A"/>
    <w:rsid w:val="000021E2"/>
    <w:rsid w:val="00002FC2"/>
    <w:rsid w:val="000043FB"/>
    <w:rsid w:val="00005896"/>
    <w:rsid w:val="000066BC"/>
    <w:rsid w:val="000072FD"/>
    <w:rsid w:val="00007FD1"/>
    <w:rsid w:val="00010776"/>
    <w:rsid w:val="00010B24"/>
    <w:rsid w:val="00010C49"/>
    <w:rsid w:val="00010E86"/>
    <w:rsid w:val="00011360"/>
    <w:rsid w:val="00012925"/>
    <w:rsid w:val="00013C05"/>
    <w:rsid w:val="0001455B"/>
    <w:rsid w:val="00014F43"/>
    <w:rsid w:val="00015A86"/>
    <w:rsid w:val="00016298"/>
    <w:rsid w:val="00016C3A"/>
    <w:rsid w:val="000177A0"/>
    <w:rsid w:val="00020760"/>
    <w:rsid w:val="0002179E"/>
    <w:rsid w:val="00025493"/>
    <w:rsid w:val="00025D52"/>
    <w:rsid w:val="00025F29"/>
    <w:rsid w:val="0002632B"/>
    <w:rsid w:val="000272BD"/>
    <w:rsid w:val="00031F0C"/>
    <w:rsid w:val="00033027"/>
    <w:rsid w:val="00035C8C"/>
    <w:rsid w:val="00036259"/>
    <w:rsid w:val="0003672C"/>
    <w:rsid w:val="00037010"/>
    <w:rsid w:val="000403F1"/>
    <w:rsid w:val="000418F6"/>
    <w:rsid w:val="00042871"/>
    <w:rsid w:val="000438D9"/>
    <w:rsid w:val="00044D18"/>
    <w:rsid w:val="0004563F"/>
    <w:rsid w:val="00045B03"/>
    <w:rsid w:val="00045CD2"/>
    <w:rsid w:val="0004669A"/>
    <w:rsid w:val="000467DD"/>
    <w:rsid w:val="00050F52"/>
    <w:rsid w:val="00051189"/>
    <w:rsid w:val="00051B61"/>
    <w:rsid w:val="000531E8"/>
    <w:rsid w:val="000556B0"/>
    <w:rsid w:val="00055B66"/>
    <w:rsid w:val="00055B9A"/>
    <w:rsid w:val="00056B69"/>
    <w:rsid w:val="000571F4"/>
    <w:rsid w:val="00057214"/>
    <w:rsid w:val="00060131"/>
    <w:rsid w:val="00060262"/>
    <w:rsid w:val="000613F7"/>
    <w:rsid w:val="00061930"/>
    <w:rsid w:val="00061FA9"/>
    <w:rsid w:val="000621C2"/>
    <w:rsid w:val="00065713"/>
    <w:rsid w:val="00066002"/>
    <w:rsid w:val="00066FF8"/>
    <w:rsid w:val="00071612"/>
    <w:rsid w:val="0007226D"/>
    <w:rsid w:val="00072391"/>
    <w:rsid w:val="0007280F"/>
    <w:rsid w:val="00074ED4"/>
    <w:rsid w:val="000775EB"/>
    <w:rsid w:val="0007764A"/>
    <w:rsid w:val="000859C5"/>
    <w:rsid w:val="00085FE1"/>
    <w:rsid w:val="00087E05"/>
    <w:rsid w:val="0009015D"/>
    <w:rsid w:val="0009033F"/>
    <w:rsid w:val="00090F2A"/>
    <w:rsid w:val="00092724"/>
    <w:rsid w:val="000940DC"/>
    <w:rsid w:val="00095546"/>
    <w:rsid w:val="00095E4E"/>
    <w:rsid w:val="000963CA"/>
    <w:rsid w:val="00096746"/>
    <w:rsid w:val="00096C17"/>
    <w:rsid w:val="000972C5"/>
    <w:rsid w:val="000A0015"/>
    <w:rsid w:val="000A0882"/>
    <w:rsid w:val="000A08E5"/>
    <w:rsid w:val="000A2997"/>
    <w:rsid w:val="000A30F9"/>
    <w:rsid w:val="000A4222"/>
    <w:rsid w:val="000A4C5E"/>
    <w:rsid w:val="000B39A5"/>
    <w:rsid w:val="000B50AA"/>
    <w:rsid w:val="000B59D5"/>
    <w:rsid w:val="000B61E6"/>
    <w:rsid w:val="000B67A5"/>
    <w:rsid w:val="000B7919"/>
    <w:rsid w:val="000C1F16"/>
    <w:rsid w:val="000C4EA8"/>
    <w:rsid w:val="000C6452"/>
    <w:rsid w:val="000D09E8"/>
    <w:rsid w:val="000D1206"/>
    <w:rsid w:val="000D280B"/>
    <w:rsid w:val="000D3E26"/>
    <w:rsid w:val="000D5C03"/>
    <w:rsid w:val="000D61F3"/>
    <w:rsid w:val="000D6603"/>
    <w:rsid w:val="000D7181"/>
    <w:rsid w:val="000D7237"/>
    <w:rsid w:val="000E034A"/>
    <w:rsid w:val="000E13A5"/>
    <w:rsid w:val="000E21F5"/>
    <w:rsid w:val="000E2973"/>
    <w:rsid w:val="000E2F53"/>
    <w:rsid w:val="000E3584"/>
    <w:rsid w:val="000E60F9"/>
    <w:rsid w:val="000E7A72"/>
    <w:rsid w:val="000F0C76"/>
    <w:rsid w:val="000F0D12"/>
    <w:rsid w:val="000F2364"/>
    <w:rsid w:val="000F2C5A"/>
    <w:rsid w:val="000F3017"/>
    <w:rsid w:val="000F358D"/>
    <w:rsid w:val="000F36FE"/>
    <w:rsid w:val="000F5613"/>
    <w:rsid w:val="00100ECA"/>
    <w:rsid w:val="001012A2"/>
    <w:rsid w:val="00101379"/>
    <w:rsid w:val="001047D9"/>
    <w:rsid w:val="00104A46"/>
    <w:rsid w:val="00104B98"/>
    <w:rsid w:val="00105D6F"/>
    <w:rsid w:val="00105F30"/>
    <w:rsid w:val="001105DF"/>
    <w:rsid w:val="00111F46"/>
    <w:rsid w:val="0011221D"/>
    <w:rsid w:val="00112B10"/>
    <w:rsid w:val="00113298"/>
    <w:rsid w:val="00113501"/>
    <w:rsid w:val="00114204"/>
    <w:rsid w:val="00114881"/>
    <w:rsid w:val="00115BE2"/>
    <w:rsid w:val="0011774B"/>
    <w:rsid w:val="00120110"/>
    <w:rsid w:val="00120790"/>
    <w:rsid w:val="001207E3"/>
    <w:rsid w:val="00123DDE"/>
    <w:rsid w:val="00125E81"/>
    <w:rsid w:val="0012641B"/>
    <w:rsid w:val="00127EDB"/>
    <w:rsid w:val="00130ADC"/>
    <w:rsid w:val="00130BF5"/>
    <w:rsid w:val="00130E14"/>
    <w:rsid w:val="001312EF"/>
    <w:rsid w:val="0013206B"/>
    <w:rsid w:val="00132476"/>
    <w:rsid w:val="00133101"/>
    <w:rsid w:val="00133DE8"/>
    <w:rsid w:val="00133FF3"/>
    <w:rsid w:val="001345DB"/>
    <w:rsid w:val="00140218"/>
    <w:rsid w:val="001418B2"/>
    <w:rsid w:val="00143DD7"/>
    <w:rsid w:val="00146313"/>
    <w:rsid w:val="00146B1C"/>
    <w:rsid w:val="00146BB7"/>
    <w:rsid w:val="00146C4A"/>
    <w:rsid w:val="0015044B"/>
    <w:rsid w:val="0015107F"/>
    <w:rsid w:val="001523CB"/>
    <w:rsid w:val="00155B5E"/>
    <w:rsid w:val="00157B64"/>
    <w:rsid w:val="00157D55"/>
    <w:rsid w:val="00160BA3"/>
    <w:rsid w:val="00160EBE"/>
    <w:rsid w:val="00161CBF"/>
    <w:rsid w:val="00162E9F"/>
    <w:rsid w:val="00163687"/>
    <w:rsid w:val="0016375A"/>
    <w:rsid w:val="001637F3"/>
    <w:rsid w:val="0016573B"/>
    <w:rsid w:val="00165AB5"/>
    <w:rsid w:val="00165DDE"/>
    <w:rsid w:val="00166412"/>
    <w:rsid w:val="00166CEB"/>
    <w:rsid w:val="001677AA"/>
    <w:rsid w:val="0016796C"/>
    <w:rsid w:val="00171549"/>
    <w:rsid w:val="0017225F"/>
    <w:rsid w:val="0017339C"/>
    <w:rsid w:val="00173754"/>
    <w:rsid w:val="00173B8C"/>
    <w:rsid w:val="001746CA"/>
    <w:rsid w:val="001756B5"/>
    <w:rsid w:val="00177399"/>
    <w:rsid w:val="0018044F"/>
    <w:rsid w:val="0018185B"/>
    <w:rsid w:val="00181E7C"/>
    <w:rsid w:val="00181F4C"/>
    <w:rsid w:val="001832F6"/>
    <w:rsid w:val="001836AF"/>
    <w:rsid w:val="001843AF"/>
    <w:rsid w:val="00185750"/>
    <w:rsid w:val="00185D53"/>
    <w:rsid w:val="00186A7A"/>
    <w:rsid w:val="001874A0"/>
    <w:rsid w:val="001905D6"/>
    <w:rsid w:val="00191D7D"/>
    <w:rsid w:val="0019224E"/>
    <w:rsid w:val="00192B5F"/>
    <w:rsid w:val="001934B1"/>
    <w:rsid w:val="00195423"/>
    <w:rsid w:val="001957D8"/>
    <w:rsid w:val="00197074"/>
    <w:rsid w:val="001976A8"/>
    <w:rsid w:val="001A0844"/>
    <w:rsid w:val="001A0954"/>
    <w:rsid w:val="001A1DE1"/>
    <w:rsid w:val="001A2235"/>
    <w:rsid w:val="001A2271"/>
    <w:rsid w:val="001A7307"/>
    <w:rsid w:val="001A7F84"/>
    <w:rsid w:val="001B0475"/>
    <w:rsid w:val="001B04D1"/>
    <w:rsid w:val="001B2F2A"/>
    <w:rsid w:val="001B497A"/>
    <w:rsid w:val="001B634D"/>
    <w:rsid w:val="001B6618"/>
    <w:rsid w:val="001C4768"/>
    <w:rsid w:val="001C5D88"/>
    <w:rsid w:val="001C5DF2"/>
    <w:rsid w:val="001C6412"/>
    <w:rsid w:val="001C693E"/>
    <w:rsid w:val="001C7542"/>
    <w:rsid w:val="001C7CCD"/>
    <w:rsid w:val="001D10BA"/>
    <w:rsid w:val="001D25A0"/>
    <w:rsid w:val="001D2B3F"/>
    <w:rsid w:val="001D4868"/>
    <w:rsid w:val="001D4DD0"/>
    <w:rsid w:val="001D512F"/>
    <w:rsid w:val="001D6618"/>
    <w:rsid w:val="001D7E0D"/>
    <w:rsid w:val="001E17AD"/>
    <w:rsid w:val="001E3637"/>
    <w:rsid w:val="001E462B"/>
    <w:rsid w:val="001E46CC"/>
    <w:rsid w:val="001E516E"/>
    <w:rsid w:val="001E6266"/>
    <w:rsid w:val="001E64F0"/>
    <w:rsid w:val="001E6EFB"/>
    <w:rsid w:val="001F0450"/>
    <w:rsid w:val="001F0A65"/>
    <w:rsid w:val="001F0A85"/>
    <w:rsid w:val="001F0F5A"/>
    <w:rsid w:val="001F13DC"/>
    <w:rsid w:val="001F1A00"/>
    <w:rsid w:val="001F2751"/>
    <w:rsid w:val="001F29B4"/>
    <w:rsid w:val="001F392F"/>
    <w:rsid w:val="001F5A01"/>
    <w:rsid w:val="0020106B"/>
    <w:rsid w:val="002016D7"/>
    <w:rsid w:val="00201922"/>
    <w:rsid w:val="00201C2C"/>
    <w:rsid w:val="00202058"/>
    <w:rsid w:val="00202535"/>
    <w:rsid w:val="00202A37"/>
    <w:rsid w:val="00202AE0"/>
    <w:rsid w:val="002075FA"/>
    <w:rsid w:val="00207A81"/>
    <w:rsid w:val="00207ADC"/>
    <w:rsid w:val="00207CBE"/>
    <w:rsid w:val="00212A04"/>
    <w:rsid w:val="00212DA1"/>
    <w:rsid w:val="002147EE"/>
    <w:rsid w:val="00214A67"/>
    <w:rsid w:val="00214E63"/>
    <w:rsid w:val="00216C27"/>
    <w:rsid w:val="00220271"/>
    <w:rsid w:val="00220B50"/>
    <w:rsid w:val="002239E4"/>
    <w:rsid w:val="00225559"/>
    <w:rsid w:val="00225A46"/>
    <w:rsid w:val="00227561"/>
    <w:rsid w:val="00232B86"/>
    <w:rsid w:val="00233957"/>
    <w:rsid w:val="00233EF2"/>
    <w:rsid w:val="00234BC8"/>
    <w:rsid w:val="002351EF"/>
    <w:rsid w:val="00235FC7"/>
    <w:rsid w:val="00237A7C"/>
    <w:rsid w:val="002406DF"/>
    <w:rsid w:val="00240CA9"/>
    <w:rsid w:val="00240FE8"/>
    <w:rsid w:val="0024285C"/>
    <w:rsid w:val="00243569"/>
    <w:rsid w:val="002435D1"/>
    <w:rsid w:val="00243CA2"/>
    <w:rsid w:val="00246891"/>
    <w:rsid w:val="0024701B"/>
    <w:rsid w:val="0024780E"/>
    <w:rsid w:val="002508EB"/>
    <w:rsid w:val="00251526"/>
    <w:rsid w:val="0025152E"/>
    <w:rsid w:val="00252FF5"/>
    <w:rsid w:val="00253BA3"/>
    <w:rsid w:val="00254820"/>
    <w:rsid w:val="00254E63"/>
    <w:rsid w:val="00254F70"/>
    <w:rsid w:val="00255221"/>
    <w:rsid w:val="002563F9"/>
    <w:rsid w:val="00257CEE"/>
    <w:rsid w:val="00261442"/>
    <w:rsid w:val="00262B26"/>
    <w:rsid w:val="00265376"/>
    <w:rsid w:val="00266115"/>
    <w:rsid w:val="00267635"/>
    <w:rsid w:val="00270542"/>
    <w:rsid w:val="0027084F"/>
    <w:rsid w:val="00270BA5"/>
    <w:rsid w:val="002710C8"/>
    <w:rsid w:val="00272069"/>
    <w:rsid w:val="00273208"/>
    <w:rsid w:val="00273A17"/>
    <w:rsid w:val="002740FE"/>
    <w:rsid w:val="00274EDF"/>
    <w:rsid w:val="00276859"/>
    <w:rsid w:val="00277147"/>
    <w:rsid w:val="00277194"/>
    <w:rsid w:val="00277233"/>
    <w:rsid w:val="002773BF"/>
    <w:rsid w:val="00277808"/>
    <w:rsid w:val="00277D8A"/>
    <w:rsid w:val="002800AE"/>
    <w:rsid w:val="00280C0E"/>
    <w:rsid w:val="00280EC5"/>
    <w:rsid w:val="00281D94"/>
    <w:rsid w:val="002826A9"/>
    <w:rsid w:val="0028518D"/>
    <w:rsid w:val="002854F1"/>
    <w:rsid w:val="0028682B"/>
    <w:rsid w:val="00287175"/>
    <w:rsid w:val="002907DB"/>
    <w:rsid w:val="00293025"/>
    <w:rsid w:val="00296042"/>
    <w:rsid w:val="002969DB"/>
    <w:rsid w:val="00296DF2"/>
    <w:rsid w:val="002A1778"/>
    <w:rsid w:val="002A1EAB"/>
    <w:rsid w:val="002A22D0"/>
    <w:rsid w:val="002A3CDE"/>
    <w:rsid w:val="002A425A"/>
    <w:rsid w:val="002A4A5E"/>
    <w:rsid w:val="002A4DD1"/>
    <w:rsid w:val="002A5A8C"/>
    <w:rsid w:val="002A7C11"/>
    <w:rsid w:val="002B0248"/>
    <w:rsid w:val="002B211B"/>
    <w:rsid w:val="002B25F3"/>
    <w:rsid w:val="002B3D3F"/>
    <w:rsid w:val="002B42B4"/>
    <w:rsid w:val="002B5EA0"/>
    <w:rsid w:val="002B74F8"/>
    <w:rsid w:val="002C3DAF"/>
    <w:rsid w:val="002C547B"/>
    <w:rsid w:val="002C691F"/>
    <w:rsid w:val="002C6F72"/>
    <w:rsid w:val="002C7D64"/>
    <w:rsid w:val="002D0080"/>
    <w:rsid w:val="002D016A"/>
    <w:rsid w:val="002D019B"/>
    <w:rsid w:val="002D153E"/>
    <w:rsid w:val="002D24E2"/>
    <w:rsid w:val="002D3885"/>
    <w:rsid w:val="002D4A6C"/>
    <w:rsid w:val="002D526D"/>
    <w:rsid w:val="002D536F"/>
    <w:rsid w:val="002D5FBA"/>
    <w:rsid w:val="002D6A79"/>
    <w:rsid w:val="002D7E5A"/>
    <w:rsid w:val="002E3062"/>
    <w:rsid w:val="002E482E"/>
    <w:rsid w:val="002E55F5"/>
    <w:rsid w:val="002E6351"/>
    <w:rsid w:val="002E75CF"/>
    <w:rsid w:val="002F2362"/>
    <w:rsid w:val="002F3B69"/>
    <w:rsid w:val="002F4EAD"/>
    <w:rsid w:val="002F594A"/>
    <w:rsid w:val="002F68C3"/>
    <w:rsid w:val="002F70CC"/>
    <w:rsid w:val="00300593"/>
    <w:rsid w:val="0030163D"/>
    <w:rsid w:val="00302656"/>
    <w:rsid w:val="00302D6A"/>
    <w:rsid w:val="00302ECE"/>
    <w:rsid w:val="00303B3A"/>
    <w:rsid w:val="003047C0"/>
    <w:rsid w:val="003049C6"/>
    <w:rsid w:val="003050D9"/>
    <w:rsid w:val="003072B1"/>
    <w:rsid w:val="003076D1"/>
    <w:rsid w:val="00310EF8"/>
    <w:rsid w:val="003114F0"/>
    <w:rsid w:val="00311D3B"/>
    <w:rsid w:val="0031239E"/>
    <w:rsid w:val="00316D11"/>
    <w:rsid w:val="003205EC"/>
    <w:rsid w:val="0032071F"/>
    <w:rsid w:val="00320857"/>
    <w:rsid w:val="00321919"/>
    <w:rsid w:val="003219B4"/>
    <w:rsid w:val="00321CFB"/>
    <w:rsid w:val="00323FB3"/>
    <w:rsid w:val="0032634B"/>
    <w:rsid w:val="0032750F"/>
    <w:rsid w:val="003279DB"/>
    <w:rsid w:val="00327EFB"/>
    <w:rsid w:val="00330DA3"/>
    <w:rsid w:val="003321B1"/>
    <w:rsid w:val="003321C1"/>
    <w:rsid w:val="0033297A"/>
    <w:rsid w:val="003334AB"/>
    <w:rsid w:val="00333CD2"/>
    <w:rsid w:val="00334B48"/>
    <w:rsid w:val="00336DB1"/>
    <w:rsid w:val="003377ED"/>
    <w:rsid w:val="0034063C"/>
    <w:rsid w:val="00340653"/>
    <w:rsid w:val="0034101C"/>
    <w:rsid w:val="003414F8"/>
    <w:rsid w:val="0034402A"/>
    <w:rsid w:val="00344AB5"/>
    <w:rsid w:val="00344C17"/>
    <w:rsid w:val="00345846"/>
    <w:rsid w:val="00345ADC"/>
    <w:rsid w:val="00350285"/>
    <w:rsid w:val="003507C8"/>
    <w:rsid w:val="003512F2"/>
    <w:rsid w:val="0035158A"/>
    <w:rsid w:val="00352D0C"/>
    <w:rsid w:val="00354ADA"/>
    <w:rsid w:val="00355048"/>
    <w:rsid w:val="0035512F"/>
    <w:rsid w:val="00355282"/>
    <w:rsid w:val="0035617B"/>
    <w:rsid w:val="0035695C"/>
    <w:rsid w:val="00357325"/>
    <w:rsid w:val="003605CA"/>
    <w:rsid w:val="00360D44"/>
    <w:rsid w:val="003613EC"/>
    <w:rsid w:val="00361DDC"/>
    <w:rsid w:val="00361E99"/>
    <w:rsid w:val="0036299D"/>
    <w:rsid w:val="003643B3"/>
    <w:rsid w:val="003679E9"/>
    <w:rsid w:val="00370955"/>
    <w:rsid w:val="00370A59"/>
    <w:rsid w:val="00370D32"/>
    <w:rsid w:val="003711FC"/>
    <w:rsid w:val="00371870"/>
    <w:rsid w:val="00372B74"/>
    <w:rsid w:val="00374D1C"/>
    <w:rsid w:val="00375428"/>
    <w:rsid w:val="0037567A"/>
    <w:rsid w:val="00375B3E"/>
    <w:rsid w:val="00375CBA"/>
    <w:rsid w:val="00376B7A"/>
    <w:rsid w:val="00377259"/>
    <w:rsid w:val="00377533"/>
    <w:rsid w:val="003800CE"/>
    <w:rsid w:val="0038067B"/>
    <w:rsid w:val="003810B5"/>
    <w:rsid w:val="00381611"/>
    <w:rsid w:val="003842A7"/>
    <w:rsid w:val="0038500F"/>
    <w:rsid w:val="00386C17"/>
    <w:rsid w:val="0038711C"/>
    <w:rsid w:val="00390684"/>
    <w:rsid w:val="003923F1"/>
    <w:rsid w:val="00392413"/>
    <w:rsid w:val="00393784"/>
    <w:rsid w:val="00393B4F"/>
    <w:rsid w:val="0039450F"/>
    <w:rsid w:val="00395773"/>
    <w:rsid w:val="00395CB7"/>
    <w:rsid w:val="003963C4"/>
    <w:rsid w:val="00396547"/>
    <w:rsid w:val="00397016"/>
    <w:rsid w:val="0039755B"/>
    <w:rsid w:val="0039776F"/>
    <w:rsid w:val="003A2A76"/>
    <w:rsid w:val="003A4F3E"/>
    <w:rsid w:val="003A508C"/>
    <w:rsid w:val="003A5944"/>
    <w:rsid w:val="003A5D7B"/>
    <w:rsid w:val="003A67F2"/>
    <w:rsid w:val="003B261C"/>
    <w:rsid w:val="003B31A9"/>
    <w:rsid w:val="003B52FC"/>
    <w:rsid w:val="003B5DEE"/>
    <w:rsid w:val="003B757A"/>
    <w:rsid w:val="003C0784"/>
    <w:rsid w:val="003C07C6"/>
    <w:rsid w:val="003C223C"/>
    <w:rsid w:val="003C4402"/>
    <w:rsid w:val="003C5278"/>
    <w:rsid w:val="003C6FED"/>
    <w:rsid w:val="003D11C0"/>
    <w:rsid w:val="003D1A83"/>
    <w:rsid w:val="003D40D2"/>
    <w:rsid w:val="003D4703"/>
    <w:rsid w:val="003D5B84"/>
    <w:rsid w:val="003D7FFD"/>
    <w:rsid w:val="003E01CC"/>
    <w:rsid w:val="003E190D"/>
    <w:rsid w:val="003E2298"/>
    <w:rsid w:val="003E2652"/>
    <w:rsid w:val="003E551D"/>
    <w:rsid w:val="003E599E"/>
    <w:rsid w:val="003E5DAB"/>
    <w:rsid w:val="003E5E23"/>
    <w:rsid w:val="003E6252"/>
    <w:rsid w:val="003E6B34"/>
    <w:rsid w:val="003F4D09"/>
    <w:rsid w:val="003F5C7A"/>
    <w:rsid w:val="003F5E5F"/>
    <w:rsid w:val="003F6264"/>
    <w:rsid w:val="003F698B"/>
    <w:rsid w:val="003F69B2"/>
    <w:rsid w:val="003F7B06"/>
    <w:rsid w:val="003F7EE9"/>
    <w:rsid w:val="004004A1"/>
    <w:rsid w:val="004007ED"/>
    <w:rsid w:val="004015C2"/>
    <w:rsid w:val="004017D7"/>
    <w:rsid w:val="0040246E"/>
    <w:rsid w:val="0040260B"/>
    <w:rsid w:val="00403A3B"/>
    <w:rsid w:val="00403EE7"/>
    <w:rsid w:val="004043E2"/>
    <w:rsid w:val="00406326"/>
    <w:rsid w:val="00406F3A"/>
    <w:rsid w:val="00411FBB"/>
    <w:rsid w:val="004124E1"/>
    <w:rsid w:val="00413050"/>
    <w:rsid w:val="004139EE"/>
    <w:rsid w:val="00415142"/>
    <w:rsid w:val="004159B7"/>
    <w:rsid w:val="00415D72"/>
    <w:rsid w:val="00416BE5"/>
    <w:rsid w:val="00416F42"/>
    <w:rsid w:val="0041730D"/>
    <w:rsid w:val="004210FB"/>
    <w:rsid w:val="00422372"/>
    <w:rsid w:val="00422ECE"/>
    <w:rsid w:val="0042460A"/>
    <w:rsid w:val="00426032"/>
    <w:rsid w:val="0042610E"/>
    <w:rsid w:val="00427EDD"/>
    <w:rsid w:val="00430F79"/>
    <w:rsid w:val="00432676"/>
    <w:rsid w:val="00433C43"/>
    <w:rsid w:val="004350C1"/>
    <w:rsid w:val="00435BCD"/>
    <w:rsid w:val="00435E75"/>
    <w:rsid w:val="004372CF"/>
    <w:rsid w:val="0044068A"/>
    <w:rsid w:val="004413C6"/>
    <w:rsid w:val="004421DD"/>
    <w:rsid w:val="00443392"/>
    <w:rsid w:val="00444037"/>
    <w:rsid w:val="004440A2"/>
    <w:rsid w:val="004476E7"/>
    <w:rsid w:val="00447D68"/>
    <w:rsid w:val="00447E08"/>
    <w:rsid w:val="00447E63"/>
    <w:rsid w:val="004508F7"/>
    <w:rsid w:val="00450973"/>
    <w:rsid w:val="00451884"/>
    <w:rsid w:val="004521D2"/>
    <w:rsid w:val="0045390A"/>
    <w:rsid w:val="0045585F"/>
    <w:rsid w:val="00455A30"/>
    <w:rsid w:val="00456BF3"/>
    <w:rsid w:val="0046176D"/>
    <w:rsid w:val="00463440"/>
    <w:rsid w:val="004638EC"/>
    <w:rsid w:val="00463FF8"/>
    <w:rsid w:val="00465BCB"/>
    <w:rsid w:val="00470DD9"/>
    <w:rsid w:val="00471512"/>
    <w:rsid w:val="004744AE"/>
    <w:rsid w:val="00474E81"/>
    <w:rsid w:val="00475817"/>
    <w:rsid w:val="004758DC"/>
    <w:rsid w:val="004766DF"/>
    <w:rsid w:val="00476FA2"/>
    <w:rsid w:val="00480147"/>
    <w:rsid w:val="0048018A"/>
    <w:rsid w:val="00482486"/>
    <w:rsid w:val="004828DF"/>
    <w:rsid w:val="00482C62"/>
    <w:rsid w:val="0048329A"/>
    <w:rsid w:val="00483B4F"/>
    <w:rsid w:val="0048492E"/>
    <w:rsid w:val="00485916"/>
    <w:rsid w:val="00485BF2"/>
    <w:rsid w:val="0049066E"/>
    <w:rsid w:val="00491485"/>
    <w:rsid w:val="004916C4"/>
    <w:rsid w:val="00491C06"/>
    <w:rsid w:val="00491FE6"/>
    <w:rsid w:val="00493773"/>
    <w:rsid w:val="00493F13"/>
    <w:rsid w:val="0049488F"/>
    <w:rsid w:val="00495364"/>
    <w:rsid w:val="00497236"/>
    <w:rsid w:val="004A009E"/>
    <w:rsid w:val="004A086B"/>
    <w:rsid w:val="004A0A15"/>
    <w:rsid w:val="004A2AEF"/>
    <w:rsid w:val="004A2B5D"/>
    <w:rsid w:val="004A2EFD"/>
    <w:rsid w:val="004A30A6"/>
    <w:rsid w:val="004A3411"/>
    <w:rsid w:val="004A4204"/>
    <w:rsid w:val="004A502A"/>
    <w:rsid w:val="004A5381"/>
    <w:rsid w:val="004A54EB"/>
    <w:rsid w:val="004A5BE6"/>
    <w:rsid w:val="004A5C90"/>
    <w:rsid w:val="004A67C3"/>
    <w:rsid w:val="004A6DF0"/>
    <w:rsid w:val="004B04C8"/>
    <w:rsid w:val="004B09C2"/>
    <w:rsid w:val="004B1948"/>
    <w:rsid w:val="004B1A34"/>
    <w:rsid w:val="004B23CE"/>
    <w:rsid w:val="004B24D8"/>
    <w:rsid w:val="004B315B"/>
    <w:rsid w:val="004B336B"/>
    <w:rsid w:val="004B57CF"/>
    <w:rsid w:val="004B6287"/>
    <w:rsid w:val="004B64E2"/>
    <w:rsid w:val="004B731C"/>
    <w:rsid w:val="004C044D"/>
    <w:rsid w:val="004C0698"/>
    <w:rsid w:val="004C069D"/>
    <w:rsid w:val="004C0D30"/>
    <w:rsid w:val="004C1CDE"/>
    <w:rsid w:val="004C2199"/>
    <w:rsid w:val="004C3CBF"/>
    <w:rsid w:val="004C3DBE"/>
    <w:rsid w:val="004C58B7"/>
    <w:rsid w:val="004C5E78"/>
    <w:rsid w:val="004C5F0C"/>
    <w:rsid w:val="004C6635"/>
    <w:rsid w:val="004C69C0"/>
    <w:rsid w:val="004C7CB0"/>
    <w:rsid w:val="004D051A"/>
    <w:rsid w:val="004D057D"/>
    <w:rsid w:val="004D0FED"/>
    <w:rsid w:val="004D11B8"/>
    <w:rsid w:val="004D143F"/>
    <w:rsid w:val="004D1D0B"/>
    <w:rsid w:val="004D2023"/>
    <w:rsid w:val="004D2223"/>
    <w:rsid w:val="004D2654"/>
    <w:rsid w:val="004D2E22"/>
    <w:rsid w:val="004D3320"/>
    <w:rsid w:val="004D389F"/>
    <w:rsid w:val="004D4A1C"/>
    <w:rsid w:val="004D4FEF"/>
    <w:rsid w:val="004D5161"/>
    <w:rsid w:val="004D53A1"/>
    <w:rsid w:val="004D5D32"/>
    <w:rsid w:val="004D6730"/>
    <w:rsid w:val="004D6D92"/>
    <w:rsid w:val="004D71E4"/>
    <w:rsid w:val="004E2B26"/>
    <w:rsid w:val="004E3EFC"/>
    <w:rsid w:val="004E3FFE"/>
    <w:rsid w:val="004E45A4"/>
    <w:rsid w:val="004E54E4"/>
    <w:rsid w:val="004E5D77"/>
    <w:rsid w:val="004E6198"/>
    <w:rsid w:val="004E63F2"/>
    <w:rsid w:val="004E64A9"/>
    <w:rsid w:val="004E661F"/>
    <w:rsid w:val="004F0395"/>
    <w:rsid w:val="004F1830"/>
    <w:rsid w:val="004F1B29"/>
    <w:rsid w:val="004F1DD1"/>
    <w:rsid w:val="004F3ED2"/>
    <w:rsid w:val="004F5439"/>
    <w:rsid w:val="004F79D7"/>
    <w:rsid w:val="004F7C8F"/>
    <w:rsid w:val="00501051"/>
    <w:rsid w:val="005013B9"/>
    <w:rsid w:val="00501AC0"/>
    <w:rsid w:val="00502FDB"/>
    <w:rsid w:val="00503017"/>
    <w:rsid w:val="005038A9"/>
    <w:rsid w:val="005048D7"/>
    <w:rsid w:val="005059AD"/>
    <w:rsid w:val="00505AA0"/>
    <w:rsid w:val="0050744B"/>
    <w:rsid w:val="005078BC"/>
    <w:rsid w:val="00507D2D"/>
    <w:rsid w:val="0051060E"/>
    <w:rsid w:val="0051077D"/>
    <w:rsid w:val="005131EC"/>
    <w:rsid w:val="005162BB"/>
    <w:rsid w:val="0051695E"/>
    <w:rsid w:val="005211BD"/>
    <w:rsid w:val="0052165C"/>
    <w:rsid w:val="0052236E"/>
    <w:rsid w:val="005235BF"/>
    <w:rsid w:val="00523A47"/>
    <w:rsid w:val="00523E46"/>
    <w:rsid w:val="005240FE"/>
    <w:rsid w:val="0052552D"/>
    <w:rsid w:val="00525901"/>
    <w:rsid w:val="0052649E"/>
    <w:rsid w:val="005310D4"/>
    <w:rsid w:val="005312B4"/>
    <w:rsid w:val="00531ED5"/>
    <w:rsid w:val="00532385"/>
    <w:rsid w:val="00532874"/>
    <w:rsid w:val="00533433"/>
    <w:rsid w:val="00533E9E"/>
    <w:rsid w:val="00534ADF"/>
    <w:rsid w:val="00534C3D"/>
    <w:rsid w:val="005371BC"/>
    <w:rsid w:val="00541E54"/>
    <w:rsid w:val="0054233A"/>
    <w:rsid w:val="00543470"/>
    <w:rsid w:val="0054451F"/>
    <w:rsid w:val="00546F4B"/>
    <w:rsid w:val="00551A9F"/>
    <w:rsid w:val="00552DEB"/>
    <w:rsid w:val="00552FE1"/>
    <w:rsid w:val="0055460E"/>
    <w:rsid w:val="0055567A"/>
    <w:rsid w:val="00557CC3"/>
    <w:rsid w:val="00560F00"/>
    <w:rsid w:val="00562ADF"/>
    <w:rsid w:val="00562C49"/>
    <w:rsid w:val="0056330F"/>
    <w:rsid w:val="00563843"/>
    <w:rsid w:val="00564FB8"/>
    <w:rsid w:val="0056568D"/>
    <w:rsid w:val="00565B1B"/>
    <w:rsid w:val="00567DC8"/>
    <w:rsid w:val="005701FB"/>
    <w:rsid w:val="00570648"/>
    <w:rsid w:val="00572337"/>
    <w:rsid w:val="00572719"/>
    <w:rsid w:val="005765A5"/>
    <w:rsid w:val="00577EEC"/>
    <w:rsid w:val="005808C7"/>
    <w:rsid w:val="00580B3A"/>
    <w:rsid w:val="00581685"/>
    <w:rsid w:val="0058273B"/>
    <w:rsid w:val="005853B8"/>
    <w:rsid w:val="0058589E"/>
    <w:rsid w:val="00590336"/>
    <w:rsid w:val="0059097A"/>
    <w:rsid w:val="0059118C"/>
    <w:rsid w:val="00592806"/>
    <w:rsid w:val="00594501"/>
    <w:rsid w:val="00595649"/>
    <w:rsid w:val="00596053"/>
    <w:rsid w:val="00596A8C"/>
    <w:rsid w:val="00596DBE"/>
    <w:rsid w:val="005976BD"/>
    <w:rsid w:val="005A2269"/>
    <w:rsid w:val="005A3502"/>
    <w:rsid w:val="005A436D"/>
    <w:rsid w:val="005A4860"/>
    <w:rsid w:val="005A53C7"/>
    <w:rsid w:val="005A63A8"/>
    <w:rsid w:val="005A6507"/>
    <w:rsid w:val="005A7ECF"/>
    <w:rsid w:val="005B004F"/>
    <w:rsid w:val="005B07AE"/>
    <w:rsid w:val="005B07EC"/>
    <w:rsid w:val="005B1403"/>
    <w:rsid w:val="005B1E04"/>
    <w:rsid w:val="005B2D21"/>
    <w:rsid w:val="005B2FC0"/>
    <w:rsid w:val="005B4C95"/>
    <w:rsid w:val="005B536D"/>
    <w:rsid w:val="005B54BD"/>
    <w:rsid w:val="005B587B"/>
    <w:rsid w:val="005B58BE"/>
    <w:rsid w:val="005B69AF"/>
    <w:rsid w:val="005C0C39"/>
    <w:rsid w:val="005C39E3"/>
    <w:rsid w:val="005C3F29"/>
    <w:rsid w:val="005C535B"/>
    <w:rsid w:val="005C661F"/>
    <w:rsid w:val="005C6972"/>
    <w:rsid w:val="005C6DA3"/>
    <w:rsid w:val="005D0496"/>
    <w:rsid w:val="005D0C90"/>
    <w:rsid w:val="005D12B7"/>
    <w:rsid w:val="005D1DA9"/>
    <w:rsid w:val="005D234C"/>
    <w:rsid w:val="005D2CB4"/>
    <w:rsid w:val="005D309B"/>
    <w:rsid w:val="005D3DBC"/>
    <w:rsid w:val="005D3EB0"/>
    <w:rsid w:val="005D4B9C"/>
    <w:rsid w:val="005D4CB4"/>
    <w:rsid w:val="005D65BE"/>
    <w:rsid w:val="005D7414"/>
    <w:rsid w:val="005E0C11"/>
    <w:rsid w:val="005E207D"/>
    <w:rsid w:val="005E2A73"/>
    <w:rsid w:val="005E317D"/>
    <w:rsid w:val="005E371E"/>
    <w:rsid w:val="005E3756"/>
    <w:rsid w:val="005E3E81"/>
    <w:rsid w:val="005E5EB3"/>
    <w:rsid w:val="005E6DD4"/>
    <w:rsid w:val="005E6E62"/>
    <w:rsid w:val="005E70BA"/>
    <w:rsid w:val="005F0607"/>
    <w:rsid w:val="005F0FA1"/>
    <w:rsid w:val="005F4220"/>
    <w:rsid w:val="005F4437"/>
    <w:rsid w:val="0060171E"/>
    <w:rsid w:val="006021FA"/>
    <w:rsid w:val="006023BA"/>
    <w:rsid w:val="00602AAE"/>
    <w:rsid w:val="00603262"/>
    <w:rsid w:val="006040B4"/>
    <w:rsid w:val="00605BBA"/>
    <w:rsid w:val="00606191"/>
    <w:rsid w:val="00607A02"/>
    <w:rsid w:val="00607F7F"/>
    <w:rsid w:val="0061026F"/>
    <w:rsid w:val="00610377"/>
    <w:rsid w:val="00610473"/>
    <w:rsid w:val="00610693"/>
    <w:rsid w:val="00610A55"/>
    <w:rsid w:val="00610C52"/>
    <w:rsid w:val="006117E5"/>
    <w:rsid w:val="006124EF"/>
    <w:rsid w:val="00612FDC"/>
    <w:rsid w:val="006141C4"/>
    <w:rsid w:val="00616354"/>
    <w:rsid w:val="006164B1"/>
    <w:rsid w:val="00617B75"/>
    <w:rsid w:val="0062105A"/>
    <w:rsid w:val="006228CF"/>
    <w:rsid w:val="00625BC0"/>
    <w:rsid w:val="00626480"/>
    <w:rsid w:val="00627AA6"/>
    <w:rsid w:val="00631829"/>
    <w:rsid w:val="00632F1A"/>
    <w:rsid w:val="00634BF8"/>
    <w:rsid w:val="00636602"/>
    <w:rsid w:val="0063795B"/>
    <w:rsid w:val="006407B1"/>
    <w:rsid w:val="0064113A"/>
    <w:rsid w:val="00641315"/>
    <w:rsid w:val="006424DE"/>
    <w:rsid w:val="006425E2"/>
    <w:rsid w:val="00642FD6"/>
    <w:rsid w:val="0064310D"/>
    <w:rsid w:val="00643445"/>
    <w:rsid w:val="00643E5E"/>
    <w:rsid w:val="006443C7"/>
    <w:rsid w:val="006456F6"/>
    <w:rsid w:val="006466A4"/>
    <w:rsid w:val="00650ED7"/>
    <w:rsid w:val="00651388"/>
    <w:rsid w:val="00651669"/>
    <w:rsid w:val="00651E39"/>
    <w:rsid w:val="00651F5B"/>
    <w:rsid w:val="00652584"/>
    <w:rsid w:val="00653718"/>
    <w:rsid w:val="00653C30"/>
    <w:rsid w:val="00654374"/>
    <w:rsid w:val="00655CBA"/>
    <w:rsid w:val="006572DD"/>
    <w:rsid w:val="00657B63"/>
    <w:rsid w:val="00660536"/>
    <w:rsid w:val="00660901"/>
    <w:rsid w:val="00660D25"/>
    <w:rsid w:val="00662539"/>
    <w:rsid w:val="00662653"/>
    <w:rsid w:val="00663BBE"/>
    <w:rsid w:val="00664C2F"/>
    <w:rsid w:val="00664F4C"/>
    <w:rsid w:val="00666740"/>
    <w:rsid w:val="006669E1"/>
    <w:rsid w:val="00666ECF"/>
    <w:rsid w:val="00667563"/>
    <w:rsid w:val="006700B4"/>
    <w:rsid w:val="006730CC"/>
    <w:rsid w:val="00674689"/>
    <w:rsid w:val="006754E5"/>
    <w:rsid w:val="00675A7C"/>
    <w:rsid w:val="00675DD8"/>
    <w:rsid w:val="006778B3"/>
    <w:rsid w:val="00680193"/>
    <w:rsid w:val="00680459"/>
    <w:rsid w:val="006812B9"/>
    <w:rsid w:val="00683A75"/>
    <w:rsid w:val="00686906"/>
    <w:rsid w:val="006906B9"/>
    <w:rsid w:val="00691804"/>
    <w:rsid w:val="0069262A"/>
    <w:rsid w:val="00696133"/>
    <w:rsid w:val="00696CF8"/>
    <w:rsid w:val="006A155A"/>
    <w:rsid w:val="006A2867"/>
    <w:rsid w:val="006A2A8D"/>
    <w:rsid w:val="006A2C32"/>
    <w:rsid w:val="006A3F86"/>
    <w:rsid w:val="006A5277"/>
    <w:rsid w:val="006A63F0"/>
    <w:rsid w:val="006B0B7A"/>
    <w:rsid w:val="006B1F8E"/>
    <w:rsid w:val="006B21FC"/>
    <w:rsid w:val="006B2A49"/>
    <w:rsid w:val="006B357E"/>
    <w:rsid w:val="006B41F4"/>
    <w:rsid w:val="006B4836"/>
    <w:rsid w:val="006B4B68"/>
    <w:rsid w:val="006B513F"/>
    <w:rsid w:val="006B5E43"/>
    <w:rsid w:val="006B78E1"/>
    <w:rsid w:val="006C0AC1"/>
    <w:rsid w:val="006C0E41"/>
    <w:rsid w:val="006C1F42"/>
    <w:rsid w:val="006C2FFA"/>
    <w:rsid w:val="006C34C6"/>
    <w:rsid w:val="006C375A"/>
    <w:rsid w:val="006C4A68"/>
    <w:rsid w:val="006C51DC"/>
    <w:rsid w:val="006C6D91"/>
    <w:rsid w:val="006C6E26"/>
    <w:rsid w:val="006C7702"/>
    <w:rsid w:val="006C7AEF"/>
    <w:rsid w:val="006C7BE0"/>
    <w:rsid w:val="006D09AB"/>
    <w:rsid w:val="006D1A62"/>
    <w:rsid w:val="006D4238"/>
    <w:rsid w:val="006D488C"/>
    <w:rsid w:val="006D6C0A"/>
    <w:rsid w:val="006D71A1"/>
    <w:rsid w:val="006E02B7"/>
    <w:rsid w:val="006E04B1"/>
    <w:rsid w:val="006E165A"/>
    <w:rsid w:val="006E2D4E"/>
    <w:rsid w:val="006E3035"/>
    <w:rsid w:val="006E3510"/>
    <w:rsid w:val="006E3C2F"/>
    <w:rsid w:val="006E5565"/>
    <w:rsid w:val="006E5A19"/>
    <w:rsid w:val="006E5B35"/>
    <w:rsid w:val="006E5E79"/>
    <w:rsid w:val="006E6C23"/>
    <w:rsid w:val="006E72EA"/>
    <w:rsid w:val="006E76AF"/>
    <w:rsid w:val="006F22C0"/>
    <w:rsid w:val="006F73A7"/>
    <w:rsid w:val="006F7ECF"/>
    <w:rsid w:val="007001A5"/>
    <w:rsid w:val="00700BDE"/>
    <w:rsid w:val="00702861"/>
    <w:rsid w:val="00702B50"/>
    <w:rsid w:val="007055D4"/>
    <w:rsid w:val="00705D66"/>
    <w:rsid w:val="00706271"/>
    <w:rsid w:val="00706DE6"/>
    <w:rsid w:val="00707C33"/>
    <w:rsid w:val="00707EE3"/>
    <w:rsid w:val="00707F42"/>
    <w:rsid w:val="00710887"/>
    <w:rsid w:val="00711B04"/>
    <w:rsid w:val="00714D0D"/>
    <w:rsid w:val="00714FA8"/>
    <w:rsid w:val="00716731"/>
    <w:rsid w:val="00716DB9"/>
    <w:rsid w:val="007173D3"/>
    <w:rsid w:val="007231F2"/>
    <w:rsid w:val="00723AD9"/>
    <w:rsid w:val="00723DAF"/>
    <w:rsid w:val="00723EB1"/>
    <w:rsid w:val="00724D79"/>
    <w:rsid w:val="00724F86"/>
    <w:rsid w:val="0072545A"/>
    <w:rsid w:val="00726034"/>
    <w:rsid w:val="00726B50"/>
    <w:rsid w:val="00730ADC"/>
    <w:rsid w:val="007314D8"/>
    <w:rsid w:val="007319E6"/>
    <w:rsid w:val="007329D9"/>
    <w:rsid w:val="00732A67"/>
    <w:rsid w:val="00732C24"/>
    <w:rsid w:val="00734DBF"/>
    <w:rsid w:val="00736EF0"/>
    <w:rsid w:val="00737379"/>
    <w:rsid w:val="00737F36"/>
    <w:rsid w:val="00740E86"/>
    <w:rsid w:val="00741A21"/>
    <w:rsid w:val="00742040"/>
    <w:rsid w:val="00742657"/>
    <w:rsid w:val="00742824"/>
    <w:rsid w:val="00743078"/>
    <w:rsid w:val="007441EB"/>
    <w:rsid w:val="00745C5F"/>
    <w:rsid w:val="00747569"/>
    <w:rsid w:val="00750213"/>
    <w:rsid w:val="00753556"/>
    <w:rsid w:val="00753E81"/>
    <w:rsid w:val="00754299"/>
    <w:rsid w:val="00756A1D"/>
    <w:rsid w:val="00756A2B"/>
    <w:rsid w:val="007579CB"/>
    <w:rsid w:val="00760CAD"/>
    <w:rsid w:val="00765EE9"/>
    <w:rsid w:val="00766472"/>
    <w:rsid w:val="00766AE3"/>
    <w:rsid w:val="007674EF"/>
    <w:rsid w:val="00770BCB"/>
    <w:rsid w:val="0077126E"/>
    <w:rsid w:val="00771307"/>
    <w:rsid w:val="00771702"/>
    <w:rsid w:val="007732FF"/>
    <w:rsid w:val="00774169"/>
    <w:rsid w:val="007746D1"/>
    <w:rsid w:val="00774A1E"/>
    <w:rsid w:val="00777443"/>
    <w:rsid w:val="007778A2"/>
    <w:rsid w:val="00782507"/>
    <w:rsid w:val="00782541"/>
    <w:rsid w:val="0078335F"/>
    <w:rsid w:val="0078365D"/>
    <w:rsid w:val="007856FD"/>
    <w:rsid w:val="00790177"/>
    <w:rsid w:val="007903EE"/>
    <w:rsid w:val="007911A1"/>
    <w:rsid w:val="00791A03"/>
    <w:rsid w:val="00791C12"/>
    <w:rsid w:val="007930AA"/>
    <w:rsid w:val="007947C1"/>
    <w:rsid w:val="007947F2"/>
    <w:rsid w:val="00794B22"/>
    <w:rsid w:val="00795531"/>
    <w:rsid w:val="0079672D"/>
    <w:rsid w:val="00796F63"/>
    <w:rsid w:val="007972FF"/>
    <w:rsid w:val="007976F4"/>
    <w:rsid w:val="007978A4"/>
    <w:rsid w:val="00797EA6"/>
    <w:rsid w:val="007A0ACF"/>
    <w:rsid w:val="007A0D70"/>
    <w:rsid w:val="007A3F38"/>
    <w:rsid w:val="007A424F"/>
    <w:rsid w:val="007A4A0D"/>
    <w:rsid w:val="007A4F38"/>
    <w:rsid w:val="007A5B84"/>
    <w:rsid w:val="007A5BD8"/>
    <w:rsid w:val="007A5C64"/>
    <w:rsid w:val="007A5EA2"/>
    <w:rsid w:val="007A7229"/>
    <w:rsid w:val="007A7720"/>
    <w:rsid w:val="007B0627"/>
    <w:rsid w:val="007B21FA"/>
    <w:rsid w:val="007B3A78"/>
    <w:rsid w:val="007B4077"/>
    <w:rsid w:val="007B5BC0"/>
    <w:rsid w:val="007B6E85"/>
    <w:rsid w:val="007B70F0"/>
    <w:rsid w:val="007C08EA"/>
    <w:rsid w:val="007C0B5B"/>
    <w:rsid w:val="007C2E37"/>
    <w:rsid w:val="007C3294"/>
    <w:rsid w:val="007C5589"/>
    <w:rsid w:val="007C591C"/>
    <w:rsid w:val="007C69DF"/>
    <w:rsid w:val="007C7D0E"/>
    <w:rsid w:val="007D15F5"/>
    <w:rsid w:val="007D27CE"/>
    <w:rsid w:val="007D2D36"/>
    <w:rsid w:val="007D3872"/>
    <w:rsid w:val="007D4BC3"/>
    <w:rsid w:val="007D5B75"/>
    <w:rsid w:val="007E24AE"/>
    <w:rsid w:val="007E33D9"/>
    <w:rsid w:val="007E47F7"/>
    <w:rsid w:val="007E498E"/>
    <w:rsid w:val="007E5F78"/>
    <w:rsid w:val="007E5F7C"/>
    <w:rsid w:val="007E6883"/>
    <w:rsid w:val="007E6F3B"/>
    <w:rsid w:val="007E7D8B"/>
    <w:rsid w:val="007F007F"/>
    <w:rsid w:val="007F2477"/>
    <w:rsid w:val="007F251A"/>
    <w:rsid w:val="007F2815"/>
    <w:rsid w:val="007F2F40"/>
    <w:rsid w:val="007F4710"/>
    <w:rsid w:val="007F4E73"/>
    <w:rsid w:val="007F6478"/>
    <w:rsid w:val="007F69B7"/>
    <w:rsid w:val="007F6CDD"/>
    <w:rsid w:val="00803AAF"/>
    <w:rsid w:val="00804218"/>
    <w:rsid w:val="00804E4D"/>
    <w:rsid w:val="008055B0"/>
    <w:rsid w:val="00805833"/>
    <w:rsid w:val="00807A9A"/>
    <w:rsid w:val="00810457"/>
    <w:rsid w:val="00810512"/>
    <w:rsid w:val="00810F6D"/>
    <w:rsid w:val="0081347A"/>
    <w:rsid w:val="00813C7E"/>
    <w:rsid w:val="008144E5"/>
    <w:rsid w:val="008147F0"/>
    <w:rsid w:val="008148E7"/>
    <w:rsid w:val="0082135C"/>
    <w:rsid w:val="00821ACC"/>
    <w:rsid w:val="008222F1"/>
    <w:rsid w:val="0082240B"/>
    <w:rsid w:val="008225E6"/>
    <w:rsid w:val="0082408D"/>
    <w:rsid w:val="00825EE8"/>
    <w:rsid w:val="008275A4"/>
    <w:rsid w:val="0083007F"/>
    <w:rsid w:val="008300E2"/>
    <w:rsid w:val="0083079C"/>
    <w:rsid w:val="008313E2"/>
    <w:rsid w:val="00831AA6"/>
    <w:rsid w:val="008330EC"/>
    <w:rsid w:val="008355AA"/>
    <w:rsid w:val="00835A93"/>
    <w:rsid w:val="00836ADF"/>
    <w:rsid w:val="00840BD9"/>
    <w:rsid w:val="00840C76"/>
    <w:rsid w:val="0084183B"/>
    <w:rsid w:val="008423A0"/>
    <w:rsid w:val="00844310"/>
    <w:rsid w:val="00847401"/>
    <w:rsid w:val="00847DA7"/>
    <w:rsid w:val="00847F40"/>
    <w:rsid w:val="0085179F"/>
    <w:rsid w:val="008517A0"/>
    <w:rsid w:val="00851B40"/>
    <w:rsid w:val="00851FB6"/>
    <w:rsid w:val="00852274"/>
    <w:rsid w:val="008529A3"/>
    <w:rsid w:val="00852BCA"/>
    <w:rsid w:val="008536BF"/>
    <w:rsid w:val="00853DD9"/>
    <w:rsid w:val="008541FA"/>
    <w:rsid w:val="00854D68"/>
    <w:rsid w:val="0085533C"/>
    <w:rsid w:val="008608DB"/>
    <w:rsid w:val="00861C26"/>
    <w:rsid w:val="00862897"/>
    <w:rsid w:val="00862EDF"/>
    <w:rsid w:val="008649A9"/>
    <w:rsid w:val="00864F59"/>
    <w:rsid w:val="00864FCB"/>
    <w:rsid w:val="00870F23"/>
    <w:rsid w:val="008729FA"/>
    <w:rsid w:val="00872A45"/>
    <w:rsid w:val="00872D31"/>
    <w:rsid w:val="00874B90"/>
    <w:rsid w:val="00874FB2"/>
    <w:rsid w:val="008764D6"/>
    <w:rsid w:val="008766A1"/>
    <w:rsid w:val="00876C83"/>
    <w:rsid w:val="0087768A"/>
    <w:rsid w:val="00877D62"/>
    <w:rsid w:val="008803AA"/>
    <w:rsid w:val="00881855"/>
    <w:rsid w:val="00881C4F"/>
    <w:rsid w:val="008827EF"/>
    <w:rsid w:val="00882B0C"/>
    <w:rsid w:val="00882B2F"/>
    <w:rsid w:val="008839AC"/>
    <w:rsid w:val="0088765D"/>
    <w:rsid w:val="00890ED8"/>
    <w:rsid w:val="0089299B"/>
    <w:rsid w:val="00893A67"/>
    <w:rsid w:val="00894012"/>
    <w:rsid w:val="00894A00"/>
    <w:rsid w:val="00894C65"/>
    <w:rsid w:val="00895398"/>
    <w:rsid w:val="008960F5"/>
    <w:rsid w:val="0089752C"/>
    <w:rsid w:val="008A080E"/>
    <w:rsid w:val="008A13AE"/>
    <w:rsid w:val="008A1645"/>
    <w:rsid w:val="008A2847"/>
    <w:rsid w:val="008A2CDE"/>
    <w:rsid w:val="008A32CA"/>
    <w:rsid w:val="008A3E22"/>
    <w:rsid w:val="008A40B3"/>
    <w:rsid w:val="008A4363"/>
    <w:rsid w:val="008A527C"/>
    <w:rsid w:val="008A611E"/>
    <w:rsid w:val="008A68FD"/>
    <w:rsid w:val="008B00B5"/>
    <w:rsid w:val="008B04BC"/>
    <w:rsid w:val="008B160D"/>
    <w:rsid w:val="008B1A45"/>
    <w:rsid w:val="008B1F83"/>
    <w:rsid w:val="008B2B3B"/>
    <w:rsid w:val="008B2F2F"/>
    <w:rsid w:val="008B3ECF"/>
    <w:rsid w:val="008B470E"/>
    <w:rsid w:val="008B6C63"/>
    <w:rsid w:val="008C00C8"/>
    <w:rsid w:val="008C1566"/>
    <w:rsid w:val="008C1C1D"/>
    <w:rsid w:val="008C27BB"/>
    <w:rsid w:val="008C34BB"/>
    <w:rsid w:val="008C3747"/>
    <w:rsid w:val="008C4568"/>
    <w:rsid w:val="008C484E"/>
    <w:rsid w:val="008C4852"/>
    <w:rsid w:val="008C685D"/>
    <w:rsid w:val="008C751D"/>
    <w:rsid w:val="008C7C72"/>
    <w:rsid w:val="008D0950"/>
    <w:rsid w:val="008D0AE0"/>
    <w:rsid w:val="008D1C9A"/>
    <w:rsid w:val="008D28FD"/>
    <w:rsid w:val="008D2D07"/>
    <w:rsid w:val="008D6419"/>
    <w:rsid w:val="008D71A7"/>
    <w:rsid w:val="008E09D7"/>
    <w:rsid w:val="008E1204"/>
    <w:rsid w:val="008E1AFC"/>
    <w:rsid w:val="008E2381"/>
    <w:rsid w:val="008E2C63"/>
    <w:rsid w:val="008E36A3"/>
    <w:rsid w:val="008E4AFC"/>
    <w:rsid w:val="008E632E"/>
    <w:rsid w:val="008E73B2"/>
    <w:rsid w:val="008F07DF"/>
    <w:rsid w:val="008F1C8A"/>
    <w:rsid w:val="008F1E1A"/>
    <w:rsid w:val="008F1EE5"/>
    <w:rsid w:val="008F2645"/>
    <w:rsid w:val="008F3213"/>
    <w:rsid w:val="00900F21"/>
    <w:rsid w:val="00901524"/>
    <w:rsid w:val="009015E6"/>
    <w:rsid w:val="00901B56"/>
    <w:rsid w:val="00902394"/>
    <w:rsid w:val="0090622C"/>
    <w:rsid w:val="00906CFC"/>
    <w:rsid w:val="00906E4D"/>
    <w:rsid w:val="00906F9A"/>
    <w:rsid w:val="00907C3D"/>
    <w:rsid w:val="00907F71"/>
    <w:rsid w:val="00910F44"/>
    <w:rsid w:val="00911258"/>
    <w:rsid w:val="00913F09"/>
    <w:rsid w:val="00914DBD"/>
    <w:rsid w:val="0091682C"/>
    <w:rsid w:val="00916898"/>
    <w:rsid w:val="0092079F"/>
    <w:rsid w:val="00920E82"/>
    <w:rsid w:val="00921546"/>
    <w:rsid w:val="00921806"/>
    <w:rsid w:val="009220EB"/>
    <w:rsid w:val="00922654"/>
    <w:rsid w:val="00923840"/>
    <w:rsid w:val="00925302"/>
    <w:rsid w:val="00926613"/>
    <w:rsid w:val="0092669A"/>
    <w:rsid w:val="00927D3B"/>
    <w:rsid w:val="00927FF3"/>
    <w:rsid w:val="00932CA4"/>
    <w:rsid w:val="00933E43"/>
    <w:rsid w:val="00934515"/>
    <w:rsid w:val="0093558A"/>
    <w:rsid w:val="00936B96"/>
    <w:rsid w:val="00937267"/>
    <w:rsid w:val="00937975"/>
    <w:rsid w:val="00940CD3"/>
    <w:rsid w:val="00941A58"/>
    <w:rsid w:val="00942364"/>
    <w:rsid w:val="0094338C"/>
    <w:rsid w:val="00943AAB"/>
    <w:rsid w:val="00944118"/>
    <w:rsid w:val="00944F57"/>
    <w:rsid w:val="00944F8F"/>
    <w:rsid w:val="009465BE"/>
    <w:rsid w:val="00950805"/>
    <w:rsid w:val="00950C25"/>
    <w:rsid w:val="00951A0D"/>
    <w:rsid w:val="00952392"/>
    <w:rsid w:val="0095262B"/>
    <w:rsid w:val="00953188"/>
    <w:rsid w:val="00954309"/>
    <w:rsid w:val="00955BC4"/>
    <w:rsid w:val="00956D09"/>
    <w:rsid w:val="0095777C"/>
    <w:rsid w:val="00960DD9"/>
    <w:rsid w:val="00961142"/>
    <w:rsid w:val="00961E86"/>
    <w:rsid w:val="00961FFD"/>
    <w:rsid w:val="00962549"/>
    <w:rsid w:val="00962A93"/>
    <w:rsid w:val="00962C64"/>
    <w:rsid w:val="00963A77"/>
    <w:rsid w:val="00964513"/>
    <w:rsid w:val="00965A00"/>
    <w:rsid w:val="009669FD"/>
    <w:rsid w:val="00967B96"/>
    <w:rsid w:val="0097078B"/>
    <w:rsid w:val="00974B71"/>
    <w:rsid w:val="00975811"/>
    <w:rsid w:val="00976D2A"/>
    <w:rsid w:val="00977AB1"/>
    <w:rsid w:val="009802F7"/>
    <w:rsid w:val="009803F9"/>
    <w:rsid w:val="0098052A"/>
    <w:rsid w:val="009818C0"/>
    <w:rsid w:val="00981D20"/>
    <w:rsid w:val="00982CD5"/>
    <w:rsid w:val="00983C44"/>
    <w:rsid w:val="0098549D"/>
    <w:rsid w:val="009867EE"/>
    <w:rsid w:val="00987049"/>
    <w:rsid w:val="00987672"/>
    <w:rsid w:val="0098778C"/>
    <w:rsid w:val="00987990"/>
    <w:rsid w:val="0099073D"/>
    <w:rsid w:val="00991B37"/>
    <w:rsid w:val="0099223F"/>
    <w:rsid w:val="00992567"/>
    <w:rsid w:val="009935AE"/>
    <w:rsid w:val="00994015"/>
    <w:rsid w:val="00994C3B"/>
    <w:rsid w:val="0099501D"/>
    <w:rsid w:val="009951E5"/>
    <w:rsid w:val="00995253"/>
    <w:rsid w:val="00995618"/>
    <w:rsid w:val="0099570C"/>
    <w:rsid w:val="00995C01"/>
    <w:rsid w:val="009967F8"/>
    <w:rsid w:val="009A0326"/>
    <w:rsid w:val="009A103F"/>
    <w:rsid w:val="009A1AF6"/>
    <w:rsid w:val="009A2C70"/>
    <w:rsid w:val="009A3762"/>
    <w:rsid w:val="009A48B1"/>
    <w:rsid w:val="009A4A5D"/>
    <w:rsid w:val="009A5791"/>
    <w:rsid w:val="009A6A8C"/>
    <w:rsid w:val="009A6ECC"/>
    <w:rsid w:val="009A70D7"/>
    <w:rsid w:val="009B1DFE"/>
    <w:rsid w:val="009B1E2D"/>
    <w:rsid w:val="009B1EF7"/>
    <w:rsid w:val="009B300F"/>
    <w:rsid w:val="009B5647"/>
    <w:rsid w:val="009B690E"/>
    <w:rsid w:val="009B7231"/>
    <w:rsid w:val="009B7777"/>
    <w:rsid w:val="009C05E2"/>
    <w:rsid w:val="009C11A3"/>
    <w:rsid w:val="009C18C1"/>
    <w:rsid w:val="009C1B1A"/>
    <w:rsid w:val="009C1FC4"/>
    <w:rsid w:val="009C41A4"/>
    <w:rsid w:val="009C5A83"/>
    <w:rsid w:val="009C7AB7"/>
    <w:rsid w:val="009C7CCA"/>
    <w:rsid w:val="009D0153"/>
    <w:rsid w:val="009D0E6A"/>
    <w:rsid w:val="009D19E6"/>
    <w:rsid w:val="009D1E79"/>
    <w:rsid w:val="009D49B6"/>
    <w:rsid w:val="009D6D4E"/>
    <w:rsid w:val="009E1B78"/>
    <w:rsid w:val="009E1F00"/>
    <w:rsid w:val="009E250E"/>
    <w:rsid w:val="009E3E77"/>
    <w:rsid w:val="009E4317"/>
    <w:rsid w:val="009E49F0"/>
    <w:rsid w:val="009E5101"/>
    <w:rsid w:val="009E5C20"/>
    <w:rsid w:val="009E5EE2"/>
    <w:rsid w:val="009F069D"/>
    <w:rsid w:val="009F138C"/>
    <w:rsid w:val="009F2D7E"/>
    <w:rsid w:val="009F5F9B"/>
    <w:rsid w:val="009F626D"/>
    <w:rsid w:val="009F7FCC"/>
    <w:rsid w:val="00A00E5C"/>
    <w:rsid w:val="00A010B2"/>
    <w:rsid w:val="00A013F7"/>
    <w:rsid w:val="00A01FF4"/>
    <w:rsid w:val="00A02386"/>
    <w:rsid w:val="00A02998"/>
    <w:rsid w:val="00A05CF6"/>
    <w:rsid w:val="00A05FF3"/>
    <w:rsid w:val="00A061E6"/>
    <w:rsid w:val="00A06277"/>
    <w:rsid w:val="00A06413"/>
    <w:rsid w:val="00A06FBD"/>
    <w:rsid w:val="00A0789D"/>
    <w:rsid w:val="00A10916"/>
    <w:rsid w:val="00A10E4E"/>
    <w:rsid w:val="00A11343"/>
    <w:rsid w:val="00A11976"/>
    <w:rsid w:val="00A15237"/>
    <w:rsid w:val="00A15A17"/>
    <w:rsid w:val="00A167C9"/>
    <w:rsid w:val="00A178F1"/>
    <w:rsid w:val="00A17E17"/>
    <w:rsid w:val="00A20ECF"/>
    <w:rsid w:val="00A21412"/>
    <w:rsid w:val="00A21DFC"/>
    <w:rsid w:val="00A222C1"/>
    <w:rsid w:val="00A22729"/>
    <w:rsid w:val="00A2338E"/>
    <w:rsid w:val="00A239F8"/>
    <w:rsid w:val="00A2457C"/>
    <w:rsid w:val="00A25DDA"/>
    <w:rsid w:val="00A261C9"/>
    <w:rsid w:val="00A32747"/>
    <w:rsid w:val="00A32BE0"/>
    <w:rsid w:val="00A36135"/>
    <w:rsid w:val="00A36D3E"/>
    <w:rsid w:val="00A373F3"/>
    <w:rsid w:val="00A41A5F"/>
    <w:rsid w:val="00A441A8"/>
    <w:rsid w:val="00A44426"/>
    <w:rsid w:val="00A44A06"/>
    <w:rsid w:val="00A454AB"/>
    <w:rsid w:val="00A456CD"/>
    <w:rsid w:val="00A46055"/>
    <w:rsid w:val="00A50255"/>
    <w:rsid w:val="00A51DC8"/>
    <w:rsid w:val="00A54217"/>
    <w:rsid w:val="00A54E42"/>
    <w:rsid w:val="00A5557C"/>
    <w:rsid w:val="00A55782"/>
    <w:rsid w:val="00A566A3"/>
    <w:rsid w:val="00A56F92"/>
    <w:rsid w:val="00A6153B"/>
    <w:rsid w:val="00A61EA8"/>
    <w:rsid w:val="00A626E2"/>
    <w:rsid w:val="00A676BC"/>
    <w:rsid w:val="00A70104"/>
    <w:rsid w:val="00A70377"/>
    <w:rsid w:val="00A72E8A"/>
    <w:rsid w:val="00A73144"/>
    <w:rsid w:val="00A772E4"/>
    <w:rsid w:val="00A77A65"/>
    <w:rsid w:val="00A83D55"/>
    <w:rsid w:val="00A8646C"/>
    <w:rsid w:val="00A86644"/>
    <w:rsid w:val="00A867E8"/>
    <w:rsid w:val="00A8741C"/>
    <w:rsid w:val="00A875C3"/>
    <w:rsid w:val="00A915EF"/>
    <w:rsid w:val="00A91B7E"/>
    <w:rsid w:val="00A92E1C"/>
    <w:rsid w:val="00A94566"/>
    <w:rsid w:val="00A94F6F"/>
    <w:rsid w:val="00A95FDB"/>
    <w:rsid w:val="00A96446"/>
    <w:rsid w:val="00A9756A"/>
    <w:rsid w:val="00AA3C82"/>
    <w:rsid w:val="00AA416C"/>
    <w:rsid w:val="00AA480E"/>
    <w:rsid w:val="00AA5A64"/>
    <w:rsid w:val="00AA7038"/>
    <w:rsid w:val="00AA7198"/>
    <w:rsid w:val="00AA7E77"/>
    <w:rsid w:val="00AB0587"/>
    <w:rsid w:val="00AB143D"/>
    <w:rsid w:val="00AB1584"/>
    <w:rsid w:val="00AB16A5"/>
    <w:rsid w:val="00AB1AC2"/>
    <w:rsid w:val="00AB1BD2"/>
    <w:rsid w:val="00AB242F"/>
    <w:rsid w:val="00AB28B8"/>
    <w:rsid w:val="00AB34DF"/>
    <w:rsid w:val="00AB3B19"/>
    <w:rsid w:val="00AB3F79"/>
    <w:rsid w:val="00AB462B"/>
    <w:rsid w:val="00AB4C08"/>
    <w:rsid w:val="00AB73A6"/>
    <w:rsid w:val="00AB79C4"/>
    <w:rsid w:val="00AC212D"/>
    <w:rsid w:val="00AC2262"/>
    <w:rsid w:val="00AC3070"/>
    <w:rsid w:val="00AC40B9"/>
    <w:rsid w:val="00AC4AD0"/>
    <w:rsid w:val="00AC4ADD"/>
    <w:rsid w:val="00AC53EC"/>
    <w:rsid w:val="00AD0B0A"/>
    <w:rsid w:val="00AD1D66"/>
    <w:rsid w:val="00AD2A77"/>
    <w:rsid w:val="00AD32B7"/>
    <w:rsid w:val="00AD4B92"/>
    <w:rsid w:val="00AD501E"/>
    <w:rsid w:val="00AD534B"/>
    <w:rsid w:val="00AD68CD"/>
    <w:rsid w:val="00AD7705"/>
    <w:rsid w:val="00AD7881"/>
    <w:rsid w:val="00AE00FD"/>
    <w:rsid w:val="00AE0206"/>
    <w:rsid w:val="00AE10E0"/>
    <w:rsid w:val="00AE2858"/>
    <w:rsid w:val="00AE2B03"/>
    <w:rsid w:val="00AE3F62"/>
    <w:rsid w:val="00AE5946"/>
    <w:rsid w:val="00AE6B19"/>
    <w:rsid w:val="00AE6D03"/>
    <w:rsid w:val="00AF0211"/>
    <w:rsid w:val="00AF5C5D"/>
    <w:rsid w:val="00AF6F6A"/>
    <w:rsid w:val="00B01273"/>
    <w:rsid w:val="00B029BF"/>
    <w:rsid w:val="00B02AAE"/>
    <w:rsid w:val="00B03B41"/>
    <w:rsid w:val="00B04BAC"/>
    <w:rsid w:val="00B05677"/>
    <w:rsid w:val="00B05847"/>
    <w:rsid w:val="00B05F21"/>
    <w:rsid w:val="00B100C6"/>
    <w:rsid w:val="00B10432"/>
    <w:rsid w:val="00B10BB9"/>
    <w:rsid w:val="00B12670"/>
    <w:rsid w:val="00B1278D"/>
    <w:rsid w:val="00B12A7C"/>
    <w:rsid w:val="00B12E83"/>
    <w:rsid w:val="00B13032"/>
    <w:rsid w:val="00B13810"/>
    <w:rsid w:val="00B13C5A"/>
    <w:rsid w:val="00B14970"/>
    <w:rsid w:val="00B14DF9"/>
    <w:rsid w:val="00B15BF6"/>
    <w:rsid w:val="00B16ED2"/>
    <w:rsid w:val="00B16FA5"/>
    <w:rsid w:val="00B20365"/>
    <w:rsid w:val="00B2162F"/>
    <w:rsid w:val="00B22DD2"/>
    <w:rsid w:val="00B256C7"/>
    <w:rsid w:val="00B25A41"/>
    <w:rsid w:val="00B279F3"/>
    <w:rsid w:val="00B33D8D"/>
    <w:rsid w:val="00B350E4"/>
    <w:rsid w:val="00B355F7"/>
    <w:rsid w:val="00B35B37"/>
    <w:rsid w:val="00B40E23"/>
    <w:rsid w:val="00B41669"/>
    <w:rsid w:val="00B42A11"/>
    <w:rsid w:val="00B42E5D"/>
    <w:rsid w:val="00B43746"/>
    <w:rsid w:val="00B451BB"/>
    <w:rsid w:val="00B477D4"/>
    <w:rsid w:val="00B47CE1"/>
    <w:rsid w:val="00B50389"/>
    <w:rsid w:val="00B5193C"/>
    <w:rsid w:val="00B5295D"/>
    <w:rsid w:val="00B52E93"/>
    <w:rsid w:val="00B536E3"/>
    <w:rsid w:val="00B5433E"/>
    <w:rsid w:val="00B54A61"/>
    <w:rsid w:val="00B54D47"/>
    <w:rsid w:val="00B54D8F"/>
    <w:rsid w:val="00B55423"/>
    <w:rsid w:val="00B55795"/>
    <w:rsid w:val="00B55B8F"/>
    <w:rsid w:val="00B55D0F"/>
    <w:rsid w:val="00B55E46"/>
    <w:rsid w:val="00B56507"/>
    <w:rsid w:val="00B56EED"/>
    <w:rsid w:val="00B5777D"/>
    <w:rsid w:val="00B60300"/>
    <w:rsid w:val="00B609D8"/>
    <w:rsid w:val="00B615BD"/>
    <w:rsid w:val="00B61935"/>
    <w:rsid w:val="00B642C1"/>
    <w:rsid w:val="00B64A41"/>
    <w:rsid w:val="00B66D1E"/>
    <w:rsid w:val="00B707BA"/>
    <w:rsid w:val="00B71BF3"/>
    <w:rsid w:val="00B7256C"/>
    <w:rsid w:val="00B754BA"/>
    <w:rsid w:val="00B75D21"/>
    <w:rsid w:val="00B75E39"/>
    <w:rsid w:val="00B76565"/>
    <w:rsid w:val="00B76938"/>
    <w:rsid w:val="00B77A99"/>
    <w:rsid w:val="00B8017C"/>
    <w:rsid w:val="00B82D7B"/>
    <w:rsid w:val="00B83964"/>
    <w:rsid w:val="00B84EA2"/>
    <w:rsid w:val="00B859AC"/>
    <w:rsid w:val="00B872B4"/>
    <w:rsid w:val="00B9064C"/>
    <w:rsid w:val="00B91444"/>
    <w:rsid w:val="00B94C6C"/>
    <w:rsid w:val="00B96F3F"/>
    <w:rsid w:val="00B973D8"/>
    <w:rsid w:val="00B97C98"/>
    <w:rsid w:val="00B97E91"/>
    <w:rsid w:val="00BA005A"/>
    <w:rsid w:val="00BA140A"/>
    <w:rsid w:val="00BA2562"/>
    <w:rsid w:val="00BA2600"/>
    <w:rsid w:val="00BA2BE4"/>
    <w:rsid w:val="00BA4788"/>
    <w:rsid w:val="00BA4955"/>
    <w:rsid w:val="00BA4A2A"/>
    <w:rsid w:val="00BA4B4B"/>
    <w:rsid w:val="00BA599E"/>
    <w:rsid w:val="00BA6273"/>
    <w:rsid w:val="00BA67E9"/>
    <w:rsid w:val="00BA7893"/>
    <w:rsid w:val="00BB00E1"/>
    <w:rsid w:val="00BB1FA5"/>
    <w:rsid w:val="00BB2694"/>
    <w:rsid w:val="00BB2772"/>
    <w:rsid w:val="00BB2D37"/>
    <w:rsid w:val="00BB2EAA"/>
    <w:rsid w:val="00BB439E"/>
    <w:rsid w:val="00BB4D55"/>
    <w:rsid w:val="00BB54D1"/>
    <w:rsid w:val="00BB5E79"/>
    <w:rsid w:val="00BC037A"/>
    <w:rsid w:val="00BC0F1A"/>
    <w:rsid w:val="00BC11FF"/>
    <w:rsid w:val="00BC2C81"/>
    <w:rsid w:val="00BC318E"/>
    <w:rsid w:val="00BC536F"/>
    <w:rsid w:val="00BC61EE"/>
    <w:rsid w:val="00BC6AC9"/>
    <w:rsid w:val="00BD1A56"/>
    <w:rsid w:val="00BD1AB6"/>
    <w:rsid w:val="00BD2D04"/>
    <w:rsid w:val="00BD3DA9"/>
    <w:rsid w:val="00BD7EB4"/>
    <w:rsid w:val="00BE3321"/>
    <w:rsid w:val="00BE395D"/>
    <w:rsid w:val="00BE4A68"/>
    <w:rsid w:val="00BE4E48"/>
    <w:rsid w:val="00BF04B9"/>
    <w:rsid w:val="00BF3617"/>
    <w:rsid w:val="00BF66D2"/>
    <w:rsid w:val="00BF7016"/>
    <w:rsid w:val="00BF76AE"/>
    <w:rsid w:val="00C02075"/>
    <w:rsid w:val="00C033B7"/>
    <w:rsid w:val="00C0390E"/>
    <w:rsid w:val="00C05F26"/>
    <w:rsid w:val="00C06CFD"/>
    <w:rsid w:val="00C07154"/>
    <w:rsid w:val="00C1104C"/>
    <w:rsid w:val="00C1271B"/>
    <w:rsid w:val="00C14A05"/>
    <w:rsid w:val="00C14ECB"/>
    <w:rsid w:val="00C164F8"/>
    <w:rsid w:val="00C16E5D"/>
    <w:rsid w:val="00C222B9"/>
    <w:rsid w:val="00C222D2"/>
    <w:rsid w:val="00C2325C"/>
    <w:rsid w:val="00C23529"/>
    <w:rsid w:val="00C24076"/>
    <w:rsid w:val="00C2417D"/>
    <w:rsid w:val="00C24CB7"/>
    <w:rsid w:val="00C24D5D"/>
    <w:rsid w:val="00C25C33"/>
    <w:rsid w:val="00C30789"/>
    <w:rsid w:val="00C30B2D"/>
    <w:rsid w:val="00C3158C"/>
    <w:rsid w:val="00C32097"/>
    <w:rsid w:val="00C34F57"/>
    <w:rsid w:val="00C364E0"/>
    <w:rsid w:val="00C37CA0"/>
    <w:rsid w:val="00C405AC"/>
    <w:rsid w:val="00C40D38"/>
    <w:rsid w:val="00C41ACE"/>
    <w:rsid w:val="00C41D9F"/>
    <w:rsid w:val="00C426D7"/>
    <w:rsid w:val="00C441EE"/>
    <w:rsid w:val="00C44718"/>
    <w:rsid w:val="00C45CF7"/>
    <w:rsid w:val="00C45F11"/>
    <w:rsid w:val="00C47D99"/>
    <w:rsid w:val="00C47ECA"/>
    <w:rsid w:val="00C5146E"/>
    <w:rsid w:val="00C5213E"/>
    <w:rsid w:val="00C5340F"/>
    <w:rsid w:val="00C53782"/>
    <w:rsid w:val="00C54591"/>
    <w:rsid w:val="00C55D88"/>
    <w:rsid w:val="00C57D3E"/>
    <w:rsid w:val="00C6044F"/>
    <w:rsid w:val="00C60B19"/>
    <w:rsid w:val="00C626D9"/>
    <w:rsid w:val="00C62B61"/>
    <w:rsid w:val="00C63BF4"/>
    <w:rsid w:val="00C650A1"/>
    <w:rsid w:val="00C66832"/>
    <w:rsid w:val="00C66843"/>
    <w:rsid w:val="00C71565"/>
    <w:rsid w:val="00C715BA"/>
    <w:rsid w:val="00C71862"/>
    <w:rsid w:val="00C7284D"/>
    <w:rsid w:val="00C72C3C"/>
    <w:rsid w:val="00C73851"/>
    <w:rsid w:val="00C747EA"/>
    <w:rsid w:val="00C754D9"/>
    <w:rsid w:val="00C75B08"/>
    <w:rsid w:val="00C76513"/>
    <w:rsid w:val="00C76AD8"/>
    <w:rsid w:val="00C76AEE"/>
    <w:rsid w:val="00C772A8"/>
    <w:rsid w:val="00C7792A"/>
    <w:rsid w:val="00C8116E"/>
    <w:rsid w:val="00C81435"/>
    <w:rsid w:val="00C82389"/>
    <w:rsid w:val="00C82584"/>
    <w:rsid w:val="00C86A41"/>
    <w:rsid w:val="00C86B49"/>
    <w:rsid w:val="00C90030"/>
    <w:rsid w:val="00C902F8"/>
    <w:rsid w:val="00C9038C"/>
    <w:rsid w:val="00C90D88"/>
    <w:rsid w:val="00C9108D"/>
    <w:rsid w:val="00C940E4"/>
    <w:rsid w:val="00C94CB2"/>
    <w:rsid w:val="00C94DB3"/>
    <w:rsid w:val="00C976D2"/>
    <w:rsid w:val="00C9792C"/>
    <w:rsid w:val="00C97A5A"/>
    <w:rsid w:val="00C97C9B"/>
    <w:rsid w:val="00C97D31"/>
    <w:rsid w:val="00CA0132"/>
    <w:rsid w:val="00CA10CD"/>
    <w:rsid w:val="00CA265A"/>
    <w:rsid w:val="00CA2837"/>
    <w:rsid w:val="00CA3D0E"/>
    <w:rsid w:val="00CA520C"/>
    <w:rsid w:val="00CA6611"/>
    <w:rsid w:val="00CA6F30"/>
    <w:rsid w:val="00CA766C"/>
    <w:rsid w:val="00CA7A3A"/>
    <w:rsid w:val="00CB0744"/>
    <w:rsid w:val="00CB0C3D"/>
    <w:rsid w:val="00CB1B7E"/>
    <w:rsid w:val="00CB330B"/>
    <w:rsid w:val="00CB37FD"/>
    <w:rsid w:val="00CB4978"/>
    <w:rsid w:val="00CB4B65"/>
    <w:rsid w:val="00CB51B5"/>
    <w:rsid w:val="00CB63BF"/>
    <w:rsid w:val="00CB757C"/>
    <w:rsid w:val="00CB7D38"/>
    <w:rsid w:val="00CB7F0E"/>
    <w:rsid w:val="00CC0D3D"/>
    <w:rsid w:val="00CC29D1"/>
    <w:rsid w:val="00CC2C81"/>
    <w:rsid w:val="00CC3893"/>
    <w:rsid w:val="00CC43FC"/>
    <w:rsid w:val="00CC58F1"/>
    <w:rsid w:val="00CC5994"/>
    <w:rsid w:val="00CC5C94"/>
    <w:rsid w:val="00CC5F24"/>
    <w:rsid w:val="00CC687B"/>
    <w:rsid w:val="00CD14ED"/>
    <w:rsid w:val="00CD3540"/>
    <w:rsid w:val="00CD42E0"/>
    <w:rsid w:val="00CD4D6C"/>
    <w:rsid w:val="00CD556D"/>
    <w:rsid w:val="00CD5E24"/>
    <w:rsid w:val="00CD6005"/>
    <w:rsid w:val="00CD688C"/>
    <w:rsid w:val="00CD7162"/>
    <w:rsid w:val="00CE2207"/>
    <w:rsid w:val="00CE371E"/>
    <w:rsid w:val="00CE51E3"/>
    <w:rsid w:val="00CE5DBD"/>
    <w:rsid w:val="00CE6A76"/>
    <w:rsid w:val="00CE7907"/>
    <w:rsid w:val="00CE7947"/>
    <w:rsid w:val="00CF1A40"/>
    <w:rsid w:val="00CF377A"/>
    <w:rsid w:val="00CF3E5C"/>
    <w:rsid w:val="00CF3EB9"/>
    <w:rsid w:val="00CF42BD"/>
    <w:rsid w:val="00CF4483"/>
    <w:rsid w:val="00CF450D"/>
    <w:rsid w:val="00CF4C15"/>
    <w:rsid w:val="00CF606D"/>
    <w:rsid w:val="00CF618E"/>
    <w:rsid w:val="00CF7352"/>
    <w:rsid w:val="00CF7A96"/>
    <w:rsid w:val="00D00DAD"/>
    <w:rsid w:val="00D01537"/>
    <w:rsid w:val="00D01EA2"/>
    <w:rsid w:val="00D023CC"/>
    <w:rsid w:val="00D0298F"/>
    <w:rsid w:val="00D044F4"/>
    <w:rsid w:val="00D05A03"/>
    <w:rsid w:val="00D05DE7"/>
    <w:rsid w:val="00D060F2"/>
    <w:rsid w:val="00D0728F"/>
    <w:rsid w:val="00D0758F"/>
    <w:rsid w:val="00D11024"/>
    <w:rsid w:val="00D11D38"/>
    <w:rsid w:val="00D122FE"/>
    <w:rsid w:val="00D1276E"/>
    <w:rsid w:val="00D13F4E"/>
    <w:rsid w:val="00D144B5"/>
    <w:rsid w:val="00D1499F"/>
    <w:rsid w:val="00D14A72"/>
    <w:rsid w:val="00D14C7F"/>
    <w:rsid w:val="00D15E9D"/>
    <w:rsid w:val="00D16107"/>
    <w:rsid w:val="00D16882"/>
    <w:rsid w:val="00D17EA3"/>
    <w:rsid w:val="00D20576"/>
    <w:rsid w:val="00D20582"/>
    <w:rsid w:val="00D22257"/>
    <w:rsid w:val="00D22C62"/>
    <w:rsid w:val="00D22E73"/>
    <w:rsid w:val="00D26AF2"/>
    <w:rsid w:val="00D272DE"/>
    <w:rsid w:val="00D2740F"/>
    <w:rsid w:val="00D3006D"/>
    <w:rsid w:val="00D317B8"/>
    <w:rsid w:val="00D32990"/>
    <w:rsid w:val="00D330AB"/>
    <w:rsid w:val="00D3351B"/>
    <w:rsid w:val="00D33652"/>
    <w:rsid w:val="00D339A2"/>
    <w:rsid w:val="00D33A28"/>
    <w:rsid w:val="00D34DAE"/>
    <w:rsid w:val="00D34F24"/>
    <w:rsid w:val="00D36862"/>
    <w:rsid w:val="00D36929"/>
    <w:rsid w:val="00D37A63"/>
    <w:rsid w:val="00D40660"/>
    <w:rsid w:val="00D41929"/>
    <w:rsid w:val="00D41FB7"/>
    <w:rsid w:val="00D424F7"/>
    <w:rsid w:val="00D43BB0"/>
    <w:rsid w:val="00D463F1"/>
    <w:rsid w:val="00D46678"/>
    <w:rsid w:val="00D46D4B"/>
    <w:rsid w:val="00D5047A"/>
    <w:rsid w:val="00D53A91"/>
    <w:rsid w:val="00D53E0C"/>
    <w:rsid w:val="00D54BE4"/>
    <w:rsid w:val="00D558B8"/>
    <w:rsid w:val="00D56678"/>
    <w:rsid w:val="00D6055A"/>
    <w:rsid w:val="00D635A6"/>
    <w:rsid w:val="00D63FF9"/>
    <w:rsid w:val="00D654ED"/>
    <w:rsid w:val="00D65A13"/>
    <w:rsid w:val="00D65D78"/>
    <w:rsid w:val="00D66C64"/>
    <w:rsid w:val="00D6771E"/>
    <w:rsid w:val="00D73580"/>
    <w:rsid w:val="00D7680B"/>
    <w:rsid w:val="00D770A0"/>
    <w:rsid w:val="00D77102"/>
    <w:rsid w:val="00D8002D"/>
    <w:rsid w:val="00D80384"/>
    <w:rsid w:val="00D804C2"/>
    <w:rsid w:val="00D81033"/>
    <w:rsid w:val="00D8187E"/>
    <w:rsid w:val="00D82026"/>
    <w:rsid w:val="00D826C8"/>
    <w:rsid w:val="00D832A2"/>
    <w:rsid w:val="00D832BB"/>
    <w:rsid w:val="00D83423"/>
    <w:rsid w:val="00D8389E"/>
    <w:rsid w:val="00D840CF"/>
    <w:rsid w:val="00D85333"/>
    <w:rsid w:val="00D86C90"/>
    <w:rsid w:val="00D87B60"/>
    <w:rsid w:val="00D87FD7"/>
    <w:rsid w:val="00D91FF3"/>
    <w:rsid w:val="00D935F3"/>
    <w:rsid w:val="00D94949"/>
    <w:rsid w:val="00D95828"/>
    <w:rsid w:val="00D961AD"/>
    <w:rsid w:val="00D9652F"/>
    <w:rsid w:val="00D97DD0"/>
    <w:rsid w:val="00DA03FC"/>
    <w:rsid w:val="00DA121A"/>
    <w:rsid w:val="00DA124C"/>
    <w:rsid w:val="00DA1EA1"/>
    <w:rsid w:val="00DA212F"/>
    <w:rsid w:val="00DA23E7"/>
    <w:rsid w:val="00DA254F"/>
    <w:rsid w:val="00DA5F10"/>
    <w:rsid w:val="00DA62AB"/>
    <w:rsid w:val="00DA6EEC"/>
    <w:rsid w:val="00DA760C"/>
    <w:rsid w:val="00DB0365"/>
    <w:rsid w:val="00DB0951"/>
    <w:rsid w:val="00DB196D"/>
    <w:rsid w:val="00DB1C48"/>
    <w:rsid w:val="00DB630B"/>
    <w:rsid w:val="00DB72D4"/>
    <w:rsid w:val="00DB7A09"/>
    <w:rsid w:val="00DC009C"/>
    <w:rsid w:val="00DC08D9"/>
    <w:rsid w:val="00DC13B8"/>
    <w:rsid w:val="00DC1724"/>
    <w:rsid w:val="00DC1AE9"/>
    <w:rsid w:val="00DC2567"/>
    <w:rsid w:val="00DC2C23"/>
    <w:rsid w:val="00DC323E"/>
    <w:rsid w:val="00DC33BE"/>
    <w:rsid w:val="00DC36DA"/>
    <w:rsid w:val="00DC3D96"/>
    <w:rsid w:val="00DC4023"/>
    <w:rsid w:val="00DC44D4"/>
    <w:rsid w:val="00DC61B7"/>
    <w:rsid w:val="00DC676C"/>
    <w:rsid w:val="00DD13E7"/>
    <w:rsid w:val="00DD2019"/>
    <w:rsid w:val="00DD282E"/>
    <w:rsid w:val="00DD354B"/>
    <w:rsid w:val="00DD42C6"/>
    <w:rsid w:val="00DD43EB"/>
    <w:rsid w:val="00DD4B8F"/>
    <w:rsid w:val="00DD59ED"/>
    <w:rsid w:val="00DE0BCC"/>
    <w:rsid w:val="00DE0D0F"/>
    <w:rsid w:val="00DE0E5D"/>
    <w:rsid w:val="00DE0F19"/>
    <w:rsid w:val="00DE0F73"/>
    <w:rsid w:val="00DE1201"/>
    <w:rsid w:val="00DE13D9"/>
    <w:rsid w:val="00DE1DCD"/>
    <w:rsid w:val="00DE3AE5"/>
    <w:rsid w:val="00DE428B"/>
    <w:rsid w:val="00DE4442"/>
    <w:rsid w:val="00DE4ED9"/>
    <w:rsid w:val="00DE4F6A"/>
    <w:rsid w:val="00DE634E"/>
    <w:rsid w:val="00DE7734"/>
    <w:rsid w:val="00DE7D8A"/>
    <w:rsid w:val="00DF1223"/>
    <w:rsid w:val="00DF16CB"/>
    <w:rsid w:val="00DF3B3C"/>
    <w:rsid w:val="00DF4A09"/>
    <w:rsid w:val="00DF5CE4"/>
    <w:rsid w:val="00DF5E54"/>
    <w:rsid w:val="00DF5EA2"/>
    <w:rsid w:val="00DF6AE4"/>
    <w:rsid w:val="00DF6B9C"/>
    <w:rsid w:val="00DF6BE3"/>
    <w:rsid w:val="00DF760D"/>
    <w:rsid w:val="00E011F1"/>
    <w:rsid w:val="00E02707"/>
    <w:rsid w:val="00E05332"/>
    <w:rsid w:val="00E10EE7"/>
    <w:rsid w:val="00E11300"/>
    <w:rsid w:val="00E114EE"/>
    <w:rsid w:val="00E14C08"/>
    <w:rsid w:val="00E14F58"/>
    <w:rsid w:val="00E158CA"/>
    <w:rsid w:val="00E15B0E"/>
    <w:rsid w:val="00E1608E"/>
    <w:rsid w:val="00E16372"/>
    <w:rsid w:val="00E22781"/>
    <w:rsid w:val="00E246F0"/>
    <w:rsid w:val="00E25F60"/>
    <w:rsid w:val="00E27759"/>
    <w:rsid w:val="00E32E6C"/>
    <w:rsid w:val="00E34EDD"/>
    <w:rsid w:val="00E34FF5"/>
    <w:rsid w:val="00E35BCB"/>
    <w:rsid w:val="00E36554"/>
    <w:rsid w:val="00E36D2C"/>
    <w:rsid w:val="00E379C8"/>
    <w:rsid w:val="00E4177B"/>
    <w:rsid w:val="00E437F4"/>
    <w:rsid w:val="00E43BDD"/>
    <w:rsid w:val="00E455FB"/>
    <w:rsid w:val="00E463D0"/>
    <w:rsid w:val="00E4667C"/>
    <w:rsid w:val="00E475EB"/>
    <w:rsid w:val="00E52107"/>
    <w:rsid w:val="00E53AE6"/>
    <w:rsid w:val="00E5540C"/>
    <w:rsid w:val="00E55AEA"/>
    <w:rsid w:val="00E55F75"/>
    <w:rsid w:val="00E561AF"/>
    <w:rsid w:val="00E56392"/>
    <w:rsid w:val="00E56F55"/>
    <w:rsid w:val="00E57863"/>
    <w:rsid w:val="00E5788B"/>
    <w:rsid w:val="00E60070"/>
    <w:rsid w:val="00E60310"/>
    <w:rsid w:val="00E6301B"/>
    <w:rsid w:val="00E633AC"/>
    <w:rsid w:val="00E659D4"/>
    <w:rsid w:val="00E65B67"/>
    <w:rsid w:val="00E65D29"/>
    <w:rsid w:val="00E668FE"/>
    <w:rsid w:val="00E66938"/>
    <w:rsid w:val="00E67214"/>
    <w:rsid w:val="00E6799B"/>
    <w:rsid w:val="00E710F0"/>
    <w:rsid w:val="00E73162"/>
    <w:rsid w:val="00E75244"/>
    <w:rsid w:val="00E7554F"/>
    <w:rsid w:val="00E75D08"/>
    <w:rsid w:val="00E76009"/>
    <w:rsid w:val="00E76BD0"/>
    <w:rsid w:val="00E777FA"/>
    <w:rsid w:val="00E77A9D"/>
    <w:rsid w:val="00E80E3F"/>
    <w:rsid w:val="00E82494"/>
    <w:rsid w:val="00E84075"/>
    <w:rsid w:val="00E8576D"/>
    <w:rsid w:val="00E862AC"/>
    <w:rsid w:val="00E871D4"/>
    <w:rsid w:val="00E87F64"/>
    <w:rsid w:val="00E90486"/>
    <w:rsid w:val="00E9089C"/>
    <w:rsid w:val="00E90ED3"/>
    <w:rsid w:val="00E91D7F"/>
    <w:rsid w:val="00E92502"/>
    <w:rsid w:val="00E9314C"/>
    <w:rsid w:val="00E93350"/>
    <w:rsid w:val="00E935A2"/>
    <w:rsid w:val="00E936E9"/>
    <w:rsid w:val="00E93C12"/>
    <w:rsid w:val="00E94292"/>
    <w:rsid w:val="00E94E9C"/>
    <w:rsid w:val="00E96835"/>
    <w:rsid w:val="00E96B60"/>
    <w:rsid w:val="00E975AA"/>
    <w:rsid w:val="00EA0915"/>
    <w:rsid w:val="00EA0B73"/>
    <w:rsid w:val="00EA2F1A"/>
    <w:rsid w:val="00EA2FE3"/>
    <w:rsid w:val="00EA3006"/>
    <w:rsid w:val="00EA3AD0"/>
    <w:rsid w:val="00EA3B0F"/>
    <w:rsid w:val="00EA4BF3"/>
    <w:rsid w:val="00EA59D8"/>
    <w:rsid w:val="00EA63D2"/>
    <w:rsid w:val="00EA6F4D"/>
    <w:rsid w:val="00EA7992"/>
    <w:rsid w:val="00EB073E"/>
    <w:rsid w:val="00EB2632"/>
    <w:rsid w:val="00EB27ED"/>
    <w:rsid w:val="00EB58E7"/>
    <w:rsid w:val="00EB5ED1"/>
    <w:rsid w:val="00EB7C53"/>
    <w:rsid w:val="00EC0601"/>
    <w:rsid w:val="00EC0E42"/>
    <w:rsid w:val="00EC4423"/>
    <w:rsid w:val="00EC62F2"/>
    <w:rsid w:val="00EC6C1F"/>
    <w:rsid w:val="00ED156C"/>
    <w:rsid w:val="00ED15AE"/>
    <w:rsid w:val="00ED48BB"/>
    <w:rsid w:val="00ED4F63"/>
    <w:rsid w:val="00ED527F"/>
    <w:rsid w:val="00ED5343"/>
    <w:rsid w:val="00ED6738"/>
    <w:rsid w:val="00EE00DE"/>
    <w:rsid w:val="00EE0C6C"/>
    <w:rsid w:val="00EE1507"/>
    <w:rsid w:val="00EE1B14"/>
    <w:rsid w:val="00EE2673"/>
    <w:rsid w:val="00EE392B"/>
    <w:rsid w:val="00EE5376"/>
    <w:rsid w:val="00EE5AA1"/>
    <w:rsid w:val="00EE66E6"/>
    <w:rsid w:val="00EE7BE5"/>
    <w:rsid w:val="00EF28CF"/>
    <w:rsid w:val="00EF299E"/>
    <w:rsid w:val="00EF38B8"/>
    <w:rsid w:val="00EF652D"/>
    <w:rsid w:val="00EF78A9"/>
    <w:rsid w:val="00EF7C54"/>
    <w:rsid w:val="00F00555"/>
    <w:rsid w:val="00F01C11"/>
    <w:rsid w:val="00F020BE"/>
    <w:rsid w:val="00F02538"/>
    <w:rsid w:val="00F025D5"/>
    <w:rsid w:val="00F029A5"/>
    <w:rsid w:val="00F03C1F"/>
    <w:rsid w:val="00F03D6C"/>
    <w:rsid w:val="00F041B1"/>
    <w:rsid w:val="00F05868"/>
    <w:rsid w:val="00F05CFA"/>
    <w:rsid w:val="00F06FEF"/>
    <w:rsid w:val="00F07C9E"/>
    <w:rsid w:val="00F10039"/>
    <w:rsid w:val="00F119C0"/>
    <w:rsid w:val="00F1392D"/>
    <w:rsid w:val="00F149DB"/>
    <w:rsid w:val="00F17AA2"/>
    <w:rsid w:val="00F2082A"/>
    <w:rsid w:val="00F20EC9"/>
    <w:rsid w:val="00F227B8"/>
    <w:rsid w:val="00F2301B"/>
    <w:rsid w:val="00F236C2"/>
    <w:rsid w:val="00F24039"/>
    <w:rsid w:val="00F246E8"/>
    <w:rsid w:val="00F247A8"/>
    <w:rsid w:val="00F24F19"/>
    <w:rsid w:val="00F26179"/>
    <w:rsid w:val="00F2660B"/>
    <w:rsid w:val="00F26B16"/>
    <w:rsid w:val="00F30A48"/>
    <w:rsid w:val="00F30B0D"/>
    <w:rsid w:val="00F31B9E"/>
    <w:rsid w:val="00F32C53"/>
    <w:rsid w:val="00F33515"/>
    <w:rsid w:val="00F34BC9"/>
    <w:rsid w:val="00F34D33"/>
    <w:rsid w:val="00F36218"/>
    <w:rsid w:val="00F370CD"/>
    <w:rsid w:val="00F3727C"/>
    <w:rsid w:val="00F4145A"/>
    <w:rsid w:val="00F41A7F"/>
    <w:rsid w:val="00F43EED"/>
    <w:rsid w:val="00F44E22"/>
    <w:rsid w:val="00F450EF"/>
    <w:rsid w:val="00F45B16"/>
    <w:rsid w:val="00F4658B"/>
    <w:rsid w:val="00F46C04"/>
    <w:rsid w:val="00F5005D"/>
    <w:rsid w:val="00F50393"/>
    <w:rsid w:val="00F5323E"/>
    <w:rsid w:val="00F5394A"/>
    <w:rsid w:val="00F5403F"/>
    <w:rsid w:val="00F60568"/>
    <w:rsid w:val="00F605CA"/>
    <w:rsid w:val="00F60DAD"/>
    <w:rsid w:val="00F61754"/>
    <w:rsid w:val="00F6295B"/>
    <w:rsid w:val="00F637D8"/>
    <w:rsid w:val="00F63A2E"/>
    <w:rsid w:val="00F63B36"/>
    <w:rsid w:val="00F649C9"/>
    <w:rsid w:val="00F64D5C"/>
    <w:rsid w:val="00F67389"/>
    <w:rsid w:val="00F70A00"/>
    <w:rsid w:val="00F753AF"/>
    <w:rsid w:val="00F75803"/>
    <w:rsid w:val="00F763E6"/>
    <w:rsid w:val="00F80B08"/>
    <w:rsid w:val="00F82A14"/>
    <w:rsid w:val="00F83A2A"/>
    <w:rsid w:val="00F83D67"/>
    <w:rsid w:val="00F83E3F"/>
    <w:rsid w:val="00F83F45"/>
    <w:rsid w:val="00F855C5"/>
    <w:rsid w:val="00F85BC4"/>
    <w:rsid w:val="00F8611C"/>
    <w:rsid w:val="00F86C2B"/>
    <w:rsid w:val="00F878DB"/>
    <w:rsid w:val="00F9024A"/>
    <w:rsid w:val="00F90DD0"/>
    <w:rsid w:val="00F9193B"/>
    <w:rsid w:val="00F93EFA"/>
    <w:rsid w:val="00F9516F"/>
    <w:rsid w:val="00F958BE"/>
    <w:rsid w:val="00F960CE"/>
    <w:rsid w:val="00F961CF"/>
    <w:rsid w:val="00F96E4B"/>
    <w:rsid w:val="00FA0424"/>
    <w:rsid w:val="00FA0DF0"/>
    <w:rsid w:val="00FA28CF"/>
    <w:rsid w:val="00FA3821"/>
    <w:rsid w:val="00FA43A3"/>
    <w:rsid w:val="00FA52FE"/>
    <w:rsid w:val="00FA6A06"/>
    <w:rsid w:val="00FB02BB"/>
    <w:rsid w:val="00FB158F"/>
    <w:rsid w:val="00FB16F0"/>
    <w:rsid w:val="00FB1AED"/>
    <w:rsid w:val="00FB1CF6"/>
    <w:rsid w:val="00FB1D2B"/>
    <w:rsid w:val="00FB2258"/>
    <w:rsid w:val="00FB2E98"/>
    <w:rsid w:val="00FB4B20"/>
    <w:rsid w:val="00FB4BC4"/>
    <w:rsid w:val="00FB4E22"/>
    <w:rsid w:val="00FB69A0"/>
    <w:rsid w:val="00FB7969"/>
    <w:rsid w:val="00FC0D81"/>
    <w:rsid w:val="00FC2410"/>
    <w:rsid w:val="00FC36B3"/>
    <w:rsid w:val="00FC39B2"/>
    <w:rsid w:val="00FC3DD0"/>
    <w:rsid w:val="00FC4551"/>
    <w:rsid w:val="00FC5064"/>
    <w:rsid w:val="00FC5925"/>
    <w:rsid w:val="00FC59ED"/>
    <w:rsid w:val="00FC6588"/>
    <w:rsid w:val="00FC6664"/>
    <w:rsid w:val="00FC6C6E"/>
    <w:rsid w:val="00FC70EF"/>
    <w:rsid w:val="00FD0849"/>
    <w:rsid w:val="00FD0852"/>
    <w:rsid w:val="00FD0B00"/>
    <w:rsid w:val="00FD3D86"/>
    <w:rsid w:val="00FD5F3B"/>
    <w:rsid w:val="00FD66D9"/>
    <w:rsid w:val="00FD6FA1"/>
    <w:rsid w:val="00FD75E7"/>
    <w:rsid w:val="00FD7BDF"/>
    <w:rsid w:val="00FE226A"/>
    <w:rsid w:val="00FE3A00"/>
    <w:rsid w:val="00FE4360"/>
    <w:rsid w:val="00FE5A83"/>
    <w:rsid w:val="00FF14EB"/>
    <w:rsid w:val="00FF15A9"/>
    <w:rsid w:val="00FF285A"/>
    <w:rsid w:val="00FF2ABB"/>
    <w:rsid w:val="00FF33C6"/>
    <w:rsid w:val="00FF3E2A"/>
    <w:rsid w:val="00FF71D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014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51F"/>
    <w:pPr>
      <w:spacing w:after="200" w:line="260" w:lineRule="exact"/>
    </w:pPr>
    <w:rPr>
      <w:rFonts w:ascii="Arial" w:hAnsi="Arial"/>
      <w:sz w:val="22"/>
      <w:szCs w:val="24"/>
      <w:lang w:eastAsia="en-US"/>
    </w:rPr>
  </w:style>
  <w:style w:type="paragraph" w:styleId="Heading1">
    <w:name w:val="heading 1"/>
    <w:basedOn w:val="Heading3"/>
    <w:next w:val="BodyText1"/>
    <w:qFormat/>
    <w:rsid w:val="00010B24"/>
    <w:pPr>
      <w:outlineLvl w:val="0"/>
    </w:pPr>
  </w:style>
  <w:style w:type="paragraph" w:styleId="Heading2">
    <w:name w:val="heading 2"/>
    <w:next w:val="BodyText1"/>
    <w:link w:val="Heading2Char"/>
    <w:qFormat/>
    <w:rsid w:val="008F1C8A"/>
    <w:pPr>
      <w:spacing w:after="120" w:line="260" w:lineRule="exact"/>
      <w:ind w:left="284" w:hanging="284"/>
      <w:outlineLvl w:val="1"/>
    </w:pPr>
    <w:rPr>
      <w:rFonts w:ascii="Arial" w:hAnsi="Arial"/>
      <w:b/>
      <w:spacing w:val="-6"/>
      <w:sz w:val="26"/>
      <w:szCs w:val="26"/>
      <w:lang w:eastAsia="en-US"/>
    </w:rPr>
  </w:style>
  <w:style w:type="paragraph" w:styleId="Heading3">
    <w:name w:val="heading 3"/>
    <w:next w:val="BodyText1"/>
    <w:link w:val="Heading3Char"/>
    <w:qFormat/>
    <w:rsid w:val="00F93EFA"/>
    <w:pPr>
      <w:spacing w:before="200" w:line="260" w:lineRule="exact"/>
      <w:outlineLvl w:val="2"/>
    </w:pPr>
    <w:rPr>
      <w:rFonts w:ascii="Arial" w:hAnsi="Arial"/>
      <w:b/>
      <w:bCs/>
      <w:color w:val="F79646"/>
      <w:spacing w:val="-6"/>
      <w:sz w:val="22"/>
      <w:szCs w:val="22"/>
      <w:lang w:eastAsia="en-US"/>
    </w:rPr>
  </w:style>
  <w:style w:type="paragraph" w:styleId="Heading4">
    <w:name w:val="heading 4"/>
    <w:basedOn w:val="Normal"/>
    <w:next w:val="Heading3"/>
    <w:link w:val="Heading4Char"/>
    <w:uiPriority w:val="9"/>
    <w:qFormat/>
    <w:rsid w:val="00AE6B19"/>
    <w:pPr>
      <w:keepNext/>
      <w:keepLines/>
      <w:spacing w:before="200"/>
      <w:outlineLvl w:val="3"/>
    </w:pPr>
    <w:rPr>
      <w:b/>
      <w:bCs/>
      <w:i/>
      <w:iCs/>
      <w:color w:val="C9690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box">
    <w:name w:val="After box"/>
    <w:next w:val="BodyText1"/>
    <w:rsid w:val="00AE6B19"/>
    <w:pPr>
      <w:spacing w:after="57" w:line="113" w:lineRule="exact"/>
    </w:pPr>
    <w:rPr>
      <w:rFonts w:ascii="Cambria" w:hAnsi="Cambria"/>
      <w:sz w:val="2"/>
      <w:szCs w:val="24"/>
      <w:lang w:eastAsia="en-US"/>
    </w:rPr>
  </w:style>
  <w:style w:type="paragraph" w:customStyle="1" w:styleId="Bodytextbeforebullets">
    <w:name w:val="Body text (before bullets)"/>
    <w:basedOn w:val="BodyText1"/>
    <w:rsid w:val="00AE6B19"/>
    <w:pPr>
      <w:spacing w:after="57"/>
    </w:pPr>
  </w:style>
  <w:style w:type="paragraph" w:customStyle="1" w:styleId="BodyText1">
    <w:name w:val="Body Text1"/>
    <w:basedOn w:val="Normal"/>
    <w:qFormat/>
    <w:rsid w:val="00F93EFA"/>
  </w:style>
  <w:style w:type="paragraph" w:customStyle="1" w:styleId="Bullets1stindent">
    <w:name w:val="Bullets (1st indent)"/>
    <w:basedOn w:val="BodyText1"/>
    <w:qFormat/>
    <w:rsid w:val="003800CE"/>
    <w:pPr>
      <w:spacing w:after="120"/>
    </w:pPr>
  </w:style>
  <w:style w:type="paragraph" w:customStyle="1" w:styleId="Bullets2ndindent">
    <w:name w:val="Bullets (2nd indent)"/>
    <w:basedOn w:val="BodyText1"/>
    <w:qFormat/>
    <w:rsid w:val="008F1C8A"/>
    <w:pPr>
      <w:spacing w:after="120"/>
      <w:ind w:left="644" w:hanging="360"/>
    </w:pPr>
  </w:style>
  <w:style w:type="numbering" w:customStyle="1" w:styleId="Bullets">
    <w:name w:val="Bullets"/>
    <w:basedOn w:val="NoList"/>
    <w:uiPriority w:val="99"/>
    <w:rsid w:val="00AE6B19"/>
    <w:pPr>
      <w:numPr>
        <w:numId w:val="6"/>
      </w:numPr>
    </w:pPr>
  </w:style>
  <w:style w:type="paragraph" w:customStyle="1" w:styleId="Figuretitle">
    <w:name w:val="Figure title"/>
    <w:basedOn w:val="Heading2"/>
    <w:next w:val="BodyText1"/>
    <w:rsid w:val="00AE6B19"/>
    <w:pPr>
      <w:numPr>
        <w:ilvl w:val="6"/>
        <w:numId w:val="4"/>
      </w:numPr>
    </w:pPr>
    <w:rPr>
      <w:szCs w:val="24"/>
    </w:rPr>
  </w:style>
  <w:style w:type="paragraph" w:customStyle="1" w:styleId="Footertext">
    <w:name w:val="Footer text"/>
    <w:semiHidden/>
    <w:rsid w:val="00AE6B19"/>
    <w:pPr>
      <w:framePr w:hSpace="181" w:wrap="around" w:vAnchor="text" w:hAnchor="page" w:x="11228" w:y="1"/>
      <w:spacing w:line="200" w:lineRule="atLeast"/>
      <w:ind w:right="113"/>
      <w:suppressOverlap/>
    </w:pPr>
    <w:rPr>
      <w:rFonts w:ascii="Arial" w:hAnsi="Arial" w:cs="Arial"/>
      <w:sz w:val="16"/>
      <w:szCs w:val="24"/>
      <w:lang w:eastAsia="en-US"/>
    </w:rPr>
  </w:style>
  <w:style w:type="paragraph" w:customStyle="1" w:styleId="Footnote">
    <w:name w:val="Footnote"/>
    <w:rsid w:val="00AE6B19"/>
    <w:pPr>
      <w:spacing w:before="85" w:after="85" w:line="160" w:lineRule="atLeast"/>
    </w:pPr>
    <w:rPr>
      <w:rFonts w:ascii="Arial" w:hAnsi="Arial" w:cs="Arial"/>
      <w:i/>
      <w:sz w:val="12"/>
      <w:szCs w:val="12"/>
      <w:lang w:eastAsia="en-US"/>
    </w:rPr>
  </w:style>
  <w:style w:type="paragraph" w:customStyle="1" w:styleId="Bulletslast1stindent">
    <w:name w:val="Bullets last (1st indent)"/>
    <w:basedOn w:val="BodyText1"/>
    <w:rsid w:val="00AE6B19"/>
    <w:pPr>
      <w:ind w:left="644" w:hanging="360"/>
    </w:pPr>
  </w:style>
  <w:style w:type="numbering" w:customStyle="1" w:styleId="Numbers">
    <w:name w:val="Numbers"/>
    <w:basedOn w:val="NoList"/>
    <w:rsid w:val="00AE6B19"/>
    <w:pPr>
      <w:numPr>
        <w:numId w:val="4"/>
      </w:numPr>
    </w:pPr>
  </w:style>
  <w:style w:type="paragraph" w:customStyle="1" w:styleId="Bulletslast2ndindent">
    <w:name w:val="Bullets last (2nd indent)"/>
    <w:basedOn w:val="BodyText1"/>
    <w:rsid w:val="00F93EFA"/>
    <w:pPr>
      <w:spacing w:after="57"/>
    </w:pPr>
  </w:style>
  <w:style w:type="paragraph" w:styleId="Subtitle">
    <w:name w:val="Subtitle"/>
    <w:basedOn w:val="Title"/>
    <w:uiPriority w:val="2"/>
    <w:qFormat/>
    <w:rsid w:val="00AE6B19"/>
    <w:pPr>
      <w:spacing w:line="300" w:lineRule="atLeast"/>
    </w:pPr>
    <w:rPr>
      <w:color w:val="FFFFFF"/>
      <w:sz w:val="24"/>
    </w:rPr>
  </w:style>
  <w:style w:type="paragraph" w:customStyle="1" w:styleId="Tablebodytext">
    <w:name w:val="Table body text"/>
    <w:link w:val="TablebodytextChar"/>
    <w:qFormat/>
    <w:rsid w:val="00AE6B19"/>
    <w:pPr>
      <w:spacing w:before="57" w:after="57" w:line="220" w:lineRule="atLeast"/>
      <w:ind w:left="96" w:right="96"/>
    </w:pPr>
    <w:rPr>
      <w:rFonts w:ascii="Arial" w:hAnsi="Arial"/>
      <w:sz w:val="17"/>
      <w:szCs w:val="24"/>
      <w:lang w:eastAsia="en-US"/>
    </w:rPr>
  </w:style>
  <w:style w:type="paragraph" w:customStyle="1" w:styleId="Tablebullets2ndindent">
    <w:name w:val="Table bullets (2nd indent)"/>
    <w:basedOn w:val="Tablebodytext"/>
    <w:qFormat/>
    <w:rsid w:val="00AE6B19"/>
    <w:pPr>
      <w:ind w:left="644" w:hanging="360"/>
    </w:pPr>
  </w:style>
  <w:style w:type="paragraph" w:customStyle="1" w:styleId="Tablebullets1stindent">
    <w:name w:val="Table bullets (1st indent)"/>
    <w:basedOn w:val="Tablebodytext"/>
    <w:qFormat/>
    <w:rsid w:val="00F93EFA"/>
    <w:pPr>
      <w:numPr>
        <w:numId w:val="21"/>
      </w:numPr>
    </w:pPr>
  </w:style>
  <w:style w:type="paragraph" w:customStyle="1" w:styleId="Tablecolumnheading">
    <w:name w:val="Table column heading"/>
    <w:basedOn w:val="Tablebodytext"/>
    <w:uiPriority w:val="99"/>
    <w:qFormat/>
    <w:rsid w:val="00AE6B19"/>
    <w:pPr>
      <w:keepNext/>
    </w:pPr>
    <w:rPr>
      <w:b/>
    </w:rPr>
  </w:style>
  <w:style w:type="paragraph" w:customStyle="1" w:styleId="Title2">
    <w:name w:val="Title 2"/>
    <w:basedOn w:val="Title"/>
    <w:uiPriority w:val="2"/>
    <w:semiHidden/>
    <w:rsid w:val="00AE6B19"/>
  </w:style>
  <w:style w:type="paragraph" w:customStyle="1" w:styleId="Tabletitle">
    <w:name w:val="Table title"/>
    <w:basedOn w:val="Heading2"/>
    <w:next w:val="BodyText1"/>
    <w:rsid w:val="00AE6B19"/>
    <w:pPr>
      <w:numPr>
        <w:ilvl w:val="8"/>
        <w:numId w:val="4"/>
      </w:numPr>
    </w:pPr>
    <w:rPr>
      <w:szCs w:val="24"/>
    </w:rPr>
  </w:style>
  <w:style w:type="paragraph" w:styleId="Title">
    <w:name w:val="Title"/>
    <w:basedOn w:val="Heading1"/>
    <w:uiPriority w:val="2"/>
    <w:qFormat/>
    <w:rsid w:val="00010B24"/>
  </w:style>
  <w:style w:type="paragraph" w:customStyle="1" w:styleId="Boxheading">
    <w:name w:val="Box heading"/>
    <w:next w:val="BodyText1"/>
    <w:uiPriority w:val="1"/>
    <w:rsid w:val="00AE6B19"/>
    <w:pPr>
      <w:spacing w:line="240" w:lineRule="atLeast"/>
    </w:pPr>
    <w:rPr>
      <w:rFonts w:ascii="Arial" w:hAnsi="Arial"/>
      <w:b/>
      <w:color w:val="4B5869"/>
      <w:sz w:val="22"/>
      <w:szCs w:val="24"/>
      <w:lang w:eastAsia="en-US"/>
    </w:rPr>
  </w:style>
  <w:style w:type="paragraph" w:styleId="Footer">
    <w:name w:val="footer"/>
    <w:basedOn w:val="Normal"/>
    <w:link w:val="FooterChar"/>
    <w:uiPriority w:val="99"/>
    <w:rsid w:val="00AE6B19"/>
    <w:pPr>
      <w:tabs>
        <w:tab w:val="center" w:pos="4320"/>
        <w:tab w:val="right" w:pos="8640"/>
      </w:tabs>
    </w:pPr>
  </w:style>
  <w:style w:type="table" w:styleId="TableGrid">
    <w:name w:val="Table Grid"/>
    <w:basedOn w:val="TableNormal"/>
    <w:rsid w:val="00AE6B19"/>
    <w:rPr>
      <w:rFonts w:ascii="Arial" w:hAnsi="Arial"/>
    </w:rPr>
    <w:tblPr>
      <w:tblCellMar>
        <w:left w:w="0" w:type="dxa"/>
        <w:right w:w="0" w:type="dxa"/>
      </w:tblCellMar>
    </w:tblPr>
  </w:style>
  <w:style w:type="paragraph" w:styleId="BalloonText">
    <w:name w:val="Balloon Text"/>
    <w:basedOn w:val="Normal"/>
    <w:link w:val="BalloonTextChar"/>
    <w:uiPriority w:val="99"/>
    <w:semiHidden/>
    <w:rsid w:val="00AE6B19"/>
    <w:rPr>
      <w:rFonts w:ascii="Tahoma" w:hAnsi="Tahoma" w:cs="Tahoma"/>
      <w:sz w:val="16"/>
      <w:szCs w:val="16"/>
    </w:rPr>
  </w:style>
  <w:style w:type="character" w:customStyle="1" w:styleId="BalloonTextChar">
    <w:name w:val="Balloon Text Char"/>
    <w:link w:val="BalloonText"/>
    <w:uiPriority w:val="99"/>
    <w:semiHidden/>
    <w:rsid w:val="00AE6B19"/>
    <w:rPr>
      <w:rFonts w:ascii="Tahoma" w:hAnsi="Tahoma" w:cs="Tahoma"/>
      <w:sz w:val="16"/>
      <w:szCs w:val="16"/>
      <w:lang w:eastAsia="en-US"/>
    </w:rPr>
  </w:style>
  <w:style w:type="paragraph" w:styleId="Header">
    <w:name w:val="header"/>
    <w:basedOn w:val="Normal"/>
    <w:link w:val="HeaderChar"/>
    <w:uiPriority w:val="99"/>
    <w:semiHidden/>
    <w:rsid w:val="00AE6B19"/>
    <w:pPr>
      <w:tabs>
        <w:tab w:val="center" w:pos="4680"/>
        <w:tab w:val="right" w:pos="9360"/>
      </w:tabs>
    </w:pPr>
  </w:style>
  <w:style w:type="character" w:customStyle="1" w:styleId="HeaderChar">
    <w:name w:val="Header Char"/>
    <w:link w:val="Header"/>
    <w:uiPriority w:val="99"/>
    <w:semiHidden/>
    <w:rsid w:val="00AE6B19"/>
    <w:rPr>
      <w:rFonts w:ascii="Cambria" w:hAnsi="Cambria"/>
      <w:szCs w:val="24"/>
      <w:lang w:eastAsia="en-US"/>
    </w:rPr>
  </w:style>
  <w:style w:type="paragraph" w:customStyle="1" w:styleId="Subtitle2">
    <w:name w:val="Subtitle 2"/>
    <w:uiPriority w:val="2"/>
    <w:rsid w:val="00AE6B19"/>
    <w:pPr>
      <w:spacing w:before="200"/>
      <w:contextualSpacing/>
    </w:pPr>
    <w:rPr>
      <w:rFonts w:ascii="Arial" w:hAnsi="Arial"/>
      <w:caps/>
      <w:color w:val="1C2735"/>
      <w:kern w:val="28"/>
      <w:sz w:val="22"/>
      <w:szCs w:val="32"/>
      <w:lang w:eastAsia="en-US"/>
    </w:rPr>
  </w:style>
  <w:style w:type="character" w:customStyle="1" w:styleId="Blue">
    <w:name w:val="Blue"/>
    <w:semiHidden/>
    <w:qFormat/>
    <w:rsid w:val="00AE6B19"/>
    <w:rPr>
      <w:color w:val="45C7ED"/>
    </w:rPr>
  </w:style>
  <w:style w:type="paragraph" w:customStyle="1" w:styleId="Subheading">
    <w:name w:val="Subheading"/>
    <w:next w:val="BodyText1"/>
    <w:qFormat/>
    <w:rsid w:val="0054233A"/>
    <w:pPr>
      <w:spacing w:before="284" w:line="300" w:lineRule="exact"/>
      <w:ind w:left="284" w:hanging="284"/>
    </w:pPr>
    <w:rPr>
      <w:rFonts w:ascii="Arial" w:hAnsi="Arial"/>
      <w:color w:val="FFFFFF"/>
      <w:spacing w:val="-6"/>
      <w:sz w:val="24"/>
      <w:szCs w:val="28"/>
      <w:lang w:val="en-US" w:eastAsia="en-US"/>
    </w:rPr>
  </w:style>
  <w:style w:type="paragraph" w:customStyle="1" w:styleId="Boxtext">
    <w:name w:val="Box text"/>
    <w:basedOn w:val="Tablebodytext"/>
    <w:uiPriority w:val="1"/>
    <w:rsid w:val="00AE6B19"/>
    <w:pPr>
      <w:ind w:left="0" w:right="0"/>
    </w:pPr>
    <w:rPr>
      <w:color w:val="4B5869"/>
    </w:rPr>
  </w:style>
  <w:style w:type="paragraph" w:customStyle="1" w:styleId="ColorfulGrid-Accent11">
    <w:name w:val="Colorful Grid - Accent 11"/>
    <w:aliases w:val="Quote/emphasis"/>
    <w:link w:val="ColorfulGrid-Accent1Char"/>
    <w:rsid w:val="001A0954"/>
    <w:pPr>
      <w:spacing w:before="170" w:after="170" w:line="260" w:lineRule="atLeast"/>
    </w:pPr>
    <w:rPr>
      <w:rFonts w:ascii="Cambria" w:hAnsi="Cambria"/>
      <w:i/>
      <w:iCs/>
      <w:color w:val="000000"/>
      <w:spacing w:val="-2"/>
      <w:sz w:val="22"/>
      <w:szCs w:val="22"/>
      <w:lang w:eastAsia="en-US"/>
    </w:rPr>
  </w:style>
  <w:style w:type="character" w:customStyle="1" w:styleId="ColorfulGrid-Accent1Char">
    <w:name w:val="Colorful Grid - Accent 1 Char"/>
    <w:aliases w:val="Quote/emphasis Char"/>
    <w:link w:val="ColorfulGrid-Accent11"/>
    <w:rsid w:val="001A0954"/>
    <w:rPr>
      <w:rFonts w:ascii="Cambria" w:hAnsi="Cambria"/>
      <w:i/>
      <w:iCs/>
      <w:color w:val="000000"/>
      <w:spacing w:val="-2"/>
      <w:sz w:val="22"/>
      <w:szCs w:val="22"/>
      <w:lang w:val="en-AU" w:eastAsia="en-US" w:bidi="ar-SA"/>
    </w:rPr>
  </w:style>
  <w:style w:type="table" w:customStyle="1" w:styleId="DOFDtexttable">
    <w:name w:val="DOFD_text table"/>
    <w:basedOn w:val="TableNormal"/>
    <w:uiPriority w:val="99"/>
    <w:qFormat/>
    <w:rsid w:val="00AE6B19"/>
    <w:pPr>
      <w:spacing w:before="57"/>
    </w:pPr>
    <w:rPr>
      <w:rFonts w:ascii="Cambria" w:hAnsi="Cambria"/>
    </w:rPr>
    <w:tblPr>
      <w:tblBorders>
        <w:top w:val="single" w:sz="2" w:space="0" w:color="A5ABB6"/>
        <w:left w:val="single" w:sz="2" w:space="0" w:color="A5ABB6"/>
        <w:bottom w:val="single" w:sz="2" w:space="0" w:color="A5ABB6"/>
        <w:right w:val="single" w:sz="2" w:space="0" w:color="A5ABB6"/>
        <w:insideH w:val="single" w:sz="2" w:space="0" w:color="A5ABB6"/>
        <w:insideV w:val="single" w:sz="2" w:space="0" w:color="A5ABB6"/>
      </w:tblBorders>
      <w:tblCellMar>
        <w:top w:w="170" w:type="dxa"/>
        <w:left w:w="227" w:type="dxa"/>
        <w:bottom w:w="113" w:type="dxa"/>
        <w:right w:w="227" w:type="dxa"/>
      </w:tblCellMar>
    </w:tblPr>
    <w:trPr>
      <w:cantSplit/>
    </w:trPr>
    <w:tblStylePr w:type="firstRow">
      <w:rPr>
        <w:rFonts w:ascii="Arial" w:hAnsi="Arial"/>
        <w:b w:val="0"/>
        <w:color w:val="4B5869"/>
        <w:sz w:val="22"/>
      </w:rPr>
      <w:tblPr/>
      <w:trPr>
        <w:tblHeader/>
      </w:trPr>
      <w:tcPr>
        <w:tcBorders>
          <w:top w:val="nil"/>
          <w:left w:val="nil"/>
          <w:bottom w:val="nil"/>
          <w:right w:val="nil"/>
          <w:insideH w:val="nil"/>
          <w:insideV w:val="nil"/>
          <w:tl2br w:val="nil"/>
          <w:tr2bl w:val="nil"/>
        </w:tcBorders>
        <w:shd w:val="clear" w:color="auto" w:fill="DBF4FB"/>
        <w:tcMar>
          <w:top w:w="113" w:type="dxa"/>
          <w:left w:w="0" w:type="nil"/>
          <w:bottom w:w="113" w:type="dxa"/>
          <w:right w:w="0" w:type="nil"/>
        </w:tcMar>
      </w:tcPr>
    </w:tblStylePr>
  </w:style>
  <w:style w:type="character" w:customStyle="1" w:styleId="ArialBlackBlue">
    <w:name w:val="Arial Black Blue"/>
    <w:uiPriority w:val="1"/>
    <w:semiHidden/>
    <w:qFormat/>
    <w:rsid w:val="00AE6B19"/>
    <w:rPr>
      <w:rFonts w:ascii="Arial Black" w:hAnsi="Arial Black"/>
      <w:color w:val="45C7ED"/>
    </w:rPr>
  </w:style>
  <w:style w:type="character" w:styleId="PageNumber">
    <w:name w:val="page number"/>
    <w:uiPriority w:val="99"/>
    <w:semiHidden/>
    <w:qFormat/>
    <w:rsid w:val="00AE6B19"/>
    <w:rPr>
      <w:rFonts w:ascii="Arial" w:hAnsi="Arial"/>
      <w:b/>
      <w:color w:val="1C2735"/>
      <w:spacing w:val="-20"/>
      <w:sz w:val="16"/>
      <w:lang w:val="en-AU"/>
    </w:rPr>
  </w:style>
  <w:style w:type="paragraph" w:customStyle="1" w:styleId="Chapternumber">
    <w:name w:val="Chapter number"/>
    <w:semiHidden/>
    <w:qFormat/>
    <w:rsid w:val="00AE6B19"/>
    <w:pPr>
      <w:numPr>
        <w:numId w:val="5"/>
      </w:numPr>
      <w:spacing w:line="940" w:lineRule="exact"/>
      <w:ind w:left="142" w:firstLine="0"/>
    </w:pPr>
    <w:rPr>
      <w:rFonts w:ascii="Arial" w:hAnsi="Arial" w:cs="Arial"/>
      <w:b/>
      <w:color w:val="DADDE1"/>
      <w:sz w:val="94"/>
      <w:szCs w:val="94"/>
      <w:lang w:eastAsia="en-US"/>
    </w:rPr>
  </w:style>
  <w:style w:type="paragraph" w:styleId="FootnoteText">
    <w:name w:val="footnote text"/>
    <w:link w:val="FootnoteTextChar"/>
    <w:uiPriority w:val="99"/>
    <w:semiHidden/>
    <w:qFormat/>
    <w:rsid w:val="00AE6B19"/>
    <w:pPr>
      <w:tabs>
        <w:tab w:val="left" w:pos="284"/>
      </w:tabs>
      <w:spacing w:after="20" w:line="260" w:lineRule="atLeast"/>
      <w:ind w:left="284" w:hanging="284"/>
    </w:pPr>
    <w:rPr>
      <w:rFonts w:ascii="Arial" w:hAnsi="Arial"/>
      <w:color w:val="4B5869"/>
      <w:sz w:val="15"/>
      <w:lang w:eastAsia="en-US"/>
    </w:rPr>
  </w:style>
  <w:style w:type="character" w:customStyle="1" w:styleId="FootnoteTextChar">
    <w:name w:val="Footnote Text Char"/>
    <w:link w:val="FootnoteText"/>
    <w:uiPriority w:val="99"/>
    <w:semiHidden/>
    <w:rsid w:val="00AE6B19"/>
    <w:rPr>
      <w:rFonts w:ascii="Arial" w:hAnsi="Arial"/>
      <w:color w:val="4B5869"/>
      <w:sz w:val="15"/>
      <w:lang w:val="en-AU" w:eastAsia="en-US" w:bidi="ar-SA"/>
    </w:rPr>
  </w:style>
  <w:style w:type="character" w:styleId="FootnoteReference">
    <w:name w:val="footnote reference"/>
    <w:uiPriority w:val="99"/>
    <w:semiHidden/>
    <w:rsid w:val="00AE6B19"/>
    <w:rPr>
      <w:vertAlign w:val="superscript"/>
    </w:rPr>
  </w:style>
  <w:style w:type="paragraph" w:customStyle="1" w:styleId="Boxtitle">
    <w:name w:val="Box title"/>
    <w:basedOn w:val="Boxheading"/>
    <w:uiPriority w:val="1"/>
    <w:rsid w:val="00AE6B19"/>
    <w:pPr>
      <w:spacing w:before="113" w:after="113"/>
    </w:pPr>
    <w:rPr>
      <w:color w:val="45C7ED"/>
    </w:rPr>
  </w:style>
  <w:style w:type="paragraph" w:customStyle="1" w:styleId="Notetitle">
    <w:name w:val="Note title"/>
    <w:basedOn w:val="Heading2"/>
    <w:rsid w:val="00AE6B19"/>
    <w:pPr>
      <w:numPr>
        <w:ilvl w:val="7"/>
        <w:numId w:val="4"/>
      </w:numPr>
    </w:pPr>
  </w:style>
  <w:style w:type="character" w:customStyle="1" w:styleId="Black">
    <w:name w:val="Black"/>
    <w:uiPriority w:val="1"/>
    <w:semiHidden/>
    <w:qFormat/>
    <w:rsid w:val="00AE6B19"/>
    <w:rPr>
      <w:color w:val="1C2735"/>
      <w:lang w:val="en-AU"/>
    </w:rPr>
  </w:style>
  <w:style w:type="paragraph" w:customStyle="1" w:styleId="Numberedpara1stindent">
    <w:name w:val="Numbered para (1st indent)"/>
    <w:basedOn w:val="BodyText1"/>
    <w:rsid w:val="00AE6B19"/>
    <w:pPr>
      <w:numPr>
        <w:ilvl w:val="3"/>
        <w:numId w:val="4"/>
      </w:numPr>
    </w:pPr>
  </w:style>
  <w:style w:type="paragraph" w:customStyle="1" w:styleId="Numberedpara2ndindent">
    <w:name w:val="Numbered para (2nd indent)"/>
    <w:basedOn w:val="BodyText1"/>
    <w:rsid w:val="00AE6B19"/>
    <w:pPr>
      <w:numPr>
        <w:ilvl w:val="4"/>
        <w:numId w:val="4"/>
      </w:numPr>
    </w:pPr>
  </w:style>
  <w:style w:type="paragraph" w:customStyle="1" w:styleId="Numberedpara3rdindent">
    <w:name w:val="Numbered para (3rd indent)"/>
    <w:basedOn w:val="BodyText1"/>
    <w:rsid w:val="00AE6B19"/>
    <w:pPr>
      <w:numPr>
        <w:ilvl w:val="5"/>
        <w:numId w:val="4"/>
      </w:numPr>
    </w:pPr>
  </w:style>
  <w:style w:type="character" w:styleId="Hyperlink">
    <w:name w:val="Hyperlink"/>
    <w:uiPriority w:val="99"/>
    <w:rsid w:val="00660901"/>
    <w:rPr>
      <w:color w:val="0D6F8B"/>
      <w:u w:val="single"/>
    </w:rPr>
  </w:style>
  <w:style w:type="paragraph" w:customStyle="1" w:styleId="ColorfulList-Accent11">
    <w:name w:val="Colorful List - Accent 11"/>
    <w:basedOn w:val="Normal"/>
    <w:uiPriority w:val="34"/>
    <w:rsid w:val="00AE6B19"/>
    <w:pPr>
      <w:spacing w:line="276" w:lineRule="auto"/>
      <w:ind w:left="720"/>
      <w:contextualSpacing/>
    </w:pPr>
    <w:rPr>
      <w:rFonts w:eastAsia="Cambria"/>
      <w:szCs w:val="22"/>
    </w:rPr>
  </w:style>
  <w:style w:type="character" w:customStyle="1" w:styleId="Heading4Char">
    <w:name w:val="Heading 4 Char"/>
    <w:link w:val="Heading4"/>
    <w:uiPriority w:val="9"/>
    <w:rsid w:val="00AE6B19"/>
    <w:rPr>
      <w:rFonts w:ascii="Arial" w:eastAsia="Times New Roman" w:hAnsi="Arial" w:cs="Times New Roman"/>
      <w:b/>
      <w:bCs/>
      <w:i/>
      <w:iCs/>
      <w:color w:val="C96904"/>
      <w:szCs w:val="24"/>
      <w:lang w:val="en-US" w:eastAsia="en-US"/>
    </w:rPr>
  </w:style>
  <w:style w:type="paragraph" w:customStyle="1" w:styleId="BodyCopy">
    <w:name w:val="Body Copy"/>
    <w:basedOn w:val="Normal"/>
    <w:uiPriority w:val="99"/>
    <w:rsid w:val="00AE6B19"/>
    <w:pPr>
      <w:suppressAutoHyphens/>
      <w:autoSpaceDE w:val="0"/>
      <w:autoSpaceDN w:val="0"/>
      <w:adjustRightInd w:val="0"/>
      <w:spacing w:before="113" w:line="250" w:lineRule="atLeast"/>
      <w:textAlignment w:val="center"/>
    </w:pPr>
    <w:rPr>
      <w:rFonts w:ascii="Cambria" w:hAnsi="Cambria" w:cs="Cambria"/>
      <w:color w:val="000000"/>
      <w:spacing w:val="-1"/>
      <w:szCs w:val="20"/>
      <w:lang w:val="en-GB" w:eastAsia="en-AU"/>
    </w:rPr>
  </w:style>
  <w:style w:type="paragraph" w:customStyle="1" w:styleId="DateYear">
    <w:name w:val="Date:Year"/>
    <w:basedOn w:val="Normal"/>
    <w:link w:val="DateYearChar"/>
    <w:rsid w:val="00AE6B19"/>
    <w:pPr>
      <w:jc w:val="center"/>
    </w:pPr>
    <w:rPr>
      <w:rFonts w:cs="Arial"/>
      <w:b/>
      <w:caps/>
      <w:color w:val="FFFFFF"/>
    </w:rPr>
  </w:style>
  <w:style w:type="character" w:customStyle="1" w:styleId="DateYearChar">
    <w:name w:val="Date:Year Char"/>
    <w:link w:val="DateYear"/>
    <w:rsid w:val="00AE6B19"/>
    <w:rPr>
      <w:rFonts w:ascii="Arial" w:hAnsi="Arial" w:cs="Arial"/>
      <w:b/>
      <w:caps/>
      <w:color w:val="FFFFFF"/>
      <w:szCs w:val="24"/>
      <w:lang w:eastAsia="en-US"/>
    </w:rPr>
  </w:style>
  <w:style w:type="paragraph" w:customStyle="1" w:styleId="BasicParagraph">
    <w:name w:val="[Basic Paragraph]"/>
    <w:basedOn w:val="Normal"/>
    <w:uiPriority w:val="99"/>
    <w:rsid w:val="0099073D"/>
    <w:pPr>
      <w:autoSpaceDE w:val="0"/>
      <w:autoSpaceDN w:val="0"/>
      <w:adjustRightInd w:val="0"/>
      <w:spacing w:after="0" w:line="288" w:lineRule="auto"/>
      <w:textAlignment w:val="center"/>
    </w:pPr>
    <w:rPr>
      <w:rFonts w:ascii="Minion Pro" w:hAnsi="Minion Pro" w:cs="Minion Pro"/>
      <w:color w:val="000000"/>
      <w:sz w:val="24"/>
      <w:lang w:val="en-GB" w:eastAsia="en-AU"/>
    </w:rPr>
  </w:style>
  <w:style w:type="character" w:customStyle="1" w:styleId="FooterChar">
    <w:name w:val="Footer Char"/>
    <w:link w:val="Footer"/>
    <w:uiPriority w:val="99"/>
    <w:rsid w:val="00C86A41"/>
    <w:rPr>
      <w:rFonts w:ascii="Cambria" w:hAnsi="Cambria"/>
      <w:sz w:val="22"/>
      <w:szCs w:val="24"/>
      <w:lang w:eastAsia="en-US"/>
    </w:rPr>
  </w:style>
  <w:style w:type="paragraph" w:styleId="ListBullet">
    <w:name w:val="List Bullet"/>
    <w:basedOn w:val="Normal"/>
    <w:qFormat/>
    <w:rsid w:val="00F93EFA"/>
    <w:pPr>
      <w:numPr>
        <w:numId w:val="20"/>
      </w:numPr>
      <w:spacing w:line="240" w:lineRule="auto"/>
      <w:contextualSpacing/>
    </w:pPr>
  </w:style>
  <w:style w:type="paragraph" w:styleId="ListNumber">
    <w:name w:val="List Number"/>
    <w:basedOn w:val="Normal"/>
    <w:qFormat/>
    <w:rsid w:val="00240CA9"/>
    <w:pPr>
      <w:numPr>
        <w:numId w:val="18"/>
      </w:numPr>
      <w:spacing w:line="240" w:lineRule="auto"/>
      <w:ind w:left="357" w:hanging="357"/>
      <w:contextualSpacing/>
    </w:pPr>
  </w:style>
  <w:style w:type="paragraph" w:customStyle="1" w:styleId="Sourcenotetext">
    <w:name w:val="Source/note text"/>
    <w:qFormat/>
    <w:rsid w:val="00240CA9"/>
    <w:pPr>
      <w:spacing w:before="85" w:after="85"/>
    </w:pPr>
    <w:rPr>
      <w:rFonts w:ascii="Arial" w:hAnsi="Arial" w:cs="Arial"/>
      <w:i/>
      <w:sz w:val="12"/>
      <w:szCs w:val="12"/>
      <w:lang w:eastAsia="en-US"/>
    </w:rPr>
  </w:style>
  <w:style w:type="paragraph" w:styleId="BodyText">
    <w:name w:val="Body Text"/>
    <w:basedOn w:val="Normal"/>
    <w:link w:val="BodyTextChar"/>
    <w:rsid w:val="00240CA9"/>
    <w:pPr>
      <w:spacing w:after="120" w:line="240" w:lineRule="auto"/>
    </w:pPr>
    <w:rPr>
      <w:rFonts w:eastAsia="Cambria"/>
      <w:szCs w:val="22"/>
    </w:rPr>
  </w:style>
  <w:style w:type="character" w:customStyle="1" w:styleId="BodyTextChar">
    <w:name w:val="Body Text Char"/>
    <w:link w:val="BodyText"/>
    <w:rsid w:val="00240CA9"/>
    <w:rPr>
      <w:rFonts w:ascii="Cambria" w:eastAsia="Cambria" w:hAnsi="Cambria"/>
      <w:sz w:val="22"/>
      <w:szCs w:val="22"/>
      <w:lang w:eastAsia="en-US"/>
    </w:rPr>
  </w:style>
  <w:style w:type="paragraph" w:customStyle="1" w:styleId="BodyText2">
    <w:name w:val="Body Text2"/>
    <w:basedOn w:val="Normal"/>
    <w:qFormat/>
    <w:rsid w:val="004C069D"/>
    <w:rPr>
      <w:rFonts w:ascii="Cambria" w:hAnsi="Cambria"/>
    </w:rPr>
  </w:style>
  <w:style w:type="character" w:customStyle="1" w:styleId="LightExpertusefortablenumbers">
    <w:name w:val="Light Expert (use for table numbers)"/>
    <w:rsid w:val="004C069D"/>
  </w:style>
  <w:style w:type="character" w:customStyle="1" w:styleId="SuperscriptTableNote">
    <w:name w:val="Superscript (Table Note)"/>
    <w:rsid w:val="004C069D"/>
    <w:rPr>
      <w:rFonts w:ascii="TheSansSemiBold-Plain" w:hAnsi="TheSansSemiBold-Plain"/>
      <w:b/>
      <w:position w:val="4"/>
      <w:sz w:val="14"/>
    </w:rPr>
  </w:style>
  <w:style w:type="character" w:customStyle="1" w:styleId="SuperscriptBody">
    <w:name w:val="Superscript (Body)"/>
    <w:rsid w:val="004C069D"/>
    <w:rPr>
      <w:rFonts w:ascii="TheSansSemiBold-Plain" w:hAnsi="TheSansSemiBold-Plain"/>
      <w:b/>
      <w:position w:val="6"/>
      <w:sz w:val="14"/>
    </w:rPr>
  </w:style>
  <w:style w:type="character" w:customStyle="1" w:styleId="SuperscriptTableBold">
    <w:name w:val="Superscript (Table Bold)"/>
    <w:rsid w:val="004C069D"/>
    <w:rPr>
      <w:rFonts w:ascii="TheSansSemiBold-Plain" w:hAnsi="TheSansSemiBold-Plain" w:cs="TheSansSemiBold-Plain"/>
      <w:b/>
      <w:bCs/>
      <w:position w:val="4"/>
      <w:sz w:val="14"/>
      <w:szCs w:val="14"/>
    </w:rPr>
  </w:style>
  <w:style w:type="table" w:styleId="LightShading">
    <w:name w:val="Light Shading"/>
    <w:basedOn w:val="TableNormal"/>
    <w:uiPriority w:val="60"/>
    <w:rsid w:val="0032750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semiHidden/>
    <w:unhideWhenUsed/>
    <w:qFormat/>
    <w:rsid w:val="00220271"/>
    <w:pPr>
      <w:keepLines/>
      <w:spacing w:before="480" w:line="276" w:lineRule="auto"/>
      <w:outlineLvl w:val="9"/>
    </w:pPr>
    <w:rPr>
      <w:rFonts w:ascii="Cambria" w:hAnsi="Cambria"/>
      <w:b w:val="0"/>
      <w:bCs w:val="0"/>
      <w:color w:val="365F91"/>
      <w:spacing w:val="0"/>
      <w:sz w:val="28"/>
      <w:szCs w:val="28"/>
      <w:lang w:eastAsia="ja-JP"/>
    </w:rPr>
  </w:style>
  <w:style w:type="paragraph" w:styleId="TOC1">
    <w:name w:val="toc 1"/>
    <w:basedOn w:val="Normal"/>
    <w:next w:val="Normal"/>
    <w:autoRedefine/>
    <w:uiPriority w:val="39"/>
    <w:rsid w:val="0048018A"/>
    <w:pPr>
      <w:tabs>
        <w:tab w:val="right" w:leader="dot" w:pos="9054"/>
      </w:tabs>
      <w:spacing w:after="100"/>
    </w:pPr>
    <w:rPr>
      <w:b/>
      <w:sz w:val="32"/>
      <w:szCs w:val="32"/>
    </w:rPr>
  </w:style>
  <w:style w:type="paragraph" w:styleId="TOC3">
    <w:name w:val="toc 3"/>
    <w:basedOn w:val="Normal"/>
    <w:next w:val="Normal"/>
    <w:autoRedefine/>
    <w:uiPriority w:val="39"/>
    <w:rsid w:val="00E34FF5"/>
    <w:pPr>
      <w:tabs>
        <w:tab w:val="left" w:pos="709"/>
        <w:tab w:val="left" w:pos="993"/>
        <w:tab w:val="right" w:leader="dot" w:pos="9054"/>
      </w:tabs>
      <w:spacing w:after="100"/>
      <w:ind w:left="440"/>
    </w:pPr>
    <w:rPr>
      <w:bCs/>
      <w:noProof/>
      <w:spacing w:val="-6"/>
    </w:rPr>
  </w:style>
  <w:style w:type="character" w:customStyle="1" w:styleId="TablebodytextChar">
    <w:name w:val="Table body text Char"/>
    <w:link w:val="Tablebodytext"/>
    <w:rsid w:val="00220271"/>
    <w:rPr>
      <w:rFonts w:ascii="Arial" w:hAnsi="Arial"/>
      <w:sz w:val="17"/>
      <w:szCs w:val="24"/>
      <w:lang w:eastAsia="en-US"/>
    </w:rPr>
  </w:style>
  <w:style w:type="paragraph" w:customStyle="1" w:styleId="Heading3nonumbers">
    <w:name w:val="Heading 3 (no numbers)"/>
    <w:basedOn w:val="Heading3"/>
    <w:next w:val="Normal"/>
    <w:qFormat/>
    <w:rsid w:val="00220271"/>
    <w:pPr>
      <w:keepNext/>
      <w:keepLines/>
      <w:spacing w:before="284" w:after="113" w:line="240" w:lineRule="auto"/>
    </w:pPr>
    <w:rPr>
      <w:bCs w:val="0"/>
      <w:color w:val="auto"/>
      <w:sz w:val="26"/>
      <w:szCs w:val="26"/>
    </w:rPr>
  </w:style>
  <w:style w:type="paragraph" w:styleId="TOC2">
    <w:name w:val="toc 2"/>
    <w:basedOn w:val="Normal"/>
    <w:next w:val="Normal"/>
    <w:autoRedefine/>
    <w:uiPriority w:val="39"/>
    <w:rsid w:val="009465BE"/>
    <w:pPr>
      <w:tabs>
        <w:tab w:val="left" w:pos="426"/>
        <w:tab w:val="left" w:pos="709"/>
        <w:tab w:val="left" w:pos="993"/>
        <w:tab w:val="right" w:leader="dot" w:pos="9054"/>
      </w:tabs>
      <w:spacing w:after="100"/>
      <w:ind w:left="220" w:hanging="78"/>
    </w:pPr>
  </w:style>
  <w:style w:type="paragraph" w:styleId="ListParagraph">
    <w:name w:val="List Paragraph"/>
    <w:basedOn w:val="Normal"/>
    <w:uiPriority w:val="34"/>
    <w:qFormat/>
    <w:rsid w:val="00B52E93"/>
    <w:pPr>
      <w:spacing w:after="0" w:line="240" w:lineRule="auto"/>
      <w:ind w:left="720"/>
    </w:pPr>
    <w:rPr>
      <w:rFonts w:ascii="Calibri" w:eastAsia="Calibri" w:hAnsi="Calibri" w:cs="Calibri"/>
      <w:szCs w:val="22"/>
    </w:rPr>
  </w:style>
  <w:style w:type="paragraph" w:customStyle="1" w:styleId="Proposaltitle">
    <w:name w:val="Proposal title"/>
    <w:basedOn w:val="Tablebodytext"/>
    <w:link w:val="ProposaltitleChar"/>
    <w:qFormat/>
    <w:rsid w:val="00B52E93"/>
    <w:pPr>
      <w:spacing w:line="240" w:lineRule="auto"/>
    </w:pPr>
    <w:rPr>
      <w:b/>
    </w:rPr>
  </w:style>
  <w:style w:type="character" w:customStyle="1" w:styleId="ProposaltitleChar">
    <w:name w:val="Proposal title Char"/>
    <w:link w:val="Proposaltitle"/>
    <w:locked/>
    <w:rsid w:val="00B52E93"/>
    <w:rPr>
      <w:rFonts w:ascii="Arial" w:hAnsi="Arial"/>
      <w:b/>
      <w:sz w:val="17"/>
      <w:szCs w:val="24"/>
      <w:lang w:eastAsia="en-US"/>
    </w:rPr>
  </w:style>
  <w:style w:type="paragraph" w:customStyle="1" w:styleId="TableUnitsRow">
    <w:name w:val="Table Units Row"/>
    <w:basedOn w:val="Normal"/>
    <w:rsid w:val="00B52E93"/>
    <w:pPr>
      <w:keepNext/>
      <w:keepLines/>
      <w:spacing w:before="80" w:after="80" w:line="220" w:lineRule="atLeast"/>
      <w:ind w:left="6" w:right="113"/>
      <w:jc w:val="right"/>
    </w:pPr>
    <w:rPr>
      <w:sz w:val="20"/>
      <w:szCs w:val="20"/>
      <w:lang w:val="en-US"/>
    </w:rPr>
  </w:style>
  <w:style w:type="paragraph" w:customStyle="1" w:styleId="TableColumnHeading0">
    <w:name w:val="Table Column Heading"/>
    <w:basedOn w:val="Normal"/>
    <w:rsid w:val="00B52E93"/>
    <w:pPr>
      <w:keepNext/>
      <w:keepLines/>
      <w:spacing w:before="80" w:after="80" w:line="220" w:lineRule="atLeast"/>
      <w:ind w:left="6" w:right="113"/>
      <w:jc w:val="right"/>
    </w:pPr>
    <w:rPr>
      <w:i/>
      <w:sz w:val="20"/>
      <w:szCs w:val="20"/>
      <w:lang w:val="en-US"/>
    </w:rPr>
  </w:style>
  <w:style w:type="character" w:customStyle="1" w:styleId="Heading2Char">
    <w:name w:val="Heading 2 Char"/>
    <w:link w:val="Heading2"/>
    <w:rsid w:val="00D16882"/>
    <w:rPr>
      <w:rFonts w:ascii="Arial" w:hAnsi="Arial"/>
      <w:b/>
      <w:spacing w:val="-6"/>
      <w:sz w:val="26"/>
      <w:szCs w:val="26"/>
      <w:lang w:eastAsia="en-US"/>
    </w:rPr>
  </w:style>
  <w:style w:type="table" w:styleId="MediumGrid1-Accent6">
    <w:name w:val="Medium Grid 1 Accent 6"/>
    <w:basedOn w:val="TableNormal"/>
    <w:uiPriority w:val="67"/>
    <w:rsid w:val="0088765D"/>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
    <w:name w:val="Medium Grid 1 - Accent 61"/>
    <w:basedOn w:val="TableNormal"/>
    <w:next w:val="MediumGrid1-Accent6"/>
    <w:uiPriority w:val="67"/>
    <w:rsid w:val="00DC36DA"/>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2">
    <w:name w:val="Medium Grid 1 - Accent 62"/>
    <w:basedOn w:val="TableNormal"/>
    <w:next w:val="MediumGrid1-Accent6"/>
    <w:uiPriority w:val="67"/>
    <w:rsid w:val="001934B1"/>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3">
    <w:name w:val="Medium Grid 1 - Accent 63"/>
    <w:basedOn w:val="TableNormal"/>
    <w:next w:val="MediumGrid1-Accent6"/>
    <w:uiPriority w:val="67"/>
    <w:rsid w:val="00202058"/>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4">
    <w:name w:val="Medium Grid 1 - Accent 64"/>
    <w:basedOn w:val="TableNormal"/>
    <w:next w:val="MediumGrid1-Accent6"/>
    <w:uiPriority w:val="67"/>
    <w:rsid w:val="00607F7F"/>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uiPriority w:val="99"/>
    <w:semiHidden/>
    <w:rsid w:val="0004563F"/>
    <w:rPr>
      <w:sz w:val="16"/>
      <w:szCs w:val="16"/>
    </w:rPr>
  </w:style>
  <w:style w:type="paragraph" w:styleId="CommentText">
    <w:name w:val="annotation text"/>
    <w:basedOn w:val="Normal"/>
    <w:link w:val="CommentTextChar"/>
    <w:uiPriority w:val="99"/>
    <w:semiHidden/>
    <w:rsid w:val="0004563F"/>
    <w:pPr>
      <w:spacing w:line="240" w:lineRule="auto"/>
    </w:pPr>
    <w:rPr>
      <w:sz w:val="20"/>
      <w:szCs w:val="20"/>
    </w:rPr>
  </w:style>
  <w:style w:type="character" w:customStyle="1" w:styleId="CommentTextChar">
    <w:name w:val="Comment Text Char"/>
    <w:link w:val="CommentText"/>
    <w:uiPriority w:val="99"/>
    <w:semiHidden/>
    <w:rsid w:val="0004563F"/>
    <w:rPr>
      <w:rFonts w:ascii="Arial" w:hAnsi="Arial"/>
      <w:lang w:eastAsia="en-US"/>
    </w:rPr>
  </w:style>
  <w:style w:type="paragraph" w:styleId="CommentSubject">
    <w:name w:val="annotation subject"/>
    <w:basedOn w:val="CommentText"/>
    <w:next w:val="CommentText"/>
    <w:link w:val="CommentSubjectChar"/>
    <w:uiPriority w:val="99"/>
    <w:semiHidden/>
    <w:rsid w:val="0004563F"/>
    <w:rPr>
      <w:b/>
      <w:bCs/>
    </w:rPr>
  </w:style>
  <w:style w:type="character" w:customStyle="1" w:styleId="CommentSubjectChar">
    <w:name w:val="Comment Subject Char"/>
    <w:link w:val="CommentSubject"/>
    <w:uiPriority w:val="99"/>
    <w:semiHidden/>
    <w:rsid w:val="0004563F"/>
    <w:rPr>
      <w:rFonts w:ascii="Arial" w:hAnsi="Arial"/>
      <w:b/>
      <w:bCs/>
      <w:lang w:eastAsia="en-US"/>
    </w:rPr>
  </w:style>
  <w:style w:type="table" w:customStyle="1" w:styleId="MediumGrid1-Accent65">
    <w:name w:val="Medium Grid 1 - Accent 65"/>
    <w:basedOn w:val="TableNormal"/>
    <w:next w:val="MediumGrid1-Accent6"/>
    <w:uiPriority w:val="67"/>
    <w:rsid w:val="00AC2262"/>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6">
    <w:name w:val="Medium Grid 1 - Accent 66"/>
    <w:basedOn w:val="TableNormal"/>
    <w:next w:val="MediumGrid1-Accent6"/>
    <w:uiPriority w:val="67"/>
    <w:rsid w:val="00456BF3"/>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7">
    <w:name w:val="Medium Grid 1 - Accent 67"/>
    <w:basedOn w:val="TableNormal"/>
    <w:next w:val="MediumGrid1-Accent6"/>
    <w:uiPriority w:val="67"/>
    <w:rsid w:val="00C97C9B"/>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8">
    <w:name w:val="Medium Grid 1 - Accent 68"/>
    <w:basedOn w:val="TableNormal"/>
    <w:next w:val="MediumGrid1-Accent6"/>
    <w:uiPriority w:val="67"/>
    <w:rsid w:val="009C41A4"/>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Heading3Char">
    <w:name w:val="Heading 3 Char"/>
    <w:link w:val="Heading3"/>
    <w:rsid w:val="00AF6F6A"/>
    <w:rPr>
      <w:rFonts w:ascii="Arial" w:hAnsi="Arial"/>
      <w:b/>
      <w:bCs/>
      <w:color w:val="F79646"/>
      <w:spacing w:val="-6"/>
      <w:sz w:val="22"/>
      <w:szCs w:val="22"/>
      <w:lang w:eastAsia="en-US"/>
    </w:rPr>
  </w:style>
  <w:style w:type="table" w:customStyle="1" w:styleId="MediumGrid1-Accent69">
    <w:name w:val="Medium Grid 1 - Accent 69"/>
    <w:basedOn w:val="TableNormal"/>
    <w:next w:val="MediumGrid1-Accent6"/>
    <w:uiPriority w:val="67"/>
    <w:rsid w:val="00747569"/>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1">
    <w:name w:val="Medium Grid 1 - Accent 611"/>
    <w:basedOn w:val="TableNormal"/>
    <w:next w:val="MediumGrid1-Accent6"/>
    <w:uiPriority w:val="67"/>
    <w:rsid w:val="007B70F0"/>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0">
    <w:name w:val="Medium Grid 1 - Accent 610"/>
    <w:basedOn w:val="TableNormal"/>
    <w:next w:val="MediumGrid1-Accent6"/>
    <w:uiPriority w:val="67"/>
    <w:rsid w:val="007B70F0"/>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2">
    <w:name w:val="Medium Grid 1 - Accent 612"/>
    <w:basedOn w:val="TableNormal"/>
    <w:next w:val="MediumGrid1-Accent6"/>
    <w:uiPriority w:val="67"/>
    <w:rsid w:val="007B70F0"/>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3">
    <w:name w:val="Medium Grid 1 - Accent 613"/>
    <w:basedOn w:val="TableNormal"/>
    <w:next w:val="MediumGrid1-Accent6"/>
    <w:uiPriority w:val="67"/>
    <w:rsid w:val="00F34D33"/>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4">
    <w:name w:val="Medium Grid 1 - Accent 614"/>
    <w:basedOn w:val="TableNormal"/>
    <w:next w:val="MediumGrid1-Accent6"/>
    <w:uiPriority w:val="67"/>
    <w:rsid w:val="00F34D33"/>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Accent615">
    <w:name w:val="Medium Grid 1 - Accent 615"/>
    <w:basedOn w:val="TableNormal"/>
    <w:next w:val="MediumGrid1-Accent6"/>
    <w:uiPriority w:val="67"/>
    <w:rsid w:val="00686906"/>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FollowedHyperlink">
    <w:name w:val="FollowedHyperlink"/>
    <w:uiPriority w:val="99"/>
    <w:semiHidden/>
    <w:rsid w:val="00FB7969"/>
    <w:rPr>
      <w:color w:val="800080"/>
      <w:u w:val="single"/>
    </w:rPr>
  </w:style>
  <w:style w:type="paragraph" w:customStyle="1" w:styleId="note">
    <w:name w:val="note"/>
    <w:basedOn w:val="Normal"/>
    <w:uiPriority w:val="99"/>
    <w:rsid w:val="00730ADC"/>
    <w:pPr>
      <w:widowControl w:val="0"/>
      <w:suppressAutoHyphens/>
      <w:autoSpaceDE w:val="0"/>
      <w:autoSpaceDN w:val="0"/>
      <w:adjustRightInd w:val="0"/>
      <w:spacing w:after="113" w:line="200" w:lineRule="atLeast"/>
      <w:textAlignment w:val="center"/>
    </w:pPr>
    <w:rPr>
      <w:rFonts w:cs="Interstate-Light"/>
      <w:color w:val="000000"/>
      <w:sz w:val="18"/>
      <w:szCs w:val="16"/>
      <w:lang w:val="en-GB"/>
    </w:rPr>
  </w:style>
  <w:style w:type="paragraph" w:customStyle="1" w:styleId="TableParagraph">
    <w:name w:val="Table Paragraph"/>
    <w:basedOn w:val="Normal"/>
    <w:uiPriority w:val="1"/>
    <w:qFormat/>
    <w:rsid w:val="00730ADC"/>
    <w:pPr>
      <w:widowControl w:val="0"/>
      <w:autoSpaceDE w:val="0"/>
      <w:autoSpaceDN w:val="0"/>
      <w:adjustRightInd w:val="0"/>
      <w:spacing w:after="0" w:line="240" w:lineRule="auto"/>
    </w:pPr>
    <w:rPr>
      <w:rFonts w:ascii="Times New Roman" w:eastAsia="MS Mincho" w:hAnsi="Times New Roman"/>
      <w:sz w:val="24"/>
      <w:lang w:eastAsia="en-AU"/>
    </w:rPr>
  </w:style>
  <w:style w:type="paragraph" w:styleId="NormalWeb">
    <w:name w:val="Normal (Web)"/>
    <w:basedOn w:val="Normal"/>
    <w:uiPriority w:val="99"/>
    <w:unhideWhenUsed/>
    <w:rsid w:val="00EB58E7"/>
    <w:pPr>
      <w:spacing w:before="150" w:after="150" w:line="240" w:lineRule="auto"/>
    </w:pPr>
    <w:rPr>
      <w:rFonts w:ascii="Times New Roman" w:hAnsi="Times New Roman"/>
      <w:sz w:val="24"/>
      <w:lang w:eastAsia="en-AU"/>
    </w:rPr>
  </w:style>
  <w:style w:type="paragraph" w:customStyle="1" w:styleId="body">
    <w:name w:val="body"/>
    <w:basedOn w:val="Normal"/>
    <w:uiPriority w:val="99"/>
    <w:rsid w:val="0044068A"/>
    <w:pPr>
      <w:widowControl w:val="0"/>
      <w:suppressAutoHyphens/>
      <w:autoSpaceDE w:val="0"/>
      <w:autoSpaceDN w:val="0"/>
      <w:adjustRightInd w:val="0"/>
      <w:spacing w:after="113" w:line="220" w:lineRule="atLeast"/>
    </w:pPr>
    <w:rPr>
      <w:rFonts w:ascii="Interstate-Light" w:hAnsi="Interstate-Light" w:cs="Interstate-Light"/>
      <w:color w:val="000000"/>
      <w:sz w:val="18"/>
      <w:szCs w:val="18"/>
      <w:lang w:val="en-GB"/>
    </w:rPr>
  </w:style>
  <w:style w:type="character" w:customStyle="1" w:styleId="italic">
    <w:name w:val="italic"/>
    <w:uiPriority w:val="99"/>
    <w:rsid w:val="0044068A"/>
  </w:style>
  <w:style w:type="paragraph" w:customStyle="1" w:styleId="dotpoint">
    <w:name w:val="dotpoint"/>
    <w:basedOn w:val="Normal"/>
    <w:rsid w:val="00F75803"/>
    <w:pPr>
      <w:spacing w:before="180" w:after="180" w:line="240" w:lineRule="auto"/>
    </w:pPr>
    <w:rPr>
      <w:rFonts w:ascii="Times New Roman" w:hAnsi="Times New Roman"/>
      <w:color w:val="444444"/>
      <w:sz w:val="24"/>
      <w:lang w:eastAsia="en-AU"/>
    </w:rPr>
  </w:style>
  <w:style w:type="paragraph" w:customStyle="1" w:styleId="Default">
    <w:name w:val="Default"/>
    <w:rsid w:val="00D832BB"/>
    <w:pPr>
      <w:autoSpaceDE w:val="0"/>
      <w:autoSpaceDN w:val="0"/>
      <w:adjustRightInd w:val="0"/>
    </w:pPr>
    <w:rPr>
      <w:rFonts w:ascii="Times New Roman" w:eastAsiaTheme="minorHAnsi" w:hAnsi="Times New Roman"/>
      <w:color w:val="000000"/>
      <w:sz w:val="24"/>
      <w:szCs w:val="24"/>
      <w:lang w:eastAsia="en-US"/>
    </w:rPr>
  </w:style>
  <w:style w:type="paragraph" w:customStyle="1" w:styleId="TableHeading">
    <w:name w:val="Table Heading"/>
    <w:basedOn w:val="Heading2"/>
    <w:link w:val="TableHeadingChar"/>
    <w:qFormat/>
    <w:rsid w:val="00C75B08"/>
  </w:style>
  <w:style w:type="character" w:customStyle="1" w:styleId="TableHeadingChar">
    <w:name w:val="Table Heading Char"/>
    <w:basedOn w:val="Heading2Char"/>
    <w:link w:val="TableHeading"/>
    <w:rsid w:val="00C75B08"/>
    <w:rPr>
      <w:rFonts w:ascii="Arial" w:hAnsi="Arial"/>
      <w:b/>
      <w:spacing w:val="-6"/>
      <w:sz w:val="26"/>
      <w:szCs w:val="26"/>
      <w:lang w:eastAsia="en-US"/>
    </w:rPr>
  </w:style>
  <w:style w:type="paragraph" w:styleId="EndnoteText">
    <w:name w:val="endnote text"/>
    <w:basedOn w:val="Normal"/>
    <w:link w:val="EndnoteTextChar"/>
    <w:uiPriority w:val="99"/>
    <w:semiHidden/>
    <w:unhideWhenUsed/>
    <w:rsid w:val="005C69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972"/>
    <w:rPr>
      <w:rFonts w:ascii="Arial" w:hAnsi="Arial"/>
      <w:lang w:eastAsia="en-US"/>
    </w:rPr>
  </w:style>
  <w:style w:type="character" w:styleId="EndnoteReference">
    <w:name w:val="endnote reference"/>
    <w:basedOn w:val="DefaultParagraphFont"/>
    <w:uiPriority w:val="99"/>
    <w:semiHidden/>
    <w:unhideWhenUsed/>
    <w:rsid w:val="005C6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9528">
      <w:bodyDiv w:val="1"/>
      <w:marLeft w:val="0"/>
      <w:marRight w:val="0"/>
      <w:marTop w:val="0"/>
      <w:marBottom w:val="0"/>
      <w:divBdr>
        <w:top w:val="none" w:sz="0" w:space="0" w:color="auto"/>
        <w:left w:val="none" w:sz="0" w:space="0" w:color="auto"/>
        <w:bottom w:val="none" w:sz="0" w:space="0" w:color="auto"/>
        <w:right w:val="none" w:sz="0" w:space="0" w:color="auto"/>
      </w:divBdr>
    </w:div>
    <w:div w:id="507867945">
      <w:bodyDiv w:val="1"/>
      <w:marLeft w:val="0"/>
      <w:marRight w:val="0"/>
      <w:marTop w:val="0"/>
      <w:marBottom w:val="0"/>
      <w:divBdr>
        <w:top w:val="none" w:sz="0" w:space="0" w:color="auto"/>
        <w:left w:val="none" w:sz="0" w:space="0" w:color="auto"/>
        <w:bottom w:val="none" w:sz="0" w:space="0" w:color="auto"/>
        <w:right w:val="none" w:sz="0" w:space="0" w:color="auto"/>
      </w:divBdr>
    </w:div>
    <w:div w:id="611669072">
      <w:bodyDiv w:val="1"/>
      <w:marLeft w:val="0"/>
      <w:marRight w:val="0"/>
      <w:marTop w:val="0"/>
      <w:marBottom w:val="0"/>
      <w:divBdr>
        <w:top w:val="none" w:sz="0" w:space="0" w:color="auto"/>
        <w:left w:val="none" w:sz="0" w:space="0" w:color="auto"/>
        <w:bottom w:val="none" w:sz="0" w:space="0" w:color="auto"/>
        <w:right w:val="none" w:sz="0" w:space="0" w:color="auto"/>
      </w:divBdr>
    </w:div>
    <w:div w:id="737946413">
      <w:bodyDiv w:val="1"/>
      <w:marLeft w:val="0"/>
      <w:marRight w:val="0"/>
      <w:marTop w:val="0"/>
      <w:marBottom w:val="0"/>
      <w:divBdr>
        <w:top w:val="none" w:sz="0" w:space="0" w:color="auto"/>
        <w:left w:val="none" w:sz="0" w:space="0" w:color="auto"/>
        <w:bottom w:val="none" w:sz="0" w:space="0" w:color="auto"/>
        <w:right w:val="none" w:sz="0" w:space="0" w:color="auto"/>
      </w:divBdr>
    </w:div>
    <w:div w:id="747701220">
      <w:bodyDiv w:val="1"/>
      <w:marLeft w:val="0"/>
      <w:marRight w:val="0"/>
      <w:marTop w:val="0"/>
      <w:marBottom w:val="0"/>
      <w:divBdr>
        <w:top w:val="none" w:sz="0" w:space="0" w:color="auto"/>
        <w:left w:val="none" w:sz="0" w:space="0" w:color="auto"/>
        <w:bottom w:val="none" w:sz="0" w:space="0" w:color="auto"/>
        <w:right w:val="none" w:sz="0" w:space="0" w:color="auto"/>
      </w:divBdr>
      <w:divsChild>
        <w:div w:id="354238530">
          <w:marLeft w:val="0"/>
          <w:marRight w:val="0"/>
          <w:marTop w:val="0"/>
          <w:marBottom w:val="0"/>
          <w:divBdr>
            <w:top w:val="none" w:sz="0" w:space="0" w:color="auto"/>
            <w:left w:val="none" w:sz="0" w:space="0" w:color="auto"/>
            <w:bottom w:val="none" w:sz="0" w:space="0" w:color="auto"/>
            <w:right w:val="none" w:sz="0" w:space="0" w:color="auto"/>
          </w:divBdr>
          <w:divsChild>
            <w:div w:id="20708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722">
      <w:bodyDiv w:val="1"/>
      <w:marLeft w:val="0"/>
      <w:marRight w:val="0"/>
      <w:marTop w:val="0"/>
      <w:marBottom w:val="0"/>
      <w:divBdr>
        <w:top w:val="none" w:sz="0" w:space="0" w:color="auto"/>
        <w:left w:val="none" w:sz="0" w:space="0" w:color="auto"/>
        <w:bottom w:val="none" w:sz="0" w:space="0" w:color="auto"/>
        <w:right w:val="none" w:sz="0" w:space="0" w:color="auto"/>
      </w:divBdr>
    </w:div>
    <w:div w:id="772557980">
      <w:bodyDiv w:val="1"/>
      <w:marLeft w:val="0"/>
      <w:marRight w:val="0"/>
      <w:marTop w:val="0"/>
      <w:marBottom w:val="0"/>
      <w:divBdr>
        <w:top w:val="none" w:sz="0" w:space="0" w:color="auto"/>
        <w:left w:val="none" w:sz="0" w:space="0" w:color="auto"/>
        <w:bottom w:val="none" w:sz="0" w:space="0" w:color="auto"/>
        <w:right w:val="none" w:sz="0" w:space="0" w:color="auto"/>
      </w:divBdr>
    </w:div>
    <w:div w:id="845245656">
      <w:bodyDiv w:val="1"/>
      <w:marLeft w:val="0"/>
      <w:marRight w:val="0"/>
      <w:marTop w:val="0"/>
      <w:marBottom w:val="0"/>
      <w:divBdr>
        <w:top w:val="none" w:sz="0" w:space="0" w:color="auto"/>
        <w:left w:val="none" w:sz="0" w:space="0" w:color="auto"/>
        <w:bottom w:val="none" w:sz="0" w:space="0" w:color="auto"/>
        <w:right w:val="none" w:sz="0" w:space="0" w:color="auto"/>
      </w:divBdr>
    </w:div>
    <w:div w:id="898367767">
      <w:bodyDiv w:val="1"/>
      <w:marLeft w:val="0"/>
      <w:marRight w:val="0"/>
      <w:marTop w:val="0"/>
      <w:marBottom w:val="0"/>
      <w:divBdr>
        <w:top w:val="none" w:sz="0" w:space="0" w:color="auto"/>
        <w:left w:val="none" w:sz="0" w:space="0" w:color="auto"/>
        <w:bottom w:val="none" w:sz="0" w:space="0" w:color="auto"/>
        <w:right w:val="none" w:sz="0" w:space="0" w:color="auto"/>
      </w:divBdr>
    </w:div>
    <w:div w:id="946699580">
      <w:bodyDiv w:val="1"/>
      <w:marLeft w:val="0"/>
      <w:marRight w:val="0"/>
      <w:marTop w:val="0"/>
      <w:marBottom w:val="0"/>
      <w:divBdr>
        <w:top w:val="none" w:sz="0" w:space="0" w:color="auto"/>
        <w:left w:val="none" w:sz="0" w:space="0" w:color="auto"/>
        <w:bottom w:val="none" w:sz="0" w:space="0" w:color="auto"/>
        <w:right w:val="none" w:sz="0" w:space="0" w:color="auto"/>
      </w:divBdr>
    </w:div>
    <w:div w:id="951400243">
      <w:bodyDiv w:val="1"/>
      <w:marLeft w:val="0"/>
      <w:marRight w:val="0"/>
      <w:marTop w:val="0"/>
      <w:marBottom w:val="0"/>
      <w:divBdr>
        <w:top w:val="none" w:sz="0" w:space="0" w:color="auto"/>
        <w:left w:val="none" w:sz="0" w:space="0" w:color="auto"/>
        <w:bottom w:val="none" w:sz="0" w:space="0" w:color="auto"/>
        <w:right w:val="none" w:sz="0" w:space="0" w:color="auto"/>
      </w:divBdr>
    </w:div>
    <w:div w:id="1032342318">
      <w:bodyDiv w:val="1"/>
      <w:marLeft w:val="0"/>
      <w:marRight w:val="0"/>
      <w:marTop w:val="0"/>
      <w:marBottom w:val="0"/>
      <w:divBdr>
        <w:top w:val="none" w:sz="0" w:space="0" w:color="auto"/>
        <w:left w:val="none" w:sz="0" w:space="0" w:color="auto"/>
        <w:bottom w:val="none" w:sz="0" w:space="0" w:color="auto"/>
        <w:right w:val="none" w:sz="0" w:space="0" w:color="auto"/>
      </w:divBdr>
      <w:divsChild>
        <w:div w:id="42144752">
          <w:marLeft w:val="0"/>
          <w:marRight w:val="0"/>
          <w:marTop w:val="0"/>
          <w:marBottom w:val="0"/>
          <w:divBdr>
            <w:top w:val="none" w:sz="0" w:space="0" w:color="auto"/>
            <w:left w:val="none" w:sz="0" w:space="0" w:color="auto"/>
            <w:bottom w:val="none" w:sz="0" w:space="0" w:color="auto"/>
            <w:right w:val="none" w:sz="0" w:space="0" w:color="auto"/>
          </w:divBdr>
          <w:divsChild>
            <w:div w:id="4184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8641">
      <w:bodyDiv w:val="1"/>
      <w:marLeft w:val="0"/>
      <w:marRight w:val="0"/>
      <w:marTop w:val="0"/>
      <w:marBottom w:val="0"/>
      <w:divBdr>
        <w:top w:val="none" w:sz="0" w:space="0" w:color="auto"/>
        <w:left w:val="none" w:sz="0" w:space="0" w:color="auto"/>
        <w:bottom w:val="none" w:sz="0" w:space="0" w:color="auto"/>
        <w:right w:val="none" w:sz="0" w:space="0" w:color="auto"/>
      </w:divBdr>
    </w:div>
    <w:div w:id="1342660130">
      <w:bodyDiv w:val="1"/>
      <w:marLeft w:val="0"/>
      <w:marRight w:val="0"/>
      <w:marTop w:val="0"/>
      <w:marBottom w:val="0"/>
      <w:divBdr>
        <w:top w:val="none" w:sz="0" w:space="0" w:color="auto"/>
        <w:left w:val="none" w:sz="0" w:space="0" w:color="auto"/>
        <w:bottom w:val="none" w:sz="0" w:space="0" w:color="auto"/>
        <w:right w:val="none" w:sz="0" w:space="0" w:color="auto"/>
      </w:divBdr>
    </w:div>
    <w:div w:id="1355039787">
      <w:bodyDiv w:val="1"/>
      <w:marLeft w:val="0"/>
      <w:marRight w:val="0"/>
      <w:marTop w:val="0"/>
      <w:marBottom w:val="0"/>
      <w:divBdr>
        <w:top w:val="none" w:sz="0" w:space="0" w:color="auto"/>
        <w:left w:val="none" w:sz="0" w:space="0" w:color="auto"/>
        <w:bottom w:val="none" w:sz="0" w:space="0" w:color="auto"/>
        <w:right w:val="none" w:sz="0" w:space="0" w:color="auto"/>
      </w:divBdr>
    </w:div>
    <w:div w:id="1405638864">
      <w:bodyDiv w:val="1"/>
      <w:marLeft w:val="0"/>
      <w:marRight w:val="0"/>
      <w:marTop w:val="0"/>
      <w:marBottom w:val="0"/>
      <w:divBdr>
        <w:top w:val="none" w:sz="0" w:space="0" w:color="auto"/>
        <w:left w:val="none" w:sz="0" w:space="0" w:color="auto"/>
        <w:bottom w:val="none" w:sz="0" w:space="0" w:color="auto"/>
        <w:right w:val="none" w:sz="0" w:space="0" w:color="auto"/>
      </w:divBdr>
      <w:divsChild>
        <w:div w:id="1163858866">
          <w:marLeft w:val="0"/>
          <w:marRight w:val="0"/>
          <w:marTop w:val="0"/>
          <w:marBottom w:val="0"/>
          <w:divBdr>
            <w:top w:val="none" w:sz="0" w:space="0" w:color="auto"/>
            <w:left w:val="none" w:sz="0" w:space="0" w:color="auto"/>
            <w:bottom w:val="none" w:sz="0" w:space="0" w:color="auto"/>
            <w:right w:val="none" w:sz="0" w:space="0" w:color="auto"/>
          </w:divBdr>
          <w:divsChild>
            <w:div w:id="2564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1093">
      <w:bodyDiv w:val="1"/>
      <w:marLeft w:val="0"/>
      <w:marRight w:val="0"/>
      <w:marTop w:val="0"/>
      <w:marBottom w:val="0"/>
      <w:divBdr>
        <w:top w:val="none" w:sz="0" w:space="0" w:color="auto"/>
        <w:left w:val="none" w:sz="0" w:space="0" w:color="auto"/>
        <w:bottom w:val="none" w:sz="0" w:space="0" w:color="auto"/>
        <w:right w:val="none" w:sz="0" w:space="0" w:color="auto"/>
      </w:divBdr>
    </w:div>
    <w:div w:id="1422410848">
      <w:bodyDiv w:val="1"/>
      <w:marLeft w:val="0"/>
      <w:marRight w:val="0"/>
      <w:marTop w:val="0"/>
      <w:marBottom w:val="0"/>
      <w:divBdr>
        <w:top w:val="none" w:sz="0" w:space="0" w:color="auto"/>
        <w:left w:val="none" w:sz="0" w:space="0" w:color="auto"/>
        <w:bottom w:val="none" w:sz="0" w:space="0" w:color="auto"/>
        <w:right w:val="none" w:sz="0" w:space="0" w:color="auto"/>
      </w:divBdr>
    </w:div>
    <w:div w:id="1596982388">
      <w:bodyDiv w:val="1"/>
      <w:marLeft w:val="0"/>
      <w:marRight w:val="0"/>
      <w:marTop w:val="0"/>
      <w:marBottom w:val="0"/>
      <w:divBdr>
        <w:top w:val="none" w:sz="0" w:space="0" w:color="auto"/>
        <w:left w:val="none" w:sz="0" w:space="0" w:color="auto"/>
        <w:bottom w:val="none" w:sz="0" w:space="0" w:color="auto"/>
        <w:right w:val="none" w:sz="0" w:space="0" w:color="auto"/>
      </w:divBdr>
    </w:div>
    <w:div w:id="1706559565">
      <w:bodyDiv w:val="1"/>
      <w:marLeft w:val="0"/>
      <w:marRight w:val="0"/>
      <w:marTop w:val="0"/>
      <w:marBottom w:val="0"/>
      <w:divBdr>
        <w:top w:val="none" w:sz="0" w:space="0" w:color="auto"/>
        <w:left w:val="none" w:sz="0" w:space="0" w:color="auto"/>
        <w:bottom w:val="none" w:sz="0" w:space="0" w:color="auto"/>
        <w:right w:val="none" w:sz="0" w:space="0" w:color="auto"/>
      </w:divBdr>
    </w:div>
    <w:div w:id="1830633963">
      <w:bodyDiv w:val="1"/>
      <w:marLeft w:val="0"/>
      <w:marRight w:val="0"/>
      <w:marTop w:val="0"/>
      <w:marBottom w:val="0"/>
      <w:divBdr>
        <w:top w:val="none" w:sz="0" w:space="0" w:color="auto"/>
        <w:left w:val="none" w:sz="0" w:space="0" w:color="auto"/>
        <w:bottom w:val="none" w:sz="0" w:space="0" w:color="auto"/>
        <w:right w:val="none" w:sz="0" w:space="0" w:color="auto"/>
      </w:divBdr>
    </w:div>
    <w:div w:id="1851288663">
      <w:bodyDiv w:val="1"/>
      <w:marLeft w:val="0"/>
      <w:marRight w:val="0"/>
      <w:marTop w:val="0"/>
      <w:marBottom w:val="0"/>
      <w:divBdr>
        <w:top w:val="none" w:sz="0" w:space="0" w:color="auto"/>
        <w:left w:val="none" w:sz="0" w:space="0" w:color="auto"/>
        <w:bottom w:val="none" w:sz="0" w:space="0" w:color="auto"/>
        <w:right w:val="none" w:sz="0" w:space="0" w:color="auto"/>
      </w:divBdr>
    </w:div>
    <w:div w:id="1861043173">
      <w:bodyDiv w:val="1"/>
      <w:marLeft w:val="0"/>
      <w:marRight w:val="0"/>
      <w:marTop w:val="0"/>
      <w:marBottom w:val="0"/>
      <w:divBdr>
        <w:top w:val="none" w:sz="0" w:space="0" w:color="auto"/>
        <w:left w:val="none" w:sz="0" w:space="0" w:color="auto"/>
        <w:bottom w:val="none" w:sz="0" w:space="0" w:color="auto"/>
        <w:right w:val="none" w:sz="0" w:space="0" w:color="auto"/>
      </w:divBdr>
    </w:div>
    <w:div w:id="1937707869">
      <w:bodyDiv w:val="1"/>
      <w:marLeft w:val="0"/>
      <w:marRight w:val="0"/>
      <w:marTop w:val="0"/>
      <w:marBottom w:val="0"/>
      <w:divBdr>
        <w:top w:val="none" w:sz="0" w:space="0" w:color="auto"/>
        <w:left w:val="none" w:sz="0" w:space="0" w:color="auto"/>
        <w:bottom w:val="none" w:sz="0" w:space="0" w:color="auto"/>
        <w:right w:val="none" w:sz="0" w:space="0" w:color="auto"/>
      </w:divBdr>
    </w:div>
    <w:div w:id="2027755354">
      <w:bodyDiv w:val="1"/>
      <w:marLeft w:val="0"/>
      <w:marRight w:val="0"/>
      <w:marTop w:val="0"/>
      <w:marBottom w:val="0"/>
      <w:divBdr>
        <w:top w:val="none" w:sz="0" w:space="0" w:color="auto"/>
        <w:left w:val="none" w:sz="0" w:space="0" w:color="auto"/>
        <w:bottom w:val="none" w:sz="0" w:space="0" w:color="auto"/>
        <w:right w:val="none" w:sz="0" w:space="0" w:color="auto"/>
      </w:divBdr>
    </w:div>
    <w:div w:id="2033143207">
      <w:bodyDiv w:val="1"/>
      <w:marLeft w:val="0"/>
      <w:marRight w:val="0"/>
      <w:marTop w:val="0"/>
      <w:marBottom w:val="0"/>
      <w:divBdr>
        <w:top w:val="none" w:sz="0" w:space="0" w:color="auto"/>
        <w:left w:val="none" w:sz="0" w:space="0" w:color="auto"/>
        <w:bottom w:val="none" w:sz="0" w:space="0" w:color="auto"/>
        <w:right w:val="none" w:sz="0" w:space="0" w:color="auto"/>
      </w:divBdr>
    </w:div>
    <w:div w:id="2057389817">
      <w:bodyDiv w:val="1"/>
      <w:marLeft w:val="0"/>
      <w:marRight w:val="0"/>
      <w:marTop w:val="0"/>
      <w:marBottom w:val="0"/>
      <w:divBdr>
        <w:top w:val="none" w:sz="0" w:space="0" w:color="auto"/>
        <w:left w:val="none" w:sz="0" w:space="0" w:color="auto"/>
        <w:bottom w:val="none" w:sz="0" w:space="0" w:color="auto"/>
        <w:right w:val="none" w:sz="0" w:space="0" w:color="auto"/>
      </w:divBdr>
    </w:div>
    <w:div w:id="20802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is.dpmc.gov.au/summary-compliance-reporting/australian-govern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file:///C:\Users\pmc6893\AppData\Local\Microsoft\Windows\Temporary%20Internet%20Files\Content.Outlook\5DMLIKHO\g_server:WORK%20IN%20PROGRESS:14010%20PM&amp;C%20Best%20Practice%20Regulation%20Report%202012-13:Word%20templates:cover.pdf"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MC Document" ma:contentTypeID="0x0101002825A64A6E1845A99A9D8EE8A5686ECB009B58D7D72C3ED54C851955501673F8AC" ma:contentTypeVersion="11" ma:contentTypeDescription="PMC Document" ma:contentTypeScope="" ma:versionID="dce88d5783c8e6ea69d4384014b5f83d">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35b41bab6e866c3568f1ad78d1998483"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ShareHubID xmlns="166541c0-0594-4e6a-9105-c24d4b6de6f7">DOC19-141752</ShareHubID>
    <TaxCatchAll xmlns="166541c0-0594-4e6a-9105-c24d4b6de6f7">
      <Value>29</Value>
      <Value>1</Value>
    </TaxCatchAll>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s>
    </hc4a8f51d7584793bcee84017ea96cb3>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87871-9154-4D25-98C6-086C50C3588F}">
  <ds:schemaRefs>
    <ds:schemaRef ds:uri="http://schemas.microsoft.com/sharepoint/v3/contenttype/forms"/>
  </ds:schemaRefs>
</ds:datastoreItem>
</file>

<file path=customXml/itemProps2.xml><?xml version="1.0" encoding="utf-8"?>
<ds:datastoreItem xmlns:ds="http://schemas.openxmlformats.org/officeDocument/2006/customXml" ds:itemID="{5D4972B2-3700-4004-B6C9-49375932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78307-5F87-4820-BA7B-CE6AE0D7E9CA}">
  <ds:schemaRefs>
    <ds:schemaRef ds:uri="http://schemas.microsoft.com/office/2006/metadata/properties"/>
    <ds:schemaRef ds:uri="http://schemas.microsoft.com/office/infopath/2007/PartnerControls"/>
    <ds:schemaRef ds:uri="166541c0-0594-4e6a-9105-c24d4b6de6f7"/>
    <ds:schemaRef ds:uri="685f9fda-bd71-4433-b331-92feb9553089"/>
  </ds:schemaRefs>
</ds:datastoreItem>
</file>

<file path=customXml/itemProps4.xml><?xml version="1.0" encoding="utf-8"?>
<ds:datastoreItem xmlns:ds="http://schemas.openxmlformats.org/officeDocument/2006/customXml" ds:itemID="{0AB8922B-5CD3-4E6D-B47C-19103032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5145</Words>
  <Characters>29331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Australian Government Regulation Impact Statement status - by agency: 2016–17</vt:lpstr>
    </vt:vector>
  </TitlesOfParts>
  <LinksUpToDate>false</LinksUpToDate>
  <CharactersWithSpaces>34408</CharactersWithSpaces>
  <SharedDoc>false</SharedDoc>
  <HLinks>
    <vt:vector size="48" baseType="variant">
      <vt:variant>
        <vt:i4>1835062</vt:i4>
      </vt:variant>
      <vt:variant>
        <vt:i4>35</vt:i4>
      </vt:variant>
      <vt:variant>
        <vt:i4>0</vt:i4>
      </vt:variant>
      <vt:variant>
        <vt:i4>5</vt:i4>
      </vt:variant>
      <vt:variant>
        <vt:lpwstr/>
      </vt:variant>
      <vt:variant>
        <vt:lpwstr>_Toc434404680</vt:lpwstr>
      </vt:variant>
      <vt:variant>
        <vt:i4>1245238</vt:i4>
      </vt:variant>
      <vt:variant>
        <vt:i4>29</vt:i4>
      </vt:variant>
      <vt:variant>
        <vt:i4>0</vt:i4>
      </vt:variant>
      <vt:variant>
        <vt:i4>5</vt:i4>
      </vt:variant>
      <vt:variant>
        <vt:lpwstr/>
      </vt:variant>
      <vt:variant>
        <vt:lpwstr>_Toc434404678</vt:lpwstr>
      </vt:variant>
      <vt:variant>
        <vt:i4>1245238</vt:i4>
      </vt:variant>
      <vt:variant>
        <vt:i4>23</vt:i4>
      </vt:variant>
      <vt:variant>
        <vt:i4>0</vt:i4>
      </vt:variant>
      <vt:variant>
        <vt:i4>5</vt:i4>
      </vt:variant>
      <vt:variant>
        <vt:lpwstr/>
      </vt:variant>
      <vt:variant>
        <vt:lpwstr>_Toc434404677</vt:lpwstr>
      </vt:variant>
      <vt:variant>
        <vt:i4>1245238</vt:i4>
      </vt:variant>
      <vt:variant>
        <vt:i4>17</vt:i4>
      </vt:variant>
      <vt:variant>
        <vt:i4>0</vt:i4>
      </vt:variant>
      <vt:variant>
        <vt:i4>5</vt:i4>
      </vt:variant>
      <vt:variant>
        <vt:lpwstr/>
      </vt:variant>
      <vt:variant>
        <vt:lpwstr>_Toc434404675</vt:lpwstr>
      </vt:variant>
      <vt:variant>
        <vt:i4>1245238</vt:i4>
      </vt:variant>
      <vt:variant>
        <vt:i4>11</vt:i4>
      </vt:variant>
      <vt:variant>
        <vt:i4>0</vt:i4>
      </vt:variant>
      <vt:variant>
        <vt:i4>5</vt:i4>
      </vt:variant>
      <vt:variant>
        <vt:lpwstr/>
      </vt:variant>
      <vt:variant>
        <vt:lpwstr>_Toc434404673</vt:lpwstr>
      </vt:variant>
      <vt:variant>
        <vt:i4>1245238</vt:i4>
      </vt:variant>
      <vt:variant>
        <vt:i4>5</vt:i4>
      </vt:variant>
      <vt:variant>
        <vt:i4>0</vt:i4>
      </vt:variant>
      <vt:variant>
        <vt:i4>5</vt:i4>
      </vt:variant>
      <vt:variant>
        <vt:lpwstr/>
      </vt:variant>
      <vt:variant>
        <vt:lpwstr>_Toc434404672</vt:lpwstr>
      </vt:variant>
      <vt:variant>
        <vt:i4>6619251</vt:i4>
      </vt:variant>
      <vt:variant>
        <vt:i4>0</vt:i4>
      </vt:variant>
      <vt:variant>
        <vt:i4>0</vt:i4>
      </vt:variant>
      <vt:variant>
        <vt:i4>5</vt:i4>
      </vt:variant>
      <vt:variant>
        <vt:lpwstr>http://ris.dpmc.gov.au/summary-compliance-reporting/australian-government/</vt:lpwstr>
      </vt:variant>
      <vt:variant>
        <vt:lpwstr/>
      </vt:variant>
      <vt:variant>
        <vt:i4>3735622</vt:i4>
      </vt:variant>
      <vt:variant>
        <vt:i4>-1</vt:i4>
      </vt:variant>
      <vt:variant>
        <vt:i4>2049</vt:i4>
      </vt:variant>
      <vt:variant>
        <vt:i4>1</vt:i4>
      </vt:variant>
      <vt:variant>
        <vt:lpwstr>g_server:WORK IN PROGRESS:14010 PM&amp;C Best Practice Regulation Report 2012-13:Word templates:cover.pdf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Regulation Impact Statement status - by agency: 2016–17</dc:title>
  <dc:creator/>
  <cp:lastModifiedBy/>
  <cp:revision>1</cp:revision>
  <dcterms:created xsi:type="dcterms:W3CDTF">2025-10-30T02:34:00Z</dcterms:created>
  <dcterms:modified xsi:type="dcterms:W3CDTF">2025-10-30T02:37:00Z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1;#UNCLASSIFIED|9c49a7c7-17c7-412f-8077-62dec89b9196</vt:lpwstr>
  </property>
  <property fmtid="{D5CDD505-2E9C-101B-9397-08002B2CF9AE}" pid="3" name="ContentTypeId">
    <vt:lpwstr>0x0101002825A64A6E1845A99A9D8EE8A5686ECB009B58D7D72C3ED54C851955501673F8AC</vt:lpwstr>
  </property>
  <property fmtid="{D5CDD505-2E9C-101B-9397-08002B2CF9AE}" pid="4" name="ESearchTags">
    <vt:lpwstr>29;#Training|2f396fb6-baad-479d-8254-1550153bbe31</vt:lpwstr>
  </property>
  <property fmtid="{D5CDD505-2E9C-101B-9397-08002B2CF9AE}" pid="5" name="PMC.ESearch.TagGeneratedTime">
    <vt:lpwstr>2019-04-23T14:22:04</vt:lpwstr>
  </property>
  <property fmtid="{D5CDD505-2E9C-101B-9397-08002B2CF9AE}" pid="6" name="HPRMSecurityCaveat">
    <vt:lpwstr/>
  </property>
</Properties>
</file>