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E040A" w14:textId="77777777" w:rsidR="00E92551" w:rsidRDefault="0063244D" w:rsidP="00AE700B">
      <w:pPr>
        <w:pStyle w:val="Title"/>
      </w:pPr>
      <w:bookmarkStart w:id="0" w:name="_GoBack"/>
      <w:bookmarkEnd w:id="0"/>
      <w:r w:rsidRPr="0063244D">
        <w:t>Post-implementation Reviews: Required</w:t>
      </w:r>
    </w:p>
    <w:p w14:paraId="7A3CD9DD" w14:textId="4AA29C33" w:rsidR="00C468B9" w:rsidRDefault="008E487F" w:rsidP="00F910F6">
      <w:pPr>
        <w:pStyle w:val="BOXHeading2"/>
        <w:outlineLvl w:val="0"/>
      </w:pPr>
      <w:bookmarkStart w:id="1" w:name="_Toc207627953"/>
      <w:bookmarkStart w:id="2" w:name="_Toc210227738"/>
      <w:r>
        <w:t>Note</w:t>
      </w:r>
      <w:bookmarkEnd w:id="1"/>
      <w:bookmarkEnd w:id="2"/>
      <w:r>
        <w:t xml:space="preserve"> </w:t>
      </w:r>
    </w:p>
    <w:p w14:paraId="5B4F2A71" w14:textId="57628ECF" w:rsidR="008E487F" w:rsidRDefault="008E487F" w:rsidP="00F910F6">
      <w:pPr>
        <w:pStyle w:val="BOXText"/>
      </w:pPr>
      <w:r>
        <w:rPr>
          <w:rStyle w:val="ui-provider"/>
        </w:rPr>
        <w:t xml:space="preserve">On 1 July 2023, responsibility for post-implementation review (PIR) evaluation and monitoring was transferred to the Australian Centre for Evaluation (ACE). For queries regarding PIR status and broader advice on the management of ‘ex-post’ evaluations in the Australian Public Service, please refer to the </w:t>
      </w:r>
      <w:hyperlink r:id="rId12" w:history="1">
        <w:r w:rsidRPr="003767E5">
          <w:rPr>
            <w:rStyle w:val="Hyperlink"/>
          </w:rPr>
          <w:t>Commonwealth Evaluation Policy and Toolkit</w:t>
        </w:r>
      </w:hyperlink>
      <w:r>
        <w:rPr>
          <w:rStyle w:val="ui-provider"/>
        </w:rPr>
        <w:t xml:space="preserve">, and contact the ACE on </w:t>
      </w:r>
      <w:hyperlink r:id="rId13" w:tgtFrame="_blank" w:tooltip="mailto:evaluation@treasury.gov.au" w:history="1">
        <w:r>
          <w:rPr>
            <w:rStyle w:val="Hyperlink"/>
          </w:rPr>
          <w:t>evaluation@treasury.gov.au</w:t>
        </w:r>
      </w:hyperlink>
      <w:r>
        <w:rPr>
          <w:rStyle w:val="ui-provider"/>
        </w:rPr>
        <w:t>.</w:t>
      </w:r>
    </w:p>
    <w:p w14:paraId="056DB413" w14:textId="48E611B5" w:rsidR="0083163C" w:rsidRPr="00886C6B" w:rsidRDefault="0083163C" w:rsidP="00C468B9">
      <w:r w:rsidRPr="00886C6B">
        <w:t xml:space="preserve">Post-implementation </w:t>
      </w:r>
      <w:r w:rsidRPr="00886C6B">
        <w:rPr>
          <w:spacing w:val="-2"/>
        </w:rPr>
        <w:t>Reviews</w:t>
      </w:r>
      <w:r w:rsidRPr="00886C6B">
        <w:rPr>
          <w:spacing w:val="1"/>
        </w:rPr>
        <w:t xml:space="preserve"> </w:t>
      </w:r>
      <w:r w:rsidRPr="00886C6B">
        <w:t>(PIRs)</w:t>
      </w:r>
      <w:r w:rsidRPr="00886C6B">
        <w:rPr>
          <w:spacing w:val="1"/>
        </w:rPr>
        <w:t xml:space="preserve"> </w:t>
      </w:r>
      <w:r w:rsidRPr="00886C6B">
        <w:t>are</w:t>
      </w:r>
      <w:r w:rsidRPr="00886C6B">
        <w:rPr>
          <w:spacing w:val="-2"/>
        </w:rPr>
        <w:t xml:space="preserve"> </w:t>
      </w:r>
      <w:r w:rsidRPr="00886C6B">
        <w:t>required</w:t>
      </w:r>
      <w:r w:rsidRPr="00886C6B">
        <w:rPr>
          <w:spacing w:val="-2"/>
        </w:rPr>
        <w:t xml:space="preserve"> </w:t>
      </w:r>
      <w:r w:rsidRPr="00886C6B">
        <w:t>for</w:t>
      </w:r>
      <w:r w:rsidRPr="00886C6B">
        <w:rPr>
          <w:spacing w:val="1"/>
        </w:rPr>
        <w:t xml:space="preserve"> </w:t>
      </w:r>
      <w:r w:rsidRPr="00886C6B">
        <w:t>proposals</w:t>
      </w:r>
      <w:r w:rsidRPr="00886C6B">
        <w:rPr>
          <w:spacing w:val="-2"/>
        </w:rPr>
        <w:t xml:space="preserve"> </w:t>
      </w:r>
      <w:r w:rsidRPr="00886C6B">
        <w:t>that have</w:t>
      </w:r>
      <w:r w:rsidRPr="00886C6B">
        <w:rPr>
          <w:spacing w:val="7"/>
        </w:rPr>
        <w:t xml:space="preserve"> </w:t>
      </w:r>
      <w:r w:rsidRPr="00886C6B">
        <w:t>substantial</w:t>
      </w:r>
      <w:r w:rsidRPr="00886C6B">
        <w:rPr>
          <w:spacing w:val="39"/>
        </w:rPr>
        <w:t xml:space="preserve"> </w:t>
      </w:r>
      <w:r w:rsidRPr="00886C6B">
        <w:rPr>
          <w:rFonts w:eastAsia="Arial"/>
        </w:rPr>
        <w:t>impacts, for proposals</w:t>
      </w:r>
      <w:r w:rsidRPr="00886C6B">
        <w:rPr>
          <w:rFonts w:eastAsia="Arial"/>
          <w:spacing w:val="-4"/>
        </w:rPr>
        <w:t xml:space="preserve"> </w:t>
      </w:r>
      <w:r w:rsidRPr="00886C6B">
        <w:rPr>
          <w:rFonts w:eastAsia="Arial"/>
        </w:rPr>
        <w:t>granted an</w:t>
      </w:r>
      <w:r w:rsidRPr="00886C6B">
        <w:rPr>
          <w:rFonts w:eastAsia="Arial"/>
          <w:spacing w:val="-2"/>
        </w:rPr>
        <w:t xml:space="preserve"> </w:t>
      </w:r>
      <w:r w:rsidRPr="00886C6B">
        <w:rPr>
          <w:rFonts w:eastAsia="Arial"/>
        </w:rPr>
        <w:t>exemption</w:t>
      </w:r>
      <w:r w:rsidRPr="00886C6B">
        <w:rPr>
          <w:rFonts w:eastAsia="Arial"/>
          <w:spacing w:val="-2"/>
        </w:rPr>
        <w:t xml:space="preserve"> </w:t>
      </w:r>
      <w:r w:rsidRPr="00886C6B">
        <w:rPr>
          <w:rFonts w:eastAsia="Arial"/>
        </w:rPr>
        <w:t>from the</w:t>
      </w:r>
      <w:r w:rsidRPr="00886C6B">
        <w:rPr>
          <w:rFonts w:eastAsia="Arial"/>
          <w:spacing w:val="-2"/>
        </w:rPr>
        <w:t xml:space="preserve"> </w:t>
      </w:r>
      <w:r w:rsidR="00C91C7A">
        <w:rPr>
          <w:rFonts w:eastAsia="Arial"/>
          <w:spacing w:val="-2"/>
        </w:rPr>
        <w:t xml:space="preserve">Australian </w:t>
      </w:r>
      <w:r w:rsidRPr="00886C6B">
        <w:rPr>
          <w:rFonts w:eastAsia="Arial"/>
        </w:rPr>
        <w:t>Government’s</w:t>
      </w:r>
      <w:r w:rsidRPr="00886C6B">
        <w:rPr>
          <w:rFonts w:eastAsia="Arial"/>
          <w:spacing w:val="-2"/>
        </w:rPr>
        <w:t xml:space="preserve"> </w:t>
      </w:r>
      <w:r w:rsidR="00EC1B23">
        <w:rPr>
          <w:rFonts w:eastAsia="Arial"/>
        </w:rPr>
        <w:t>Impact Analysis</w:t>
      </w:r>
      <w:r w:rsidRPr="00886C6B">
        <w:rPr>
          <w:rFonts w:eastAsia="Arial"/>
          <w:spacing w:val="-2"/>
        </w:rPr>
        <w:t xml:space="preserve"> </w:t>
      </w:r>
      <w:r w:rsidRPr="00886C6B">
        <w:rPr>
          <w:rFonts w:eastAsia="Arial"/>
        </w:rPr>
        <w:t>requirements</w:t>
      </w:r>
      <w:r w:rsidRPr="00886C6B">
        <w:rPr>
          <w:rFonts w:eastAsia="Arial"/>
          <w:spacing w:val="1"/>
        </w:rPr>
        <w:t xml:space="preserve"> </w:t>
      </w:r>
      <w:r w:rsidRPr="00886C6B">
        <w:rPr>
          <w:rFonts w:eastAsia="Arial"/>
        </w:rPr>
        <w:t>by</w:t>
      </w:r>
      <w:r w:rsidR="001937C3">
        <w:rPr>
          <w:rFonts w:eastAsia="Arial"/>
          <w:spacing w:val="51"/>
        </w:rPr>
        <w:t xml:space="preserve"> </w:t>
      </w:r>
      <w:r w:rsidRPr="00886C6B">
        <w:t>the Prime</w:t>
      </w:r>
      <w:r w:rsidR="00C91C7A">
        <w:t> </w:t>
      </w:r>
      <w:r w:rsidRPr="00886C6B">
        <w:t>Minister,</w:t>
      </w:r>
      <w:r w:rsidRPr="00886C6B">
        <w:rPr>
          <w:spacing w:val="2"/>
        </w:rPr>
        <w:t xml:space="preserve"> </w:t>
      </w:r>
      <w:r w:rsidRPr="00886C6B">
        <w:t>and</w:t>
      </w:r>
      <w:r w:rsidRPr="00886C6B">
        <w:rPr>
          <w:spacing w:val="-4"/>
        </w:rPr>
        <w:t xml:space="preserve"> </w:t>
      </w:r>
      <w:r w:rsidRPr="00886C6B">
        <w:t>for</w:t>
      </w:r>
      <w:r w:rsidRPr="00886C6B">
        <w:rPr>
          <w:spacing w:val="1"/>
        </w:rPr>
        <w:t xml:space="preserve"> </w:t>
      </w:r>
      <w:r w:rsidRPr="00886C6B">
        <w:t>proposals</w:t>
      </w:r>
      <w:r w:rsidRPr="00886C6B">
        <w:rPr>
          <w:spacing w:val="1"/>
        </w:rPr>
        <w:t xml:space="preserve"> </w:t>
      </w:r>
      <w:r w:rsidRPr="00886C6B">
        <w:t>that were</w:t>
      </w:r>
      <w:r w:rsidRPr="00886C6B">
        <w:rPr>
          <w:spacing w:val="1"/>
        </w:rPr>
        <w:t xml:space="preserve"> </w:t>
      </w:r>
      <w:r w:rsidRPr="00886C6B">
        <w:t>non-</w:t>
      </w:r>
      <w:r w:rsidRPr="00886C6B">
        <w:rPr>
          <w:rFonts w:eastAsia="Arial"/>
        </w:rPr>
        <w:t xml:space="preserve">compliant </w:t>
      </w:r>
      <w:r w:rsidRPr="00886C6B">
        <w:rPr>
          <w:rFonts w:eastAsia="Arial"/>
          <w:spacing w:val="-2"/>
        </w:rPr>
        <w:t>with</w:t>
      </w:r>
      <w:r w:rsidRPr="00886C6B">
        <w:rPr>
          <w:rFonts w:eastAsia="Arial"/>
        </w:rPr>
        <w:t xml:space="preserve"> the</w:t>
      </w:r>
      <w:r w:rsidRPr="00886C6B">
        <w:rPr>
          <w:rFonts w:eastAsia="Arial"/>
          <w:spacing w:val="-2"/>
        </w:rPr>
        <w:t xml:space="preserve"> </w:t>
      </w:r>
      <w:r w:rsidRPr="00886C6B">
        <w:rPr>
          <w:rFonts w:eastAsia="Arial"/>
        </w:rPr>
        <w:t>Government’s</w:t>
      </w:r>
      <w:r w:rsidRPr="00886C6B">
        <w:rPr>
          <w:rFonts w:eastAsia="Arial"/>
          <w:spacing w:val="1"/>
        </w:rPr>
        <w:t xml:space="preserve"> </w:t>
      </w:r>
      <w:r w:rsidR="001937C3">
        <w:rPr>
          <w:rFonts w:eastAsia="Arial"/>
          <w:spacing w:val="-2"/>
        </w:rPr>
        <w:t xml:space="preserve">Impact Analysis </w:t>
      </w:r>
      <w:r w:rsidRPr="00886C6B">
        <w:t>requirements.</w:t>
      </w:r>
      <w:r w:rsidRPr="00886C6B">
        <w:rPr>
          <w:spacing w:val="2"/>
        </w:rPr>
        <w:t xml:space="preserve"> </w:t>
      </w:r>
      <w:r w:rsidRPr="00886C6B">
        <w:t>PIRs</w:t>
      </w:r>
      <w:r w:rsidRPr="00886C6B">
        <w:rPr>
          <w:spacing w:val="-2"/>
        </w:rPr>
        <w:t xml:space="preserve"> </w:t>
      </w:r>
      <w:r w:rsidRPr="00886C6B">
        <w:t xml:space="preserve">should be completed </w:t>
      </w:r>
      <w:r w:rsidRPr="00886C6B">
        <w:rPr>
          <w:spacing w:val="-2"/>
        </w:rPr>
        <w:t>within</w:t>
      </w:r>
      <w:r w:rsidRPr="00886C6B">
        <w:t xml:space="preserve"> </w:t>
      </w:r>
      <w:r w:rsidRPr="00886C6B">
        <w:rPr>
          <w:spacing w:val="-2"/>
        </w:rPr>
        <w:t>two</w:t>
      </w:r>
      <w:r w:rsidRPr="00886C6B">
        <w:t xml:space="preserve"> years</w:t>
      </w:r>
      <w:r w:rsidRPr="00886C6B">
        <w:rPr>
          <w:spacing w:val="1"/>
        </w:rPr>
        <w:t xml:space="preserve"> </w:t>
      </w:r>
      <w:r w:rsidRPr="00886C6B">
        <w:t>of</w:t>
      </w:r>
      <w:r w:rsidRPr="00886C6B">
        <w:rPr>
          <w:spacing w:val="1"/>
        </w:rPr>
        <w:t xml:space="preserve"> </w:t>
      </w:r>
      <w:r w:rsidRPr="00886C6B">
        <w:t>implementation where</w:t>
      </w:r>
      <w:r>
        <w:t xml:space="preserve"> </w:t>
      </w:r>
      <w:r w:rsidRPr="00886C6B">
        <w:t>exceptional</w:t>
      </w:r>
      <w:r>
        <w:t xml:space="preserve"> </w:t>
      </w:r>
      <w:r w:rsidRPr="00886C6B">
        <w:t>circumstances were</w:t>
      </w:r>
      <w:r w:rsidRPr="00886C6B">
        <w:rPr>
          <w:spacing w:val="-2"/>
        </w:rPr>
        <w:t xml:space="preserve"> </w:t>
      </w:r>
      <w:r w:rsidRPr="00886C6B">
        <w:t xml:space="preserve">granted </w:t>
      </w:r>
      <w:r w:rsidRPr="00886C6B">
        <w:rPr>
          <w:spacing w:val="-2"/>
        </w:rPr>
        <w:t>or</w:t>
      </w:r>
      <w:r w:rsidRPr="00886C6B">
        <w:rPr>
          <w:spacing w:val="1"/>
        </w:rPr>
        <w:t xml:space="preserve"> </w:t>
      </w:r>
      <w:r w:rsidRPr="00886C6B">
        <w:t>a</w:t>
      </w:r>
      <w:r w:rsidRPr="00886C6B">
        <w:rPr>
          <w:spacing w:val="-2"/>
        </w:rPr>
        <w:t xml:space="preserve"> </w:t>
      </w:r>
      <w:r w:rsidRPr="00886C6B">
        <w:t xml:space="preserve">proposal </w:t>
      </w:r>
      <w:r w:rsidRPr="00886C6B">
        <w:rPr>
          <w:spacing w:val="-2"/>
        </w:rPr>
        <w:t>was</w:t>
      </w:r>
      <w:r w:rsidRPr="00886C6B">
        <w:t xml:space="preserve"> assessed as</w:t>
      </w:r>
      <w:r w:rsidRPr="00886C6B">
        <w:rPr>
          <w:spacing w:val="-2"/>
        </w:rPr>
        <w:t xml:space="preserve"> </w:t>
      </w:r>
      <w:r w:rsidRPr="00886C6B">
        <w:t>non-compliant.</w:t>
      </w:r>
      <w:r w:rsidRPr="00886C6B">
        <w:rPr>
          <w:spacing w:val="2"/>
        </w:rPr>
        <w:t xml:space="preserve"> </w:t>
      </w:r>
      <w:r w:rsidRPr="00886C6B">
        <w:rPr>
          <w:spacing w:val="-2"/>
        </w:rPr>
        <w:t>PIRs</w:t>
      </w:r>
      <w:r w:rsidR="00EC1B23">
        <w:rPr>
          <w:spacing w:val="63"/>
        </w:rPr>
        <w:t xml:space="preserve"> </w:t>
      </w:r>
      <w:r w:rsidRPr="00886C6B">
        <w:t>should be completed</w:t>
      </w:r>
      <w:r w:rsidRPr="00886C6B">
        <w:rPr>
          <w:spacing w:val="-2"/>
        </w:rPr>
        <w:t xml:space="preserve"> </w:t>
      </w:r>
      <w:r w:rsidRPr="00886C6B">
        <w:t>within</w:t>
      </w:r>
      <w:r w:rsidRPr="00886C6B">
        <w:rPr>
          <w:spacing w:val="-2"/>
        </w:rPr>
        <w:t xml:space="preserve"> </w:t>
      </w:r>
      <w:r w:rsidRPr="00886C6B">
        <w:t>five years</w:t>
      </w:r>
      <w:r w:rsidRPr="00886C6B">
        <w:rPr>
          <w:spacing w:val="1"/>
        </w:rPr>
        <w:t xml:space="preserve"> </w:t>
      </w:r>
      <w:r w:rsidRPr="00886C6B">
        <w:rPr>
          <w:spacing w:val="-2"/>
        </w:rPr>
        <w:t>of</w:t>
      </w:r>
      <w:r w:rsidRPr="00886C6B">
        <w:rPr>
          <w:spacing w:val="4"/>
        </w:rPr>
        <w:t xml:space="preserve"> </w:t>
      </w:r>
      <w:r w:rsidRPr="00886C6B">
        <w:t>implementation</w:t>
      </w:r>
      <w:r w:rsidRPr="00886C6B">
        <w:rPr>
          <w:spacing w:val="-2"/>
        </w:rPr>
        <w:t xml:space="preserve"> </w:t>
      </w:r>
      <w:r w:rsidRPr="00886C6B">
        <w:t>for proposals</w:t>
      </w:r>
      <w:r w:rsidRPr="00886C6B">
        <w:rPr>
          <w:spacing w:val="1"/>
        </w:rPr>
        <w:t xml:space="preserve"> </w:t>
      </w:r>
      <w:r w:rsidRPr="00886C6B">
        <w:t>likely</w:t>
      </w:r>
      <w:r w:rsidRPr="00886C6B">
        <w:rPr>
          <w:spacing w:val="-2"/>
        </w:rPr>
        <w:t xml:space="preserve"> </w:t>
      </w:r>
      <w:r w:rsidRPr="00886C6B">
        <w:t>to have a</w:t>
      </w:r>
      <w:r w:rsidRPr="00886C6B">
        <w:rPr>
          <w:spacing w:val="43"/>
        </w:rPr>
        <w:t xml:space="preserve"> </w:t>
      </w:r>
      <w:r w:rsidRPr="00886C6B">
        <w:t>substantial impact.</w:t>
      </w:r>
    </w:p>
    <w:p w14:paraId="5CA1F878" w14:textId="5920D032" w:rsidR="0083163C" w:rsidRPr="00886C6B" w:rsidRDefault="0083163C" w:rsidP="0083163C">
      <w:r w:rsidRPr="00886C6B">
        <w:t>The</w:t>
      </w:r>
      <w:r w:rsidRPr="00886C6B">
        <w:rPr>
          <w:spacing w:val="-2"/>
        </w:rPr>
        <w:t xml:space="preserve"> </w:t>
      </w:r>
      <w:r w:rsidRPr="00886C6B">
        <w:t>status</w:t>
      </w:r>
      <w:r w:rsidRPr="00886C6B">
        <w:rPr>
          <w:spacing w:val="-2"/>
        </w:rPr>
        <w:t xml:space="preserve"> of</w:t>
      </w:r>
      <w:r w:rsidRPr="00886C6B">
        <w:rPr>
          <w:spacing w:val="2"/>
        </w:rPr>
        <w:t xml:space="preserve"> </w:t>
      </w:r>
      <w:r w:rsidRPr="00886C6B">
        <w:t xml:space="preserve">Post-implementation </w:t>
      </w:r>
      <w:r w:rsidRPr="00886C6B">
        <w:rPr>
          <w:spacing w:val="-2"/>
        </w:rPr>
        <w:t>Reviews</w:t>
      </w:r>
      <w:r w:rsidRPr="00886C6B">
        <w:rPr>
          <w:spacing w:val="1"/>
        </w:rPr>
        <w:t xml:space="preserve"> </w:t>
      </w:r>
      <w:r w:rsidRPr="00886C6B">
        <w:t>(PIRs)</w:t>
      </w:r>
      <w:r w:rsidRPr="00886C6B">
        <w:rPr>
          <w:spacing w:val="2"/>
        </w:rPr>
        <w:t xml:space="preserve"> </w:t>
      </w:r>
      <w:r w:rsidRPr="00886C6B">
        <w:t>required is</w:t>
      </w:r>
      <w:r w:rsidRPr="00886C6B">
        <w:rPr>
          <w:spacing w:val="-2"/>
        </w:rPr>
        <w:t xml:space="preserve"> </w:t>
      </w:r>
      <w:r w:rsidRPr="00886C6B">
        <w:t>updated</w:t>
      </w:r>
      <w:r w:rsidRPr="00886C6B">
        <w:rPr>
          <w:spacing w:val="-2"/>
        </w:rPr>
        <w:t xml:space="preserve"> </w:t>
      </w:r>
      <w:r w:rsidRPr="00886C6B">
        <w:t>regularly as</w:t>
      </w:r>
      <w:r w:rsidRPr="00886C6B">
        <w:rPr>
          <w:spacing w:val="-2"/>
        </w:rPr>
        <w:t xml:space="preserve"> </w:t>
      </w:r>
      <w:r w:rsidRPr="00886C6B">
        <w:t>the</w:t>
      </w:r>
      <w:r w:rsidRPr="00886C6B">
        <w:rPr>
          <w:spacing w:val="-2"/>
        </w:rPr>
        <w:t xml:space="preserve"> </w:t>
      </w:r>
      <w:r w:rsidRPr="00886C6B">
        <w:t>Office</w:t>
      </w:r>
      <w:r w:rsidR="009459B3">
        <w:t xml:space="preserve"> </w:t>
      </w:r>
      <w:r w:rsidRPr="00886C6B">
        <w:rPr>
          <w:spacing w:val="-2"/>
        </w:rPr>
        <w:t>of</w:t>
      </w:r>
      <w:r w:rsidRPr="00886C6B">
        <w:rPr>
          <w:spacing w:val="4"/>
        </w:rPr>
        <w:t xml:space="preserve"> </w:t>
      </w:r>
      <w:r w:rsidR="001937C3">
        <w:t>Impact Analysis</w:t>
      </w:r>
      <w:r w:rsidRPr="00886C6B">
        <w:t xml:space="preserve"> </w:t>
      </w:r>
      <w:r w:rsidR="00266808">
        <w:t>(O</w:t>
      </w:r>
      <w:r w:rsidR="001937C3">
        <w:t>IA</w:t>
      </w:r>
      <w:r w:rsidR="00266808">
        <w:t xml:space="preserve">) </w:t>
      </w:r>
      <w:r w:rsidRPr="00886C6B">
        <w:t>receives information from departments</w:t>
      </w:r>
      <w:r w:rsidRPr="00886C6B">
        <w:rPr>
          <w:spacing w:val="-2"/>
        </w:rPr>
        <w:t xml:space="preserve"> </w:t>
      </w:r>
      <w:r w:rsidRPr="00886C6B">
        <w:t>and agencies.</w:t>
      </w:r>
    </w:p>
    <w:p w14:paraId="4CC5FCF1" w14:textId="2935D957" w:rsidR="0083163C" w:rsidRPr="00886C6B" w:rsidRDefault="0083163C" w:rsidP="4BB36BCF">
      <w:r w:rsidRPr="28C90FDF">
        <w:rPr>
          <w:b/>
          <w:bCs/>
        </w:rPr>
        <w:t>As</w:t>
      </w:r>
      <w:r w:rsidRPr="28C90FDF">
        <w:rPr>
          <w:b/>
          <w:bCs/>
          <w:spacing w:val="1"/>
        </w:rPr>
        <w:t xml:space="preserve"> </w:t>
      </w:r>
      <w:r w:rsidR="00187B90">
        <w:rPr>
          <w:b/>
          <w:bCs/>
          <w:spacing w:val="2"/>
        </w:rPr>
        <w:t>at 22</w:t>
      </w:r>
      <w:r w:rsidR="00BE067E" w:rsidRPr="28C90FDF">
        <w:rPr>
          <w:b/>
          <w:bCs/>
        </w:rPr>
        <w:t xml:space="preserve"> </w:t>
      </w:r>
      <w:r w:rsidR="00F72979">
        <w:rPr>
          <w:b/>
          <w:bCs/>
        </w:rPr>
        <w:t>September</w:t>
      </w:r>
      <w:r w:rsidR="00A534FF" w:rsidRPr="28C90FDF">
        <w:rPr>
          <w:b/>
          <w:bCs/>
        </w:rPr>
        <w:t xml:space="preserve"> </w:t>
      </w:r>
      <w:r w:rsidR="00BE067E" w:rsidRPr="28C90FDF">
        <w:rPr>
          <w:b/>
          <w:bCs/>
        </w:rPr>
        <w:t>202</w:t>
      </w:r>
      <w:r w:rsidR="00696196">
        <w:rPr>
          <w:b/>
          <w:bCs/>
        </w:rPr>
        <w:t>5</w:t>
      </w:r>
      <w:r w:rsidRPr="00344229">
        <w:t xml:space="preserve">, </w:t>
      </w:r>
      <w:r w:rsidR="00F72979">
        <w:t>eighteen</w:t>
      </w:r>
      <w:r w:rsidR="00F72979" w:rsidRPr="00C91C7A">
        <w:t xml:space="preserve"> </w:t>
      </w:r>
      <w:r w:rsidRPr="00C91C7A">
        <w:t>PIRs</w:t>
      </w:r>
      <w:r w:rsidRPr="00344229">
        <w:t xml:space="preserve"> are</w:t>
      </w:r>
      <w:r w:rsidRPr="00344229">
        <w:rPr>
          <w:spacing w:val="-2"/>
        </w:rPr>
        <w:t xml:space="preserve"> </w:t>
      </w:r>
      <w:r w:rsidRPr="00344229">
        <w:t>yet to be</w:t>
      </w:r>
      <w:r w:rsidRPr="00344229">
        <w:rPr>
          <w:spacing w:val="-2"/>
        </w:rPr>
        <w:t xml:space="preserve"> </w:t>
      </w:r>
      <w:r w:rsidRPr="00344229">
        <w:t>completed.</w:t>
      </w:r>
      <w:r w:rsidRPr="00344229">
        <w:rPr>
          <w:spacing w:val="-3"/>
        </w:rPr>
        <w:t xml:space="preserve"> </w:t>
      </w:r>
      <w:r w:rsidRPr="00344229">
        <w:t>Of</w:t>
      </w:r>
      <w:r w:rsidRPr="00344229">
        <w:rPr>
          <w:spacing w:val="2"/>
        </w:rPr>
        <w:t xml:space="preserve"> </w:t>
      </w:r>
      <w:r w:rsidRPr="00344229">
        <w:t xml:space="preserve">these, </w:t>
      </w:r>
      <w:r w:rsidR="00A534FF" w:rsidRPr="2DC6F72F">
        <w:t>five</w:t>
      </w:r>
      <w:r w:rsidR="00A534FF">
        <w:t xml:space="preserve"> </w:t>
      </w:r>
      <w:r w:rsidRPr="00344229">
        <w:t>are</w:t>
      </w:r>
      <w:r w:rsidRPr="00344229">
        <w:rPr>
          <w:spacing w:val="1"/>
        </w:rPr>
        <w:t xml:space="preserve"> </w:t>
      </w:r>
      <w:r w:rsidRPr="00344229">
        <w:t>curr</w:t>
      </w:r>
      <w:r w:rsidRPr="00293234">
        <w:t>ently</w:t>
      </w:r>
      <w:r w:rsidRPr="00266808">
        <w:t xml:space="preserve"> non-compliant as</w:t>
      </w:r>
      <w:r w:rsidRPr="00266808">
        <w:rPr>
          <w:spacing w:val="-2"/>
        </w:rPr>
        <w:t xml:space="preserve"> </w:t>
      </w:r>
      <w:r w:rsidRPr="00266808">
        <w:t>they</w:t>
      </w:r>
      <w:r w:rsidRPr="00266808">
        <w:rPr>
          <w:spacing w:val="-2"/>
        </w:rPr>
        <w:t xml:space="preserve"> have</w:t>
      </w:r>
      <w:r w:rsidRPr="00266808">
        <w:t xml:space="preserve"> not</w:t>
      </w:r>
      <w:r w:rsidRPr="00266808">
        <w:rPr>
          <w:spacing w:val="1"/>
        </w:rPr>
        <w:t xml:space="preserve"> </w:t>
      </w:r>
      <w:r w:rsidRPr="00266808">
        <w:t>been completed</w:t>
      </w:r>
      <w:r w:rsidRPr="00266808">
        <w:rPr>
          <w:spacing w:val="-4"/>
        </w:rPr>
        <w:t xml:space="preserve"> </w:t>
      </w:r>
      <w:r w:rsidRPr="00266808">
        <w:t>in the</w:t>
      </w:r>
      <w:r w:rsidRPr="00266808">
        <w:rPr>
          <w:spacing w:val="-2"/>
        </w:rPr>
        <w:t xml:space="preserve"> </w:t>
      </w:r>
      <w:r w:rsidRPr="00266808">
        <w:t>required</w:t>
      </w:r>
      <w:r w:rsidRPr="00266808">
        <w:rPr>
          <w:spacing w:val="-2"/>
        </w:rPr>
        <w:t xml:space="preserve"> timeframe.</w:t>
      </w:r>
    </w:p>
    <w:p w14:paraId="62859239" w14:textId="7D15BFBC" w:rsidR="0083163C" w:rsidRDefault="0083163C" w:rsidP="0083163C">
      <w:r w:rsidRPr="00886C6B">
        <w:t xml:space="preserve">Information on </w:t>
      </w:r>
      <w:r w:rsidRPr="00886C6B">
        <w:rPr>
          <w:spacing w:val="-2"/>
        </w:rPr>
        <w:t xml:space="preserve">PIRs </w:t>
      </w:r>
      <w:r w:rsidRPr="00886C6B">
        <w:t>that</w:t>
      </w:r>
      <w:r w:rsidRPr="00886C6B">
        <w:rPr>
          <w:spacing w:val="-3"/>
        </w:rPr>
        <w:t xml:space="preserve"> </w:t>
      </w:r>
      <w:r w:rsidRPr="00886C6B">
        <w:t>are</w:t>
      </w:r>
      <w:r w:rsidRPr="00886C6B">
        <w:rPr>
          <w:spacing w:val="1"/>
        </w:rPr>
        <w:t xml:space="preserve"> </w:t>
      </w:r>
      <w:r w:rsidRPr="00886C6B">
        <w:t>completed</w:t>
      </w:r>
      <w:r w:rsidRPr="00886C6B">
        <w:rPr>
          <w:spacing w:val="-2"/>
        </w:rPr>
        <w:t xml:space="preserve"> </w:t>
      </w:r>
      <w:r w:rsidRPr="00886C6B">
        <w:t>and published can be</w:t>
      </w:r>
      <w:r w:rsidRPr="00886C6B">
        <w:rPr>
          <w:spacing w:val="-5"/>
        </w:rPr>
        <w:t xml:space="preserve"> </w:t>
      </w:r>
      <w:r w:rsidRPr="00886C6B">
        <w:t>found in</w:t>
      </w:r>
      <w:r w:rsidRPr="00886C6B">
        <w:rPr>
          <w:spacing w:val="-2"/>
        </w:rPr>
        <w:t xml:space="preserve"> </w:t>
      </w:r>
      <w:r w:rsidRPr="00886C6B">
        <w:t>the</w:t>
      </w:r>
      <w:r w:rsidRPr="00886C6B">
        <w:rPr>
          <w:spacing w:val="2"/>
        </w:rPr>
        <w:t xml:space="preserve"> </w:t>
      </w:r>
      <w:r w:rsidRPr="00886C6B">
        <w:t>associated</w:t>
      </w:r>
      <w:r w:rsidRPr="00886C6B">
        <w:rPr>
          <w:spacing w:val="-2"/>
        </w:rPr>
        <w:t xml:space="preserve"> </w:t>
      </w:r>
      <w:r w:rsidR="00266808">
        <w:rPr>
          <w:spacing w:val="-2"/>
        </w:rPr>
        <w:t>O</w:t>
      </w:r>
      <w:r w:rsidR="001937C3">
        <w:rPr>
          <w:spacing w:val="-2"/>
        </w:rPr>
        <w:t>IA</w:t>
      </w:r>
      <w:r w:rsidR="00266808">
        <w:rPr>
          <w:spacing w:val="-2"/>
        </w:rPr>
        <w:t xml:space="preserve"> </w:t>
      </w:r>
      <w:r w:rsidR="00266808">
        <w:t xml:space="preserve">report </w:t>
      </w:r>
      <w:r w:rsidR="00E04761">
        <w:br/>
      </w:r>
      <w:hyperlink r:id="rId14" w:history="1">
        <w:r w:rsidRPr="00A36E67">
          <w:rPr>
            <w:rStyle w:val="Hyperlink"/>
          </w:rPr>
          <w:t xml:space="preserve">Post-implementation </w:t>
        </w:r>
        <w:r w:rsidRPr="00A36E67">
          <w:rPr>
            <w:rStyle w:val="Hyperlink"/>
            <w:spacing w:val="-2"/>
          </w:rPr>
          <w:t>Reviews:</w:t>
        </w:r>
        <w:r w:rsidRPr="00A36E67">
          <w:rPr>
            <w:rStyle w:val="Hyperlink"/>
            <w:spacing w:val="2"/>
          </w:rPr>
          <w:t xml:space="preserve"> </w:t>
        </w:r>
        <w:r w:rsidRPr="00A36E67">
          <w:rPr>
            <w:rStyle w:val="Hyperlink"/>
          </w:rPr>
          <w:t>Completed and</w:t>
        </w:r>
        <w:r w:rsidRPr="00A36E67">
          <w:rPr>
            <w:rStyle w:val="Hyperlink"/>
            <w:spacing w:val="-2"/>
          </w:rPr>
          <w:t xml:space="preserve"> </w:t>
        </w:r>
        <w:r w:rsidRPr="00A36E67">
          <w:rPr>
            <w:rStyle w:val="Hyperlink"/>
          </w:rPr>
          <w:t>Published</w:t>
        </w:r>
      </w:hyperlink>
      <w:r w:rsidR="00EC1B23">
        <w:t>,</w:t>
      </w:r>
      <w:r w:rsidR="001937C3">
        <w:t xml:space="preserve"> located on the OIA website</w:t>
      </w:r>
      <w:r w:rsidRPr="00886C6B">
        <w:t>.</w:t>
      </w:r>
    </w:p>
    <w:p w14:paraId="6673F33D" w14:textId="3F25AB10" w:rsidR="00266808" w:rsidRDefault="00266808" w:rsidP="00266808">
      <w:r>
        <w:t xml:space="preserve">Please note that all Department and Agency names in this report reflect their name at the time </w:t>
      </w:r>
      <w:r w:rsidR="00F46A4B">
        <w:t xml:space="preserve">that </w:t>
      </w:r>
      <w:r>
        <w:t>the PIR require</w:t>
      </w:r>
      <w:r w:rsidR="00F46A4B">
        <w:t>ment came into effect</w:t>
      </w:r>
      <w:r>
        <w:t>.</w:t>
      </w:r>
    </w:p>
    <w:p w14:paraId="39478B65" w14:textId="5D3DB2C8" w:rsidR="0083163C" w:rsidRPr="00886C6B" w:rsidRDefault="0083163C" w:rsidP="0083163C">
      <w:r w:rsidRPr="00886C6B">
        <w:t>The</w:t>
      </w:r>
      <w:r w:rsidRPr="00886C6B">
        <w:rPr>
          <w:spacing w:val="-3"/>
        </w:rPr>
        <w:t xml:space="preserve"> </w:t>
      </w:r>
      <w:hyperlink r:id="rId15">
        <w:r w:rsidRPr="00886C6B">
          <w:rPr>
            <w:color w:val="0D6E8A"/>
            <w:u w:val="single" w:color="0D6E8A"/>
          </w:rPr>
          <w:t>post-implementation</w:t>
        </w:r>
        <w:r w:rsidRPr="00886C6B">
          <w:rPr>
            <w:color w:val="0D6E8A"/>
            <w:spacing w:val="-2"/>
            <w:u w:val="single" w:color="0D6E8A"/>
          </w:rPr>
          <w:t xml:space="preserve"> </w:t>
        </w:r>
        <w:r w:rsidRPr="00886C6B">
          <w:rPr>
            <w:color w:val="0D6E8A"/>
            <w:u w:val="single" w:color="0D6E8A"/>
          </w:rPr>
          <w:t>review</w:t>
        </w:r>
        <w:r w:rsidRPr="00886C6B">
          <w:rPr>
            <w:color w:val="0D6E8A"/>
            <w:spacing w:val="-3"/>
            <w:u w:val="single" w:color="0D6E8A"/>
          </w:rPr>
          <w:t xml:space="preserve"> </w:t>
        </w:r>
        <w:r w:rsidRPr="00886C6B">
          <w:rPr>
            <w:color w:val="0D6E8A"/>
            <w:u w:val="single" w:color="0D6E8A"/>
          </w:rPr>
          <w:t>guidance note</w:t>
        </w:r>
      </w:hyperlink>
      <w:r w:rsidRPr="00886C6B">
        <w:rPr>
          <w:spacing w:val="22"/>
          <w:position w:val="8"/>
        </w:rPr>
        <w:t xml:space="preserve"> </w:t>
      </w:r>
      <w:r>
        <w:t>p</w:t>
      </w:r>
      <w:r w:rsidRPr="00886C6B">
        <w:t>rovides</w:t>
      </w:r>
      <w:r w:rsidRPr="00886C6B">
        <w:rPr>
          <w:spacing w:val="1"/>
        </w:rPr>
        <w:t xml:space="preserve"> </w:t>
      </w:r>
      <w:r w:rsidRPr="00886C6B">
        <w:t>advice on the</w:t>
      </w:r>
      <w:r w:rsidRPr="00886C6B">
        <w:rPr>
          <w:spacing w:val="-2"/>
        </w:rPr>
        <w:t xml:space="preserve"> </w:t>
      </w:r>
      <w:r w:rsidRPr="00886C6B">
        <w:t xml:space="preserve">preparation </w:t>
      </w:r>
      <w:r w:rsidRPr="00886C6B">
        <w:rPr>
          <w:spacing w:val="-2"/>
        </w:rPr>
        <w:t>of</w:t>
      </w:r>
      <w:r w:rsidRPr="00886C6B">
        <w:rPr>
          <w:spacing w:val="2"/>
        </w:rPr>
        <w:t xml:space="preserve"> </w:t>
      </w:r>
      <w:r w:rsidRPr="00886C6B">
        <w:rPr>
          <w:spacing w:val="-2"/>
        </w:rPr>
        <w:t>PIRs</w:t>
      </w:r>
      <w:r w:rsidR="00291C0D">
        <w:rPr>
          <w:spacing w:val="-2"/>
        </w:rPr>
        <w:t xml:space="preserve"> and</w:t>
      </w:r>
      <w:r w:rsidRPr="00886C6B">
        <w:rPr>
          <w:rFonts w:eastAsia="Arial"/>
        </w:rPr>
        <w:t xml:space="preserve"> compliance </w:t>
      </w:r>
      <w:r w:rsidRPr="00886C6B">
        <w:rPr>
          <w:rFonts w:eastAsia="Arial"/>
          <w:spacing w:val="-2"/>
        </w:rPr>
        <w:t>with</w:t>
      </w:r>
      <w:r w:rsidRPr="00886C6B">
        <w:rPr>
          <w:rFonts w:eastAsia="Arial"/>
        </w:rPr>
        <w:t xml:space="preserve"> the</w:t>
      </w:r>
      <w:r w:rsidRPr="00886C6B">
        <w:rPr>
          <w:rFonts w:eastAsia="Arial"/>
          <w:spacing w:val="-5"/>
        </w:rPr>
        <w:t xml:space="preserve"> </w:t>
      </w:r>
      <w:r w:rsidRPr="00886C6B">
        <w:rPr>
          <w:rFonts w:eastAsia="Arial"/>
        </w:rPr>
        <w:t>Government’s</w:t>
      </w:r>
      <w:r w:rsidRPr="00886C6B">
        <w:rPr>
          <w:rFonts w:eastAsia="Arial"/>
          <w:spacing w:val="1"/>
        </w:rPr>
        <w:t xml:space="preserve"> </w:t>
      </w:r>
      <w:r w:rsidRPr="00886C6B">
        <w:rPr>
          <w:rFonts w:eastAsia="Arial"/>
        </w:rPr>
        <w:t>requirements.</w:t>
      </w:r>
    </w:p>
    <w:p w14:paraId="08BB70BF" w14:textId="6BC71C94" w:rsidR="005226B9" w:rsidRDefault="0083163C" w:rsidP="0083163C">
      <w:r w:rsidRPr="00886C6B">
        <w:rPr>
          <w:rFonts w:eastAsia="Arial"/>
        </w:rPr>
        <w:t>Note</w:t>
      </w:r>
      <w:r w:rsidRPr="00886C6B">
        <w:rPr>
          <w:rFonts w:eastAsia="Arial"/>
          <w:spacing w:val="1"/>
        </w:rPr>
        <w:t xml:space="preserve"> </w:t>
      </w:r>
      <w:r w:rsidRPr="00886C6B">
        <w:rPr>
          <w:rFonts w:eastAsia="Arial"/>
        </w:rPr>
        <w:t>that specific</w:t>
      </w:r>
      <w:r w:rsidRPr="00886C6B">
        <w:rPr>
          <w:rFonts w:eastAsia="Arial"/>
          <w:spacing w:val="1"/>
        </w:rPr>
        <w:t xml:space="preserve"> </w:t>
      </w:r>
      <w:r w:rsidRPr="00886C6B">
        <w:rPr>
          <w:rFonts w:eastAsia="Arial"/>
          <w:spacing w:val="-2"/>
        </w:rPr>
        <w:t xml:space="preserve">PIRs </w:t>
      </w:r>
      <w:r w:rsidRPr="00886C6B">
        <w:rPr>
          <w:rFonts w:eastAsia="Arial"/>
        </w:rPr>
        <w:t>resulting</w:t>
      </w:r>
      <w:r w:rsidRPr="00886C6B">
        <w:rPr>
          <w:rFonts w:eastAsia="Arial"/>
          <w:spacing w:val="-2"/>
        </w:rPr>
        <w:t xml:space="preserve"> </w:t>
      </w:r>
      <w:r w:rsidRPr="00886C6B">
        <w:rPr>
          <w:rFonts w:eastAsia="Arial"/>
        </w:rPr>
        <w:t>from the</w:t>
      </w:r>
      <w:r w:rsidRPr="00886C6B">
        <w:rPr>
          <w:rFonts w:eastAsia="Arial"/>
          <w:spacing w:val="-2"/>
        </w:rPr>
        <w:t xml:space="preserve"> </w:t>
      </w:r>
      <w:r w:rsidRPr="00886C6B">
        <w:rPr>
          <w:rFonts w:eastAsia="Arial"/>
        </w:rPr>
        <w:t>Prime</w:t>
      </w:r>
      <w:r w:rsidRPr="00886C6B">
        <w:rPr>
          <w:rFonts w:eastAsia="Arial"/>
          <w:spacing w:val="-4"/>
        </w:rPr>
        <w:t xml:space="preserve"> </w:t>
      </w:r>
      <w:r w:rsidRPr="00886C6B">
        <w:rPr>
          <w:rFonts w:eastAsia="Arial"/>
        </w:rPr>
        <w:t>Minister’s exemption</w:t>
      </w:r>
      <w:r w:rsidRPr="00886C6B">
        <w:rPr>
          <w:rFonts w:eastAsia="Arial"/>
          <w:spacing w:val="-2"/>
        </w:rPr>
        <w:t xml:space="preserve"> </w:t>
      </w:r>
      <w:r w:rsidRPr="00886C6B">
        <w:rPr>
          <w:rFonts w:eastAsia="Arial"/>
        </w:rPr>
        <w:t>granted 18</w:t>
      </w:r>
      <w:r w:rsidRPr="00886C6B">
        <w:rPr>
          <w:rFonts w:eastAsia="Arial"/>
          <w:spacing w:val="-2"/>
        </w:rPr>
        <w:t xml:space="preserve"> </w:t>
      </w:r>
      <w:r w:rsidRPr="00886C6B">
        <w:rPr>
          <w:rFonts w:eastAsia="Arial"/>
        </w:rPr>
        <w:t>March</w:t>
      </w:r>
      <w:r w:rsidRPr="00886C6B">
        <w:rPr>
          <w:rFonts w:eastAsia="Arial"/>
          <w:spacing w:val="1"/>
        </w:rPr>
        <w:t xml:space="preserve"> </w:t>
      </w:r>
      <w:r w:rsidRPr="00886C6B">
        <w:rPr>
          <w:rFonts w:eastAsia="Arial"/>
        </w:rPr>
        <w:t>2020</w:t>
      </w:r>
      <w:r>
        <w:rPr>
          <w:rFonts w:eastAsia="Arial"/>
        </w:rPr>
        <w:t xml:space="preserve"> </w:t>
      </w:r>
      <w:r w:rsidRPr="00886C6B">
        <w:t>for all urgent and</w:t>
      </w:r>
      <w:r w:rsidRPr="00886C6B">
        <w:rPr>
          <w:spacing w:val="-2"/>
        </w:rPr>
        <w:t xml:space="preserve"> </w:t>
      </w:r>
      <w:r w:rsidRPr="00886C6B">
        <w:t>unforeseen Australian Government measures</w:t>
      </w:r>
      <w:r w:rsidRPr="00886C6B">
        <w:rPr>
          <w:spacing w:val="-2"/>
        </w:rPr>
        <w:t xml:space="preserve"> </w:t>
      </w:r>
      <w:r w:rsidRPr="00886C6B">
        <w:t>made in</w:t>
      </w:r>
      <w:r w:rsidRPr="00886C6B">
        <w:rPr>
          <w:spacing w:val="-2"/>
        </w:rPr>
        <w:t xml:space="preserve"> </w:t>
      </w:r>
      <w:r w:rsidRPr="00886C6B">
        <w:t>response to</w:t>
      </w:r>
      <w:r>
        <w:t xml:space="preserve"> </w:t>
      </w:r>
      <w:r w:rsidRPr="00886C6B">
        <w:t>COVID-19</w:t>
      </w:r>
      <w:r w:rsidRPr="00886C6B">
        <w:rPr>
          <w:spacing w:val="-2"/>
        </w:rPr>
        <w:t xml:space="preserve"> </w:t>
      </w:r>
      <w:r>
        <w:t>will not be completed individually</w:t>
      </w:r>
      <w:r w:rsidRPr="00886C6B">
        <w:t>.</w:t>
      </w:r>
      <w:r w:rsidR="00290A3D">
        <w:t xml:space="preserve"> For more information, see: </w:t>
      </w:r>
      <w:hyperlink r:id="rId16" w:history="1">
        <w:r w:rsidR="00290A3D" w:rsidRPr="00C91C7A">
          <w:rPr>
            <w:rStyle w:val="Hyperlink"/>
          </w:rPr>
          <w:t>https://oia.pmc.gov.au/published-impact-analyses-and-reports/prime-ministers-exemption-covid-19-related-measures</w:t>
        </w:r>
      </w:hyperlink>
      <w:r w:rsidR="00C91C7A">
        <w:t>.</w:t>
      </w:r>
      <w:r w:rsidR="00C91C7A" w:rsidRPr="2CA83CB7">
        <w:t xml:space="preserve"> </w:t>
      </w:r>
    </w:p>
    <w:p w14:paraId="19E0F4B4" w14:textId="77777777" w:rsidR="0063244D" w:rsidRPr="0063244D" w:rsidRDefault="0063244D" w:rsidP="0063244D">
      <w:pPr>
        <w:sectPr w:rsidR="0063244D" w:rsidRPr="0063244D" w:rsidSect="00AE700B">
          <w:headerReference w:type="default" r:id="rId17"/>
          <w:footerReference w:type="default" r:id="rId18"/>
          <w:headerReference w:type="first" r:id="rId19"/>
          <w:footerReference w:type="first" r:id="rId20"/>
          <w:pgSz w:w="11906" w:h="16838"/>
          <w:pgMar w:top="2836" w:right="964" w:bottom="1701" w:left="964" w:header="709" w:footer="709" w:gutter="0"/>
          <w:cols w:space="708"/>
          <w:docGrid w:linePitch="360"/>
        </w:sectPr>
      </w:pPr>
    </w:p>
    <w:sdt>
      <w:sdtPr>
        <w:rPr>
          <w:szCs w:val="22"/>
        </w:rPr>
        <w:id w:val="541721963"/>
        <w:docPartObj>
          <w:docPartGallery w:val="Table of Contents"/>
          <w:docPartUnique/>
        </w:docPartObj>
      </w:sdtPr>
      <w:sdtEndPr/>
      <w:sdtContent>
        <w:p w14:paraId="673E4E40" w14:textId="50992690" w:rsidR="00187B90" w:rsidRPr="004630E1" w:rsidRDefault="00117A77" w:rsidP="004630E1">
          <w:r w:rsidRPr="004630E1">
            <w:rPr>
              <w:rStyle w:val="Heading1Char"/>
            </w:rPr>
            <w:t>Contents</w:t>
          </w:r>
        </w:p>
        <w:p w14:paraId="554324F9" w14:textId="0FFB2362" w:rsidR="00187B90" w:rsidRDefault="0060732B">
          <w:pPr>
            <w:pStyle w:val="TOC1"/>
            <w:tabs>
              <w:tab w:val="right" w:leader="dot" w:pos="9968"/>
            </w:tabs>
            <w:rPr>
              <w:noProof/>
              <w:szCs w:val="22"/>
              <w:lang w:eastAsia="en-AU"/>
            </w:rPr>
          </w:pPr>
          <w:r>
            <w:rPr>
              <w:rFonts w:asciiTheme="majorHAnsi" w:eastAsiaTheme="majorEastAsia" w:hAnsiTheme="majorHAnsi" w:cstheme="majorBidi"/>
              <w:color w:val="1B375C" w:themeColor="accent1"/>
              <w:sz w:val="40"/>
              <w:szCs w:val="40"/>
            </w:rPr>
            <w:fldChar w:fldCharType="begin"/>
          </w:r>
          <w:r w:rsidR="00117A77">
            <w:instrText>TOC \o "1-3" \z \u \h</w:instrText>
          </w:r>
          <w:r>
            <w:rPr>
              <w:rFonts w:asciiTheme="majorHAnsi" w:eastAsiaTheme="majorEastAsia" w:hAnsiTheme="majorHAnsi" w:cstheme="majorBidi"/>
              <w:color w:val="1B375C" w:themeColor="accent1"/>
              <w:sz w:val="40"/>
              <w:szCs w:val="40"/>
            </w:rPr>
            <w:fldChar w:fldCharType="separate"/>
          </w:r>
          <w:hyperlink w:anchor="_Toc210227738" w:history="1">
            <w:r w:rsidR="00187B90" w:rsidRPr="00272B32">
              <w:rPr>
                <w:rStyle w:val="Hyperlink"/>
                <w:noProof/>
              </w:rPr>
              <w:t>Note</w:t>
            </w:r>
            <w:r w:rsidR="00187B90">
              <w:rPr>
                <w:noProof/>
                <w:webHidden/>
              </w:rPr>
              <w:tab/>
            </w:r>
            <w:r w:rsidR="00187B90">
              <w:rPr>
                <w:noProof/>
                <w:webHidden/>
              </w:rPr>
              <w:fldChar w:fldCharType="begin"/>
            </w:r>
            <w:r w:rsidR="00187B90">
              <w:rPr>
                <w:noProof/>
                <w:webHidden/>
              </w:rPr>
              <w:instrText xml:space="preserve"> PAGEREF _Toc210227738 \h </w:instrText>
            </w:r>
            <w:r w:rsidR="00187B90">
              <w:rPr>
                <w:noProof/>
                <w:webHidden/>
              </w:rPr>
            </w:r>
            <w:r w:rsidR="00187B90">
              <w:rPr>
                <w:noProof/>
                <w:webHidden/>
              </w:rPr>
              <w:fldChar w:fldCharType="separate"/>
            </w:r>
            <w:r w:rsidR="0057459B">
              <w:rPr>
                <w:noProof/>
                <w:webHidden/>
              </w:rPr>
              <w:t>1</w:t>
            </w:r>
            <w:r w:rsidR="00187B90">
              <w:rPr>
                <w:noProof/>
                <w:webHidden/>
              </w:rPr>
              <w:fldChar w:fldCharType="end"/>
            </w:r>
          </w:hyperlink>
        </w:p>
        <w:p w14:paraId="0BEE3CCD" w14:textId="2D774CD7" w:rsidR="00187B90" w:rsidRDefault="000F5D74">
          <w:pPr>
            <w:pStyle w:val="TOC1"/>
            <w:tabs>
              <w:tab w:val="right" w:leader="dot" w:pos="9968"/>
            </w:tabs>
            <w:rPr>
              <w:noProof/>
              <w:szCs w:val="22"/>
              <w:lang w:eastAsia="en-AU"/>
            </w:rPr>
          </w:pPr>
          <w:hyperlink w:anchor="_Toc210227739" w:history="1">
            <w:r w:rsidR="00187B90" w:rsidRPr="00272B32">
              <w:rPr>
                <w:rStyle w:val="Hyperlink"/>
                <w:noProof/>
              </w:rPr>
              <w:t>PIR status and compliance</w:t>
            </w:r>
            <w:r w:rsidR="00187B90">
              <w:rPr>
                <w:noProof/>
                <w:webHidden/>
              </w:rPr>
              <w:tab/>
            </w:r>
            <w:r w:rsidR="00187B90">
              <w:rPr>
                <w:noProof/>
                <w:webHidden/>
              </w:rPr>
              <w:fldChar w:fldCharType="begin"/>
            </w:r>
            <w:r w:rsidR="00187B90">
              <w:rPr>
                <w:noProof/>
                <w:webHidden/>
              </w:rPr>
              <w:instrText xml:space="preserve"> PAGEREF _Toc210227739 \h </w:instrText>
            </w:r>
            <w:r w:rsidR="00187B90">
              <w:rPr>
                <w:noProof/>
                <w:webHidden/>
              </w:rPr>
            </w:r>
            <w:r w:rsidR="00187B90">
              <w:rPr>
                <w:noProof/>
                <w:webHidden/>
              </w:rPr>
              <w:fldChar w:fldCharType="separate"/>
            </w:r>
            <w:r w:rsidR="0057459B">
              <w:rPr>
                <w:noProof/>
                <w:webHidden/>
              </w:rPr>
              <w:t>3</w:t>
            </w:r>
            <w:r w:rsidR="00187B90">
              <w:rPr>
                <w:noProof/>
                <w:webHidden/>
              </w:rPr>
              <w:fldChar w:fldCharType="end"/>
            </w:r>
          </w:hyperlink>
        </w:p>
        <w:p w14:paraId="4D9F3DDE" w14:textId="35AEE013" w:rsidR="00187B90" w:rsidRDefault="000F5D74">
          <w:pPr>
            <w:pStyle w:val="TOC1"/>
            <w:tabs>
              <w:tab w:val="right" w:leader="dot" w:pos="9968"/>
            </w:tabs>
            <w:rPr>
              <w:noProof/>
              <w:szCs w:val="22"/>
              <w:lang w:eastAsia="en-AU"/>
            </w:rPr>
          </w:pPr>
          <w:hyperlink w:anchor="_Toc210227740" w:history="1">
            <w:r w:rsidR="00187B90" w:rsidRPr="00272B32">
              <w:rPr>
                <w:rStyle w:val="Hyperlink"/>
                <w:noProof/>
              </w:rPr>
              <w:t>PIRs Required</w:t>
            </w:r>
            <w:r w:rsidR="00187B90">
              <w:rPr>
                <w:noProof/>
                <w:webHidden/>
              </w:rPr>
              <w:tab/>
            </w:r>
            <w:r w:rsidR="00187B90">
              <w:rPr>
                <w:noProof/>
                <w:webHidden/>
              </w:rPr>
              <w:fldChar w:fldCharType="begin"/>
            </w:r>
            <w:r w:rsidR="00187B90">
              <w:rPr>
                <w:noProof/>
                <w:webHidden/>
              </w:rPr>
              <w:instrText xml:space="preserve"> PAGEREF _Toc210227740 \h </w:instrText>
            </w:r>
            <w:r w:rsidR="00187B90">
              <w:rPr>
                <w:noProof/>
                <w:webHidden/>
              </w:rPr>
            </w:r>
            <w:r w:rsidR="00187B90">
              <w:rPr>
                <w:noProof/>
                <w:webHidden/>
              </w:rPr>
              <w:fldChar w:fldCharType="separate"/>
            </w:r>
            <w:r w:rsidR="0057459B">
              <w:rPr>
                <w:noProof/>
                <w:webHidden/>
              </w:rPr>
              <w:t>3</w:t>
            </w:r>
            <w:r w:rsidR="00187B90">
              <w:rPr>
                <w:noProof/>
                <w:webHidden/>
              </w:rPr>
              <w:fldChar w:fldCharType="end"/>
            </w:r>
          </w:hyperlink>
        </w:p>
        <w:p w14:paraId="71154CBB" w14:textId="01ED3404" w:rsidR="00187B90" w:rsidRDefault="000F5D74">
          <w:pPr>
            <w:pStyle w:val="TOC2"/>
            <w:tabs>
              <w:tab w:val="right" w:leader="dot" w:pos="9968"/>
            </w:tabs>
            <w:rPr>
              <w:noProof/>
              <w:szCs w:val="22"/>
              <w:lang w:eastAsia="en-AU"/>
            </w:rPr>
          </w:pPr>
          <w:hyperlink w:anchor="_Toc210227741" w:history="1">
            <w:r w:rsidR="00187B90" w:rsidRPr="00272B32">
              <w:rPr>
                <w:rStyle w:val="Hyperlink"/>
                <w:noProof/>
              </w:rPr>
              <w:t>Attorney-General’s Department</w:t>
            </w:r>
            <w:r w:rsidR="00187B90">
              <w:rPr>
                <w:noProof/>
                <w:webHidden/>
              </w:rPr>
              <w:tab/>
            </w:r>
            <w:r w:rsidR="00187B90">
              <w:rPr>
                <w:noProof/>
                <w:webHidden/>
              </w:rPr>
              <w:fldChar w:fldCharType="begin"/>
            </w:r>
            <w:r w:rsidR="00187B90">
              <w:rPr>
                <w:noProof/>
                <w:webHidden/>
              </w:rPr>
              <w:instrText xml:space="preserve"> PAGEREF _Toc210227741 \h </w:instrText>
            </w:r>
            <w:r w:rsidR="00187B90">
              <w:rPr>
                <w:noProof/>
                <w:webHidden/>
              </w:rPr>
            </w:r>
            <w:r w:rsidR="00187B90">
              <w:rPr>
                <w:noProof/>
                <w:webHidden/>
              </w:rPr>
              <w:fldChar w:fldCharType="separate"/>
            </w:r>
            <w:r w:rsidR="0057459B">
              <w:rPr>
                <w:noProof/>
                <w:webHidden/>
              </w:rPr>
              <w:t>3</w:t>
            </w:r>
            <w:r w:rsidR="00187B90">
              <w:rPr>
                <w:noProof/>
                <w:webHidden/>
              </w:rPr>
              <w:fldChar w:fldCharType="end"/>
            </w:r>
          </w:hyperlink>
        </w:p>
        <w:p w14:paraId="592D8F07" w14:textId="63EC5188" w:rsidR="00187B90" w:rsidRDefault="000F5D74">
          <w:pPr>
            <w:pStyle w:val="TOC2"/>
            <w:tabs>
              <w:tab w:val="right" w:leader="dot" w:pos="9968"/>
            </w:tabs>
            <w:rPr>
              <w:noProof/>
              <w:szCs w:val="22"/>
              <w:lang w:eastAsia="en-AU"/>
            </w:rPr>
          </w:pPr>
          <w:hyperlink w:anchor="_Toc210227742" w:history="1">
            <w:r w:rsidR="00187B90" w:rsidRPr="00272B32">
              <w:rPr>
                <w:rStyle w:val="Hyperlink"/>
                <w:noProof/>
              </w:rPr>
              <w:t>Department of Agriculture, Water and the Environment</w:t>
            </w:r>
            <w:r w:rsidR="00187B90">
              <w:rPr>
                <w:noProof/>
                <w:webHidden/>
              </w:rPr>
              <w:tab/>
            </w:r>
            <w:r w:rsidR="00187B90">
              <w:rPr>
                <w:noProof/>
                <w:webHidden/>
              </w:rPr>
              <w:fldChar w:fldCharType="begin"/>
            </w:r>
            <w:r w:rsidR="00187B90">
              <w:rPr>
                <w:noProof/>
                <w:webHidden/>
              </w:rPr>
              <w:instrText xml:space="preserve"> PAGEREF _Toc210227742 \h </w:instrText>
            </w:r>
            <w:r w:rsidR="00187B90">
              <w:rPr>
                <w:noProof/>
                <w:webHidden/>
              </w:rPr>
            </w:r>
            <w:r w:rsidR="00187B90">
              <w:rPr>
                <w:noProof/>
                <w:webHidden/>
              </w:rPr>
              <w:fldChar w:fldCharType="separate"/>
            </w:r>
            <w:r w:rsidR="0057459B">
              <w:rPr>
                <w:noProof/>
                <w:webHidden/>
              </w:rPr>
              <w:t>4</w:t>
            </w:r>
            <w:r w:rsidR="00187B90">
              <w:rPr>
                <w:noProof/>
                <w:webHidden/>
              </w:rPr>
              <w:fldChar w:fldCharType="end"/>
            </w:r>
          </w:hyperlink>
        </w:p>
        <w:p w14:paraId="43D4EB5D" w14:textId="6A7E25E6" w:rsidR="00187B90" w:rsidRDefault="000F5D74">
          <w:pPr>
            <w:pStyle w:val="TOC2"/>
            <w:tabs>
              <w:tab w:val="right" w:leader="dot" w:pos="9968"/>
            </w:tabs>
            <w:rPr>
              <w:noProof/>
              <w:szCs w:val="22"/>
              <w:lang w:eastAsia="en-AU"/>
            </w:rPr>
          </w:pPr>
          <w:hyperlink w:anchor="_Toc210227743" w:history="1">
            <w:r w:rsidR="00187B90" w:rsidRPr="00272B32">
              <w:rPr>
                <w:rStyle w:val="Hyperlink"/>
                <w:noProof/>
              </w:rPr>
              <w:t>Department of Climate Change, Energy, the Environment and Water</w:t>
            </w:r>
            <w:r w:rsidR="00187B90">
              <w:rPr>
                <w:noProof/>
                <w:webHidden/>
              </w:rPr>
              <w:tab/>
            </w:r>
            <w:r w:rsidR="00187B90">
              <w:rPr>
                <w:noProof/>
                <w:webHidden/>
              </w:rPr>
              <w:fldChar w:fldCharType="begin"/>
            </w:r>
            <w:r w:rsidR="00187B90">
              <w:rPr>
                <w:noProof/>
                <w:webHidden/>
              </w:rPr>
              <w:instrText xml:space="preserve"> PAGEREF _Toc210227743 \h </w:instrText>
            </w:r>
            <w:r w:rsidR="00187B90">
              <w:rPr>
                <w:noProof/>
                <w:webHidden/>
              </w:rPr>
            </w:r>
            <w:r w:rsidR="00187B90">
              <w:rPr>
                <w:noProof/>
                <w:webHidden/>
              </w:rPr>
              <w:fldChar w:fldCharType="separate"/>
            </w:r>
            <w:r w:rsidR="0057459B">
              <w:rPr>
                <w:noProof/>
                <w:webHidden/>
              </w:rPr>
              <w:t>4</w:t>
            </w:r>
            <w:r w:rsidR="00187B90">
              <w:rPr>
                <w:noProof/>
                <w:webHidden/>
              </w:rPr>
              <w:fldChar w:fldCharType="end"/>
            </w:r>
          </w:hyperlink>
        </w:p>
        <w:p w14:paraId="5A56373C" w14:textId="1D650865" w:rsidR="00187B90" w:rsidRDefault="000F5D74">
          <w:pPr>
            <w:pStyle w:val="TOC2"/>
            <w:tabs>
              <w:tab w:val="right" w:leader="dot" w:pos="9968"/>
            </w:tabs>
            <w:rPr>
              <w:noProof/>
              <w:szCs w:val="22"/>
              <w:lang w:eastAsia="en-AU"/>
            </w:rPr>
          </w:pPr>
          <w:hyperlink w:anchor="_Toc210227744" w:history="1">
            <w:r w:rsidR="00187B90" w:rsidRPr="00272B32">
              <w:rPr>
                <w:rStyle w:val="Hyperlink"/>
                <w:noProof/>
              </w:rPr>
              <w:t>Department of Communication and the Arts</w:t>
            </w:r>
            <w:r w:rsidR="00187B90">
              <w:rPr>
                <w:noProof/>
                <w:webHidden/>
              </w:rPr>
              <w:tab/>
            </w:r>
            <w:r w:rsidR="00187B90">
              <w:rPr>
                <w:noProof/>
                <w:webHidden/>
              </w:rPr>
              <w:fldChar w:fldCharType="begin"/>
            </w:r>
            <w:r w:rsidR="00187B90">
              <w:rPr>
                <w:noProof/>
                <w:webHidden/>
              </w:rPr>
              <w:instrText xml:space="preserve"> PAGEREF _Toc210227744 \h </w:instrText>
            </w:r>
            <w:r w:rsidR="00187B90">
              <w:rPr>
                <w:noProof/>
                <w:webHidden/>
              </w:rPr>
            </w:r>
            <w:r w:rsidR="00187B90">
              <w:rPr>
                <w:noProof/>
                <w:webHidden/>
              </w:rPr>
              <w:fldChar w:fldCharType="separate"/>
            </w:r>
            <w:r w:rsidR="0057459B">
              <w:rPr>
                <w:noProof/>
                <w:webHidden/>
              </w:rPr>
              <w:t>5</w:t>
            </w:r>
            <w:r w:rsidR="00187B90">
              <w:rPr>
                <w:noProof/>
                <w:webHidden/>
              </w:rPr>
              <w:fldChar w:fldCharType="end"/>
            </w:r>
          </w:hyperlink>
        </w:p>
        <w:p w14:paraId="3891DA94" w14:textId="59F7949C" w:rsidR="00187B90" w:rsidRDefault="000F5D74">
          <w:pPr>
            <w:pStyle w:val="TOC2"/>
            <w:tabs>
              <w:tab w:val="right" w:leader="dot" w:pos="9968"/>
            </w:tabs>
            <w:rPr>
              <w:noProof/>
              <w:szCs w:val="22"/>
              <w:lang w:eastAsia="en-AU"/>
            </w:rPr>
          </w:pPr>
          <w:hyperlink w:anchor="_Toc210227745" w:history="1">
            <w:r w:rsidR="00187B90" w:rsidRPr="00272B32">
              <w:rPr>
                <w:rStyle w:val="Hyperlink"/>
                <w:noProof/>
              </w:rPr>
              <w:t>Department of Employment and Workplace Relations</w:t>
            </w:r>
            <w:r w:rsidR="00187B90">
              <w:rPr>
                <w:noProof/>
                <w:webHidden/>
              </w:rPr>
              <w:tab/>
            </w:r>
            <w:r w:rsidR="00187B90">
              <w:rPr>
                <w:noProof/>
                <w:webHidden/>
              </w:rPr>
              <w:fldChar w:fldCharType="begin"/>
            </w:r>
            <w:r w:rsidR="00187B90">
              <w:rPr>
                <w:noProof/>
                <w:webHidden/>
              </w:rPr>
              <w:instrText xml:space="preserve"> PAGEREF _Toc210227745 \h </w:instrText>
            </w:r>
            <w:r w:rsidR="00187B90">
              <w:rPr>
                <w:noProof/>
                <w:webHidden/>
              </w:rPr>
            </w:r>
            <w:r w:rsidR="00187B90">
              <w:rPr>
                <w:noProof/>
                <w:webHidden/>
              </w:rPr>
              <w:fldChar w:fldCharType="separate"/>
            </w:r>
            <w:r w:rsidR="0057459B">
              <w:rPr>
                <w:noProof/>
                <w:webHidden/>
              </w:rPr>
              <w:t>6</w:t>
            </w:r>
            <w:r w:rsidR="00187B90">
              <w:rPr>
                <w:noProof/>
                <w:webHidden/>
              </w:rPr>
              <w:fldChar w:fldCharType="end"/>
            </w:r>
          </w:hyperlink>
        </w:p>
        <w:p w14:paraId="4E7B3B2D" w14:textId="36821089" w:rsidR="00187B90" w:rsidRDefault="000F5D74">
          <w:pPr>
            <w:pStyle w:val="TOC2"/>
            <w:tabs>
              <w:tab w:val="right" w:leader="dot" w:pos="9968"/>
            </w:tabs>
            <w:rPr>
              <w:noProof/>
              <w:szCs w:val="22"/>
              <w:lang w:eastAsia="en-AU"/>
            </w:rPr>
          </w:pPr>
          <w:hyperlink w:anchor="_Toc210227746" w:history="1">
            <w:r w:rsidR="00187B90" w:rsidRPr="00272B32">
              <w:rPr>
                <w:rStyle w:val="Hyperlink"/>
                <w:noProof/>
              </w:rPr>
              <w:t>Department of Foreign Affairs and Trade</w:t>
            </w:r>
            <w:r w:rsidR="00187B90">
              <w:rPr>
                <w:noProof/>
                <w:webHidden/>
              </w:rPr>
              <w:tab/>
            </w:r>
            <w:r w:rsidR="00187B90">
              <w:rPr>
                <w:noProof/>
                <w:webHidden/>
              </w:rPr>
              <w:fldChar w:fldCharType="begin"/>
            </w:r>
            <w:r w:rsidR="00187B90">
              <w:rPr>
                <w:noProof/>
                <w:webHidden/>
              </w:rPr>
              <w:instrText xml:space="preserve"> PAGEREF _Toc210227746 \h </w:instrText>
            </w:r>
            <w:r w:rsidR="00187B90">
              <w:rPr>
                <w:noProof/>
                <w:webHidden/>
              </w:rPr>
            </w:r>
            <w:r w:rsidR="00187B90">
              <w:rPr>
                <w:noProof/>
                <w:webHidden/>
              </w:rPr>
              <w:fldChar w:fldCharType="separate"/>
            </w:r>
            <w:r w:rsidR="0057459B">
              <w:rPr>
                <w:noProof/>
                <w:webHidden/>
              </w:rPr>
              <w:t>6</w:t>
            </w:r>
            <w:r w:rsidR="00187B90">
              <w:rPr>
                <w:noProof/>
                <w:webHidden/>
              </w:rPr>
              <w:fldChar w:fldCharType="end"/>
            </w:r>
          </w:hyperlink>
        </w:p>
        <w:p w14:paraId="689A1E43" w14:textId="5F6CD64A" w:rsidR="00187B90" w:rsidRDefault="000F5D74">
          <w:pPr>
            <w:pStyle w:val="TOC2"/>
            <w:tabs>
              <w:tab w:val="right" w:leader="dot" w:pos="9968"/>
            </w:tabs>
            <w:rPr>
              <w:noProof/>
              <w:szCs w:val="22"/>
              <w:lang w:eastAsia="en-AU"/>
            </w:rPr>
          </w:pPr>
          <w:hyperlink w:anchor="_Toc210227747" w:history="1">
            <w:r w:rsidR="00187B90" w:rsidRPr="00272B32">
              <w:rPr>
                <w:rStyle w:val="Hyperlink"/>
                <w:noProof/>
              </w:rPr>
              <w:t>Department of Home Affairs</w:t>
            </w:r>
            <w:r w:rsidR="00187B90">
              <w:rPr>
                <w:noProof/>
                <w:webHidden/>
              </w:rPr>
              <w:tab/>
            </w:r>
            <w:r w:rsidR="00187B90">
              <w:rPr>
                <w:noProof/>
                <w:webHidden/>
              </w:rPr>
              <w:fldChar w:fldCharType="begin"/>
            </w:r>
            <w:r w:rsidR="00187B90">
              <w:rPr>
                <w:noProof/>
                <w:webHidden/>
              </w:rPr>
              <w:instrText xml:space="preserve"> PAGEREF _Toc210227747 \h </w:instrText>
            </w:r>
            <w:r w:rsidR="00187B90">
              <w:rPr>
                <w:noProof/>
                <w:webHidden/>
              </w:rPr>
            </w:r>
            <w:r w:rsidR="00187B90">
              <w:rPr>
                <w:noProof/>
                <w:webHidden/>
              </w:rPr>
              <w:fldChar w:fldCharType="separate"/>
            </w:r>
            <w:r w:rsidR="0057459B">
              <w:rPr>
                <w:noProof/>
                <w:webHidden/>
              </w:rPr>
              <w:t>6</w:t>
            </w:r>
            <w:r w:rsidR="00187B90">
              <w:rPr>
                <w:noProof/>
                <w:webHidden/>
              </w:rPr>
              <w:fldChar w:fldCharType="end"/>
            </w:r>
          </w:hyperlink>
        </w:p>
        <w:p w14:paraId="7B87E646" w14:textId="612A95D8" w:rsidR="00187B90" w:rsidRDefault="000F5D74">
          <w:pPr>
            <w:pStyle w:val="TOC2"/>
            <w:tabs>
              <w:tab w:val="right" w:leader="dot" w:pos="9968"/>
            </w:tabs>
            <w:rPr>
              <w:noProof/>
              <w:szCs w:val="22"/>
              <w:lang w:eastAsia="en-AU"/>
            </w:rPr>
          </w:pPr>
          <w:hyperlink w:anchor="_Toc210227748" w:history="1">
            <w:r w:rsidR="00187B90" w:rsidRPr="00272B32">
              <w:rPr>
                <w:rStyle w:val="Hyperlink"/>
                <w:noProof/>
              </w:rPr>
              <w:t>Department of Industry, Science and Resources</w:t>
            </w:r>
            <w:r w:rsidR="00187B90">
              <w:rPr>
                <w:noProof/>
                <w:webHidden/>
              </w:rPr>
              <w:tab/>
            </w:r>
            <w:r w:rsidR="00187B90">
              <w:rPr>
                <w:noProof/>
                <w:webHidden/>
              </w:rPr>
              <w:fldChar w:fldCharType="begin"/>
            </w:r>
            <w:r w:rsidR="00187B90">
              <w:rPr>
                <w:noProof/>
                <w:webHidden/>
              </w:rPr>
              <w:instrText xml:space="preserve"> PAGEREF _Toc210227748 \h </w:instrText>
            </w:r>
            <w:r w:rsidR="00187B90">
              <w:rPr>
                <w:noProof/>
                <w:webHidden/>
              </w:rPr>
            </w:r>
            <w:r w:rsidR="00187B90">
              <w:rPr>
                <w:noProof/>
                <w:webHidden/>
              </w:rPr>
              <w:fldChar w:fldCharType="separate"/>
            </w:r>
            <w:r w:rsidR="0057459B">
              <w:rPr>
                <w:noProof/>
                <w:webHidden/>
              </w:rPr>
              <w:t>8</w:t>
            </w:r>
            <w:r w:rsidR="00187B90">
              <w:rPr>
                <w:noProof/>
                <w:webHidden/>
              </w:rPr>
              <w:fldChar w:fldCharType="end"/>
            </w:r>
          </w:hyperlink>
        </w:p>
        <w:p w14:paraId="279A07E3" w14:textId="58B21AC8" w:rsidR="00187B90" w:rsidRDefault="000F5D74">
          <w:pPr>
            <w:pStyle w:val="TOC2"/>
            <w:tabs>
              <w:tab w:val="right" w:leader="dot" w:pos="9968"/>
            </w:tabs>
            <w:rPr>
              <w:noProof/>
              <w:szCs w:val="22"/>
              <w:lang w:eastAsia="en-AU"/>
            </w:rPr>
          </w:pPr>
          <w:hyperlink w:anchor="_Toc210227749" w:history="1">
            <w:r w:rsidR="00187B90" w:rsidRPr="00272B32">
              <w:rPr>
                <w:rStyle w:val="Hyperlink"/>
                <w:noProof/>
              </w:rPr>
              <w:t>Department of Infrastructure and Regional Development</w:t>
            </w:r>
            <w:r w:rsidR="00187B90">
              <w:rPr>
                <w:noProof/>
                <w:webHidden/>
              </w:rPr>
              <w:tab/>
            </w:r>
            <w:r w:rsidR="00187B90">
              <w:rPr>
                <w:noProof/>
                <w:webHidden/>
              </w:rPr>
              <w:fldChar w:fldCharType="begin"/>
            </w:r>
            <w:r w:rsidR="00187B90">
              <w:rPr>
                <w:noProof/>
                <w:webHidden/>
              </w:rPr>
              <w:instrText xml:space="preserve"> PAGEREF _Toc210227749 \h </w:instrText>
            </w:r>
            <w:r w:rsidR="00187B90">
              <w:rPr>
                <w:noProof/>
                <w:webHidden/>
              </w:rPr>
            </w:r>
            <w:r w:rsidR="00187B90">
              <w:rPr>
                <w:noProof/>
                <w:webHidden/>
              </w:rPr>
              <w:fldChar w:fldCharType="separate"/>
            </w:r>
            <w:r w:rsidR="0057459B">
              <w:rPr>
                <w:noProof/>
                <w:webHidden/>
              </w:rPr>
              <w:t>8</w:t>
            </w:r>
            <w:r w:rsidR="00187B90">
              <w:rPr>
                <w:noProof/>
                <w:webHidden/>
              </w:rPr>
              <w:fldChar w:fldCharType="end"/>
            </w:r>
          </w:hyperlink>
        </w:p>
        <w:p w14:paraId="5B2D5E10" w14:textId="18FDBDEE" w:rsidR="00187B90" w:rsidRDefault="000F5D74">
          <w:pPr>
            <w:pStyle w:val="TOC2"/>
            <w:tabs>
              <w:tab w:val="right" w:leader="dot" w:pos="9968"/>
            </w:tabs>
            <w:rPr>
              <w:noProof/>
              <w:szCs w:val="22"/>
              <w:lang w:eastAsia="en-AU"/>
            </w:rPr>
          </w:pPr>
          <w:hyperlink w:anchor="_Toc210227750" w:history="1">
            <w:r w:rsidR="00187B90" w:rsidRPr="00272B32">
              <w:rPr>
                <w:rStyle w:val="Hyperlink"/>
                <w:noProof/>
              </w:rPr>
              <w:t>Department of Social Services</w:t>
            </w:r>
            <w:r w:rsidR="00187B90">
              <w:rPr>
                <w:noProof/>
                <w:webHidden/>
              </w:rPr>
              <w:tab/>
            </w:r>
            <w:r w:rsidR="00187B90">
              <w:rPr>
                <w:noProof/>
                <w:webHidden/>
              </w:rPr>
              <w:fldChar w:fldCharType="begin"/>
            </w:r>
            <w:r w:rsidR="00187B90">
              <w:rPr>
                <w:noProof/>
                <w:webHidden/>
              </w:rPr>
              <w:instrText xml:space="preserve"> PAGEREF _Toc210227750 \h </w:instrText>
            </w:r>
            <w:r w:rsidR="00187B90">
              <w:rPr>
                <w:noProof/>
                <w:webHidden/>
              </w:rPr>
            </w:r>
            <w:r w:rsidR="00187B90">
              <w:rPr>
                <w:noProof/>
                <w:webHidden/>
              </w:rPr>
              <w:fldChar w:fldCharType="separate"/>
            </w:r>
            <w:r w:rsidR="0057459B">
              <w:rPr>
                <w:noProof/>
                <w:webHidden/>
              </w:rPr>
              <w:t>8</w:t>
            </w:r>
            <w:r w:rsidR="00187B90">
              <w:rPr>
                <w:noProof/>
                <w:webHidden/>
              </w:rPr>
              <w:fldChar w:fldCharType="end"/>
            </w:r>
          </w:hyperlink>
        </w:p>
        <w:p w14:paraId="767E7A67" w14:textId="357CC1E9" w:rsidR="00187B90" w:rsidRDefault="000F5D74">
          <w:pPr>
            <w:pStyle w:val="TOC2"/>
            <w:tabs>
              <w:tab w:val="right" w:leader="dot" w:pos="9968"/>
            </w:tabs>
            <w:rPr>
              <w:noProof/>
              <w:szCs w:val="22"/>
              <w:lang w:eastAsia="en-AU"/>
            </w:rPr>
          </w:pPr>
          <w:hyperlink w:anchor="_Toc210227751" w:history="1">
            <w:r w:rsidR="00187B90" w:rsidRPr="00272B32">
              <w:rPr>
                <w:rStyle w:val="Hyperlink"/>
                <w:noProof/>
              </w:rPr>
              <w:t>Department of the Treasury</w:t>
            </w:r>
            <w:r w:rsidR="00187B90">
              <w:rPr>
                <w:noProof/>
                <w:webHidden/>
              </w:rPr>
              <w:tab/>
            </w:r>
            <w:r w:rsidR="00187B90">
              <w:rPr>
                <w:noProof/>
                <w:webHidden/>
              </w:rPr>
              <w:fldChar w:fldCharType="begin"/>
            </w:r>
            <w:r w:rsidR="00187B90">
              <w:rPr>
                <w:noProof/>
                <w:webHidden/>
              </w:rPr>
              <w:instrText xml:space="preserve"> PAGEREF _Toc210227751 \h </w:instrText>
            </w:r>
            <w:r w:rsidR="00187B90">
              <w:rPr>
                <w:noProof/>
                <w:webHidden/>
              </w:rPr>
            </w:r>
            <w:r w:rsidR="00187B90">
              <w:rPr>
                <w:noProof/>
                <w:webHidden/>
              </w:rPr>
              <w:fldChar w:fldCharType="separate"/>
            </w:r>
            <w:r w:rsidR="0057459B">
              <w:rPr>
                <w:noProof/>
                <w:webHidden/>
              </w:rPr>
              <w:t>9</w:t>
            </w:r>
            <w:r w:rsidR="00187B90">
              <w:rPr>
                <w:noProof/>
                <w:webHidden/>
              </w:rPr>
              <w:fldChar w:fldCharType="end"/>
            </w:r>
          </w:hyperlink>
        </w:p>
        <w:p w14:paraId="78EA325B" w14:textId="427AAB19" w:rsidR="0048426C" w:rsidRDefault="0060732B" w:rsidP="2F9A60E7">
          <w:pPr>
            <w:pStyle w:val="TOC2"/>
            <w:tabs>
              <w:tab w:val="right" w:leader="dot" w:pos="9960"/>
            </w:tabs>
            <w:rPr>
              <w:rStyle w:val="Hyperlink"/>
              <w:noProof/>
              <w:lang w:eastAsia="en-AU"/>
            </w:rPr>
          </w:pPr>
          <w:r>
            <w:fldChar w:fldCharType="end"/>
          </w:r>
        </w:p>
      </w:sdtContent>
    </w:sdt>
    <w:p w14:paraId="145D7CF0" w14:textId="652D2FBF" w:rsidR="00D10635" w:rsidRDefault="00D10635" w:rsidP="00E2753F">
      <w:pPr>
        <w:rPr>
          <w:b/>
          <w:bCs/>
          <w:noProof/>
        </w:rPr>
      </w:pPr>
    </w:p>
    <w:p w14:paraId="618EB6A9" w14:textId="77777777" w:rsidR="00117A77" w:rsidRPr="00D10635" w:rsidRDefault="00117A77" w:rsidP="00E2753F">
      <w:r>
        <w:rPr>
          <w:noProof/>
        </w:rPr>
        <w:br w:type="page"/>
      </w:r>
    </w:p>
    <w:p w14:paraId="3B02696E" w14:textId="77777777" w:rsidR="00774646" w:rsidRDefault="009D665B" w:rsidP="009D665B">
      <w:pPr>
        <w:pStyle w:val="Heading1"/>
        <w:rPr>
          <w:noProof/>
        </w:rPr>
      </w:pPr>
      <w:bookmarkStart w:id="3" w:name="_Toc171679576"/>
      <w:bookmarkStart w:id="4" w:name="_Toc210227739"/>
      <w:r w:rsidRPr="2F9A60E7">
        <w:rPr>
          <w:noProof/>
        </w:rPr>
        <w:lastRenderedPageBreak/>
        <w:t xml:space="preserve">PIR </w:t>
      </w:r>
      <w:r>
        <w:t>status</w:t>
      </w:r>
      <w:r w:rsidRPr="2F9A60E7">
        <w:rPr>
          <w:noProof/>
        </w:rPr>
        <w:t xml:space="preserve"> and compliance</w:t>
      </w:r>
      <w:bookmarkEnd w:id="3"/>
      <w:bookmarkEnd w:id="4"/>
    </w:p>
    <w:p w14:paraId="66937A59" w14:textId="539751A6" w:rsidR="009D665B" w:rsidRPr="00774646" w:rsidRDefault="008E487F" w:rsidP="00F910F6">
      <w:pPr>
        <w:pStyle w:val="Caption"/>
      </w:pPr>
      <w:r>
        <w:t xml:space="preserve">Table </w:t>
      </w:r>
      <w:r>
        <w:fldChar w:fldCharType="begin"/>
      </w:r>
      <w:r>
        <w:instrText xml:space="preserve"> SEQ Table \* ARABIC </w:instrText>
      </w:r>
      <w:r>
        <w:fldChar w:fldCharType="separate"/>
      </w:r>
      <w:r w:rsidR="003F5A9A">
        <w:t>1</w:t>
      </w:r>
      <w:r>
        <w:fldChar w:fldCharType="end"/>
      </w:r>
      <w:r>
        <w:t xml:space="preserve">. </w:t>
      </w:r>
      <w:r w:rsidRPr="00EE2F69">
        <w:t>PIR status and compliance</w:t>
      </w:r>
    </w:p>
    <w:tbl>
      <w:tblPr>
        <w:tblStyle w:val="ListTable4-Accent1"/>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1. PIR status and compliance"/>
        <w:tblDescription w:val="Figure 1. PIR status and compliance"/>
      </w:tblPr>
      <w:tblGrid>
        <w:gridCol w:w="2686"/>
        <w:gridCol w:w="2552"/>
        <w:gridCol w:w="2679"/>
        <w:gridCol w:w="2051"/>
      </w:tblGrid>
      <w:tr w:rsidR="00DE0914" w:rsidRPr="00017A9D" w14:paraId="74039F59" w14:textId="77777777" w:rsidTr="00A45C17">
        <w:trPr>
          <w:cnfStyle w:val="100000000000" w:firstRow="1" w:lastRow="0" w:firstColumn="0" w:lastColumn="0" w:oddVBand="0" w:evenVBand="0" w:oddHBand="0" w:evenHBand="0" w:firstRowFirstColumn="0" w:firstRowLastColumn="0" w:lastRowFirstColumn="0" w:lastRowLastColumn="0"/>
          <w:cantSplit/>
          <w:trHeight w:val="20"/>
          <w:tblHeader/>
        </w:trPr>
        <w:tc>
          <w:tcPr>
            <w:tcW w:w="1347" w:type="pct"/>
            <w:tcBorders>
              <w:top w:val="none" w:sz="0" w:space="0" w:color="auto"/>
              <w:left w:val="none" w:sz="0" w:space="0" w:color="auto"/>
              <w:bottom w:val="none" w:sz="0" w:space="0" w:color="auto"/>
            </w:tcBorders>
          </w:tcPr>
          <w:p w14:paraId="42C99CEC" w14:textId="77777777" w:rsidR="00DE0914" w:rsidRPr="00017A9D" w:rsidRDefault="00DE0914" w:rsidP="00E35D5A">
            <w:pPr>
              <w:pStyle w:val="TBLHeading"/>
            </w:pPr>
            <w:r w:rsidRPr="00017A9D">
              <w:t>PIR Status</w:t>
            </w:r>
          </w:p>
        </w:tc>
        <w:tc>
          <w:tcPr>
            <w:tcW w:w="1280" w:type="pct"/>
            <w:tcBorders>
              <w:top w:val="none" w:sz="0" w:space="0" w:color="auto"/>
              <w:bottom w:val="none" w:sz="0" w:space="0" w:color="auto"/>
            </w:tcBorders>
          </w:tcPr>
          <w:p w14:paraId="4B95D57D" w14:textId="625DC7B5" w:rsidR="00DE0914" w:rsidRPr="00010FCE" w:rsidRDefault="00010FCE" w:rsidP="00E35D5A">
            <w:pPr>
              <w:pStyle w:val="TBLHeading"/>
              <w:rPr>
                <w:vertAlign w:val="superscript"/>
              </w:rPr>
            </w:pPr>
            <w:r>
              <w:t>Required not yet due</w:t>
            </w:r>
            <w:r>
              <w:rPr>
                <w:vertAlign w:val="superscript"/>
              </w:rPr>
              <w:t>a</w:t>
            </w:r>
          </w:p>
        </w:tc>
        <w:tc>
          <w:tcPr>
            <w:tcW w:w="1344" w:type="pct"/>
            <w:tcBorders>
              <w:top w:val="none" w:sz="0" w:space="0" w:color="auto"/>
              <w:bottom w:val="none" w:sz="0" w:space="0" w:color="auto"/>
            </w:tcBorders>
          </w:tcPr>
          <w:p w14:paraId="4E2BE863" w14:textId="3E582A71" w:rsidR="00DE0914" w:rsidRPr="00017A9D" w:rsidRDefault="00010FCE" w:rsidP="00E35D5A">
            <w:pPr>
              <w:pStyle w:val="TBLHeading"/>
            </w:pPr>
            <w:r>
              <w:t>Overdue/</w:t>
            </w:r>
            <w:r w:rsidR="00DE0914" w:rsidRPr="00017A9D">
              <w:t>Non-compliant</w:t>
            </w:r>
            <w:r>
              <w:rPr>
                <w:vertAlign w:val="superscript"/>
              </w:rPr>
              <w:t>b</w:t>
            </w:r>
          </w:p>
        </w:tc>
        <w:tc>
          <w:tcPr>
            <w:tcW w:w="1029" w:type="pct"/>
            <w:tcBorders>
              <w:top w:val="none" w:sz="0" w:space="0" w:color="auto"/>
              <w:bottom w:val="none" w:sz="0" w:space="0" w:color="auto"/>
              <w:right w:val="none" w:sz="0" w:space="0" w:color="auto"/>
            </w:tcBorders>
          </w:tcPr>
          <w:p w14:paraId="057EFEDA" w14:textId="77777777" w:rsidR="00DE0914" w:rsidRPr="00017A9D" w:rsidRDefault="00DE0914" w:rsidP="00E35D5A">
            <w:pPr>
              <w:pStyle w:val="TBLHeading"/>
            </w:pPr>
            <w:r w:rsidRPr="00017A9D">
              <w:t>Total</w:t>
            </w:r>
          </w:p>
        </w:tc>
      </w:tr>
      <w:tr w:rsidR="00DE0914" w:rsidRPr="00017A9D" w14:paraId="4C4309D7" w14:textId="77777777" w:rsidTr="00A45C17">
        <w:trPr>
          <w:cantSplit/>
          <w:trHeight w:val="20"/>
        </w:trPr>
        <w:tc>
          <w:tcPr>
            <w:tcW w:w="1347" w:type="pct"/>
          </w:tcPr>
          <w:p w14:paraId="77356971" w14:textId="6DAE49C2" w:rsidR="00DE0914" w:rsidRPr="00017A9D" w:rsidRDefault="00010FCE" w:rsidP="00E35D5A">
            <w:pPr>
              <w:pStyle w:val="TBLText"/>
            </w:pPr>
            <w:r>
              <w:t>Not yet completed</w:t>
            </w:r>
          </w:p>
        </w:tc>
        <w:tc>
          <w:tcPr>
            <w:tcW w:w="1280" w:type="pct"/>
          </w:tcPr>
          <w:p w14:paraId="571B10F5" w14:textId="511832F2" w:rsidR="00DE0914" w:rsidRPr="00293234" w:rsidRDefault="00A50E71" w:rsidP="00E35D5A">
            <w:pPr>
              <w:pStyle w:val="TBLText"/>
            </w:pPr>
            <w:r>
              <w:t>1</w:t>
            </w:r>
            <w:r w:rsidR="00D00A83">
              <w:t>3</w:t>
            </w:r>
          </w:p>
        </w:tc>
        <w:tc>
          <w:tcPr>
            <w:tcW w:w="1344" w:type="pct"/>
            <w:shd w:val="clear" w:color="auto" w:fill="FFFFCC"/>
          </w:tcPr>
          <w:p w14:paraId="4466590D" w14:textId="322C9137" w:rsidR="00DE0914" w:rsidRPr="00293234" w:rsidRDefault="00A534FF" w:rsidP="00E35D5A">
            <w:pPr>
              <w:pStyle w:val="TBLText"/>
              <w:rPr>
                <w:vertAlign w:val="superscript"/>
              </w:rPr>
            </w:pPr>
            <w:r>
              <w:t>5</w:t>
            </w:r>
            <w:r w:rsidR="001937C3" w:rsidRPr="5D3ED4AD">
              <w:rPr>
                <w:vertAlign w:val="superscript"/>
              </w:rPr>
              <w:t>c</w:t>
            </w:r>
          </w:p>
        </w:tc>
        <w:tc>
          <w:tcPr>
            <w:tcW w:w="1029" w:type="pct"/>
          </w:tcPr>
          <w:p w14:paraId="25731D98" w14:textId="28674E0C" w:rsidR="00DE0914" w:rsidRPr="00293234" w:rsidRDefault="001937C3" w:rsidP="00E35D5A">
            <w:pPr>
              <w:pStyle w:val="TBLText"/>
            </w:pPr>
            <w:r w:rsidRPr="00293234">
              <w:t>1</w:t>
            </w:r>
            <w:r w:rsidR="00D00A83">
              <w:t>8</w:t>
            </w:r>
          </w:p>
        </w:tc>
      </w:tr>
    </w:tbl>
    <w:p w14:paraId="319B638D" w14:textId="32E92D2C" w:rsidR="003F6E1F" w:rsidRPr="00C91C7A" w:rsidRDefault="003F6E1F" w:rsidP="00EC1B23">
      <w:pPr>
        <w:pStyle w:val="BodyText"/>
        <w:ind w:left="0"/>
        <w:rPr>
          <w:rStyle w:val="Emphasis"/>
          <w:rFonts w:asciiTheme="minorHAnsi" w:hAnsiTheme="minorHAnsi" w:cstheme="minorHAnsi"/>
          <w:sz w:val="14"/>
        </w:rPr>
      </w:pPr>
      <w:proofErr w:type="gramStart"/>
      <w:r w:rsidRPr="00C91C7A">
        <w:rPr>
          <w:rStyle w:val="Emphasis"/>
          <w:rFonts w:asciiTheme="minorHAnsi" w:hAnsiTheme="minorHAnsi" w:cstheme="minorHAnsi"/>
          <w:sz w:val="14"/>
        </w:rPr>
        <w:t>a</w:t>
      </w:r>
      <w:proofErr w:type="gramEnd"/>
      <w:r w:rsidRPr="00C91C7A">
        <w:rPr>
          <w:rStyle w:val="Emphasis"/>
          <w:rFonts w:asciiTheme="minorHAnsi" w:hAnsiTheme="minorHAnsi" w:cstheme="minorHAnsi"/>
          <w:sz w:val="14"/>
        </w:rPr>
        <w:t xml:space="preserve"> Measures that have not yet been fully implemented remain compliant under the PIR process and are indicated throughout this document in blue.</w:t>
      </w:r>
    </w:p>
    <w:p w14:paraId="7033DCF8" w14:textId="20201AD2" w:rsidR="00DA694F" w:rsidRPr="00C91C7A" w:rsidRDefault="00010FCE" w:rsidP="00EC1B23">
      <w:pPr>
        <w:pStyle w:val="BodyText"/>
        <w:ind w:left="0"/>
        <w:rPr>
          <w:rStyle w:val="Emphasis"/>
          <w:rFonts w:asciiTheme="minorHAnsi" w:hAnsiTheme="minorHAnsi" w:cstheme="minorHAnsi"/>
          <w:sz w:val="14"/>
        </w:rPr>
      </w:pPr>
      <w:proofErr w:type="gramStart"/>
      <w:r w:rsidRPr="00C91C7A">
        <w:rPr>
          <w:rStyle w:val="Emphasis"/>
          <w:rFonts w:asciiTheme="minorHAnsi" w:hAnsiTheme="minorHAnsi" w:cstheme="minorHAnsi"/>
          <w:sz w:val="14"/>
        </w:rPr>
        <w:t>b</w:t>
      </w:r>
      <w:proofErr w:type="gramEnd"/>
      <w:r w:rsidR="00DE0914" w:rsidRPr="00C91C7A">
        <w:rPr>
          <w:rStyle w:val="Emphasis"/>
          <w:rFonts w:asciiTheme="minorHAnsi" w:hAnsiTheme="minorHAnsi" w:cstheme="minorHAnsi"/>
          <w:sz w:val="14"/>
        </w:rPr>
        <w:t xml:space="preserve"> Under the March 2020 Australian Government RIA system, non-compliant </w:t>
      </w:r>
      <w:r w:rsidR="001937C3" w:rsidRPr="00C91C7A">
        <w:rPr>
          <w:rStyle w:val="Emphasis"/>
          <w:rFonts w:asciiTheme="minorHAnsi" w:hAnsiTheme="minorHAnsi" w:cstheme="minorHAnsi"/>
          <w:sz w:val="14"/>
        </w:rPr>
        <w:t xml:space="preserve">IAs </w:t>
      </w:r>
      <w:r w:rsidR="00DE0914" w:rsidRPr="00C91C7A">
        <w:rPr>
          <w:rStyle w:val="Emphasis"/>
          <w:rFonts w:asciiTheme="minorHAnsi" w:hAnsiTheme="minorHAnsi" w:cstheme="minorHAnsi"/>
          <w:sz w:val="14"/>
        </w:rPr>
        <w:t>are</w:t>
      </w:r>
      <w:r w:rsidR="00017A9D" w:rsidRPr="00C91C7A">
        <w:rPr>
          <w:rStyle w:val="Emphasis"/>
          <w:rFonts w:asciiTheme="minorHAnsi" w:hAnsiTheme="minorHAnsi" w:cstheme="minorHAnsi"/>
          <w:sz w:val="14"/>
        </w:rPr>
        <w:t xml:space="preserve"> referred to as ‘insufficient’. </w:t>
      </w:r>
      <w:r w:rsidR="00DE0914" w:rsidRPr="00C91C7A">
        <w:rPr>
          <w:rStyle w:val="Emphasis"/>
          <w:rFonts w:asciiTheme="minorHAnsi" w:hAnsiTheme="minorHAnsi" w:cstheme="minorHAnsi"/>
          <w:sz w:val="14"/>
        </w:rPr>
        <w:t xml:space="preserve">These insufficient </w:t>
      </w:r>
      <w:r w:rsidR="001937C3" w:rsidRPr="00C91C7A">
        <w:rPr>
          <w:rStyle w:val="Emphasis"/>
          <w:rFonts w:asciiTheme="minorHAnsi" w:hAnsiTheme="minorHAnsi" w:cstheme="minorHAnsi"/>
          <w:sz w:val="14"/>
        </w:rPr>
        <w:t xml:space="preserve">IAs </w:t>
      </w:r>
      <w:r w:rsidR="00DE0914" w:rsidRPr="00C91C7A">
        <w:rPr>
          <w:rStyle w:val="Emphasis"/>
          <w:rFonts w:asciiTheme="minorHAnsi" w:hAnsiTheme="minorHAnsi" w:cstheme="minorHAnsi"/>
          <w:sz w:val="14"/>
        </w:rPr>
        <w:t>are included in the non-compliant tally.</w:t>
      </w:r>
      <w:r w:rsidR="00017A9D" w:rsidRPr="00C91C7A">
        <w:rPr>
          <w:rStyle w:val="Emphasis"/>
          <w:rFonts w:asciiTheme="minorHAnsi" w:hAnsiTheme="minorHAnsi" w:cstheme="minorHAnsi"/>
          <w:sz w:val="14"/>
        </w:rPr>
        <w:t xml:space="preserve"> </w:t>
      </w:r>
    </w:p>
    <w:p w14:paraId="638BECDC" w14:textId="5F485235" w:rsidR="00017A9D" w:rsidRPr="00017A9D" w:rsidRDefault="00DA694F" w:rsidP="00EC1B23">
      <w:pPr>
        <w:pStyle w:val="BodyText"/>
        <w:ind w:left="0"/>
        <w:rPr>
          <w:rStyle w:val="Emphasis"/>
          <w:sz w:val="14"/>
        </w:rPr>
      </w:pPr>
      <w:proofErr w:type="gramStart"/>
      <w:r w:rsidRPr="00C91C7A">
        <w:rPr>
          <w:rStyle w:val="Emphasis"/>
          <w:rFonts w:asciiTheme="minorHAnsi" w:hAnsiTheme="minorHAnsi" w:cstheme="minorHAnsi"/>
          <w:sz w:val="14"/>
        </w:rPr>
        <w:t>c</w:t>
      </w:r>
      <w:proofErr w:type="gramEnd"/>
      <w:r w:rsidRPr="00C91C7A">
        <w:rPr>
          <w:rStyle w:val="Emphasis"/>
          <w:rFonts w:asciiTheme="minorHAnsi" w:hAnsiTheme="minorHAnsi" w:cstheme="minorHAnsi"/>
          <w:sz w:val="14"/>
        </w:rPr>
        <w:t xml:space="preserve"> </w:t>
      </w:r>
      <w:r w:rsidRPr="00C91C7A">
        <w:rPr>
          <w:rFonts w:asciiTheme="minorHAnsi" w:hAnsiTheme="minorHAnsi" w:cstheme="minorHAnsi"/>
          <w:i w:val="0"/>
          <w:iCs/>
          <w:sz w:val="14"/>
          <w:lang w:val="en-AU"/>
        </w:rPr>
        <w:t>Measures that have been implemented but are non-compliant under the PIR process are indicated throughout this document in yellow.</w:t>
      </w:r>
    </w:p>
    <w:p w14:paraId="13F1E2CB" w14:textId="04AC80EE" w:rsidR="00DE0914" w:rsidRPr="004E7EE5" w:rsidRDefault="00DE0914" w:rsidP="00B93243">
      <w:pPr>
        <w:pStyle w:val="BodyText"/>
        <w:spacing w:line="242" w:lineRule="auto"/>
        <w:ind w:left="0" w:right="1176"/>
        <w:rPr>
          <w:rStyle w:val="Emphasis"/>
          <w:sz w:val="14"/>
        </w:rPr>
      </w:pPr>
    </w:p>
    <w:p w14:paraId="41965193" w14:textId="77777777" w:rsidR="009D665B" w:rsidRPr="00E92551" w:rsidRDefault="009D665B" w:rsidP="009D665B">
      <w:pPr>
        <w:pStyle w:val="Heading1"/>
        <w:rPr>
          <w:noProof/>
        </w:rPr>
      </w:pPr>
      <w:bookmarkStart w:id="5" w:name="_Toc171679577"/>
      <w:bookmarkStart w:id="6" w:name="_Toc210227740"/>
      <w:r w:rsidRPr="2F9A60E7">
        <w:rPr>
          <w:noProof/>
        </w:rPr>
        <w:t xml:space="preserve">PIRs </w:t>
      </w:r>
      <w:r w:rsidR="00DF7E63" w:rsidRPr="2F9A60E7">
        <w:rPr>
          <w:noProof/>
        </w:rPr>
        <w:t>Required</w:t>
      </w:r>
      <w:bookmarkEnd w:id="5"/>
      <w:bookmarkEnd w:id="6"/>
    </w:p>
    <w:p w14:paraId="3EC44759" w14:textId="77777777" w:rsidR="00117A77" w:rsidRDefault="009D665B" w:rsidP="00117A77">
      <w:pPr>
        <w:pStyle w:val="Heading2"/>
      </w:pPr>
      <w:bookmarkStart w:id="7" w:name="_Toc171679578"/>
      <w:bookmarkStart w:id="8" w:name="_Toc210227741"/>
      <w:r>
        <w:t>Attorney-General’s Department</w:t>
      </w:r>
      <w:bookmarkEnd w:id="7"/>
      <w:bookmarkEnd w:id="8"/>
    </w:p>
    <w:p w14:paraId="0AF1FE19" w14:textId="76C26393" w:rsidR="00374D2A" w:rsidRPr="00774646" w:rsidRDefault="001E7D56" w:rsidP="002617B8">
      <w:pPr>
        <w:pStyle w:val="Figure"/>
        <w:numPr>
          <w:ilvl w:val="0"/>
          <w:numId w:val="0"/>
        </w:numPr>
      </w:pPr>
      <w:r>
        <w:t xml:space="preserve">Table </w:t>
      </w:r>
      <w:r>
        <w:fldChar w:fldCharType="begin"/>
      </w:r>
      <w:r>
        <w:instrText xml:space="preserve"> SEQ Table \* ARABIC </w:instrText>
      </w:r>
      <w:r>
        <w:fldChar w:fldCharType="separate"/>
      </w:r>
      <w:r w:rsidR="003F5A9A">
        <w:t>2</w:t>
      </w:r>
      <w:r>
        <w:fldChar w:fldCharType="end"/>
      </w:r>
      <w:r>
        <w:t xml:space="preserve">. </w:t>
      </w:r>
      <w:r w:rsidRPr="00EC42E8">
        <w:t>Attorney-General’s Department</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2. Attorney-General’s Department"/>
        <w:tblDescription w:val="Figure 2. Attorney-General’s Department"/>
      </w:tblPr>
      <w:tblGrid>
        <w:gridCol w:w="2934"/>
        <w:gridCol w:w="1758"/>
        <w:gridCol w:w="2057"/>
        <w:gridCol w:w="1762"/>
        <w:gridCol w:w="1457"/>
      </w:tblGrid>
      <w:tr w:rsidR="00374D2A" w14:paraId="0B1ACDC7" w14:textId="77777777" w:rsidTr="00A45C17">
        <w:trPr>
          <w:cnfStyle w:val="100000000000" w:firstRow="1" w:lastRow="0" w:firstColumn="0" w:lastColumn="0" w:oddVBand="0" w:evenVBand="0" w:oddHBand="0" w:evenHBand="0" w:firstRowFirstColumn="0" w:firstRowLastColumn="0" w:lastRowFirstColumn="0" w:lastRowLastColumn="0"/>
          <w:cantSplit/>
          <w:trHeight w:val="20"/>
          <w:tblHeader/>
        </w:trPr>
        <w:tc>
          <w:tcPr>
            <w:tcW w:w="1471" w:type="pct"/>
            <w:tcBorders>
              <w:top w:val="none" w:sz="0" w:space="0" w:color="auto"/>
              <w:left w:val="none" w:sz="0" w:space="0" w:color="auto"/>
              <w:bottom w:val="none" w:sz="0" w:space="0" w:color="auto"/>
            </w:tcBorders>
          </w:tcPr>
          <w:p w14:paraId="00ADB39E" w14:textId="77777777" w:rsidR="004E7EE5" w:rsidRDefault="004E7EE5" w:rsidP="004E7EE5">
            <w:pPr>
              <w:pStyle w:val="TBLHeading"/>
            </w:pPr>
            <w:r>
              <w:t>Title of regulatory proposal</w:t>
            </w:r>
          </w:p>
          <w:p w14:paraId="22D06029" w14:textId="77777777" w:rsidR="00374D2A" w:rsidRPr="006E170D" w:rsidRDefault="004E7EE5" w:rsidP="004E7EE5">
            <w:pPr>
              <w:pStyle w:val="TBLHeading"/>
            </w:pPr>
            <w:r>
              <w:t>Description of regulatory proposal</w:t>
            </w:r>
          </w:p>
        </w:tc>
        <w:tc>
          <w:tcPr>
            <w:tcW w:w="882" w:type="pct"/>
            <w:tcBorders>
              <w:top w:val="none" w:sz="0" w:space="0" w:color="auto"/>
              <w:bottom w:val="none" w:sz="0" w:space="0" w:color="auto"/>
            </w:tcBorders>
          </w:tcPr>
          <w:p w14:paraId="2F05BB5F" w14:textId="77777777" w:rsidR="004E7EE5" w:rsidRDefault="004E7EE5" w:rsidP="00037513">
            <w:pPr>
              <w:pStyle w:val="TBLHeading"/>
            </w:pPr>
            <w:r>
              <w:t xml:space="preserve">Reason </w:t>
            </w:r>
          </w:p>
          <w:p w14:paraId="09F1EC84" w14:textId="77777777" w:rsidR="00374D2A" w:rsidRPr="006E170D" w:rsidRDefault="004E7EE5" w:rsidP="00037513">
            <w:pPr>
              <w:pStyle w:val="TBLHeading"/>
            </w:pPr>
            <w:r>
              <w:t>for PIR</w:t>
            </w:r>
          </w:p>
        </w:tc>
        <w:tc>
          <w:tcPr>
            <w:tcW w:w="1032" w:type="pct"/>
            <w:tcBorders>
              <w:top w:val="none" w:sz="0" w:space="0" w:color="auto"/>
              <w:bottom w:val="none" w:sz="0" w:space="0" w:color="auto"/>
            </w:tcBorders>
          </w:tcPr>
          <w:p w14:paraId="210B3A3E" w14:textId="77777777" w:rsidR="00374D2A" w:rsidRDefault="004E7EE5" w:rsidP="00037513">
            <w:pPr>
              <w:pStyle w:val="TBLHeading"/>
            </w:pPr>
            <w:r>
              <w:t xml:space="preserve">Implementation </w:t>
            </w:r>
          </w:p>
          <w:p w14:paraId="46C613C8" w14:textId="77777777" w:rsidR="004E7EE5" w:rsidRPr="006E170D" w:rsidRDefault="004E7EE5" w:rsidP="00037513">
            <w:pPr>
              <w:pStyle w:val="TBLHeading"/>
            </w:pPr>
            <w:r>
              <w:t>date</w:t>
            </w:r>
          </w:p>
        </w:tc>
        <w:tc>
          <w:tcPr>
            <w:tcW w:w="884" w:type="pct"/>
            <w:tcBorders>
              <w:top w:val="none" w:sz="0" w:space="0" w:color="auto"/>
              <w:bottom w:val="none" w:sz="0" w:space="0" w:color="auto"/>
            </w:tcBorders>
          </w:tcPr>
          <w:p w14:paraId="37F1CB24" w14:textId="77777777" w:rsidR="00374D2A" w:rsidRPr="006E170D" w:rsidRDefault="004E7EE5" w:rsidP="00037513">
            <w:pPr>
              <w:pStyle w:val="TBLHeading"/>
            </w:pPr>
            <w:r>
              <w:t>Due date</w:t>
            </w:r>
          </w:p>
        </w:tc>
        <w:tc>
          <w:tcPr>
            <w:tcW w:w="731" w:type="pct"/>
            <w:tcBorders>
              <w:top w:val="none" w:sz="0" w:space="0" w:color="auto"/>
              <w:bottom w:val="none" w:sz="0" w:space="0" w:color="auto"/>
              <w:right w:val="none" w:sz="0" w:space="0" w:color="auto"/>
            </w:tcBorders>
          </w:tcPr>
          <w:p w14:paraId="520B0064" w14:textId="77777777" w:rsidR="00374D2A" w:rsidRPr="006E170D" w:rsidRDefault="004E7EE5" w:rsidP="00037513">
            <w:pPr>
              <w:pStyle w:val="TBLHeading"/>
            </w:pPr>
            <w:r>
              <w:t>PIR compliance</w:t>
            </w:r>
          </w:p>
        </w:tc>
      </w:tr>
      <w:tr w:rsidR="00374D2A" w14:paraId="2CE51C4A" w14:textId="77777777" w:rsidTr="00A45C17">
        <w:trPr>
          <w:cantSplit/>
          <w:trHeight w:val="20"/>
        </w:trPr>
        <w:tc>
          <w:tcPr>
            <w:tcW w:w="1471" w:type="pct"/>
            <w:shd w:val="clear" w:color="auto" w:fill="FFFFCC"/>
          </w:tcPr>
          <w:p w14:paraId="1E550FC8" w14:textId="77777777" w:rsidR="00374D2A" w:rsidRPr="004E7EE5" w:rsidRDefault="004E7EE5" w:rsidP="004E7EE5">
            <w:pPr>
              <w:pStyle w:val="TBLText"/>
              <w:rPr>
                <w:b/>
              </w:rPr>
            </w:pPr>
            <w:r w:rsidRPr="004E7EE5">
              <w:rPr>
                <w:b/>
              </w:rPr>
              <w:t>Sharing</w:t>
            </w:r>
            <w:r w:rsidRPr="004E7EE5">
              <w:rPr>
                <w:b/>
                <w:spacing w:val="-14"/>
              </w:rPr>
              <w:t xml:space="preserve"> </w:t>
            </w:r>
            <w:r w:rsidRPr="004E7EE5">
              <w:rPr>
                <w:b/>
                <w:spacing w:val="-3"/>
              </w:rPr>
              <w:t>of</w:t>
            </w:r>
            <w:r w:rsidRPr="004E7EE5">
              <w:rPr>
                <w:b/>
                <w:spacing w:val="-12"/>
              </w:rPr>
              <w:t xml:space="preserve"> </w:t>
            </w:r>
            <w:r w:rsidRPr="004E7EE5">
              <w:rPr>
                <w:b/>
              </w:rPr>
              <w:t>Abhorrent</w:t>
            </w:r>
            <w:r w:rsidRPr="004E7EE5">
              <w:rPr>
                <w:b/>
                <w:spacing w:val="-12"/>
              </w:rPr>
              <w:t xml:space="preserve"> </w:t>
            </w:r>
            <w:r w:rsidRPr="004E7EE5">
              <w:rPr>
                <w:b/>
              </w:rPr>
              <w:t>Violent</w:t>
            </w:r>
            <w:r w:rsidRPr="004E7EE5">
              <w:rPr>
                <w:b/>
                <w:spacing w:val="-12"/>
              </w:rPr>
              <w:t xml:space="preserve"> </w:t>
            </w:r>
            <w:r w:rsidRPr="004E7EE5">
              <w:rPr>
                <w:b/>
              </w:rPr>
              <w:t>Material</w:t>
            </w:r>
          </w:p>
          <w:p w14:paraId="404B1FE2" w14:textId="329765E1" w:rsidR="004E7EE5" w:rsidRPr="006E170D" w:rsidRDefault="004E7EE5" w:rsidP="004E7EE5">
            <w:pPr>
              <w:pStyle w:val="TBLText"/>
            </w:pPr>
            <w:r>
              <w:t>Place</w:t>
            </w:r>
            <w:r>
              <w:rPr>
                <w:spacing w:val="-2"/>
              </w:rPr>
              <w:t xml:space="preserve"> </w:t>
            </w:r>
            <w:r>
              <w:rPr>
                <w:spacing w:val="-1"/>
              </w:rPr>
              <w:t>obligations</w:t>
            </w:r>
            <w:r>
              <w:rPr>
                <w:spacing w:val="1"/>
              </w:rPr>
              <w:t xml:space="preserve"> </w:t>
            </w:r>
            <w:r>
              <w:rPr>
                <w:spacing w:val="-1"/>
              </w:rPr>
              <w:t>on</w:t>
            </w:r>
            <w:r>
              <w:rPr>
                <w:spacing w:val="2"/>
              </w:rPr>
              <w:t xml:space="preserve"> </w:t>
            </w:r>
            <w:r>
              <w:rPr>
                <w:spacing w:val="-1"/>
              </w:rPr>
              <w:t>internet</w:t>
            </w:r>
            <w:r>
              <w:rPr>
                <w:spacing w:val="1"/>
              </w:rPr>
              <w:t xml:space="preserve"> </w:t>
            </w:r>
            <w:r>
              <w:rPr>
                <w:spacing w:val="-1"/>
              </w:rPr>
              <w:t>service</w:t>
            </w:r>
            <w:r>
              <w:t xml:space="preserve"> </w:t>
            </w:r>
            <w:r>
              <w:rPr>
                <w:spacing w:val="-1"/>
              </w:rPr>
              <w:t>providers,</w:t>
            </w:r>
            <w:r>
              <w:rPr>
                <w:spacing w:val="2"/>
              </w:rPr>
              <w:t xml:space="preserve"> </w:t>
            </w:r>
            <w:r>
              <w:rPr>
                <w:spacing w:val="-1"/>
              </w:rPr>
              <w:t>hosting</w:t>
            </w:r>
            <w:r>
              <w:rPr>
                <w:spacing w:val="45"/>
              </w:rPr>
              <w:t xml:space="preserve"> </w:t>
            </w:r>
            <w:r>
              <w:t>service</w:t>
            </w:r>
            <w:r>
              <w:rPr>
                <w:spacing w:val="-2"/>
              </w:rPr>
              <w:t xml:space="preserve"> </w:t>
            </w:r>
            <w:r>
              <w:rPr>
                <w:spacing w:val="-1"/>
              </w:rPr>
              <w:t xml:space="preserve">providers </w:t>
            </w:r>
            <w:r>
              <w:t xml:space="preserve">and </w:t>
            </w:r>
            <w:r>
              <w:rPr>
                <w:spacing w:val="-1"/>
              </w:rPr>
              <w:t>content</w:t>
            </w:r>
            <w:r>
              <w:rPr>
                <w:spacing w:val="-2"/>
              </w:rPr>
              <w:t xml:space="preserve"> </w:t>
            </w:r>
            <w:r>
              <w:t xml:space="preserve">service </w:t>
            </w:r>
            <w:r>
              <w:rPr>
                <w:spacing w:val="-1"/>
              </w:rPr>
              <w:t>providers</w:t>
            </w:r>
            <w:r>
              <w:rPr>
                <w:spacing w:val="1"/>
              </w:rPr>
              <w:t xml:space="preserve"> </w:t>
            </w:r>
            <w:r>
              <w:rPr>
                <w:spacing w:val="-1"/>
              </w:rPr>
              <w:t>to</w:t>
            </w:r>
            <w:r>
              <w:rPr>
                <w:spacing w:val="33"/>
              </w:rPr>
              <w:t xml:space="preserve"> </w:t>
            </w:r>
            <w:r>
              <w:rPr>
                <w:spacing w:val="-1"/>
              </w:rPr>
              <w:t>proactively</w:t>
            </w:r>
            <w:r>
              <w:rPr>
                <w:spacing w:val="-2"/>
              </w:rPr>
              <w:t xml:space="preserve"> </w:t>
            </w:r>
            <w:r>
              <w:t>refer</w:t>
            </w:r>
            <w:r>
              <w:rPr>
                <w:spacing w:val="-3"/>
              </w:rPr>
              <w:t xml:space="preserve"> </w:t>
            </w:r>
            <w:r>
              <w:rPr>
                <w:spacing w:val="-1"/>
              </w:rPr>
              <w:t>abhorrent</w:t>
            </w:r>
            <w:r>
              <w:t xml:space="preserve"> </w:t>
            </w:r>
            <w:r>
              <w:rPr>
                <w:spacing w:val="-1"/>
              </w:rPr>
              <w:t>violent</w:t>
            </w:r>
            <w:r>
              <w:t xml:space="preserve"> </w:t>
            </w:r>
            <w:r>
              <w:rPr>
                <w:spacing w:val="-1"/>
              </w:rPr>
              <w:t>material</w:t>
            </w:r>
            <w:r>
              <w:t xml:space="preserve"> </w:t>
            </w:r>
            <w:r>
              <w:rPr>
                <w:spacing w:val="-1"/>
              </w:rPr>
              <w:t>to</w:t>
            </w:r>
            <w:r>
              <w:t xml:space="preserve"> </w:t>
            </w:r>
            <w:r>
              <w:rPr>
                <w:spacing w:val="-1"/>
              </w:rPr>
              <w:t>law</w:t>
            </w:r>
            <w:r>
              <w:rPr>
                <w:spacing w:val="41"/>
              </w:rPr>
              <w:t xml:space="preserve"> </w:t>
            </w:r>
            <w:r>
              <w:rPr>
                <w:spacing w:val="-1"/>
              </w:rPr>
              <w:t>enforcement,</w:t>
            </w:r>
            <w:r>
              <w:rPr>
                <w:spacing w:val="-2"/>
              </w:rPr>
              <w:t xml:space="preserve"> </w:t>
            </w:r>
            <w:r>
              <w:t xml:space="preserve">and on </w:t>
            </w:r>
            <w:r>
              <w:rPr>
                <w:spacing w:val="-1"/>
              </w:rPr>
              <w:t>hosting</w:t>
            </w:r>
            <w:r>
              <w:rPr>
                <w:spacing w:val="-2"/>
              </w:rPr>
              <w:t xml:space="preserve"> </w:t>
            </w:r>
            <w:r>
              <w:rPr>
                <w:spacing w:val="-1"/>
              </w:rPr>
              <w:t>service</w:t>
            </w:r>
            <w:r>
              <w:t xml:space="preserve"> </w:t>
            </w:r>
            <w:r>
              <w:rPr>
                <w:spacing w:val="-1"/>
              </w:rPr>
              <w:t>providers</w:t>
            </w:r>
            <w:r>
              <w:rPr>
                <w:spacing w:val="1"/>
              </w:rPr>
              <w:t xml:space="preserve"> </w:t>
            </w:r>
            <w:r>
              <w:rPr>
                <w:spacing w:val="-1"/>
              </w:rPr>
              <w:t>and</w:t>
            </w:r>
            <w:r>
              <w:rPr>
                <w:spacing w:val="37"/>
              </w:rPr>
              <w:t xml:space="preserve"> </w:t>
            </w:r>
            <w:r>
              <w:rPr>
                <w:spacing w:val="-1"/>
              </w:rPr>
              <w:t>content</w:t>
            </w:r>
            <w:r>
              <w:rPr>
                <w:spacing w:val="-2"/>
              </w:rPr>
              <w:t xml:space="preserve"> </w:t>
            </w:r>
            <w:r>
              <w:rPr>
                <w:spacing w:val="-1"/>
              </w:rPr>
              <w:t>service</w:t>
            </w:r>
            <w:r>
              <w:t xml:space="preserve"> </w:t>
            </w:r>
            <w:r>
              <w:rPr>
                <w:spacing w:val="-1"/>
              </w:rPr>
              <w:t xml:space="preserve">providers </w:t>
            </w:r>
            <w:r>
              <w:t>to</w:t>
            </w:r>
            <w:r>
              <w:rPr>
                <w:spacing w:val="4"/>
              </w:rPr>
              <w:t xml:space="preserve"> </w:t>
            </w:r>
            <w:r>
              <w:rPr>
                <w:spacing w:val="-1"/>
              </w:rPr>
              <w:t>expeditiously</w:t>
            </w:r>
            <w:r>
              <w:rPr>
                <w:spacing w:val="-2"/>
              </w:rPr>
              <w:t xml:space="preserve"> </w:t>
            </w:r>
            <w:r>
              <w:rPr>
                <w:spacing w:val="-1"/>
              </w:rPr>
              <w:t>remove</w:t>
            </w:r>
            <w:r>
              <w:t xml:space="preserve"> it or</w:t>
            </w:r>
            <w:r w:rsidR="00AE7DE1">
              <w:rPr>
                <w:spacing w:val="51"/>
              </w:rPr>
              <w:t xml:space="preserve"> </w:t>
            </w:r>
            <w:r>
              <w:t xml:space="preserve">cease </w:t>
            </w:r>
            <w:r>
              <w:rPr>
                <w:spacing w:val="-1"/>
              </w:rPr>
              <w:t>hosting</w:t>
            </w:r>
            <w:r>
              <w:rPr>
                <w:spacing w:val="-2"/>
              </w:rPr>
              <w:t xml:space="preserve"> </w:t>
            </w:r>
            <w:r>
              <w:t>it if</w:t>
            </w:r>
            <w:r>
              <w:rPr>
                <w:spacing w:val="-1"/>
              </w:rPr>
              <w:t xml:space="preserve"> </w:t>
            </w:r>
            <w:r>
              <w:t>it</w:t>
            </w:r>
            <w:r>
              <w:rPr>
                <w:spacing w:val="-2"/>
              </w:rPr>
              <w:t xml:space="preserve"> </w:t>
            </w:r>
            <w:r>
              <w:t>is</w:t>
            </w:r>
            <w:r>
              <w:rPr>
                <w:spacing w:val="1"/>
              </w:rPr>
              <w:t xml:space="preserve"> </w:t>
            </w:r>
            <w:r>
              <w:rPr>
                <w:spacing w:val="-1"/>
              </w:rPr>
              <w:t>reasonably</w:t>
            </w:r>
            <w:r>
              <w:rPr>
                <w:spacing w:val="-2"/>
              </w:rPr>
              <w:t xml:space="preserve"> </w:t>
            </w:r>
            <w:r>
              <w:rPr>
                <w:spacing w:val="-1"/>
              </w:rPr>
              <w:t>capable</w:t>
            </w:r>
            <w:r>
              <w:t xml:space="preserve"> of</w:t>
            </w:r>
            <w:r>
              <w:rPr>
                <w:spacing w:val="-2"/>
              </w:rPr>
              <w:t xml:space="preserve"> </w:t>
            </w:r>
            <w:r>
              <w:rPr>
                <w:spacing w:val="-1"/>
              </w:rPr>
              <w:t>being</w:t>
            </w:r>
            <w:r>
              <w:rPr>
                <w:spacing w:val="31"/>
              </w:rPr>
              <w:t xml:space="preserve"> </w:t>
            </w:r>
            <w:r>
              <w:rPr>
                <w:spacing w:val="-1"/>
              </w:rPr>
              <w:t>accessed</w:t>
            </w:r>
            <w:r>
              <w:t xml:space="preserve"> </w:t>
            </w:r>
            <w:r>
              <w:rPr>
                <w:spacing w:val="-1"/>
              </w:rPr>
              <w:t>within</w:t>
            </w:r>
            <w:r>
              <w:t xml:space="preserve"> </w:t>
            </w:r>
            <w:r>
              <w:rPr>
                <w:spacing w:val="-1"/>
              </w:rPr>
              <w:t>Australia.</w:t>
            </w:r>
          </w:p>
        </w:tc>
        <w:tc>
          <w:tcPr>
            <w:tcW w:w="882" w:type="pct"/>
            <w:shd w:val="clear" w:color="auto" w:fill="FFFFCC"/>
          </w:tcPr>
          <w:p w14:paraId="1D12EBBC" w14:textId="6AB33CDB" w:rsidR="00374D2A" w:rsidRPr="004E7EE5" w:rsidRDefault="004E7EE5" w:rsidP="0097695B">
            <w:pPr>
              <w:pStyle w:val="TBLText"/>
            </w:pPr>
            <w:r w:rsidRPr="004E7EE5">
              <w:t>E/c</w:t>
            </w:r>
          </w:p>
        </w:tc>
        <w:tc>
          <w:tcPr>
            <w:tcW w:w="1032" w:type="pct"/>
            <w:shd w:val="clear" w:color="auto" w:fill="FFFFCC"/>
          </w:tcPr>
          <w:p w14:paraId="79EA3B79" w14:textId="77777777" w:rsidR="00374D2A" w:rsidRPr="004E7EE5" w:rsidRDefault="004E7EE5" w:rsidP="007A4F1B">
            <w:pPr>
              <w:pStyle w:val="TBLText"/>
            </w:pPr>
            <w:r w:rsidRPr="004E7EE5">
              <w:t>Apr 2019</w:t>
            </w:r>
          </w:p>
        </w:tc>
        <w:tc>
          <w:tcPr>
            <w:tcW w:w="884" w:type="pct"/>
            <w:shd w:val="clear" w:color="auto" w:fill="FFFFCC"/>
          </w:tcPr>
          <w:p w14:paraId="29F8894B" w14:textId="77777777" w:rsidR="00374D2A" w:rsidRPr="004E7EE5" w:rsidRDefault="004E7EE5" w:rsidP="007A4F1B">
            <w:pPr>
              <w:pStyle w:val="TBLText"/>
            </w:pPr>
            <w:r w:rsidRPr="004E7EE5">
              <w:t>Apr 2021</w:t>
            </w:r>
          </w:p>
        </w:tc>
        <w:tc>
          <w:tcPr>
            <w:tcW w:w="731" w:type="pct"/>
            <w:shd w:val="clear" w:color="auto" w:fill="FFFFCC"/>
          </w:tcPr>
          <w:p w14:paraId="3EB7D14C" w14:textId="77777777" w:rsidR="00374D2A" w:rsidRPr="004E7EE5" w:rsidRDefault="004E7EE5" w:rsidP="004E7EE5">
            <w:pPr>
              <w:pStyle w:val="TBLText"/>
            </w:pPr>
            <w:r w:rsidRPr="004E7EE5">
              <w:t>Non-compliant</w:t>
            </w:r>
          </w:p>
        </w:tc>
      </w:tr>
    </w:tbl>
    <w:p w14:paraId="6C7B07E4" w14:textId="1256C708" w:rsidR="004E7EE5" w:rsidRPr="001F7D29" w:rsidRDefault="00CA0A64" w:rsidP="004E7EE5">
      <w:pPr>
        <w:pStyle w:val="BodyText"/>
        <w:spacing w:before="80" w:line="392" w:lineRule="auto"/>
        <w:ind w:left="0" w:right="2669"/>
        <w:rPr>
          <w:rStyle w:val="Emphasis"/>
          <w:sz w:val="14"/>
        </w:rPr>
      </w:pPr>
      <w:r w:rsidRPr="00487D8E">
        <w:rPr>
          <w:rStyle w:val="Emphasis"/>
          <w:rFonts w:asciiTheme="minorHAnsi" w:hAnsiTheme="minorHAnsi" w:cstheme="minorHAnsi"/>
          <w:sz w:val="14"/>
        </w:rPr>
        <w:t>E/c Exceptional circumstances were granted by the Prime Minister.</w:t>
      </w:r>
    </w:p>
    <w:p w14:paraId="02F5D3E5" w14:textId="77777777" w:rsidR="00BE67F5" w:rsidRDefault="00BE67F5">
      <w:pPr>
        <w:spacing w:after="200"/>
        <w:rPr>
          <w:rFonts w:asciiTheme="majorHAnsi" w:eastAsiaTheme="majorEastAsia" w:hAnsiTheme="majorHAnsi" w:cstheme="majorBidi"/>
          <w:color w:val="1B375C" w:themeColor="accent1"/>
          <w:sz w:val="32"/>
          <w:szCs w:val="28"/>
        </w:rPr>
      </w:pPr>
      <w:r>
        <w:br w:type="page"/>
      </w:r>
    </w:p>
    <w:p w14:paraId="318D5D7F" w14:textId="41F584D6" w:rsidR="00D30A7C" w:rsidRDefault="00D30A7C" w:rsidP="004630E1">
      <w:pPr>
        <w:pStyle w:val="Heading2"/>
      </w:pPr>
      <w:bookmarkStart w:id="9" w:name="_Toc171679579"/>
      <w:bookmarkStart w:id="10" w:name="_Toc210227742"/>
      <w:r>
        <w:lastRenderedPageBreak/>
        <w:t>Department of Agriculture, Water and the Environment</w:t>
      </w:r>
      <w:bookmarkEnd w:id="9"/>
      <w:bookmarkEnd w:id="10"/>
    </w:p>
    <w:p w14:paraId="1748AB5A" w14:textId="3175F813" w:rsidR="00141AA6" w:rsidRPr="00774646" w:rsidRDefault="003F5A9A">
      <w:pPr>
        <w:pStyle w:val="Figure"/>
        <w:numPr>
          <w:ilvl w:val="0"/>
          <w:numId w:val="0"/>
        </w:numPr>
        <w:spacing w:before="0" w:after="0"/>
      </w:pPr>
      <w:r>
        <w:t xml:space="preserve">Table </w:t>
      </w:r>
      <w:r>
        <w:fldChar w:fldCharType="begin"/>
      </w:r>
      <w:r>
        <w:instrText xml:space="preserve"> SEQ Table \* ARABIC </w:instrText>
      </w:r>
      <w:r>
        <w:fldChar w:fldCharType="separate"/>
      </w:r>
      <w:r>
        <w:t>3</w:t>
      </w:r>
      <w:r>
        <w:fldChar w:fldCharType="end"/>
      </w:r>
      <w:r>
        <w:t xml:space="preserve">. </w:t>
      </w:r>
      <w:r w:rsidRPr="009869CA">
        <w:t>Department of Agriculture, Water and the Environment</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3. Department of Agriculture, Water and the Environment"/>
        <w:tblDescription w:val="Figure 3. Department of Agriculture, Water and the Environment"/>
      </w:tblPr>
      <w:tblGrid>
        <w:gridCol w:w="2934"/>
        <w:gridCol w:w="1760"/>
        <w:gridCol w:w="2055"/>
        <w:gridCol w:w="1760"/>
        <w:gridCol w:w="1459"/>
      </w:tblGrid>
      <w:tr w:rsidR="00D30A7C" w14:paraId="23AA1EFF" w14:textId="77777777" w:rsidTr="00A45C17">
        <w:trPr>
          <w:cnfStyle w:val="100000000000" w:firstRow="1" w:lastRow="0" w:firstColumn="0" w:lastColumn="0" w:oddVBand="0" w:evenVBand="0" w:oddHBand="0" w:evenHBand="0" w:firstRowFirstColumn="0" w:firstRowLastColumn="0" w:lastRowFirstColumn="0" w:lastRowLastColumn="0"/>
          <w:cantSplit/>
          <w:trHeight w:val="20"/>
          <w:tblHeader/>
        </w:trPr>
        <w:tc>
          <w:tcPr>
            <w:tcW w:w="1471" w:type="pct"/>
            <w:tcBorders>
              <w:top w:val="none" w:sz="0" w:space="0" w:color="auto"/>
              <w:left w:val="none" w:sz="0" w:space="0" w:color="auto"/>
              <w:bottom w:val="none" w:sz="0" w:space="0" w:color="auto"/>
            </w:tcBorders>
          </w:tcPr>
          <w:p w14:paraId="59E269D8" w14:textId="77777777" w:rsidR="004E7EE5" w:rsidRDefault="004E7EE5" w:rsidP="004E7EE5">
            <w:pPr>
              <w:pStyle w:val="TBLHeading"/>
            </w:pPr>
            <w:r>
              <w:t>Title of regulatory proposal</w:t>
            </w:r>
          </w:p>
          <w:p w14:paraId="5E036E9D" w14:textId="77777777" w:rsidR="00D30A7C" w:rsidRPr="006E170D" w:rsidRDefault="004E7EE5" w:rsidP="004E7EE5">
            <w:pPr>
              <w:pStyle w:val="TBLHeading"/>
            </w:pPr>
            <w:r>
              <w:t>Description of regulatory proposal</w:t>
            </w:r>
          </w:p>
        </w:tc>
        <w:tc>
          <w:tcPr>
            <w:tcW w:w="883" w:type="pct"/>
            <w:tcBorders>
              <w:top w:val="none" w:sz="0" w:space="0" w:color="auto"/>
              <w:bottom w:val="none" w:sz="0" w:space="0" w:color="auto"/>
            </w:tcBorders>
          </w:tcPr>
          <w:p w14:paraId="44B7737F" w14:textId="77777777" w:rsidR="00F31809" w:rsidRDefault="00F31809" w:rsidP="00F31809">
            <w:pPr>
              <w:pStyle w:val="TBLHeading"/>
            </w:pPr>
            <w:r>
              <w:t xml:space="preserve">Reason </w:t>
            </w:r>
          </w:p>
          <w:p w14:paraId="4CD6AFA5" w14:textId="77777777" w:rsidR="00D30A7C" w:rsidRPr="006E170D" w:rsidRDefault="00F31809" w:rsidP="00F31809">
            <w:pPr>
              <w:pStyle w:val="TBLHeading"/>
            </w:pPr>
            <w:r>
              <w:t>for PIR</w:t>
            </w:r>
          </w:p>
        </w:tc>
        <w:tc>
          <w:tcPr>
            <w:tcW w:w="1031" w:type="pct"/>
            <w:tcBorders>
              <w:top w:val="none" w:sz="0" w:space="0" w:color="auto"/>
              <w:bottom w:val="none" w:sz="0" w:space="0" w:color="auto"/>
            </w:tcBorders>
          </w:tcPr>
          <w:p w14:paraId="631D24FB" w14:textId="77777777" w:rsidR="00F31809" w:rsidRDefault="00F31809" w:rsidP="00F31809">
            <w:pPr>
              <w:pStyle w:val="TBLHeading"/>
            </w:pPr>
            <w:r>
              <w:t xml:space="preserve">Implementation </w:t>
            </w:r>
          </w:p>
          <w:p w14:paraId="70209B6E" w14:textId="77777777" w:rsidR="00D30A7C" w:rsidRPr="006E170D" w:rsidRDefault="00F31809" w:rsidP="00F31809">
            <w:pPr>
              <w:pStyle w:val="TBLHeading"/>
            </w:pPr>
            <w:r>
              <w:t>date</w:t>
            </w:r>
          </w:p>
        </w:tc>
        <w:tc>
          <w:tcPr>
            <w:tcW w:w="883" w:type="pct"/>
            <w:tcBorders>
              <w:top w:val="none" w:sz="0" w:space="0" w:color="auto"/>
              <w:bottom w:val="none" w:sz="0" w:space="0" w:color="auto"/>
            </w:tcBorders>
          </w:tcPr>
          <w:p w14:paraId="2DF7BA88" w14:textId="77777777" w:rsidR="00D30A7C" w:rsidRPr="006E170D" w:rsidRDefault="00F31809" w:rsidP="00DF7E63">
            <w:pPr>
              <w:pStyle w:val="TBLHeading"/>
            </w:pPr>
            <w:r>
              <w:t>Due date</w:t>
            </w:r>
          </w:p>
        </w:tc>
        <w:tc>
          <w:tcPr>
            <w:tcW w:w="732" w:type="pct"/>
            <w:tcBorders>
              <w:top w:val="none" w:sz="0" w:space="0" w:color="auto"/>
              <w:bottom w:val="none" w:sz="0" w:space="0" w:color="auto"/>
              <w:right w:val="none" w:sz="0" w:space="0" w:color="auto"/>
            </w:tcBorders>
          </w:tcPr>
          <w:p w14:paraId="13BBB8B8" w14:textId="77777777" w:rsidR="00D30A7C" w:rsidRPr="006E170D" w:rsidRDefault="00F31809" w:rsidP="00DF7E63">
            <w:pPr>
              <w:pStyle w:val="TBLHeading"/>
            </w:pPr>
            <w:r>
              <w:t>PIR compliance</w:t>
            </w:r>
          </w:p>
        </w:tc>
      </w:tr>
      <w:tr w:rsidR="00D30A7C" w14:paraId="34CD0C71" w14:textId="77777777" w:rsidTr="00A45C17">
        <w:trPr>
          <w:cantSplit/>
          <w:trHeight w:val="20"/>
        </w:trPr>
        <w:tc>
          <w:tcPr>
            <w:tcW w:w="1471" w:type="pct"/>
          </w:tcPr>
          <w:p w14:paraId="6BA1A67A" w14:textId="1360C15E" w:rsidR="0084367D" w:rsidRPr="0084367D" w:rsidRDefault="0084367D" w:rsidP="0084367D">
            <w:pPr>
              <w:pStyle w:val="TBLText"/>
              <w:rPr>
                <w:b/>
              </w:rPr>
            </w:pPr>
            <w:r w:rsidRPr="0084367D">
              <w:rPr>
                <w:b/>
              </w:rPr>
              <w:t xml:space="preserve">Nature Repair </w:t>
            </w:r>
            <w:r w:rsidR="0097695B" w:rsidRPr="0084367D">
              <w:rPr>
                <w:b/>
              </w:rPr>
              <w:t>Market</w:t>
            </w:r>
            <w:r w:rsidR="0097695B">
              <w:rPr>
                <w:b/>
                <w:vertAlign w:val="superscript"/>
              </w:rPr>
              <w:t>a</w:t>
            </w:r>
          </w:p>
          <w:p w14:paraId="08709E47" w14:textId="337C9879" w:rsidR="00D30A7C" w:rsidRPr="0084367D" w:rsidRDefault="0084367D" w:rsidP="0084367D">
            <w:pPr>
              <w:pStyle w:val="TBLText"/>
            </w:pPr>
            <w:r w:rsidRPr="0084367D">
              <w:t>This voluntary market would establish and allow the trading of Biodiversity Certificates, for undertaking successful projects that provide biodiversity outcomes such as the regeneration of landscapes, and the protection and enhancement of remnant vegetation and habitats for native species.</w:t>
            </w:r>
          </w:p>
        </w:tc>
        <w:tc>
          <w:tcPr>
            <w:tcW w:w="883" w:type="pct"/>
          </w:tcPr>
          <w:p w14:paraId="6374B506" w14:textId="77777777" w:rsidR="00D30A7C" w:rsidRPr="006E170D" w:rsidRDefault="00444BB8" w:rsidP="00EC39B5">
            <w:pPr>
              <w:pStyle w:val="TBLText"/>
            </w:pPr>
            <w:r>
              <w:rPr>
                <w:spacing w:val="-1"/>
              </w:rPr>
              <w:t>Agency commitment</w:t>
            </w:r>
          </w:p>
        </w:tc>
        <w:tc>
          <w:tcPr>
            <w:tcW w:w="1031" w:type="pct"/>
          </w:tcPr>
          <w:p w14:paraId="0F519FF8" w14:textId="5CD18FF2" w:rsidR="00D30A7C" w:rsidRPr="006E170D" w:rsidRDefault="233717B3" w:rsidP="0019150D">
            <w:pPr>
              <w:pStyle w:val="TBLText"/>
            </w:pPr>
            <w:r>
              <w:t xml:space="preserve">March </w:t>
            </w:r>
            <w:r w:rsidR="715CE69C">
              <w:t>202</w:t>
            </w:r>
            <w:r>
              <w:t>5</w:t>
            </w:r>
          </w:p>
        </w:tc>
        <w:tc>
          <w:tcPr>
            <w:tcW w:w="883" w:type="pct"/>
          </w:tcPr>
          <w:p w14:paraId="49729914" w14:textId="5F96D827" w:rsidR="00D30A7C" w:rsidRPr="006E170D" w:rsidRDefault="233717B3" w:rsidP="00EC39B5">
            <w:pPr>
              <w:pStyle w:val="TBLText"/>
            </w:pPr>
            <w:r>
              <w:t xml:space="preserve">March </w:t>
            </w:r>
            <w:r w:rsidR="715CE69C">
              <w:t>20</w:t>
            </w:r>
            <w:r>
              <w:t>30</w:t>
            </w:r>
            <w:r w:rsidR="008734DF" w:rsidRPr="5D3ED4AD">
              <w:rPr>
                <w:vertAlign w:val="superscript"/>
              </w:rPr>
              <w:t>b</w:t>
            </w:r>
          </w:p>
        </w:tc>
        <w:tc>
          <w:tcPr>
            <w:tcW w:w="732" w:type="pct"/>
          </w:tcPr>
          <w:p w14:paraId="4C675FA5" w14:textId="77777777" w:rsidR="00D30A7C" w:rsidRPr="006E170D" w:rsidRDefault="00EC39B5" w:rsidP="00EC39B5">
            <w:pPr>
              <w:pStyle w:val="TBLText"/>
            </w:pPr>
            <w:r w:rsidRPr="00E70651">
              <w:t>Compliant</w:t>
            </w:r>
          </w:p>
        </w:tc>
      </w:tr>
    </w:tbl>
    <w:p w14:paraId="39631A2D" w14:textId="27B50C8C" w:rsidR="00D30A7C" w:rsidRDefault="0097695B" w:rsidP="5D3ED4AD">
      <w:pPr>
        <w:spacing w:after="0"/>
        <w:rPr>
          <w:sz w:val="14"/>
          <w:szCs w:val="14"/>
        </w:rPr>
      </w:pPr>
      <w:proofErr w:type="gramStart"/>
      <w:r w:rsidRPr="5D3ED4AD">
        <w:rPr>
          <w:sz w:val="14"/>
          <w:szCs w:val="14"/>
        </w:rPr>
        <w:t>a</w:t>
      </w:r>
      <w:proofErr w:type="gramEnd"/>
      <w:r w:rsidRPr="5D3ED4AD">
        <w:rPr>
          <w:sz w:val="14"/>
          <w:szCs w:val="14"/>
        </w:rPr>
        <w:t xml:space="preserve"> </w:t>
      </w:r>
      <w:r w:rsidR="00487D8E" w:rsidRPr="5D3ED4AD">
        <w:rPr>
          <w:sz w:val="14"/>
          <w:szCs w:val="14"/>
        </w:rPr>
        <w:t xml:space="preserve">Note that this replaces the requirement for the PIR for the </w:t>
      </w:r>
      <w:r w:rsidR="00841F41" w:rsidRPr="5D3ED4AD">
        <w:rPr>
          <w:sz w:val="14"/>
          <w:szCs w:val="14"/>
        </w:rPr>
        <w:t>‘</w:t>
      </w:r>
      <w:r w:rsidR="00487D8E" w:rsidRPr="5D3ED4AD">
        <w:rPr>
          <w:sz w:val="14"/>
          <w:szCs w:val="14"/>
        </w:rPr>
        <w:t>Pathway to a National Voluntary Biodiversity Stewardship Market</w:t>
      </w:r>
      <w:r w:rsidR="00841F41" w:rsidRPr="5D3ED4AD">
        <w:rPr>
          <w:sz w:val="14"/>
          <w:szCs w:val="14"/>
        </w:rPr>
        <w:t>’</w:t>
      </w:r>
      <w:r w:rsidR="00EC10A9" w:rsidRPr="5D3ED4AD">
        <w:rPr>
          <w:sz w:val="14"/>
          <w:szCs w:val="14"/>
        </w:rPr>
        <w:t>.</w:t>
      </w:r>
    </w:p>
    <w:p w14:paraId="33DE98BF" w14:textId="5375B65F" w:rsidR="008734DF" w:rsidRPr="00487D8E" w:rsidRDefault="008734DF" w:rsidP="5D3ED4AD">
      <w:pPr>
        <w:rPr>
          <w:sz w:val="14"/>
          <w:szCs w:val="14"/>
        </w:rPr>
      </w:pPr>
      <w:proofErr w:type="gramStart"/>
      <w:r w:rsidRPr="26912B5A">
        <w:rPr>
          <w:sz w:val="14"/>
          <w:szCs w:val="14"/>
        </w:rPr>
        <w:t>b</w:t>
      </w:r>
      <w:proofErr w:type="gramEnd"/>
      <w:r w:rsidRPr="26912B5A">
        <w:rPr>
          <w:sz w:val="14"/>
          <w:szCs w:val="14"/>
        </w:rPr>
        <w:t xml:space="preserve"> </w:t>
      </w:r>
      <w:r w:rsidR="00FD3410" w:rsidRPr="26912B5A">
        <w:rPr>
          <w:sz w:val="14"/>
          <w:szCs w:val="14"/>
        </w:rPr>
        <w:t xml:space="preserve">The </w:t>
      </w:r>
      <w:r w:rsidRPr="26912B5A">
        <w:rPr>
          <w:sz w:val="14"/>
          <w:szCs w:val="14"/>
        </w:rPr>
        <w:t>Implementation date has been updated from February 2022 to March 2025 and due date has been updated from February 2027 to March 2030</w:t>
      </w:r>
      <w:r w:rsidR="001842D5" w:rsidRPr="26912B5A">
        <w:rPr>
          <w:sz w:val="14"/>
          <w:szCs w:val="14"/>
        </w:rPr>
        <w:t xml:space="preserve">. Note, the Department has opted to complete a PIR. This PIR was not required under the </w:t>
      </w:r>
      <w:r w:rsidR="001842D5" w:rsidRPr="26912B5A">
        <w:rPr>
          <w:i/>
          <w:iCs/>
          <w:sz w:val="14"/>
          <w:szCs w:val="14"/>
        </w:rPr>
        <w:t>Australian Government Guide to Policy Impact Analysis</w:t>
      </w:r>
      <w:r w:rsidR="001842D5" w:rsidRPr="26912B5A">
        <w:rPr>
          <w:sz w:val="14"/>
          <w:szCs w:val="14"/>
        </w:rPr>
        <w:t>.</w:t>
      </w:r>
    </w:p>
    <w:p w14:paraId="14AFA66D" w14:textId="29F74B04" w:rsidR="006A08D4" w:rsidRDefault="006A08D4" w:rsidP="004630E1">
      <w:pPr>
        <w:pStyle w:val="Heading2"/>
      </w:pPr>
      <w:bookmarkStart w:id="11" w:name="_Toc171679580"/>
      <w:bookmarkStart w:id="12" w:name="_Toc210227743"/>
      <w:r>
        <w:t>Department of Climate Change, Energy, the Environment and Water</w:t>
      </w:r>
      <w:bookmarkEnd w:id="11"/>
      <w:bookmarkEnd w:id="12"/>
    </w:p>
    <w:p w14:paraId="20A1590D" w14:textId="42AE122D" w:rsidR="006A08D4" w:rsidRPr="00774646" w:rsidRDefault="003F5A9A">
      <w:pPr>
        <w:pStyle w:val="Figure"/>
        <w:numPr>
          <w:ilvl w:val="0"/>
          <w:numId w:val="0"/>
        </w:numPr>
        <w:spacing w:before="0"/>
      </w:pPr>
      <w:r>
        <w:t xml:space="preserve">Table </w:t>
      </w:r>
      <w:r>
        <w:fldChar w:fldCharType="begin"/>
      </w:r>
      <w:r>
        <w:instrText xml:space="preserve"> SEQ Table \* ARABIC </w:instrText>
      </w:r>
      <w:r>
        <w:fldChar w:fldCharType="separate"/>
      </w:r>
      <w:r>
        <w:t>4</w:t>
      </w:r>
      <w:r>
        <w:fldChar w:fldCharType="end"/>
      </w:r>
      <w:r>
        <w:t xml:space="preserve">. </w:t>
      </w:r>
      <w:r w:rsidRPr="002078C5">
        <w:t>Department of Climate Change, Energy, the Environment and Water</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4. Department of Climate Chang, Energy, the Environment and Water"/>
        <w:tblDescription w:val="Figure 4. Department of Climate Chang, Energy, the Environment and Water"/>
      </w:tblPr>
      <w:tblGrid>
        <w:gridCol w:w="3257"/>
        <w:gridCol w:w="1441"/>
        <w:gridCol w:w="2055"/>
        <w:gridCol w:w="1760"/>
        <w:gridCol w:w="1455"/>
      </w:tblGrid>
      <w:tr w:rsidR="006A08D4" w14:paraId="6CBAB56E" w14:textId="77777777" w:rsidTr="00A45C17">
        <w:trPr>
          <w:cnfStyle w:val="100000000000" w:firstRow="1" w:lastRow="0" w:firstColumn="0" w:lastColumn="0" w:oddVBand="0" w:evenVBand="0" w:oddHBand="0" w:evenHBand="0" w:firstRowFirstColumn="0" w:firstRowLastColumn="0" w:lastRowFirstColumn="0" w:lastRowLastColumn="0"/>
          <w:cantSplit/>
          <w:trHeight w:val="20"/>
          <w:tblHeader/>
        </w:trPr>
        <w:tc>
          <w:tcPr>
            <w:tcW w:w="1633" w:type="pct"/>
            <w:tcBorders>
              <w:top w:val="none" w:sz="0" w:space="0" w:color="auto"/>
              <w:left w:val="none" w:sz="0" w:space="0" w:color="auto"/>
              <w:bottom w:val="none" w:sz="0" w:space="0" w:color="auto"/>
            </w:tcBorders>
          </w:tcPr>
          <w:p w14:paraId="68E1FD72" w14:textId="77777777" w:rsidR="006A08D4" w:rsidRDefault="006A08D4" w:rsidP="005D1D43">
            <w:pPr>
              <w:pStyle w:val="TBLHeading"/>
            </w:pPr>
            <w:r>
              <w:t>Title of regulatory proposal</w:t>
            </w:r>
          </w:p>
          <w:p w14:paraId="40C4E152" w14:textId="77777777" w:rsidR="006A08D4" w:rsidRPr="006E170D" w:rsidRDefault="006A08D4" w:rsidP="005D1D43">
            <w:pPr>
              <w:pStyle w:val="TBLHeading"/>
            </w:pPr>
            <w:r>
              <w:t>Description of regulatory proposal</w:t>
            </w:r>
          </w:p>
        </w:tc>
        <w:tc>
          <w:tcPr>
            <w:tcW w:w="723" w:type="pct"/>
            <w:tcBorders>
              <w:top w:val="none" w:sz="0" w:space="0" w:color="auto"/>
              <w:bottom w:val="none" w:sz="0" w:space="0" w:color="auto"/>
            </w:tcBorders>
          </w:tcPr>
          <w:p w14:paraId="5C04D7A3" w14:textId="77777777" w:rsidR="006A08D4" w:rsidRDefault="006A08D4" w:rsidP="005D1D43">
            <w:pPr>
              <w:pStyle w:val="TBLHeading"/>
            </w:pPr>
            <w:r>
              <w:t xml:space="preserve">Reason </w:t>
            </w:r>
          </w:p>
          <w:p w14:paraId="40D161AE" w14:textId="77777777" w:rsidR="006A08D4" w:rsidRPr="006E170D" w:rsidRDefault="006A08D4" w:rsidP="005D1D43">
            <w:pPr>
              <w:pStyle w:val="TBLHeading"/>
            </w:pPr>
            <w:r>
              <w:t>for PIR</w:t>
            </w:r>
          </w:p>
        </w:tc>
        <w:tc>
          <w:tcPr>
            <w:tcW w:w="1031" w:type="pct"/>
            <w:tcBorders>
              <w:top w:val="none" w:sz="0" w:space="0" w:color="auto"/>
              <w:bottom w:val="none" w:sz="0" w:space="0" w:color="auto"/>
            </w:tcBorders>
          </w:tcPr>
          <w:p w14:paraId="3B9D2568" w14:textId="77777777" w:rsidR="006A08D4" w:rsidRDefault="006A08D4" w:rsidP="005D1D43">
            <w:pPr>
              <w:pStyle w:val="TBLHeading"/>
            </w:pPr>
            <w:r>
              <w:t xml:space="preserve">Implementation </w:t>
            </w:r>
          </w:p>
          <w:p w14:paraId="16B0CE6A" w14:textId="77777777" w:rsidR="006A08D4" w:rsidRPr="006E170D" w:rsidRDefault="006A08D4" w:rsidP="005D1D43">
            <w:pPr>
              <w:pStyle w:val="TBLHeading"/>
            </w:pPr>
            <w:r>
              <w:t>date</w:t>
            </w:r>
          </w:p>
        </w:tc>
        <w:tc>
          <w:tcPr>
            <w:tcW w:w="883" w:type="pct"/>
            <w:tcBorders>
              <w:top w:val="none" w:sz="0" w:space="0" w:color="auto"/>
              <w:bottom w:val="none" w:sz="0" w:space="0" w:color="auto"/>
            </w:tcBorders>
          </w:tcPr>
          <w:p w14:paraId="17EB84DD" w14:textId="77777777" w:rsidR="006A08D4" w:rsidRPr="006E170D" w:rsidRDefault="006A08D4" w:rsidP="005D1D43">
            <w:pPr>
              <w:pStyle w:val="TBLHeading"/>
            </w:pPr>
            <w:r>
              <w:t>Due date</w:t>
            </w:r>
          </w:p>
        </w:tc>
        <w:tc>
          <w:tcPr>
            <w:tcW w:w="730" w:type="pct"/>
            <w:tcBorders>
              <w:top w:val="none" w:sz="0" w:space="0" w:color="auto"/>
              <w:bottom w:val="none" w:sz="0" w:space="0" w:color="auto"/>
              <w:right w:val="none" w:sz="0" w:space="0" w:color="auto"/>
            </w:tcBorders>
          </w:tcPr>
          <w:p w14:paraId="4154C948" w14:textId="77777777" w:rsidR="006A08D4" w:rsidRPr="006E170D" w:rsidRDefault="006A08D4" w:rsidP="005D1D43">
            <w:pPr>
              <w:pStyle w:val="TBLHeading"/>
            </w:pPr>
            <w:r>
              <w:t>PIR compliance</w:t>
            </w:r>
          </w:p>
        </w:tc>
      </w:tr>
      <w:tr w:rsidR="006A08D4" w14:paraId="6210DC8F" w14:textId="77777777" w:rsidTr="00A45C17">
        <w:trPr>
          <w:cantSplit/>
          <w:trHeight w:val="20"/>
        </w:trPr>
        <w:tc>
          <w:tcPr>
            <w:tcW w:w="1633" w:type="pct"/>
          </w:tcPr>
          <w:p w14:paraId="0B2407CF" w14:textId="77777777" w:rsidR="006A08D4" w:rsidRPr="00A50E71" w:rsidRDefault="006A08D4" w:rsidP="005D1D43">
            <w:pPr>
              <w:pStyle w:val="TBLText"/>
              <w:rPr>
                <w:b/>
              </w:rPr>
            </w:pPr>
            <w:r w:rsidRPr="00A50E71">
              <w:rPr>
                <w:b/>
              </w:rPr>
              <w:t>Expansion of functions and powers of the Australian Energy Market Operator (AEMO)</w:t>
            </w:r>
          </w:p>
          <w:p w14:paraId="161129F1" w14:textId="2CF5D699" w:rsidR="006A08D4" w:rsidRPr="00A50E71" w:rsidRDefault="006A08D4" w:rsidP="005D1D43">
            <w:pPr>
              <w:pStyle w:val="TBLText"/>
            </w:pPr>
            <w:r w:rsidRPr="00A50E71">
              <w:rPr>
                <w:spacing w:val="-1"/>
              </w:rPr>
              <w:t>Energy Ministers agreed the Government will expand the functions and powers of AEMO under the National Gas Law to ensure it can address east coast gas system reliability and supply adequacy issues ahead of Winter 2023.</w:t>
            </w:r>
          </w:p>
        </w:tc>
        <w:tc>
          <w:tcPr>
            <w:tcW w:w="723" w:type="pct"/>
          </w:tcPr>
          <w:p w14:paraId="2B82C23E" w14:textId="40E0FF5A" w:rsidR="006A08D4" w:rsidRPr="00A50E71" w:rsidRDefault="006A08D4" w:rsidP="005D1D43">
            <w:pPr>
              <w:pStyle w:val="TBLText"/>
            </w:pPr>
            <w:r w:rsidRPr="00A50E71">
              <w:rPr>
                <w:spacing w:val="-1"/>
              </w:rPr>
              <w:t>E/c</w:t>
            </w:r>
          </w:p>
        </w:tc>
        <w:tc>
          <w:tcPr>
            <w:tcW w:w="1031" w:type="pct"/>
          </w:tcPr>
          <w:p w14:paraId="52628722" w14:textId="1F5A2110" w:rsidR="006A08D4" w:rsidRPr="00A50E71" w:rsidRDefault="006A08D4" w:rsidP="005D1D43">
            <w:pPr>
              <w:pStyle w:val="TBLText"/>
            </w:pPr>
            <w:r w:rsidRPr="00A50E71">
              <w:t>Oct 2022</w:t>
            </w:r>
          </w:p>
        </w:tc>
        <w:tc>
          <w:tcPr>
            <w:tcW w:w="883" w:type="pct"/>
          </w:tcPr>
          <w:p w14:paraId="28E70F8D" w14:textId="46CAF680" w:rsidR="006A08D4" w:rsidRPr="00A50E71" w:rsidRDefault="003B455C" w:rsidP="0097695B">
            <w:pPr>
              <w:pStyle w:val="TBLText"/>
            </w:pPr>
            <w:r>
              <w:t>Dec</w:t>
            </w:r>
            <w:r w:rsidRPr="00A50E71">
              <w:t xml:space="preserve"> </w:t>
            </w:r>
            <w:r w:rsidR="006A08D4" w:rsidRPr="00A50E71">
              <w:t>202</w:t>
            </w:r>
            <w:r>
              <w:t>5</w:t>
            </w:r>
            <w:r w:rsidR="0097695B" w:rsidRPr="00BE67F5">
              <w:rPr>
                <w:vertAlign w:val="superscript"/>
              </w:rPr>
              <w:t>a</w:t>
            </w:r>
          </w:p>
        </w:tc>
        <w:tc>
          <w:tcPr>
            <w:tcW w:w="730" w:type="pct"/>
          </w:tcPr>
          <w:p w14:paraId="434C52CA" w14:textId="77777777" w:rsidR="006A08D4" w:rsidRPr="00A50E71" w:rsidRDefault="006A08D4" w:rsidP="005D1D43">
            <w:pPr>
              <w:pStyle w:val="TBLText"/>
            </w:pPr>
            <w:r w:rsidRPr="00A50E71">
              <w:t>Compliant</w:t>
            </w:r>
          </w:p>
        </w:tc>
      </w:tr>
      <w:tr w:rsidR="00333AAE" w14:paraId="7114FF97" w14:textId="77777777" w:rsidTr="00A45C17">
        <w:trPr>
          <w:cantSplit/>
          <w:trHeight w:val="20"/>
        </w:trPr>
        <w:tc>
          <w:tcPr>
            <w:tcW w:w="1633" w:type="pct"/>
          </w:tcPr>
          <w:p w14:paraId="0446DFDD" w14:textId="77777777" w:rsidR="00333AAE" w:rsidRPr="00333AAE" w:rsidRDefault="00333AAE" w:rsidP="00333AAE">
            <w:pPr>
              <w:pStyle w:val="TBLText"/>
              <w:rPr>
                <w:b/>
              </w:rPr>
            </w:pPr>
            <w:r w:rsidRPr="00333AAE">
              <w:rPr>
                <w:b/>
              </w:rPr>
              <w:lastRenderedPageBreak/>
              <w:t xml:space="preserve">Reforms to the Safeguard Mechasism </w:t>
            </w:r>
          </w:p>
          <w:p w14:paraId="5CF6CB6B" w14:textId="2E06DA3B" w:rsidR="00333AAE" w:rsidRPr="00333AAE" w:rsidRDefault="00333AAE" w:rsidP="00333AAE">
            <w:pPr>
              <w:pStyle w:val="TBLText"/>
            </w:pPr>
            <w:r w:rsidRPr="00333AAE">
              <w:t>Changes to the Safeguard Mechanism to support Australia’s largest industrial greenhouse gas emitters to gradually and predictably reduce their emissions, delivering on an election commitment within the Powering Australia plan. The reformed Mechanism will help Australia achieve a 43 per cent reduction of emissions on 2005 levels by 2030 and net zero emissions by 2050. Under the three proposed options, Safeguard covered emissions take on a proportional share of the national emissions target to 2030 and reach net zero by 2050.</w:t>
            </w:r>
          </w:p>
        </w:tc>
        <w:tc>
          <w:tcPr>
            <w:tcW w:w="723" w:type="pct"/>
          </w:tcPr>
          <w:p w14:paraId="02E6B772" w14:textId="419D2C70" w:rsidR="00333AAE" w:rsidRPr="00A50E71" w:rsidRDefault="00333AAE" w:rsidP="005D1D43">
            <w:pPr>
              <w:pStyle w:val="TBLText"/>
              <w:rPr>
                <w:spacing w:val="-1"/>
              </w:rPr>
            </w:pPr>
            <w:r>
              <w:t>Substantial</w:t>
            </w:r>
            <w:r>
              <w:rPr>
                <w:spacing w:val="28"/>
              </w:rPr>
              <w:t xml:space="preserve"> </w:t>
            </w:r>
            <w:r>
              <w:t>Impact</w:t>
            </w:r>
          </w:p>
        </w:tc>
        <w:tc>
          <w:tcPr>
            <w:tcW w:w="1031" w:type="pct"/>
          </w:tcPr>
          <w:p w14:paraId="68182F48" w14:textId="1A6B5E63" w:rsidR="00333AAE" w:rsidRPr="00A50E71" w:rsidRDefault="00333AAE" w:rsidP="00333AAE">
            <w:pPr>
              <w:pStyle w:val="TBLText"/>
            </w:pPr>
            <w:r>
              <w:t xml:space="preserve">May 2023 </w:t>
            </w:r>
          </w:p>
        </w:tc>
        <w:tc>
          <w:tcPr>
            <w:tcW w:w="883" w:type="pct"/>
          </w:tcPr>
          <w:p w14:paraId="02DAD712" w14:textId="65BF64EF" w:rsidR="00333AAE" w:rsidRPr="00A50E71" w:rsidRDefault="00333AAE" w:rsidP="006A08D4">
            <w:pPr>
              <w:pStyle w:val="TBLText"/>
            </w:pPr>
            <w:r>
              <w:t>May 2028</w:t>
            </w:r>
          </w:p>
        </w:tc>
        <w:tc>
          <w:tcPr>
            <w:tcW w:w="730" w:type="pct"/>
          </w:tcPr>
          <w:p w14:paraId="207985F6" w14:textId="5769B037" w:rsidR="00333AAE" w:rsidRPr="00A50E71" w:rsidRDefault="00333AAE" w:rsidP="005D1D43">
            <w:pPr>
              <w:pStyle w:val="TBLText"/>
            </w:pPr>
            <w:r w:rsidRPr="00A50E71">
              <w:t>Compliant</w:t>
            </w:r>
          </w:p>
        </w:tc>
      </w:tr>
    </w:tbl>
    <w:p w14:paraId="28975683" w14:textId="77777777" w:rsidR="00CA0A64" w:rsidRDefault="00CA0A64" w:rsidP="00C91C7A">
      <w:pPr>
        <w:pStyle w:val="BodyText"/>
        <w:ind w:left="0" w:right="57"/>
        <w:rPr>
          <w:rStyle w:val="Emphasis"/>
          <w:rFonts w:asciiTheme="minorHAnsi" w:hAnsiTheme="minorHAnsi" w:cstheme="minorHAnsi"/>
          <w:sz w:val="14"/>
        </w:rPr>
      </w:pPr>
      <w:r w:rsidRPr="00487D8E">
        <w:rPr>
          <w:rStyle w:val="Emphasis"/>
          <w:rFonts w:asciiTheme="minorHAnsi" w:hAnsiTheme="minorHAnsi" w:cstheme="minorHAnsi"/>
          <w:sz w:val="14"/>
        </w:rPr>
        <w:t>E/c Exceptional circumstances were granted by the Prime Minister.</w:t>
      </w:r>
    </w:p>
    <w:p w14:paraId="38C86CA5" w14:textId="35B2DE36" w:rsidR="00C654F5" w:rsidRDefault="0097695B" w:rsidP="00C91C7A">
      <w:pPr>
        <w:pStyle w:val="BodyText"/>
        <w:ind w:left="0" w:right="57"/>
        <w:rPr>
          <w:rStyle w:val="Emphasis"/>
          <w:rFonts w:asciiTheme="minorHAnsi" w:hAnsiTheme="minorHAnsi" w:cstheme="minorHAnsi"/>
          <w:sz w:val="14"/>
        </w:rPr>
      </w:pPr>
      <w:proofErr w:type="gramStart"/>
      <w:r w:rsidRPr="00C91C7A">
        <w:rPr>
          <w:rStyle w:val="Emphasis"/>
          <w:rFonts w:asciiTheme="minorHAnsi" w:hAnsiTheme="minorHAnsi" w:cstheme="minorHAnsi"/>
          <w:sz w:val="14"/>
          <w:szCs w:val="14"/>
        </w:rPr>
        <w:t>a</w:t>
      </w:r>
      <w:proofErr w:type="gramEnd"/>
      <w:r w:rsidR="00C654F5" w:rsidRPr="00C91C7A">
        <w:rPr>
          <w:rStyle w:val="Emphasis"/>
          <w:rFonts w:asciiTheme="minorHAnsi" w:hAnsiTheme="minorHAnsi" w:cstheme="minorHAnsi"/>
        </w:rPr>
        <w:t xml:space="preserve"> </w:t>
      </w:r>
      <w:r w:rsidR="008714F7" w:rsidRPr="00487D8E">
        <w:rPr>
          <w:rStyle w:val="Emphasis"/>
          <w:rFonts w:asciiTheme="minorHAnsi" w:hAnsiTheme="minorHAnsi" w:cstheme="minorHAnsi"/>
          <w:sz w:val="14"/>
        </w:rPr>
        <w:t xml:space="preserve">Due date has been updated </w:t>
      </w:r>
      <w:r w:rsidR="008714F7">
        <w:rPr>
          <w:rStyle w:val="Emphasis"/>
          <w:rFonts w:asciiTheme="minorHAnsi" w:hAnsiTheme="minorHAnsi" w:cstheme="minorHAnsi"/>
          <w:sz w:val="14"/>
        </w:rPr>
        <w:t xml:space="preserve">from October 2024 </w:t>
      </w:r>
      <w:r w:rsidR="008714F7" w:rsidRPr="00487D8E">
        <w:rPr>
          <w:rStyle w:val="Emphasis"/>
          <w:rFonts w:asciiTheme="minorHAnsi" w:hAnsiTheme="minorHAnsi" w:cstheme="minorHAnsi"/>
          <w:sz w:val="14"/>
        </w:rPr>
        <w:t xml:space="preserve">to </w:t>
      </w:r>
      <w:r w:rsidR="008714F7">
        <w:rPr>
          <w:rStyle w:val="Emphasis"/>
          <w:rFonts w:asciiTheme="minorHAnsi" w:hAnsiTheme="minorHAnsi" w:cstheme="minorHAnsi"/>
          <w:sz w:val="14"/>
        </w:rPr>
        <w:t>December 2025.</w:t>
      </w:r>
    </w:p>
    <w:p w14:paraId="2932C37E" w14:textId="77777777" w:rsidR="00CA0A64" w:rsidRPr="00C91C7A" w:rsidRDefault="00CA0A64" w:rsidP="00C91C7A">
      <w:pPr>
        <w:pStyle w:val="BodyText"/>
        <w:ind w:left="0" w:right="57"/>
        <w:rPr>
          <w:rFonts w:asciiTheme="minorHAnsi" w:hAnsiTheme="minorHAnsi" w:cstheme="minorHAnsi"/>
          <w:iCs/>
          <w:sz w:val="14"/>
        </w:rPr>
      </w:pPr>
    </w:p>
    <w:p w14:paraId="29F002FF" w14:textId="49CF8259" w:rsidR="00D30A7C" w:rsidRDefault="00D30A7C" w:rsidP="00D30A7C">
      <w:pPr>
        <w:pStyle w:val="Heading2"/>
      </w:pPr>
      <w:bookmarkStart w:id="13" w:name="_Toc171679581"/>
      <w:bookmarkStart w:id="14" w:name="_Toc210227744"/>
      <w:r>
        <w:t>Department of Communication and the Arts</w:t>
      </w:r>
      <w:bookmarkEnd w:id="13"/>
      <w:bookmarkEnd w:id="14"/>
    </w:p>
    <w:p w14:paraId="77AFB186" w14:textId="28C1DD9D" w:rsidR="00141AA6" w:rsidRPr="00774646" w:rsidRDefault="003F5A9A" w:rsidP="002617B8">
      <w:pPr>
        <w:pStyle w:val="Figure"/>
        <w:numPr>
          <w:ilvl w:val="0"/>
          <w:numId w:val="0"/>
        </w:numPr>
      </w:pPr>
      <w:r>
        <w:t xml:space="preserve">Table </w:t>
      </w:r>
      <w:r>
        <w:fldChar w:fldCharType="begin"/>
      </w:r>
      <w:r>
        <w:instrText xml:space="preserve"> SEQ Table \* ARABIC </w:instrText>
      </w:r>
      <w:r>
        <w:fldChar w:fldCharType="separate"/>
      </w:r>
      <w:r>
        <w:t>5</w:t>
      </w:r>
      <w:r>
        <w:fldChar w:fldCharType="end"/>
      </w:r>
      <w:r>
        <w:t xml:space="preserve">. </w:t>
      </w:r>
      <w:r w:rsidRPr="00AE6AD5">
        <w:t>Department of Communication and the Arts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5. Department of Communication and the Arts"/>
        <w:tblDescription w:val="Figure 5. Department of Communication and the Arts"/>
      </w:tblPr>
      <w:tblGrid>
        <w:gridCol w:w="2936"/>
        <w:gridCol w:w="1760"/>
        <w:gridCol w:w="2055"/>
        <w:gridCol w:w="1760"/>
        <w:gridCol w:w="1457"/>
      </w:tblGrid>
      <w:tr w:rsidR="00D30A7C" w14:paraId="5E1154DB" w14:textId="77777777" w:rsidTr="00A45C17">
        <w:trPr>
          <w:cnfStyle w:val="100000000000" w:firstRow="1" w:lastRow="0" w:firstColumn="0" w:lastColumn="0" w:oddVBand="0" w:evenVBand="0" w:oddHBand="0" w:evenHBand="0" w:firstRowFirstColumn="0" w:firstRowLastColumn="0" w:lastRowFirstColumn="0" w:lastRowLastColumn="0"/>
          <w:cantSplit/>
          <w:trHeight w:val="20"/>
          <w:tblHeader/>
        </w:trPr>
        <w:tc>
          <w:tcPr>
            <w:tcW w:w="1472" w:type="pct"/>
            <w:tcBorders>
              <w:top w:val="none" w:sz="0" w:space="0" w:color="auto"/>
              <w:left w:val="none" w:sz="0" w:space="0" w:color="auto"/>
              <w:bottom w:val="none" w:sz="0" w:space="0" w:color="auto"/>
            </w:tcBorders>
          </w:tcPr>
          <w:p w14:paraId="2A3A470F" w14:textId="77777777" w:rsidR="004E7EE5" w:rsidRDefault="004E7EE5" w:rsidP="004E7EE5">
            <w:pPr>
              <w:pStyle w:val="TBLHeading"/>
            </w:pPr>
            <w:r>
              <w:t>Title of regulatory proposal</w:t>
            </w:r>
          </w:p>
          <w:p w14:paraId="18C4DB26" w14:textId="77777777" w:rsidR="00D30A7C" w:rsidRPr="006E170D" w:rsidRDefault="004E7EE5" w:rsidP="004E7EE5">
            <w:pPr>
              <w:pStyle w:val="TBLHeading"/>
            </w:pPr>
            <w:r>
              <w:t>Description of regulatory proposal</w:t>
            </w:r>
          </w:p>
        </w:tc>
        <w:tc>
          <w:tcPr>
            <w:tcW w:w="883" w:type="pct"/>
            <w:tcBorders>
              <w:top w:val="none" w:sz="0" w:space="0" w:color="auto"/>
              <w:bottom w:val="none" w:sz="0" w:space="0" w:color="auto"/>
            </w:tcBorders>
          </w:tcPr>
          <w:p w14:paraId="53180C55" w14:textId="77777777" w:rsidR="00F31809" w:rsidRDefault="00F31809" w:rsidP="00F31809">
            <w:pPr>
              <w:pStyle w:val="TBLHeading"/>
            </w:pPr>
            <w:r>
              <w:t xml:space="preserve">Reason </w:t>
            </w:r>
          </w:p>
          <w:p w14:paraId="5C9DF650" w14:textId="77777777" w:rsidR="00D30A7C" w:rsidRPr="006E170D" w:rsidRDefault="00F31809" w:rsidP="00F31809">
            <w:pPr>
              <w:pStyle w:val="TBLHeading"/>
            </w:pPr>
            <w:r>
              <w:t>for PIR</w:t>
            </w:r>
          </w:p>
        </w:tc>
        <w:tc>
          <w:tcPr>
            <w:tcW w:w="1031" w:type="pct"/>
            <w:tcBorders>
              <w:top w:val="none" w:sz="0" w:space="0" w:color="auto"/>
              <w:bottom w:val="none" w:sz="0" w:space="0" w:color="auto"/>
            </w:tcBorders>
          </w:tcPr>
          <w:p w14:paraId="32FF484F" w14:textId="77777777" w:rsidR="00F31809" w:rsidRDefault="00F31809" w:rsidP="00F31809">
            <w:pPr>
              <w:pStyle w:val="TBLHeading"/>
            </w:pPr>
            <w:r>
              <w:t xml:space="preserve">Implementation </w:t>
            </w:r>
          </w:p>
          <w:p w14:paraId="0685D219" w14:textId="77777777" w:rsidR="00D30A7C" w:rsidRPr="006E170D" w:rsidRDefault="00F31809" w:rsidP="00F31809">
            <w:pPr>
              <w:pStyle w:val="TBLHeading"/>
            </w:pPr>
            <w:r>
              <w:t>date</w:t>
            </w:r>
            <w:r w:rsidRPr="006E170D">
              <w:t xml:space="preserve"> </w:t>
            </w:r>
          </w:p>
        </w:tc>
        <w:tc>
          <w:tcPr>
            <w:tcW w:w="883" w:type="pct"/>
            <w:tcBorders>
              <w:top w:val="none" w:sz="0" w:space="0" w:color="auto"/>
              <w:bottom w:val="none" w:sz="0" w:space="0" w:color="auto"/>
            </w:tcBorders>
          </w:tcPr>
          <w:p w14:paraId="56D9C2ED" w14:textId="77777777" w:rsidR="00D30A7C" w:rsidRPr="006E170D" w:rsidRDefault="00F31809" w:rsidP="00DF7E63">
            <w:pPr>
              <w:pStyle w:val="TBLHeading"/>
            </w:pPr>
            <w:r>
              <w:t>Due date</w:t>
            </w:r>
          </w:p>
        </w:tc>
        <w:tc>
          <w:tcPr>
            <w:tcW w:w="732" w:type="pct"/>
            <w:tcBorders>
              <w:top w:val="none" w:sz="0" w:space="0" w:color="auto"/>
              <w:bottom w:val="none" w:sz="0" w:space="0" w:color="auto"/>
              <w:right w:val="none" w:sz="0" w:space="0" w:color="auto"/>
            </w:tcBorders>
          </w:tcPr>
          <w:p w14:paraId="7B17E0A0" w14:textId="77777777" w:rsidR="00D30A7C" w:rsidRPr="006E170D" w:rsidRDefault="00F31809" w:rsidP="00DF7E63">
            <w:pPr>
              <w:pStyle w:val="TBLHeading"/>
            </w:pPr>
            <w:r>
              <w:t>PIR compliance</w:t>
            </w:r>
          </w:p>
        </w:tc>
      </w:tr>
      <w:tr w:rsidR="00D30A7C" w14:paraId="18EDB339" w14:textId="77777777" w:rsidTr="00A45C17">
        <w:trPr>
          <w:cantSplit/>
          <w:trHeight w:val="20"/>
        </w:trPr>
        <w:tc>
          <w:tcPr>
            <w:tcW w:w="1472" w:type="pct"/>
            <w:shd w:val="clear" w:color="auto" w:fill="FFFFCC"/>
          </w:tcPr>
          <w:p w14:paraId="59F143C7" w14:textId="5A57CDA8" w:rsidR="00590B63" w:rsidRPr="001966FA" w:rsidRDefault="00590B63" w:rsidP="00590B63">
            <w:pPr>
              <w:pStyle w:val="TBLText"/>
              <w:rPr>
                <w:rFonts w:eastAsia="Arial" w:hAnsi="Arial" w:cs="Arial"/>
                <w:b/>
                <w:sz w:val="12"/>
                <w:szCs w:val="12"/>
              </w:rPr>
            </w:pPr>
            <w:r w:rsidRPr="001966FA">
              <w:rPr>
                <w:b/>
              </w:rPr>
              <w:t>Convergence Review</w:t>
            </w:r>
            <w:r w:rsidR="0097695B">
              <w:rPr>
                <w:b/>
                <w:position w:val="6"/>
                <w:sz w:val="12"/>
              </w:rPr>
              <w:t>a,c</w:t>
            </w:r>
          </w:p>
          <w:p w14:paraId="17C20A8D" w14:textId="77777777" w:rsidR="00D30A7C" w:rsidRPr="006E170D" w:rsidRDefault="00590B63" w:rsidP="00590B63">
            <w:pPr>
              <w:pStyle w:val="TBLText"/>
            </w:pPr>
            <w:r>
              <w:rPr>
                <w:rFonts w:eastAsia="Arial" w:hAnsi="Arial" w:cs="Arial"/>
              </w:rPr>
              <w:t>Decision</w:t>
            </w:r>
            <w:r>
              <w:rPr>
                <w:rFonts w:eastAsia="Arial" w:hAnsi="Arial" w:cs="Arial"/>
                <w:spacing w:val="-2"/>
              </w:rPr>
              <w:t xml:space="preserve"> </w:t>
            </w:r>
            <w:r>
              <w:rPr>
                <w:rFonts w:eastAsia="Arial" w:hAnsi="Arial" w:cs="Arial"/>
              </w:rPr>
              <w:t>not</w:t>
            </w:r>
            <w:r>
              <w:rPr>
                <w:rFonts w:eastAsia="Arial" w:hAnsi="Arial" w:cs="Arial"/>
                <w:spacing w:val="-2"/>
              </w:rPr>
              <w:t xml:space="preserve"> </w:t>
            </w:r>
            <w:r>
              <w:rPr>
                <w:rFonts w:eastAsia="Arial" w:hAnsi="Arial" w:cs="Arial"/>
              </w:rPr>
              <w:t>to issue</w:t>
            </w:r>
            <w:r>
              <w:rPr>
                <w:rFonts w:eastAsia="Arial" w:hAnsi="Arial" w:cs="Arial"/>
                <w:spacing w:val="-2"/>
              </w:rPr>
              <w:t xml:space="preserve"> </w:t>
            </w:r>
            <w:r>
              <w:rPr>
                <w:rFonts w:eastAsia="Arial" w:hAnsi="Arial" w:cs="Arial"/>
              </w:rPr>
              <w:t>spectrum</w:t>
            </w:r>
            <w:r>
              <w:rPr>
                <w:rFonts w:eastAsia="Arial" w:hAnsi="Arial" w:cs="Arial"/>
                <w:spacing w:val="-2"/>
              </w:rPr>
              <w:t xml:space="preserve"> </w:t>
            </w:r>
            <w:r>
              <w:rPr>
                <w:rFonts w:eastAsia="Arial" w:hAnsi="Arial" w:cs="Arial"/>
              </w:rPr>
              <w:t>or broadcast</w:t>
            </w:r>
            <w:r>
              <w:rPr>
                <w:rFonts w:eastAsia="Arial" w:hAnsi="Arial" w:cs="Arial"/>
                <w:spacing w:val="-2"/>
              </w:rPr>
              <w:t xml:space="preserve"> </w:t>
            </w:r>
            <w:r>
              <w:rPr>
                <w:rFonts w:eastAsia="Arial" w:hAnsi="Arial" w:cs="Arial"/>
              </w:rPr>
              <w:t>licenses</w:t>
            </w:r>
            <w:r>
              <w:rPr>
                <w:rFonts w:eastAsia="Arial" w:hAnsi="Arial" w:cs="Arial"/>
                <w:spacing w:val="53"/>
              </w:rPr>
              <w:t xml:space="preserve"> </w:t>
            </w:r>
            <w:r>
              <w:rPr>
                <w:rFonts w:eastAsia="Arial" w:hAnsi="Arial" w:cs="Arial"/>
              </w:rPr>
              <w:t>for a fourth</w:t>
            </w:r>
            <w:r>
              <w:rPr>
                <w:rFonts w:eastAsia="Arial" w:hAnsi="Arial" w:cs="Arial"/>
                <w:spacing w:val="-2"/>
              </w:rPr>
              <w:t xml:space="preserve"> </w:t>
            </w:r>
            <w:r>
              <w:rPr>
                <w:rFonts w:eastAsia="Arial" w:hAnsi="Arial" w:cs="Arial"/>
              </w:rPr>
              <w:t>‘</w:t>
            </w:r>
            <w:r>
              <w:rPr>
                <w:rFonts w:eastAsia="Arial" w:hAnsi="Arial" w:cs="Arial"/>
              </w:rPr>
              <w:t>free to</w:t>
            </w:r>
            <w:r>
              <w:rPr>
                <w:rFonts w:eastAsia="Arial" w:hAnsi="Arial" w:cs="Arial"/>
                <w:spacing w:val="-2"/>
              </w:rPr>
              <w:t xml:space="preserve"> </w:t>
            </w:r>
            <w:r>
              <w:rPr>
                <w:rFonts w:eastAsia="Arial" w:hAnsi="Arial" w:cs="Arial"/>
              </w:rPr>
              <w:t>air</w:t>
            </w:r>
            <w:r>
              <w:rPr>
                <w:rFonts w:eastAsia="Arial" w:hAnsi="Arial" w:cs="Arial"/>
              </w:rPr>
              <w:t>’</w:t>
            </w:r>
            <w:r>
              <w:rPr>
                <w:rFonts w:eastAsia="Arial" w:hAnsi="Arial" w:cs="Arial"/>
                <w:spacing w:val="-2"/>
              </w:rPr>
              <w:t xml:space="preserve"> </w:t>
            </w:r>
            <w:r>
              <w:rPr>
                <w:rFonts w:eastAsia="Arial" w:hAnsi="Arial" w:cs="Arial"/>
              </w:rPr>
              <w:t>television network.</w:t>
            </w:r>
          </w:p>
        </w:tc>
        <w:tc>
          <w:tcPr>
            <w:tcW w:w="883" w:type="pct"/>
            <w:shd w:val="clear" w:color="auto" w:fill="FFFFCC"/>
          </w:tcPr>
          <w:p w14:paraId="0A1B9439" w14:textId="77777777" w:rsidR="00D30A7C" w:rsidRPr="006E170D" w:rsidRDefault="00D61368" w:rsidP="00590B63">
            <w:pPr>
              <w:pStyle w:val="TBLText"/>
            </w:pPr>
            <w:r>
              <w:t>E/c</w:t>
            </w:r>
          </w:p>
        </w:tc>
        <w:tc>
          <w:tcPr>
            <w:tcW w:w="1031" w:type="pct"/>
            <w:shd w:val="clear" w:color="auto" w:fill="FFFFCC"/>
          </w:tcPr>
          <w:p w14:paraId="5F120FBE" w14:textId="77777777" w:rsidR="00D30A7C" w:rsidRPr="006E170D" w:rsidRDefault="00590B63" w:rsidP="00590B63">
            <w:pPr>
              <w:pStyle w:val="TBLText"/>
            </w:pPr>
            <w:r>
              <w:rPr>
                <w:spacing w:val="-2"/>
              </w:rPr>
              <w:t>Mar</w:t>
            </w:r>
            <w:r>
              <w:t xml:space="preserve"> 2013</w:t>
            </w:r>
          </w:p>
        </w:tc>
        <w:tc>
          <w:tcPr>
            <w:tcW w:w="883" w:type="pct"/>
            <w:shd w:val="clear" w:color="auto" w:fill="FFFFCC"/>
          </w:tcPr>
          <w:p w14:paraId="52F2DF56" w14:textId="77777777" w:rsidR="00D30A7C" w:rsidRPr="006E170D" w:rsidRDefault="00590B63" w:rsidP="00590B63">
            <w:pPr>
              <w:pStyle w:val="TBLText"/>
            </w:pPr>
            <w:r>
              <w:rPr>
                <w:spacing w:val="-2"/>
              </w:rPr>
              <w:t>Mar</w:t>
            </w:r>
            <w:r>
              <w:t xml:space="preserve"> 2015</w:t>
            </w:r>
          </w:p>
        </w:tc>
        <w:tc>
          <w:tcPr>
            <w:tcW w:w="732" w:type="pct"/>
            <w:shd w:val="clear" w:color="auto" w:fill="FFFFCC"/>
          </w:tcPr>
          <w:p w14:paraId="4A6ED4FC" w14:textId="77777777" w:rsidR="00D30A7C" w:rsidRPr="006E170D" w:rsidRDefault="00590B63" w:rsidP="00590B63">
            <w:pPr>
              <w:pStyle w:val="TBLText"/>
            </w:pPr>
            <w:r>
              <w:t>Non-compliant</w:t>
            </w:r>
          </w:p>
        </w:tc>
      </w:tr>
      <w:tr w:rsidR="00D30A7C" w14:paraId="15EF9299" w14:textId="77777777" w:rsidTr="00A45C17">
        <w:trPr>
          <w:cantSplit/>
          <w:trHeight w:val="20"/>
        </w:trPr>
        <w:tc>
          <w:tcPr>
            <w:tcW w:w="1472" w:type="pct"/>
            <w:shd w:val="clear" w:color="auto" w:fill="FFFFCC"/>
          </w:tcPr>
          <w:p w14:paraId="720145DB" w14:textId="084EC7CA" w:rsidR="00590B63" w:rsidRPr="001966FA" w:rsidRDefault="00590B63" w:rsidP="00590B63">
            <w:pPr>
              <w:pStyle w:val="TBLText"/>
              <w:rPr>
                <w:rFonts w:eastAsia="Arial" w:hAnsi="Arial" w:cs="Arial"/>
                <w:b/>
              </w:rPr>
            </w:pPr>
            <w:r w:rsidRPr="001966FA">
              <w:rPr>
                <w:b/>
              </w:rPr>
              <w:t>Changes to media ownership and control rules</w:t>
            </w:r>
            <w:r w:rsidR="0097695B">
              <w:rPr>
                <w:b/>
                <w:vertAlign w:val="superscript"/>
              </w:rPr>
              <w:t>b,c</w:t>
            </w:r>
          </w:p>
          <w:p w14:paraId="35E1CC95" w14:textId="77777777" w:rsidR="00D30A7C" w:rsidRPr="006E170D" w:rsidRDefault="00590B63" w:rsidP="00590B63">
            <w:pPr>
              <w:pStyle w:val="TBLText"/>
            </w:pPr>
            <w:r>
              <w:rPr>
                <w:rFonts w:eastAsia="Arial" w:hAnsi="Arial" w:cs="Arial"/>
              </w:rPr>
              <w:t>Remove the</w:t>
            </w:r>
            <w:r>
              <w:rPr>
                <w:rFonts w:eastAsia="Arial" w:hAnsi="Arial" w:cs="Arial"/>
                <w:spacing w:val="1"/>
              </w:rPr>
              <w:t xml:space="preserve"> </w:t>
            </w:r>
            <w:r>
              <w:rPr>
                <w:rFonts w:eastAsia="Arial" w:hAnsi="Arial" w:cs="Arial"/>
              </w:rPr>
              <w:t>’</w:t>
            </w:r>
            <w:r>
              <w:rPr>
                <w:rFonts w:eastAsia="Arial" w:hAnsi="Arial" w:cs="Arial"/>
              </w:rPr>
              <w:t>75 per</w:t>
            </w:r>
            <w:r>
              <w:rPr>
                <w:rFonts w:eastAsia="Arial" w:hAnsi="Arial" w:cs="Arial"/>
                <w:spacing w:val="-3"/>
              </w:rPr>
              <w:t xml:space="preserve"> </w:t>
            </w:r>
            <w:r>
              <w:rPr>
                <w:rFonts w:eastAsia="Arial" w:hAnsi="Arial" w:cs="Arial"/>
              </w:rPr>
              <w:t>cent audience reach rule</w:t>
            </w:r>
            <w:r>
              <w:rPr>
                <w:rFonts w:eastAsia="Arial" w:hAnsi="Arial" w:cs="Arial"/>
              </w:rPr>
              <w:t>’</w:t>
            </w:r>
            <w:r>
              <w:rPr>
                <w:rFonts w:eastAsia="Arial" w:hAnsi="Arial" w:cs="Arial"/>
              </w:rPr>
              <w:t xml:space="preserve"> and</w:t>
            </w:r>
            <w:r>
              <w:rPr>
                <w:rFonts w:eastAsia="Arial" w:hAnsi="Arial" w:cs="Arial"/>
                <w:spacing w:val="31"/>
              </w:rPr>
              <w:t xml:space="preserve"> </w:t>
            </w:r>
            <w:r>
              <w:rPr>
                <w:rFonts w:eastAsia="Arial" w:hAnsi="Arial" w:cs="Arial"/>
              </w:rPr>
              <w:t xml:space="preserve">the </w:t>
            </w:r>
            <w:r>
              <w:rPr>
                <w:rFonts w:eastAsia="Arial" w:hAnsi="Arial" w:cs="Arial"/>
              </w:rPr>
              <w:t>‘</w:t>
            </w:r>
            <w:r>
              <w:rPr>
                <w:rFonts w:eastAsia="Arial" w:hAnsi="Arial" w:cs="Arial"/>
              </w:rPr>
              <w:t>2 out</w:t>
            </w:r>
            <w:r>
              <w:rPr>
                <w:rFonts w:eastAsia="Arial" w:hAnsi="Arial" w:cs="Arial"/>
                <w:spacing w:val="-2"/>
              </w:rPr>
              <w:t xml:space="preserve"> </w:t>
            </w:r>
            <w:r>
              <w:rPr>
                <w:rFonts w:eastAsia="Arial" w:hAnsi="Arial" w:cs="Arial"/>
              </w:rPr>
              <w:t>of 3</w:t>
            </w:r>
            <w:r>
              <w:rPr>
                <w:rFonts w:eastAsia="Arial" w:hAnsi="Arial" w:cs="Arial"/>
              </w:rPr>
              <w:t>’</w:t>
            </w:r>
            <w:r>
              <w:rPr>
                <w:rFonts w:eastAsia="Arial" w:hAnsi="Arial" w:cs="Arial"/>
                <w:spacing w:val="1"/>
              </w:rPr>
              <w:t xml:space="preserve"> </w:t>
            </w:r>
            <w:r>
              <w:rPr>
                <w:rFonts w:eastAsia="Arial" w:hAnsi="Arial" w:cs="Arial"/>
              </w:rPr>
              <w:t>cross-media</w:t>
            </w:r>
            <w:r>
              <w:rPr>
                <w:rFonts w:eastAsia="Arial" w:hAnsi="Arial" w:cs="Arial"/>
                <w:spacing w:val="-2"/>
              </w:rPr>
              <w:t xml:space="preserve"> </w:t>
            </w:r>
            <w:r>
              <w:rPr>
                <w:rFonts w:eastAsia="Arial" w:hAnsi="Arial" w:cs="Arial"/>
              </w:rPr>
              <w:t>control rule.</w:t>
            </w:r>
            <w:r>
              <w:rPr>
                <w:rFonts w:eastAsia="Arial" w:hAnsi="Arial" w:cs="Arial"/>
                <w:spacing w:val="-2"/>
              </w:rPr>
              <w:t xml:space="preserve"> </w:t>
            </w:r>
            <w:r>
              <w:rPr>
                <w:rFonts w:eastAsia="Arial" w:hAnsi="Arial" w:cs="Arial"/>
              </w:rPr>
              <w:t>Introduce</w:t>
            </w:r>
            <w:r>
              <w:rPr>
                <w:rFonts w:eastAsia="Arial" w:hAnsi="Arial" w:cs="Arial"/>
                <w:spacing w:val="43"/>
              </w:rPr>
              <w:t xml:space="preserve"> </w:t>
            </w:r>
            <w:r>
              <w:rPr>
                <w:rFonts w:eastAsia="Arial" w:hAnsi="Arial" w:cs="Arial"/>
              </w:rPr>
              <w:t>new</w:t>
            </w:r>
            <w:r>
              <w:rPr>
                <w:rFonts w:eastAsia="Arial" w:hAnsi="Arial" w:cs="Arial"/>
                <w:spacing w:val="-3"/>
              </w:rPr>
              <w:t xml:space="preserve"> </w:t>
            </w:r>
            <w:r>
              <w:rPr>
                <w:rFonts w:eastAsia="Arial" w:hAnsi="Arial" w:cs="Arial"/>
              </w:rPr>
              <w:t>local</w:t>
            </w:r>
            <w:r>
              <w:rPr>
                <w:rFonts w:eastAsia="Arial" w:hAnsi="Arial" w:cs="Arial"/>
                <w:spacing w:val="-2"/>
              </w:rPr>
              <w:t xml:space="preserve"> </w:t>
            </w:r>
            <w:r>
              <w:rPr>
                <w:rFonts w:eastAsia="Arial" w:hAnsi="Arial" w:cs="Arial"/>
              </w:rPr>
              <w:t>programming obligations</w:t>
            </w:r>
            <w:r>
              <w:rPr>
                <w:rFonts w:eastAsia="Arial" w:hAnsi="Arial" w:cs="Arial"/>
                <w:spacing w:val="-2"/>
              </w:rPr>
              <w:t xml:space="preserve"> </w:t>
            </w:r>
            <w:r>
              <w:rPr>
                <w:rFonts w:eastAsia="Arial" w:hAnsi="Arial" w:cs="Arial"/>
              </w:rPr>
              <w:t>for regional</w:t>
            </w:r>
            <w:r>
              <w:rPr>
                <w:rFonts w:eastAsia="Arial" w:hAnsi="Arial" w:cs="Arial"/>
                <w:spacing w:val="33"/>
              </w:rPr>
              <w:t xml:space="preserve"> </w:t>
            </w:r>
            <w:r>
              <w:rPr>
                <w:rFonts w:eastAsia="Arial" w:hAnsi="Arial" w:cs="Arial"/>
              </w:rPr>
              <w:t>commercial television broadcasting licensees in the</w:t>
            </w:r>
            <w:r>
              <w:rPr>
                <w:rFonts w:eastAsia="Arial" w:hAnsi="Arial" w:cs="Arial"/>
                <w:spacing w:val="51"/>
              </w:rPr>
              <w:t xml:space="preserve"> </w:t>
            </w:r>
            <w:r>
              <w:rPr>
                <w:rFonts w:eastAsia="Arial" w:hAnsi="Arial" w:cs="Arial"/>
              </w:rPr>
              <w:t>event of</w:t>
            </w:r>
            <w:r>
              <w:rPr>
                <w:rFonts w:eastAsia="Arial" w:hAnsi="Arial" w:cs="Arial"/>
                <w:spacing w:val="-2"/>
              </w:rPr>
              <w:t xml:space="preserve"> </w:t>
            </w:r>
            <w:r>
              <w:rPr>
                <w:rFonts w:eastAsia="Arial" w:hAnsi="Arial" w:cs="Arial"/>
              </w:rPr>
              <w:t>a merger.</w:t>
            </w:r>
          </w:p>
        </w:tc>
        <w:tc>
          <w:tcPr>
            <w:tcW w:w="883" w:type="pct"/>
            <w:shd w:val="clear" w:color="auto" w:fill="FFFFCC"/>
          </w:tcPr>
          <w:p w14:paraId="32724ADE" w14:textId="77777777" w:rsidR="00D30A7C" w:rsidRPr="006E170D" w:rsidRDefault="00D61368" w:rsidP="00590B63">
            <w:pPr>
              <w:pStyle w:val="TBLText"/>
            </w:pPr>
            <w:r>
              <w:t>Substantial</w:t>
            </w:r>
            <w:r>
              <w:rPr>
                <w:spacing w:val="28"/>
              </w:rPr>
              <w:t xml:space="preserve"> </w:t>
            </w:r>
            <w:r>
              <w:t>Impact</w:t>
            </w:r>
          </w:p>
        </w:tc>
        <w:tc>
          <w:tcPr>
            <w:tcW w:w="1031" w:type="pct"/>
            <w:shd w:val="clear" w:color="auto" w:fill="FFFFCC"/>
          </w:tcPr>
          <w:p w14:paraId="65AEFF36" w14:textId="77777777" w:rsidR="00D30A7C" w:rsidRPr="006E170D" w:rsidRDefault="00590B63" w:rsidP="00590B63">
            <w:pPr>
              <w:pStyle w:val="TBLText"/>
            </w:pPr>
            <w:r>
              <w:t>Oct 2017</w:t>
            </w:r>
          </w:p>
        </w:tc>
        <w:tc>
          <w:tcPr>
            <w:tcW w:w="883" w:type="pct"/>
            <w:shd w:val="clear" w:color="auto" w:fill="FFFFCC"/>
          </w:tcPr>
          <w:p w14:paraId="0581AF49" w14:textId="77777777" w:rsidR="00D30A7C" w:rsidRPr="006E170D" w:rsidRDefault="00590B63" w:rsidP="00590B63">
            <w:pPr>
              <w:pStyle w:val="TBLText"/>
            </w:pPr>
            <w:r>
              <w:t>Oct 2022</w:t>
            </w:r>
          </w:p>
        </w:tc>
        <w:tc>
          <w:tcPr>
            <w:tcW w:w="732" w:type="pct"/>
            <w:shd w:val="clear" w:color="auto" w:fill="FFFFCC"/>
          </w:tcPr>
          <w:p w14:paraId="5B2E2FE0" w14:textId="0AB1AEB4" w:rsidR="00D30A7C" w:rsidRPr="006E170D" w:rsidRDefault="001937C3" w:rsidP="00630078">
            <w:pPr>
              <w:pStyle w:val="TBLText"/>
            </w:pPr>
            <w:r>
              <w:t>Non-c</w:t>
            </w:r>
            <w:r w:rsidR="00590B63">
              <w:t>ompliant</w:t>
            </w:r>
          </w:p>
        </w:tc>
      </w:tr>
      <w:tr w:rsidR="004E7EE5" w14:paraId="7579BDE0" w14:textId="77777777" w:rsidTr="00A45C17">
        <w:trPr>
          <w:cantSplit/>
          <w:trHeight w:val="20"/>
        </w:trPr>
        <w:tc>
          <w:tcPr>
            <w:tcW w:w="1472" w:type="pct"/>
            <w:shd w:val="clear" w:color="auto" w:fill="FFFFCC"/>
          </w:tcPr>
          <w:p w14:paraId="2A8D701E" w14:textId="77BEFCF7" w:rsidR="00590B63" w:rsidRPr="001966FA" w:rsidRDefault="00590B63" w:rsidP="00590B63">
            <w:pPr>
              <w:pStyle w:val="TBLText"/>
              <w:rPr>
                <w:rFonts w:eastAsia="Arial" w:hAnsi="Arial" w:cs="Arial"/>
                <w:b/>
                <w:sz w:val="12"/>
                <w:szCs w:val="12"/>
              </w:rPr>
            </w:pPr>
            <w:r w:rsidRPr="001966FA">
              <w:rPr>
                <w:b/>
                <w:spacing w:val="-6"/>
              </w:rPr>
              <w:t>Resale</w:t>
            </w:r>
            <w:r w:rsidRPr="001966FA">
              <w:rPr>
                <w:b/>
                <w:spacing w:val="-11"/>
              </w:rPr>
              <w:t xml:space="preserve"> </w:t>
            </w:r>
            <w:r w:rsidRPr="001966FA">
              <w:rPr>
                <w:b/>
                <w:spacing w:val="-5"/>
              </w:rPr>
              <w:t>Royalty</w:t>
            </w:r>
            <w:r w:rsidRPr="001966FA">
              <w:rPr>
                <w:b/>
                <w:spacing w:val="-19"/>
              </w:rPr>
              <w:t xml:space="preserve"> </w:t>
            </w:r>
            <w:r w:rsidRPr="001966FA">
              <w:rPr>
                <w:b/>
                <w:spacing w:val="-5"/>
              </w:rPr>
              <w:t>Right</w:t>
            </w:r>
            <w:r w:rsidRPr="001966FA">
              <w:rPr>
                <w:b/>
                <w:spacing w:val="-12"/>
              </w:rPr>
              <w:t xml:space="preserve"> </w:t>
            </w:r>
            <w:r w:rsidRPr="001966FA">
              <w:rPr>
                <w:b/>
                <w:spacing w:val="-5"/>
              </w:rPr>
              <w:t>for</w:t>
            </w:r>
            <w:r w:rsidRPr="001966FA">
              <w:rPr>
                <w:b/>
                <w:spacing w:val="-13"/>
              </w:rPr>
              <w:t xml:space="preserve"> </w:t>
            </w:r>
            <w:r w:rsidRPr="001966FA">
              <w:rPr>
                <w:b/>
                <w:spacing w:val="-6"/>
              </w:rPr>
              <w:t>Visual</w:t>
            </w:r>
            <w:r w:rsidRPr="001966FA">
              <w:rPr>
                <w:b/>
                <w:spacing w:val="-12"/>
              </w:rPr>
              <w:t xml:space="preserve"> </w:t>
            </w:r>
            <w:r w:rsidRPr="001966FA">
              <w:rPr>
                <w:b/>
                <w:spacing w:val="-6"/>
              </w:rPr>
              <w:t>Artists</w:t>
            </w:r>
            <w:r w:rsidRPr="001966FA">
              <w:rPr>
                <w:b/>
                <w:spacing w:val="-11"/>
              </w:rPr>
              <w:t xml:space="preserve"> </w:t>
            </w:r>
            <w:r w:rsidRPr="001966FA">
              <w:rPr>
                <w:b/>
                <w:spacing w:val="-5"/>
              </w:rPr>
              <w:t>Bill</w:t>
            </w:r>
            <w:r w:rsidRPr="001966FA">
              <w:rPr>
                <w:b/>
                <w:spacing w:val="-14"/>
              </w:rPr>
              <w:t xml:space="preserve"> </w:t>
            </w:r>
            <w:r w:rsidRPr="001966FA">
              <w:rPr>
                <w:b/>
                <w:spacing w:val="-5"/>
              </w:rPr>
              <w:t>2008</w:t>
            </w:r>
            <w:r w:rsidR="0097695B">
              <w:rPr>
                <w:b/>
                <w:spacing w:val="-5"/>
                <w:vertAlign w:val="superscript"/>
              </w:rPr>
              <w:t>c</w:t>
            </w:r>
          </w:p>
          <w:p w14:paraId="0F13066B" w14:textId="77777777" w:rsidR="004E7EE5" w:rsidRPr="006E170D" w:rsidRDefault="00590B63" w:rsidP="00590B63">
            <w:pPr>
              <w:pStyle w:val="TBLText"/>
            </w:pPr>
            <w:r>
              <w:rPr>
                <w:spacing w:val="-6"/>
              </w:rPr>
              <w:t>Establishes</w:t>
            </w:r>
            <w:r>
              <w:rPr>
                <w:spacing w:val="-11"/>
              </w:rPr>
              <w:t xml:space="preserve"> </w:t>
            </w:r>
            <w:r>
              <w:rPr>
                <w:spacing w:val="-4"/>
              </w:rPr>
              <w:t>an</w:t>
            </w:r>
            <w:r>
              <w:rPr>
                <w:spacing w:val="-14"/>
              </w:rPr>
              <w:t xml:space="preserve"> </w:t>
            </w:r>
            <w:r>
              <w:rPr>
                <w:spacing w:val="-6"/>
              </w:rPr>
              <w:t>inalienable</w:t>
            </w:r>
            <w:r>
              <w:rPr>
                <w:spacing w:val="-11"/>
              </w:rPr>
              <w:t xml:space="preserve"> </w:t>
            </w:r>
            <w:r>
              <w:rPr>
                <w:spacing w:val="-6"/>
              </w:rPr>
              <w:t>resale</w:t>
            </w:r>
            <w:r>
              <w:rPr>
                <w:spacing w:val="-11"/>
              </w:rPr>
              <w:t xml:space="preserve"> </w:t>
            </w:r>
            <w:r>
              <w:rPr>
                <w:spacing w:val="-6"/>
              </w:rPr>
              <w:t>royalty</w:t>
            </w:r>
            <w:r>
              <w:rPr>
                <w:spacing w:val="-13"/>
              </w:rPr>
              <w:t xml:space="preserve"> </w:t>
            </w:r>
            <w:r>
              <w:rPr>
                <w:spacing w:val="-6"/>
              </w:rPr>
              <w:t>right</w:t>
            </w:r>
            <w:r>
              <w:rPr>
                <w:spacing w:val="-12"/>
              </w:rPr>
              <w:t xml:space="preserve"> </w:t>
            </w:r>
            <w:r>
              <w:rPr>
                <w:spacing w:val="-4"/>
              </w:rPr>
              <w:t>for</w:t>
            </w:r>
            <w:r>
              <w:rPr>
                <w:spacing w:val="-12"/>
              </w:rPr>
              <w:t xml:space="preserve"> </w:t>
            </w:r>
            <w:r>
              <w:rPr>
                <w:spacing w:val="-6"/>
              </w:rPr>
              <w:t>visual</w:t>
            </w:r>
            <w:r>
              <w:rPr>
                <w:spacing w:val="25"/>
              </w:rPr>
              <w:t xml:space="preserve"> </w:t>
            </w:r>
            <w:r>
              <w:rPr>
                <w:spacing w:val="-6"/>
              </w:rPr>
              <w:t>artists.</w:t>
            </w:r>
          </w:p>
        </w:tc>
        <w:tc>
          <w:tcPr>
            <w:tcW w:w="883" w:type="pct"/>
            <w:shd w:val="clear" w:color="auto" w:fill="FFFFCC"/>
          </w:tcPr>
          <w:p w14:paraId="67E9F057" w14:textId="1E29FDED" w:rsidR="004E7EE5" w:rsidRPr="006E170D" w:rsidRDefault="7CD34B06" w:rsidP="00590B63">
            <w:pPr>
              <w:pStyle w:val="TBLText"/>
            </w:pPr>
            <w:r>
              <w:t>Insufficient</w:t>
            </w:r>
          </w:p>
        </w:tc>
        <w:tc>
          <w:tcPr>
            <w:tcW w:w="1031" w:type="pct"/>
            <w:shd w:val="clear" w:color="auto" w:fill="FFFFCC"/>
          </w:tcPr>
          <w:p w14:paraId="14B61FA9" w14:textId="77777777" w:rsidR="004E7EE5" w:rsidRPr="006E170D" w:rsidRDefault="00590B63" w:rsidP="00590B63">
            <w:pPr>
              <w:pStyle w:val="TBLText"/>
            </w:pPr>
            <w:r>
              <w:t>Jun</w:t>
            </w:r>
            <w:r>
              <w:rPr>
                <w:spacing w:val="-2"/>
              </w:rPr>
              <w:t xml:space="preserve"> </w:t>
            </w:r>
            <w:r>
              <w:t>2010</w:t>
            </w:r>
          </w:p>
        </w:tc>
        <w:tc>
          <w:tcPr>
            <w:tcW w:w="883" w:type="pct"/>
            <w:shd w:val="clear" w:color="auto" w:fill="FFFFCC"/>
          </w:tcPr>
          <w:p w14:paraId="29E95902" w14:textId="77777777" w:rsidR="004E7EE5" w:rsidRPr="006E170D" w:rsidRDefault="00590B63" w:rsidP="00590B63">
            <w:pPr>
              <w:pStyle w:val="TBLText"/>
            </w:pPr>
            <w:r>
              <w:t>Jun</w:t>
            </w:r>
            <w:r>
              <w:rPr>
                <w:spacing w:val="-2"/>
              </w:rPr>
              <w:t xml:space="preserve"> </w:t>
            </w:r>
            <w:r>
              <w:t>2013</w:t>
            </w:r>
          </w:p>
        </w:tc>
        <w:tc>
          <w:tcPr>
            <w:tcW w:w="732" w:type="pct"/>
            <w:shd w:val="clear" w:color="auto" w:fill="FFFFCC"/>
          </w:tcPr>
          <w:p w14:paraId="7808678E" w14:textId="77777777" w:rsidR="004E7EE5" w:rsidRPr="006E170D" w:rsidRDefault="00590B63" w:rsidP="00590B63">
            <w:pPr>
              <w:pStyle w:val="TBLText"/>
            </w:pPr>
            <w:r>
              <w:t>Non-compliant</w:t>
            </w:r>
          </w:p>
        </w:tc>
      </w:tr>
    </w:tbl>
    <w:p w14:paraId="1272CDDA" w14:textId="18A0E0F8" w:rsidR="00CA0A64" w:rsidRDefault="00CA0A64" w:rsidP="00EC1B23">
      <w:pPr>
        <w:pStyle w:val="BodyText"/>
        <w:ind w:left="0" w:right="55"/>
        <w:rPr>
          <w:rStyle w:val="Emphasis"/>
          <w:rFonts w:asciiTheme="minorHAnsi" w:hAnsiTheme="minorHAnsi" w:cstheme="minorHAnsi"/>
          <w:sz w:val="14"/>
        </w:rPr>
      </w:pPr>
      <w:r w:rsidRPr="00487D8E">
        <w:rPr>
          <w:rStyle w:val="Emphasis"/>
          <w:rFonts w:asciiTheme="minorHAnsi" w:hAnsiTheme="minorHAnsi" w:cstheme="minorHAnsi"/>
          <w:sz w:val="14"/>
        </w:rPr>
        <w:t>E/c Exceptional circumstances were granted by the Prime Minister.</w:t>
      </w:r>
    </w:p>
    <w:p w14:paraId="5A762DFD" w14:textId="4BB5E5FC" w:rsidR="00590B63" w:rsidRPr="00487D8E" w:rsidRDefault="0097695B" w:rsidP="00EC1B23">
      <w:pPr>
        <w:pStyle w:val="BodyText"/>
        <w:ind w:left="0" w:right="55"/>
        <w:rPr>
          <w:rStyle w:val="Emphasis"/>
          <w:rFonts w:asciiTheme="minorHAnsi" w:hAnsiTheme="minorHAnsi" w:cstheme="minorHAnsi"/>
          <w:sz w:val="14"/>
        </w:rPr>
      </w:pPr>
      <w:proofErr w:type="spellStart"/>
      <w:proofErr w:type="gramStart"/>
      <w:r>
        <w:rPr>
          <w:rStyle w:val="Emphasis"/>
          <w:rFonts w:asciiTheme="minorHAnsi" w:hAnsiTheme="minorHAnsi" w:cstheme="minorHAnsi"/>
          <w:sz w:val="14"/>
        </w:rPr>
        <w:t>a</w:t>
      </w:r>
      <w:proofErr w:type="spellEnd"/>
      <w:proofErr w:type="gramEnd"/>
      <w:r w:rsidR="00590B63" w:rsidRPr="00487D8E">
        <w:rPr>
          <w:rStyle w:val="Emphasis"/>
          <w:rFonts w:asciiTheme="minorHAnsi" w:hAnsiTheme="minorHAnsi" w:cstheme="minorHAnsi"/>
          <w:sz w:val="14"/>
        </w:rPr>
        <w:t xml:space="preserve"> These matters were originally reported under the Department of Broadband,</w:t>
      </w:r>
      <w:r w:rsidR="00D40FF1" w:rsidRPr="00487D8E">
        <w:rPr>
          <w:rStyle w:val="Emphasis"/>
          <w:rFonts w:asciiTheme="minorHAnsi" w:hAnsiTheme="minorHAnsi" w:cstheme="minorHAnsi"/>
          <w:sz w:val="14"/>
        </w:rPr>
        <w:t xml:space="preserve"> Communications and the Digital </w:t>
      </w:r>
      <w:r w:rsidR="00590B63" w:rsidRPr="00487D8E">
        <w:rPr>
          <w:rStyle w:val="Emphasis"/>
          <w:rFonts w:asciiTheme="minorHAnsi" w:hAnsiTheme="minorHAnsi" w:cstheme="minorHAnsi"/>
          <w:sz w:val="14"/>
        </w:rPr>
        <w:t>Economy.</w:t>
      </w:r>
    </w:p>
    <w:p w14:paraId="02CF273E" w14:textId="61086F82" w:rsidR="00590B63" w:rsidRPr="00487D8E" w:rsidRDefault="0097695B" w:rsidP="00EC1B23">
      <w:pPr>
        <w:pStyle w:val="BodyText"/>
        <w:ind w:left="0" w:right="55"/>
        <w:rPr>
          <w:rStyle w:val="Emphasis"/>
          <w:rFonts w:asciiTheme="minorHAnsi" w:hAnsiTheme="minorHAnsi" w:cstheme="minorHAnsi"/>
          <w:sz w:val="14"/>
        </w:rPr>
      </w:pPr>
      <w:r>
        <w:rPr>
          <w:rStyle w:val="Emphasis"/>
          <w:rFonts w:asciiTheme="minorHAnsi" w:hAnsiTheme="minorHAnsi" w:cstheme="minorHAnsi"/>
          <w:sz w:val="14"/>
        </w:rPr>
        <w:t>b</w:t>
      </w:r>
      <w:r w:rsidR="00590B63" w:rsidRPr="00487D8E">
        <w:rPr>
          <w:rStyle w:val="Emphasis"/>
          <w:rFonts w:asciiTheme="minorHAnsi" w:hAnsiTheme="minorHAnsi" w:cstheme="minorHAnsi"/>
          <w:sz w:val="14"/>
        </w:rPr>
        <w:t xml:space="preserve"> These matters were previously reported under the Attorney-General‘s Department. However, on 20 September 2015 these matters were transferred to the Department of Communications and the Arts.</w:t>
      </w:r>
    </w:p>
    <w:p w14:paraId="581FF6BC" w14:textId="704EC2F4" w:rsidR="006D3127" w:rsidRPr="00487D8E" w:rsidRDefault="0097695B" w:rsidP="00EC1B23">
      <w:pPr>
        <w:pStyle w:val="BodyText"/>
        <w:ind w:left="0" w:right="55"/>
        <w:rPr>
          <w:rStyle w:val="Emphasis"/>
          <w:rFonts w:asciiTheme="minorHAnsi" w:hAnsiTheme="minorHAnsi" w:cstheme="minorHAnsi"/>
          <w:i/>
          <w:sz w:val="14"/>
        </w:rPr>
      </w:pPr>
      <w:proofErr w:type="gramStart"/>
      <w:r>
        <w:rPr>
          <w:rStyle w:val="Emphasis"/>
          <w:rFonts w:asciiTheme="minorHAnsi" w:hAnsiTheme="minorHAnsi" w:cstheme="minorHAnsi"/>
          <w:sz w:val="14"/>
        </w:rPr>
        <w:lastRenderedPageBreak/>
        <w:t>c</w:t>
      </w:r>
      <w:proofErr w:type="gramEnd"/>
      <w:r w:rsidR="006D3127" w:rsidRPr="00487D8E">
        <w:rPr>
          <w:rStyle w:val="Emphasis"/>
          <w:rFonts w:asciiTheme="minorHAnsi" w:hAnsiTheme="minorHAnsi" w:cstheme="minorHAnsi"/>
          <w:sz w:val="14"/>
        </w:rPr>
        <w:t xml:space="preserve"> Responsibility for these PIRs has subsequently moved to Department of Infrastructure, Transport, Regional Development, Communications and the Arts, following the machinery of Government changes brining communications and the Arts into that Department in July 2022.</w:t>
      </w:r>
    </w:p>
    <w:p w14:paraId="42E130EC" w14:textId="48EE3021" w:rsidR="00A50E71" w:rsidRPr="00A50E71" w:rsidRDefault="00A50E71" w:rsidP="00A50E71">
      <w:pPr>
        <w:pStyle w:val="Heading2"/>
      </w:pPr>
      <w:bookmarkStart w:id="15" w:name="_Toc171679582"/>
      <w:bookmarkStart w:id="16" w:name="_Toc210227745"/>
      <w:r>
        <w:t>Department of Employment and Workplace Relations</w:t>
      </w:r>
      <w:bookmarkEnd w:id="15"/>
      <w:bookmarkEnd w:id="16"/>
    </w:p>
    <w:p w14:paraId="38689F02" w14:textId="08CC09F5" w:rsidR="00A50E71" w:rsidRPr="00774646" w:rsidRDefault="003F5A9A" w:rsidP="00A50E71">
      <w:pPr>
        <w:pStyle w:val="Figure"/>
        <w:numPr>
          <w:ilvl w:val="0"/>
          <w:numId w:val="0"/>
        </w:numPr>
      </w:pPr>
      <w:r>
        <w:t xml:space="preserve">Table </w:t>
      </w:r>
      <w:r>
        <w:fldChar w:fldCharType="begin"/>
      </w:r>
      <w:r>
        <w:instrText xml:space="preserve"> SEQ Table \* ARABIC </w:instrText>
      </w:r>
      <w:r>
        <w:fldChar w:fldCharType="separate"/>
      </w:r>
      <w:r>
        <w:t>6</w:t>
      </w:r>
      <w:r>
        <w:fldChar w:fldCharType="end"/>
      </w:r>
      <w:r>
        <w:t xml:space="preserve">. </w:t>
      </w:r>
      <w:r w:rsidRPr="00E567B6">
        <w:t>Department of Employment and Workplace Relations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6. Department of Employment and Workplace Relations"/>
        <w:tblDescription w:val="Figure 6. Department of Employment and Workplace Relations"/>
      </w:tblPr>
      <w:tblGrid>
        <w:gridCol w:w="2934"/>
        <w:gridCol w:w="1760"/>
        <w:gridCol w:w="2055"/>
        <w:gridCol w:w="1760"/>
        <w:gridCol w:w="1459"/>
      </w:tblGrid>
      <w:tr w:rsidR="00A50E71" w14:paraId="79B3812F" w14:textId="77777777" w:rsidTr="00A45C17">
        <w:trPr>
          <w:cnfStyle w:val="100000000000" w:firstRow="1" w:lastRow="0" w:firstColumn="0" w:lastColumn="0" w:oddVBand="0" w:evenVBand="0" w:oddHBand="0" w:evenHBand="0" w:firstRowFirstColumn="0" w:firstRowLastColumn="0" w:lastRowFirstColumn="0" w:lastRowLastColumn="0"/>
          <w:cantSplit/>
          <w:trHeight w:val="20"/>
          <w:tblHeader/>
        </w:trPr>
        <w:tc>
          <w:tcPr>
            <w:tcW w:w="1471" w:type="pct"/>
            <w:tcBorders>
              <w:top w:val="none" w:sz="0" w:space="0" w:color="auto"/>
              <w:left w:val="none" w:sz="0" w:space="0" w:color="auto"/>
              <w:bottom w:val="none" w:sz="0" w:space="0" w:color="auto"/>
            </w:tcBorders>
          </w:tcPr>
          <w:p w14:paraId="20A8DCC1" w14:textId="77777777" w:rsidR="00A50E71" w:rsidRDefault="00A50E71" w:rsidP="007940F6">
            <w:pPr>
              <w:pStyle w:val="TBLHeading"/>
            </w:pPr>
            <w:r>
              <w:t>Title of regulatory proposal</w:t>
            </w:r>
          </w:p>
          <w:p w14:paraId="0929A777" w14:textId="77777777" w:rsidR="00A50E71" w:rsidRPr="006E170D" w:rsidRDefault="00A50E71" w:rsidP="007940F6">
            <w:pPr>
              <w:pStyle w:val="TBLHeading"/>
            </w:pPr>
            <w:r>
              <w:t>Description of regulatory proposal</w:t>
            </w:r>
          </w:p>
        </w:tc>
        <w:tc>
          <w:tcPr>
            <w:tcW w:w="883" w:type="pct"/>
            <w:tcBorders>
              <w:top w:val="none" w:sz="0" w:space="0" w:color="auto"/>
              <w:bottom w:val="none" w:sz="0" w:space="0" w:color="auto"/>
            </w:tcBorders>
          </w:tcPr>
          <w:p w14:paraId="1E0A416C" w14:textId="77777777" w:rsidR="00A50E71" w:rsidRDefault="00A50E71" w:rsidP="007940F6">
            <w:pPr>
              <w:pStyle w:val="TBLHeading"/>
            </w:pPr>
            <w:r>
              <w:t xml:space="preserve">Reason </w:t>
            </w:r>
          </w:p>
          <w:p w14:paraId="0A7C80C3" w14:textId="77777777" w:rsidR="00A50E71" w:rsidRPr="006E170D" w:rsidRDefault="00A50E71" w:rsidP="007940F6">
            <w:pPr>
              <w:pStyle w:val="TBLHeading"/>
            </w:pPr>
            <w:r>
              <w:t>for PIR</w:t>
            </w:r>
          </w:p>
        </w:tc>
        <w:tc>
          <w:tcPr>
            <w:tcW w:w="1031" w:type="pct"/>
            <w:tcBorders>
              <w:top w:val="none" w:sz="0" w:space="0" w:color="auto"/>
              <w:bottom w:val="none" w:sz="0" w:space="0" w:color="auto"/>
            </w:tcBorders>
          </w:tcPr>
          <w:p w14:paraId="656478FA" w14:textId="77777777" w:rsidR="00A50E71" w:rsidRDefault="00A50E71" w:rsidP="007940F6">
            <w:pPr>
              <w:pStyle w:val="TBLHeading"/>
            </w:pPr>
            <w:r>
              <w:t xml:space="preserve">Implementation </w:t>
            </w:r>
          </w:p>
          <w:p w14:paraId="5A81FB3E" w14:textId="77777777" w:rsidR="00A50E71" w:rsidRPr="006E170D" w:rsidRDefault="00A50E71" w:rsidP="007940F6">
            <w:pPr>
              <w:pStyle w:val="TBLHeading"/>
            </w:pPr>
            <w:r>
              <w:t>date</w:t>
            </w:r>
          </w:p>
        </w:tc>
        <w:tc>
          <w:tcPr>
            <w:tcW w:w="883" w:type="pct"/>
            <w:tcBorders>
              <w:top w:val="none" w:sz="0" w:space="0" w:color="auto"/>
              <w:bottom w:val="none" w:sz="0" w:space="0" w:color="auto"/>
            </w:tcBorders>
          </w:tcPr>
          <w:p w14:paraId="47904CFE" w14:textId="77777777" w:rsidR="00A50E71" w:rsidRPr="006E170D" w:rsidRDefault="00A50E71" w:rsidP="007940F6">
            <w:pPr>
              <w:pStyle w:val="TBLHeading"/>
            </w:pPr>
            <w:r>
              <w:t>Due date</w:t>
            </w:r>
          </w:p>
        </w:tc>
        <w:tc>
          <w:tcPr>
            <w:tcW w:w="732" w:type="pct"/>
            <w:tcBorders>
              <w:top w:val="none" w:sz="0" w:space="0" w:color="auto"/>
              <w:bottom w:val="none" w:sz="0" w:space="0" w:color="auto"/>
              <w:right w:val="none" w:sz="0" w:space="0" w:color="auto"/>
            </w:tcBorders>
          </w:tcPr>
          <w:p w14:paraId="05E69374" w14:textId="77777777" w:rsidR="00A50E71" w:rsidRPr="006E170D" w:rsidRDefault="00A50E71" w:rsidP="007940F6">
            <w:pPr>
              <w:pStyle w:val="TBLHeading"/>
            </w:pPr>
            <w:r>
              <w:t>PIR compliance</w:t>
            </w:r>
          </w:p>
        </w:tc>
      </w:tr>
      <w:tr w:rsidR="00A50E71" w14:paraId="07E176F5" w14:textId="77777777" w:rsidTr="00A45C17">
        <w:trPr>
          <w:cantSplit/>
          <w:trHeight w:val="20"/>
        </w:trPr>
        <w:tc>
          <w:tcPr>
            <w:tcW w:w="1471" w:type="pct"/>
          </w:tcPr>
          <w:p w14:paraId="1F5481FE" w14:textId="77777777" w:rsidR="00A50E71" w:rsidRPr="00A50E71" w:rsidRDefault="00A50E71" w:rsidP="007940F6">
            <w:pPr>
              <w:pStyle w:val="TBLText"/>
              <w:rPr>
                <w:b/>
              </w:rPr>
            </w:pPr>
            <w:r w:rsidRPr="00A50E71">
              <w:rPr>
                <w:b/>
              </w:rPr>
              <w:t>Fair Work Legislation Amendment (Secure Jobs, Better Pay) Bill</w:t>
            </w:r>
          </w:p>
          <w:p w14:paraId="3D6B4656" w14:textId="74846433" w:rsidR="00A50E71" w:rsidRPr="00A50E71" w:rsidRDefault="00E37295" w:rsidP="007940F6">
            <w:pPr>
              <w:pStyle w:val="TBLText"/>
              <w:rPr>
                <w:highlight w:val="yellow"/>
              </w:rPr>
            </w:pPr>
            <w:r w:rsidRPr="00E37295">
              <w:t xml:space="preserve">A package of measures that implemented enterprise bargaining outcomes from the Australian Jobs and Skills Summit by amending the </w:t>
            </w:r>
            <w:r w:rsidRPr="0097695B">
              <w:rPr>
                <w:i/>
              </w:rPr>
              <w:t>Fair Work Act (2009)</w:t>
            </w:r>
            <w:r w:rsidRPr="00E37295">
              <w:t>.</w:t>
            </w:r>
          </w:p>
        </w:tc>
        <w:tc>
          <w:tcPr>
            <w:tcW w:w="883" w:type="pct"/>
          </w:tcPr>
          <w:p w14:paraId="57761700" w14:textId="688DA9D9" w:rsidR="00A50E71" w:rsidRPr="00E37295" w:rsidRDefault="00E37295" w:rsidP="007940F6">
            <w:pPr>
              <w:pStyle w:val="TBLText"/>
            </w:pPr>
            <w:r w:rsidRPr="00E37295">
              <w:t>S</w:t>
            </w:r>
            <w:r>
              <w:t>ubstantial Im</w:t>
            </w:r>
            <w:r w:rsidRPr="00E37295">
              <w:t>pact</w:t>
            </w:r>
          </w:p>
        </w:tc>
        <w:tc>
          <w:tcPr>
            <w:tcW w:w="1031" w:type="pct"/>
          </w:tcPr>
          <w:p w14:paraId="685D38F5" w14:textId="151C3295" w:rsidR="00A50E71" w:rsidRPr="00E37295" w:rsidRDefault="00A50E71" w:rsidP="00A50E71">
            <w:pPr>
              <w:pStyle w:val="TBLText"/>
            </w:pPr>
            <w:r w:rsidRPr="00E37295">
              <w:t>Dec 2022</w:t>
            </w:r>
          </w:p>
        </w:tc>
        <w:tc>
          <w:tcPr>
            <w:tcW w:w="883" w:type="pct"/>
          </w:tcPr>
          <w:p w14:paraId="5B5F06AA" w14:textId="3F4BF4B8" w:rsidR="00A50E71" w:rsidRPr="00E37295" w:rsidRDefault="00E37295" w:rsidP="007940F6">
            <w:pPr>
              <w:pStyle w:val="TBLText"/>
            </w:pPr>
            <w:r w:rsidRPr="00E37295">
              <w:t>Dec 2027</w:t>
            </w:r>
          </w:p>
        </w:tc>
        <w:tc>
          <w:tcPr>
            <w:tcW w:w="732" w:type="pct"/>
          </w:tcPr>
          <w:p w14:paraId="678F84AB" w14:textId="77777777" w:rsidR="00A50E71" w:rsidRPr="00E37295" w:rsidRDefault="00A50E71" w:rsidP="007940F6">
            <w:pPr>
              <w:pStyle w:val="TBLText"/>
            </w:pPr>
            <w:r w:rsidRPr="00E37295">
              <w:t>Compliant</w:t>
            </w:r>
          </w:p>
        </w:tc>
      </w:tr>
    </w:tbl>
    <w:p w14:paraId="32AABEBE" w14:textId="177A1E18" w:rsidR="00D30A7C" w:rsidRDefault="00D30A7C" w:rsidP="00D30A7C">
      <w:pPr>
        <w:pStyle w:val="Heading2"/>
      </w:pPr>
      <w:bookmarkStart w:id="17" w:name="_Toc171679583"/>
      <w:bookmarkStart w:id="18" w:name="_Toc210227746"/>
      <w:r>
        <w:t>Department of Foreign Affairs and Trade</w:t>
      </w:r>
      <w:bookmarkEnd w:id="17"/>
      <w:bookmarkEnd w:id="18"/>
    </w:p>
    <w:p w14:paraId="5B64477A" w14:textId="2E36D09A" w:rsidR="00141AA6" w:rsidRPr="00774646" w:rsidRDefault="003F5A9A" w:rsidP="002617B8">
      <w:pPr>
        <w:pStyle w:val="Figure"/>
        <w:numPr>
          <w:ilvl w:val="0"/>
          <w:numId w:val="0"/>
        </w:numPr>
      </w:pPr>
      <w:r>
        <w:t xml:space="preserve">Table </w:t>
      </w:r>
      <w:r>
        <w:fldChar w:fldCharType="begin"/>
      </w:r>
      <w:r>
        <w:instrText xml:space="preserve"> SEQ Table \* ARABIC </w:instrText>
      </w:r>
      <w:r>
        <w:fldChar w:fldCharType="separate"/>
      </w:r>
      <w:r>
        <w:t>7</w:t>
      </w:r>
      <w:r>
        <w:fldChar w:fldCharType="end"/>
      </w:r>
      <w:r>
        <w:t xml:space="preserve">. </w:t>
      </w:r>
      <w:r w:rsidRPr="00B84EB8">
        <w:t>Department of Foreign Affairs and Trade</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7. Department of Foreign Affairs and Trade"/>
        <w:tblDescription w:val="Figure 7. Department of Foreign Affairs and Trade"/>
      </w:tblPr>
      <w:tblGrid>
        <w:gridCol w:w="2938"/>
        <w:gridCol w:w="1760"/>
        <w:gridCol w:w="2055"/>
        <w:gridCol w:w="1760"/>
        <w:gridCol w:w="1455"/>
      </w:tblGrid>
      <w:tr w:rsidR="00D30A7C" w14:paraId="0FEEA24B" w14:textId="77777777" w:rsidTr="00A45C17">
        <w:trPr>
          <w:cnfStyle w:val="100000000000" w:firstRow="1" w:lastRow="0" w:firstColumn="0" w:lastColumn="0" w:oddVBand="0" w:evenVBand="0" w:oddHBand="0" w:evenHBand="0" w:firstRowFirstColumn="0" w:firstRowLastColumn="0" w:lastRowFirstColumn="0" w:lastRowLastColumn="0"/>
          <w:cantSplit/>
          <w:trHeight w:val="20"/>
          <w:tblHeader/>
        </w:trPr>
        <w:tc>
          <w:tcPr>
            <w:tcW w:w="1473" w:type="pct"/>
            <w:tcBorders>
              <w:top w:val="none" w:sz="0" w:space="0" w:color="auto"/>
              <w:left w:val="none" w:sz="0" w:space="0" w:color="auto"/>
              <w:bottom w:val="none" w:sz="0" w:space="0" w:color="auto"/>
            </w:tcBorders>
          </w:tcPr>
          <w:p w14:paraId="311705F6" w14:textId="77777777" w:rsidR="004E7EE5" w:rsidRDefault="004E7EE5" w:rsidP="004E7EE5">
            <w:pPr>
              <w:pStyle w:val="TBLHeading"/>
            </w:pPr>
            <w:r>
              <w:t>Title of regulatory proposal</w:t>
            </w:r>
          </w:p>
          <w:p w14:paraId="5B4C84C2" w14:textId="77777777" w:rsidR="00D30A7C" w:rsidRPr="006E170D" w:rsidRDefault="004E7EE5" w:rsidP="004E7EE5">
            <w:pPr>
              <w:pStyle w:val="TBLHeading"/>
            </w:pPr>
            <w:r>
              <w:t>Description of regulatory proposal</w:t>
            </w:r>
          </w:p>
        </w:tc>
        <w:tc>
          <w:tcPr>
            <w:tcW w:w="883" w:type="pct"/>
            <w:tcBorders>
              <w:top w:val="none" w:sz="0" w:space="0" w:color="auto"/>
              <w:bottom w:val="none" w:sz="0" w:space="0" w:color="auto"/>
            </w:tcBorders>
          </w:tcPr>
          <w:p w14:paraId="218DF0E0" w14:textId="77777777" w:rsidR="00F31809" w:rsidRDefault="00F31809" w:rsidP="00F31809">
            <w:pPr>
              <w:pStyle w:val="TBLHeading"/>
            </w:pPr>
            <w:r>
              <w:t xml:space="preserve">Reason </w:t>
            </w:r>
          </w:p>
          <w:p w14:paraId="5D5E9884" w14:textId="77777777" w:rsidR="00D30A7C" w:rsidRPr="006E170D" w:rsidRDefault="00F31809" w:rsidP="00F31809">
            <w:pPr>
              <w:pStyle w:val="TBLHeading"/>
            </w:pPr>
            <w:r>
              <w:t>for PIR</w:t>
            </w:r>
          </w:p>
        </w:tc>
        <w:tc>
          <w:tcPr>
            <w:tcW w:w="1031" w:type="pct"/>
            <w:tcBorders>
              <w:top w:val="none" w:sz="0" w:space="0" w:color="auto"/>
              <w:bottom w:val="none" w:sz="0" w:space="0" w:color="auto"/>
            </w:tcBorders>
          </w:tcPr>
          <w:p w14:paraId="110DE350" w14:textId="77777777" w:rsidR="00F31809" w:rsidRDefault="00F31809" w:rsidP="00F31809">
            <w:pPr>
              <w:pStyle w:val="TBLHeading"/>
            </w:pPr>
            <w:r>
              <w:t xml:space="preserve">Implementation </w:t>
            </w:r>
          </w:p>
          <w:p w14:paraId="5CD621FE" w14:textId="77777777" w:rsidR="00D30A7C" w:rsidRPr="006E170D" w:rsidRDefault="00F31809" w:rsidP="00F31809">
            <w:pPr>
              <w:pStyle w:val="TBLHeading"/>
            </w:pPr>
            <w:r>
              <w:t>date</w:t>
            </w:r>
          </w:p>
        </w:tc>
        <w:tc>
          <w:tcPr>
            <w:tcW w:w="883" w:type="pct"/>
            <w:tcBorders>
              <w:top w:val="none" w:sz="0" w:space="0" w:color="auto"/>
              <w:bottom w:val="none" w:sz="0" w:space="0" w:color="auto"/>
            </w:tcBorders>
          </w:tcPr>
          <w:p w14:paraId="1DE2F461" w14:textId="77777777" w:rsidR="00D30A7C" w:rsidRPr="006E170D" w:rsidRDefault="00F31809" w:rsidP="00DF7E63">
            <w:pPr>
              <w:pStyle w:val="TBLHeading"/>
            </w:pPr>
            <w:r>
              <w:t>Due date</w:t>
            </w:r>
          </w:p>
        </w:tc>
        <w:tc>
          <w:tcPr>
            <w:tcW w:w="731" w:type="pct"/>
            <w:tcBorders>
              <w:top w:val="none" w:sz="0" w:space="0" w:color="auto"/>
              <w:bottom w:val="none" w:sz="0" w:space="0" w:color="auto"/>
              <w:right w:val="none" w:sz="0" w:space="0" w:color="auto"/>
            </w:tcBorders>
          </w:tcPr>
          <w:p w14:paraId="26C5DE51" w14:textId="77777777" w:rsidR="00D30A7C" w:rsidRPr="006E170D" w:rsidRDefault="00F31809" w:rsidP="00DF7E63">
            <w:pPr>
              <w:pStyle w:val="TBLHeading"/>
            </w:pPr>
            <w:r>
              <w:t>PIR compliance</w:t>
            </w:r>
          </w:p>
        </w:tc>
      </w:tr>
      <w:tr w:rsidR="005B429B" w14:paraId="7F4F9A1C" w14:textId="77777777" w:rsidTr="00A45C17">
        <w:trPr>
          <w:cantSplit/>
          <w:trHeight w:val="20"/>
        </w:trPr>
        <w:tc>
          <w:tcPr>
            <w:tcW w:w="1473" w:type="pct"/>
          </w:tcPr>
          <w:p w14:paraId="1BD274E5" w14:textId="77777777" w:rsidR="005B429B" w:rsidRPr="005B429B" w:rsidRDefault="005B429B" w:rsidP="005B429B">
            <w:pPr>
              <w:pStyle w:val="TBLText"/>
              <w:rPr>
                <w:b/>
              </w:rPr>
            </w:pPr>
            <w:r w:rsidRPr="005B429B">
              <w:rPr>
                <w:b/>
              </w:rPr>
              <w:t>Australia-United Kingdom Free Trade Agreement</w:t>
            </w:r>
          </w:p>
          <w:p w14:paraId="4525257F" w14:textId="73DB45BD" w:rsidR="005B429B" w:rsidRPr="005B429B" w:rsidRDefault="005B429B" w:rsidP="005B429B">
            <w:pPr>
              <w:pStyle w:val="TBLText"/>
            </w:pPr>
            <w:r w:rsidRPr="005B429B">
              <w:t>Comprehensive FTA that drives increased trade in goods and services, two-way investment, economic growth and job creation.</w:t>
            </w:r>
          </w:p>
        </w:tc>
        <w:tc>
          <w:tcPr>
            <w:tcW w:w="883" w:type="pct"/>
          </w:tcPr>
          <w:p w14:paraId="3D1C40FE" w14:textId="764BC675" w:rsidR="005B429B" w:rsidRDefault="005B429B" w:rsidP="00651F43">
            <w:pPr>
              <w:pStyle w:val="TBLText"/>
            </w:pPr>
            <w:r>
              <w:t>Substantial</w:t>
            </w:r>
            <w:r>
              <w:rPr>
                <w:spacing w:val="28"/>
              </w:rPr>
              <w:t xml:space="preserve"> </w:t>
            </w:r>
            <w:r>
              <w:t>Impact</w:t>
            </w:r>
          </w:p>
        </w:tc>
        <w:tc>
          <w:tcPr>
            <w:tcW w:w="1031" w:type="pct"/>
          </w:tcPr>
          <w:p w14:paraId="7FF63187" w14:textId="6A79F28F" w:rsidR="005B429B" w:rsidRDefault="005B429B" w:rsidP="00651F43">
            <w:pPr>
              <w:pStyle w:val="TBLText"/>
            </w:pPr>
            <w:r>
              <w:t>Dec 2021</w:t>
            </w:r>
          </w:p>
        </w:tc>
        <w:tc>
          <w:tcPr>
            <w:tcW w:w="883" w:type="pct"/>
          </w:tcPr>
          <w:p w14:paraId="22D6FF68" w14:textId="3708A34C" w:rsidR="005B429B" w:rsidRDefault="005B429B" w:rsidP="00651F43">
            <w:pPr>
              <w:pStyle w:val="TBLText"/>
            </w:pPr>
            <w:r>
              <w:t>Dec 2026</w:t>
            </w:r>
          </w:p>
        </w:tc>
        <w:tc>
          <w:tcPr>
            <w:tcW w:w="731" w:type="pct"/>
          </w:tcPr>
          <w:p w14:paraId="2D10F9E5" w14:textId="3B692806" w:rsidR="005B429B" w:rsidRDefault="005B429B" w:rsidP="00651F43">
            <w:pPr>
              <w:pStyle w:val="TBLText"/>
            </w:pPr>
            <w:r>
              <w:t>Compliant</w:t>
            </w:r>
          </w:p>
        </w:tc>
      </w:tr>
    </w:tbl>
    <w:p w14:paraId="6F570AB3" w14:textId="4D4A6CE6" w:rsidR="006A5AA6" w:rsidRDefault="00D30A7C" w:rsidP="00E35D5A">
      <w:pPr>
        <w:pStyle w:val="Heading2"/>
        <w:ind w:right="57"/>
        <w:rPr>
          <w:noProof/>
        </w:rPr>
      </w:pPr>
      <w:bookmarkStart w:id="19" w:name="_Toc171679584"/>
      <w:bookmarkStart w:id="20" w:name="_Toc210227747"/>
      <w:r w:rsidRPr="2F9A60E7">
        <w:rPr>
          <w:noProof/>
        </w:rPr>
        <w:t>Department of Home Affairs</w:t>
      </w:r>
      <w:bookmarkEnd w:id="19"/>
      <w:bookmarkEnd w:id="20"/>
    </w:p>
    <w:p w14:paraId="79425FA6" w14:textId="34F3524A" w:rsidR="00141AA6" w:rsidRPr="00774646" w:rsidRDefault="003F5A9A" w:rsidP="002617B8">
      <w:pPr>
        <w:pStyle w:val="Figure"/>
        <w:numPr>
          <w:ilvl w:val="0"/>
          <w:numId w:val="0"/>
        </w:numPr>
      </w:pPr>
      <w:r>
        <w:t xml:space="preserve">Table </w:t>
      </w:r>
      <w:r>
        <w:fldChar w:fldCharType="begin"/>
      </w:r>
      <w:r>
        <w:instrText xml:space="preserve"> SEQ Table \* ARABIC </w:instrText>
      </w:r>
      <w:r>
        <w:fldChar w:fldCharType="separate"/>
      </w:r>
      <w:r>
        <w:t>8</w:t>
      </w:r>
      <w:r>
        <w:fldChar w:fldCharType="end"/>
      </w:r>
      <w:r>
        <w:t xml:space="preserve">. </w:t>
      </w:r>
      <w:r w:rsidRPr="00DA429F">
        <w:t>Department of Home Affairs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8. Department of Home Affairs"/>
        <w:tblDescription w:val="Figure 8. Department of Home Affairs"/>
      </w:tblPr>
      <w:tblGrid>
        <w:gridCol w:w="2936"/>
        <w:gridCol w:w="1760"/>
        <w:gridCol w:w="2055"/>
        <w:gridCol w:w="1760"/>
        <w:gridCol w:w="1457"/>
      </w:tblGrid>
      <w:tr w:rsidR="00D30A7C" w14:paraId="50BE6090" w14:textId="77777777" w:rsidTr="00A45C17">
        <w:trPr>
          <w:cnfStyle w:val="100000000000" w:firstRow="1" w:lastRow="0" w:firstColumn="0" w:lastColumn="0" w:oddVBand="0" w:evenVBand="0" w:oddHBand="0" w:evenHBand="0" w:firstRowFirstColumn="0" w:firstRowLastColumn="0" w:lastRowFirstColumn="0" w:lastRowLastColumn="0"/>
          <w:cantSplit/>
          <w:trHeight w:val="20"/>
          <w:tblHeader/>
        </w:trPr>
        <w:tc>
          <w:tcPr>
            <w:tcW w:w="1472" w:type="pct"/>
            <w:tcBorders>
              <w:top w:val="none" w:sz="0" w:space="0" w:color="auto"/>
              <w:left w:val="none" w:sz="0" w:space="0" w:color="auto"/>
              <w:bottom w:val="none" w:sz="0" w:space="0" w:color="auto"/>
            </w:tcBorders>
          </w:tcPr>
          <w:p w14:paraId="025C4F6E" w14:textId="77777777" w:rsidR="004E7EE5" w:rsidRDefault="004E7EE5" w:rsidP="004E7EE5">
            <w:pPr>
              <w:pStyle w:val="TBLHeading"/>
            </w:pPr>
            <w:r>
              <w:t>Title of regulatory proposal</w:t>
            </w:r>
          </w:p>
          <w:p w14:paraId="2A5FE6A2" w14:textId="77777777" w:rsidR="00D30A7C" w:rsidRPr="006E170D" w:rsidRDefault="004E7EE5" w:rsidP="004E7EE5">
            <w:pPr>
              <w:pStyle w:val="TBLHeading"/>
            </w:pPr>
            <w:r>
              <w:t>Description of regulatory proposal</w:t>
            </w:r>
          </w:p>
        </w:tc>
        <w:tc>
          <w:tcPr>
            <w:tcW w:w="883" w:type="pct"/>
            <w:tcBorders>
              <w:top w:val="none" w:sz="0" w:space="0" w:color="auto"/>
              <w:bottom w:val="none" w:sz="0" w:space="0" w:color="auto"/>
            </w:tcBorders>
          </w:tcPr>
          <w:p w14:paraId="3C1FAD1F" w14:textId="77777777" w:rsidR="00F31809" w:rsidRDefault="00F31809" w:rsidP="00F31809">
            <w:pPr>
              <w:pStyle w:val="TBLHeading"/>
            </w:pPr>
            <w:r>
              <w:t xml:space="preserve">Reason </w:t>
            </w:r>
          </w:p>
          <w:p w14:paraId="264147B1" w14:textId="77777777" w:rsidR="00D30A7C" w:rsidRPr="006E170D" w:rsidRDefault="00F31809" w:rsidP="00F31809">
            <w:pPr>
              <w:pStyle w:val="TBLHeading"/>
            </w:pPr>
            <w:r>
              <w:t>for PIR</w:t>
            </w:r>
          </w:p>
        </w:tc>
        <w:tc>
          <w:tcPr>
            <w:tcW w:w="1031" w:type="pct"/>
            <w:tcBorders>
              <w:top w:val="none" w:sz="0" w:space="0" w:color="auto"/>
              <w:bottom w:val="none" w:sz="0" w:space="0" w:color="auto"/>
            </w:tcBorders>
          </w:tcPr>
          <w:p w14:paraId="31682B71" w14:textId="77777777" w:rsidR="00F31809" w:rsidRDefault="00F31809" w:rsidP="00F31809">
            <w:pPr>
              <w:pStyle w:val="TBLHeading"/>
            </w:pPr>
            <w:r>
              <w:t xml:space="preserve">Implementation </w:t>
            </w:r>
          </w:p>
          <w:p w14:paraId="0457553D" w14:textId="77777777" w:rsidR="00D30A7C" w:rsidRPr="006E170D" w:rsidRDefault="00F31809" w:rsidP="00F31809">
            <w:pPr>
              <w:pStyle w:val="TBLHeading"/>
            </w:pPr>
            <w:r>
              <w:t>date</w:t>
            </w:r>
          </w:p>
        </w:tc>
        <w:tc>
          <w:tcPr>
            <w:tcW w:w="883" w:type="pct"/>
            <w:tcBorders>
              <w:top w:val="none" w:sz="0" w:space="0" w:color="auto"/>
              <w:bottom w:val="none" w:sz="0" w:space="0" w:color="auto"/>
            </w:tcBorders>
          </w:tcPr>
          <w:p w14:paraId="256DA7B4" w14:textId="77777777" w:rsidR="00D30A7C" w:rsidRPr="006E170D" w:rsidRDefault="00F31809" w:rsidP="00DF7E63">
            <w:pPr>
              <w:pStyle w:val="TBLHeading"/>
            </w:pPr>
            <w:r>
              <w:t>Due date</w:t>
            </w:r>
          </w:p>
        </w:tc>
        <w:tc>
          <w:tcPr>
            <w:tcW w:w="732" w:type="pct"/>
            <w:tcBorders>
              <w:top w:val="none" w:sz="0" w:space="0" w:color="auto"/>
              <w:bottom w:val="none" w:sz="0" w:space="0" w:color="auto"/>
              <w:right w:val="none" w:sz="0" w:space="0" w:color="auto"/>
            </w:tcBorders>
          </w:tcPr>
          <w:p w14:paraId="7AC7741C" w14:textId="77777777" w:rsidR="00D30A7C" w:rsidRPr="006E170D" w:rsidRDefault="00F31809" w:rsidP="00DF7E63">
            <w:pPr>
              <w:pStyle w:val="TBLHeading"/>
            </w:pPr>
            <w:r>
              <w:t>PIR compliance</w:t>
            </w:r>
          </w:p>
        </w:tc>
      </w:tr>
      <w:tr w:rsidR="00D30A7C" w14:paraId="219D8121" w14:textId="77777777" w:rsidTr="00A45C17">
        <w:trPr>
          <w:cantSplit/>
          <w:trHeight w:val="20"/>
        </w:trPr>
        <w:tc>
          <w:tcPr>
            <w:tcW w:w="1472" w:type="pct"/>
            <w:shd w:val="clear" w:color="auto" w:fill="FFFFFF" w:themeFill="background1"/>
          </w:tcPr>
          <w:p w14:paraId="328B6109" w14:textId="2A0AE328" w:rsidR="00E969D0" w:rsidRPr="00E969D0" w:rsidRDefault="00E969D0" w:rsidP="00E969D0">
            <w:pPr>
              <w:pStyle w:val="TBLText"/>
              <w:rPr>
                <w:rFonts w:eastAsia="Arial" w:hAnsi="Arial" w:cs="Arial"/>
                <w:b/>
                <w:sz w:val="12"/>
                <w:szCs w:val="12"/>
              </w:rPr>
            </w:pPr>
            <w:r w:rsidRPr="0097695B">
              <w:rPr>
                <w:b/>
                <w:i/>
              </w:rPr>
              <w:t>Customs</w:t>
            </w:r>
            <w:r w:rsidRPr="0097695B">
              <w:rPr>
                <w:b/>
                <w:i/>
                <w:spacing w:val="-2"/>
              </w:rPr>
              <w:t xml:space="preserve"> </w:t>
            </w:r>
            <w:r w:rsidRPr="0097695B">
              <w:rPr>
                <w:b/>
                <w:i/>
              </w:rPr>
              <w:t>and AusCheck</w:t>
            </w:r>
            <w:r w:rsidRPr="0097695B">
              <w:rPr>
                <w:b/>
                <w:i/>
                <w:spacing w:val="-2"/>
              </w:rPr>
              <w:t xml:space="preserve"> </w:t>
            </w:r>
            <w:r w:rsidRPr="0097695B">
              <w:rPr>
                <w:b/>
                <w:i/>
              </w:rPr>
              <w:t>Legislation</w:t>
            </w:r>
            <w:r w:rsidRPr="0097695B">
              <w:rPr>
                <w:b/>
                <w:i/>
                <w:spacing w:val="-2"/>
              </w:rPr>
              <w:t xml:space="preserve"> </w:t>
            </w:r>
            <w:r w:rsidRPr="0097695B">
              <w:rPr>
                <w:b/>
                <w:i/>
              </w:rPr>
              <w:t>Amendment</w:t>
            </w:r>
            <w:r w:rsidRPr="0097695B">
              <w:rPr>
                <w:b/>
                <w:i/>
                <w:spacing w:val="43"/>
              </w:rPr>
              <w:t xml:space="preserve"> </w:t>
            </w:r>
            <w:r w:rsidRPr="0097695B">
              <w:rPr>
                <w:b/>
                <w:i/>
              </w:rPr>
              <w:t>(Organised Crime and</w:t>
            </w:r>
            <w:r w:rsidRPr="0097695B">
              <w:rPr>
                <w:b/>
                <w:i/>
                <w:spacing w:val="-2"/>
              </w:rPr>
              <w:t xml:space="preserve"> </w:t>
            </w:r>
            <w:r w:rsidRPr="0097695B">
              <w:rPr>
                <w:b/>
                <w:i/>
              </w:rPr>
              <w:t>Other</w:t>
            </w:r>
            <w:r w:rsidRPr="0097695B">
              <w:rPr>
                <w:b/>
                <w:i/>
                <w:spacing w:val="-3"/>
              </w:rPr>
              <w:t xml:space="preserve"> </w:t>
            </w:r>
            <w:r w:rsidRPr="0097695B">
              <w:rPr>
                <w:b/>
                <w:i/>
              </w:rPr>
              <w:t>Measures) Act 2013</w:t>
            </w:r>
            <w:r w:rsidR="006D3127">
              <w:rPr>
                <w:b/>
                <w:position w:val="6"/>
                <w:sz w:val="12"/>
              </w:rPr>
              <w:t xml:space="preserve"> </w:t>
            </w:r>
            <w:r w:rsidR="0097695B">
              <w:rPr>
                <w:b/>
                <w:position w:val="6"/>
                <w:sz w:val="12"/>
              </w:rPr>
              <w:t>a</w:t>
            </w:r>
          </w:p>
          <w:p w14:paraId="28165F40" w14:textId="77777777" w:rsidR="00D30A7C" w:rsidRPr="006E170D" w:rsidRDefault="00E969D0" w:rsidP="00E969D0">
            <w:pPr>
              <w:pStyle w:val="TBLText"/>
            </w:pPr>
            <w:r w:rsidRPr="00932F94">
              <w:t>A package of</w:t>
            </w:r>
            <w:r w:rsidRPr="00932F94">
              <w:rPr>
                <w:spacing w:val="-2"/>
              </w:rPr>
              <w:t xml:space="preserve"> </w:t>
            </w:r>
            <w:r w:rsidRPr="00932F94">
              <w:t>measures</w:t>
            </w:r>
            <w:r w:rsidRPr="00932F94">
              <w:rPr>
                <w:spacing w:val="1"/>
              </w:rPr>
              <w:t xml:space="preserve"> </w:t>
            </w:r>
            <w:r w:rsidRPr="00932F94">
              <w:t>to combat</w:t>
            </w:r>
            <w:r w:rsidRPr="00932F94">
              <w:rPr>
                <w:spacing w:val="-2"/>
              </w:rPr>
              <w:t xml:space="preserve"> </w:t>
            </w:r>
            <w:r w:rsidRPr="00932F94">
              <w:t>organised</w:t>
            </w:r>
            <w:r w:rsidRPr="00932F94">
              <w:rPr>
                <w:spacing w:val="-2"/>
              </w:rPr>
              <w:t xml:space="preserve"> </w:t>
            </w:r>
            <w:r w:rsidRPr="00932F94">
              <w:t>crime and</w:t>
            </w:r>
            <w:r w:rsidRPr="00932F94">
              <w:rPr>
                <w:spacing w:val="39"/>
              </w:rPr>
              <w:t xml:space="preserve"> </w:t>
            </w:r>
            <w:r w:rsidRPr="00932F94">
              <w:t>strengthen security on the waterfront.</w:t>
            </w:r>
          </w:p>
        </w:tc>
        <w:tc>
          <w:tcPr>
            <w:tcW w:w="883" w:type="pct"/>
            <w:shd w:val="clear" w:color="auto" w:fill="FFFFFF" w:themeFill="background1"/>
          </w:tcPr>
          <w:p w14:paraId="7D50F0F0" w14:textId="4BFF1F39" w:rsidR="00D30A7C" w:rsidRPr="006E170D" w:rsidRDefault="00A54CC4" w:rsidP="00E969D0">
            <w:pPr>
              <w:pStyle w:val="TBLText"/>
            </w:pPr>
            <w:r>
              <w:t>Insufficient</w:t>
            </w:r>
          </w:p>
        </w:tc>
        <w:tc>
          <w:tcPr>
            <w:tcW w:w="1031" w:type="pct"/>
            <w:shd w:val="clear" w:color="auto" w:fill="FFFFFF" w:themeFill="background1"/>
          </w:tcPr>
          <w:p w14:paraId="25382D76" w14:textId="1CFC188E" w:rsidR="00D30A7C" w:rsidRPr="006E170D" w:rsidRDefault="00E969D0" w:rsidP="005D10FF">
            <w:pPr>
              <w:pStyle w:val="TBLText"/>
            </w:pPr>
            <w:r>
              <w:t>May 2013</w:t>
            </w:r>
          </w:p>
        </w:tc>
        <w:tc>
          <w:tcPr>
            <w:tcW w:w="883" w:type="pct"/>
            <w:shd w:val="clear" w:color="auto" w:fill="FFFFFF" w:themeFill="background1"/>
          </w:tcPr>
          <w:p w14:paraId="7734CE86" w14:textId="155DBB68" w:rsidR="00D30A7C" w:rsidRPr="006E170D" w:rsidRDefault="00A54CC4" w:rsidP="00E969D0">
            <w:pPr>
              <w:pStyle w:val="TBLText"/>
            </w:pPr>
            <w:r w:rsidRPr="004630E1">
              <w:t>Some elements were implemented in May 2013, for which a post-implementation review has commenced. Others are still to be implemented.</w:t>
            </w:r>
          </w:p>
        </w:tc>
        <w:tc>
          <w:tcPr>
            <w:tcW w:w="732" w:type="pct"/>
            <w:shd w:val="clear" w:color="auto" w:fill="FFFFFF" w:themeFill="background1"/>
          </w:tcPr>
          <w:p w14:paraId="3FE3CF89" w14:textId="77777777" w:rsidR="00D30A7C" w:rsidRPr="006E170D" w:rsidRDefault="00E969D0" w:rsidP="00E969D0">
            <w:pPr>
              <w:pStyle w:val="TBLText"/>
            </w:pPr>
            <w:r>
              <w:t>Compliant</w:t>
            </w:r>
          </w:p>
        </w:tc>
      </w:tr>
      <w:tr w:rsidR="00D30A7C" w14:paraId="50C4E4B4" w14:textId="77777777" w:rsidTr="00A45C17">
        <w:trPr>
          <w:cantSplit/>
          <w:trHeight w:val="20"/>
        </w:trPr>
        <w:tc>
          <w:tcPr>
            <w:tcW w:w="1472" w:type="pct"/>
            <w:shd w:val="clear" w:color="auto" w:fill="FFFFFF" w:themeFill="background1"/>
          </w:tcPr>
          <w:p w14:paraId="326F97F8" w14:textId="77777777" w:rsidR="00E969D0" w:rsidRPr="00E969D0" w:rsidRDefault="00E969D0" w:rsidP="00E969D0">
            <w:pPr>
              <w:pStyle w:val="TBLText"/>
              <w:rPr>
                <w:rFonts w:hAnsi="Arial" w:cs="Arial"/>
                <w:b/>
                <w:bCs/>
              </w:rPr>
            </w:pPr>
            <w:r w:rsidRPr="00E969D0">
              <w:rPr>
                <w:rFonts w:hAnsi="Arial" w:cs="Arial"/>
                <w:b/>
                <w:bCs/>
              </w:rPr>
              <w:lastRenderedPageBreak/>
              <w:t>Protecting Critical Infrastructure and Systems of National Significance regulatory reforms</w:t>
            </w:r>
          </w:p>
          <w:p w14:paraId="3EEAAA1E" w14:textId="4376F71D" w:rsidR="00D30A7C" w:rsidRPr="006E170D" w:rsidRDefault="00E969D0" w:rsidP="0084092B">
            <w:pPr>
              <w:pStyle w:val="TBLText"/>
            </w:pPr>
            <w:r>
              <w:rPr>
                <w:rFonts w:hAnsi="Arial" w:cs="Arial"/>
              </w:rPr>
              <w:t>Establishes a Positive Security Obligation for critical infrastructure, including a risk management program, to be delivered through sector-specific requirements, and mandatory cyber incident reporting.</w:t>
            </w:r>
          </w:p>
        </w:tc>
        <w:tc>
          <w:tcPr>
            <w:tcW w:w="883" w:type="pct"/>
            <w:shd w:val="clear" w:color="auto" w:fill="FFFFFF" w:themeFill="background1"/>
          </w:tcPr>
          <w:p w14:paraId="4B8D25C0" w14:textId="77777777" w:rsidR="00D30A7C" w:rsidRPr="006E170D" w:rsidRDefault="00D61368" w:rsidP="00E969D0">
            <w:pPr>
              <w:pStyle w:val="TBLText"/>
            </w:pPr>
            <w:r>
              <w:t>Substantial</w:t>
            </w:r>
            <w:r>
              <w:rPr>
                <w:spacing w:val="28"/>
              </w:rPr>
              <w:t xml:space="preserve"> </w:t>
            </w:r>
            <w:r>
              <w:t>Impact</w:t>
            </w:r>
          </w:p>
        </w:tc>
        <w:tc>
          <w:tcPr>
            <w:tcW w:w="1031" w:type="pct"/>
            <w:shd w:val="clear" w:color="auto" w:fill="FFFFFF" w:themeFill="background1"/>
          </w:tcPr>
          <w:p w14:paraId="00EE2353" w14:textId="47EB3542" w:rsidR="00D30A7C" w:rsidRPr="00646524" w:rsidRDefault="00A54CC4" w:rsidP="00BE1F0B">
            <w:pPr>
              <w:pStyle w:val="TBLText"/>
              <w:rPr>
                <w:vertAlign w:val="superscript"/>
              </w:rPr>
            </w:pPr>
            <w:r w:rsidRPr="004630E1">
              <w:t>The sector-specific requirements of this proposal are yet to be implemented.</w:t>
            </w:r>
          </w:p>
        </w:tc>
        <w:tc>
          <w:tcPr>
            <w:tcW w:w="883" w:type="pct"/>
            <w:shd w:val="clear" w:color="auto" w:fill="FFFFFF" w:themeFill="background1"/>
          </w:tcPr>
          <w:p w14:paraId="4ACDE232" w14:textId="0CCF6415" w:rsidR="00D30A7C" w:rsidRPr="006E170D" w:rsidRDefault="00F7423F" w:rsidP="00E969D0">
            <w:pPr>
              <w:pStyle w:val="TBLText"/>
            </w:pPr>
            <w:r>
              <w:t>Feb 2028</w:t>
            </w:r>
          </w:p>
        </w:tc>
        <w:tc>
          <w:tcPr>
            <w:tcW w:w="732" w:type="pct"/>
            <w:shd w:val="clear" w:color="auto" w:fill="FFFFFF" w:themeFill="background1"/>
          </w:tcPr>
          <w:p w14:paraId="576B7719" w14:textId="77777777" w:rsidR="00D30A7C" w:rsidRPr="006E170D" w:rsidRDefault="00E969D0" w:rsidP="00E969D0">
            <w:pPr>
              <w:pStyle w:val="TBLText"/>
            </w:pPr>
            <w:r>
              <w:t>Compliant</w:t>
            </w:r>
          </w:p>
        </w:tc>
      </w:tr>
    </w:tbl>
    <w:p w14:paraId="5E17E770" w14:textId="35D25731" w:rsidR="00291C0D" w:rsidRPr="00487D8E" w:rsidRDefault="0097695B" w:rsidP="004630E1">
      <w:pPr>
        <w:pStyle w:val="BodyText"/>
        <w:ind w:left="0" w:right="55"/>
        <w:rPr>
          <w:rStyle w:val="Emphasis"/>
          <w:rFonts w:asciiTheme="minorHAnsi" w:eastAsiaTheme="minorEastAsia" w:hAnsiTheme="minorHAnsi" w:cstheme="minorHAnsi"/>
          <w:i/>
          <w:sz w:val="14"/>
          <w:szCs w:val="21"/>
          <w:lang w:val="en-AU"/>
        </w:rPr>
      </w:pPr>
      <w:proofErr w:type="gramStart"/>
      <w:r>
        <w:rPr>
          <w:rStyle w:val="Emphasis"/>
          <w:rFonts w:asciiTheme="minorHAnsi" w:hAnsiTheme="minorHAnsi" w:cstheme="minorHAnsi"/>
          <w:sz w:val="14"/>
        </w:rPr>
        <w:t>a</w:t>
      </w:r>
      <w:proofErr w:type="gramEnd"/>
      <w:r w:rsidR="00E969D0" w:rsidRPr="00487D8E">
        <w:rPr>
          <w:rStyle w:val="Emphasis"/>
          <w:rFonts w:asciiTheme="minorHAnsi" w:hAnsiTheme="minorHAnsi" w:cstheme="minorHAnsi"/>
          <w:sz w:val="14"/>
        </w:rPr>
        <w:t xml:space="preserve"> Responsibility for this PIR was transferred from the Attorney-General’s Department to the Department of Home Affairs.</w:t>
      </w:r>
      <w:r w:rsidR="006D3127" w:rsidRPr="00487D8E">
        <w:rPr>
          <w:rStyle w:val="Emphasis"/>
          <w:rFonts w:asciiTheme="minorHAnsi" w:hAnsiTheme="minorHAnsi" w:cstheme="minorHAnsi"/>
          <w:sz w:val="14"/>
        </w:rPr>
        <w:t xml:space="preserve"> </w:t>
      </w:r>
    </w:p>
    <w:p w14:paraId="149FC548" w14:textId="77777777" w:rsidR="00291C0D" w:rsidRPr="00487D8E" w:rsidRDefault="00291C0D" w:rsidP="00EC1B23">
      <w:pPr>
        <w:pStyle w:val="BodyText"/>
        <w:ind w:left="0" w:right="55"/>
        <w:rPr>
          <w:rStyle w:val="Emphasis"/>
          <w:rFonts w:asciiTheme="minorHAnsi" w:hAnsiTheme="minorHAnsi" w:cstheme="minorHAnsi"/>
          <w:sz w:val="14"/>
        </w:rPr>
      </w:pPr>
    </w:p>
    <w:p w14:paraId="0A86DA1D" w14:textId="77777777" w:rsidR="006D3127" w:rsidRPr="00C606D9" w:rsidRDefault="006D3127" w:rsidP="00E969D0">
      <w:pPr>
        <w:pStyle w:val="BodyText"/>
        <w:spacing w:line="391" w:lineRule="auto"/>
        <w:ind w:left="0" w:right="2671"/>
        <w:rPr>
          <w:rStyle w:val="Emphasis"/>
          <w:sz w:val="14"/>
        </w:rPr>
      </w:pPr>
    </w:p>
    <w:p w14:paraId="7DD92FCF" w14:textId="77777777" w:rsidR="00E35D5A" w:rsidRDefault="00E35D5A">
      <w:pPr>
        <w:spacing w:after="200"/>
        <w:rPr>
          <w:rFonts w:asciiTheme="majorHAnsi" w:eastAsiaTheme="majorEastAsia" w:hAnsiTheme="majorHAnsi" w:cstheme="majorBidi"/>
          <w:noProof/>
          <w:color w:val="1B375C" w:themeColor="accent1"/>
          <w:sz w:val="32"/>
          <w:szCs w:val="28"/>
        </w:rPr>
      </w:pPr>
      <w:bookmarkStart w:id="21" w:name="_Toc171679585"/>
      <w:r>
        <w:rPr>
          <w:noProof/>
        </w:rPr>
        <w:br w:type="page"/>
      </w:r>
    </w:p>
    <w:p w14:paraId="06CE215A" w14:textId="04F31E2C" w:rsidR="00F47E55" w:rsidRDefault="00F47E55" w:rsidP="00F47E55">
      <w:pPr>
        <w:pStyle w:val="Heading2"/>
        <w:rPr>
          <w:noProof/>
        </w:rPr>
      </w:pPr>
      <w:bookmarkStart w:id="22" w:name="_Toc210227748"/>
      <w:r w:rsidRPr="2F9A60E7">
        <w:rPr>
          <w:noProof/>
        </w:rPr>
        <w:lastRenderedPageBreak/>
        <w:t>Department of Industry, Science and Resources</w:t>
      </w:r>
      <w:bookmarkEnd w:id="21"/>
      <w:bookmarkEnd w:id="22"/>
    </w:p>
    <w:p w14:paraId="2CE22574" w14:textId="456196BD" w:rsidR="00F47E55" w:rsidRPr="00774646" w:rsidRDefault="003F5A9A" w:rsidP="00F47E55">
      <w:pPr>
        <w:pStyle w:val="Figure"/>
        <w:numPr>
          <w:ilvl w:val="0"/>
          <w:numId w:val="0"/>
        </w:numPr>
      </w:pPr>
      <w:r>
        <w:t xml:space="preserve">Table </w:t>
      </w:r>
      <w:r>
        <w:fldChar w:fldCharType="begin"/>
      </w:r>
      <w:r>
        <w:instrText xml:space="preserve"> SEQ Table \* ARABIC </w:instrText>
      </w:r>
      <w:r>
        <w:fldChar w:fldCharType="separate"/>
      </w:r>
      <w:r>
        <w:t>9</w:t>
      </w:r>
      <w:r>
        <w:fldChar w:fldCharType="end"/>
      </w:r>
      <w:r>
        <w:t xml:space="preserve">. </w:t>
      </w:r>
      <w:r w:rsidRPr="00C04229">
        <w:t>Department of Industry, Science and Resources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9. Department of Industry, Science and Resources"/>
        <w:tblDescription w:val="Figure 9. Department of Industry, Science and Resources"/>
      </w:tblPr>
      <w:tblGrid>
        <w:gridCol w:w="2934"/>
        <w:gridCol w:w="1760"/>
        <w:gridCol w:w="2055"/>
        <w:gridCol w:w="1760"/>
        <w:gridCol w:w="1459"/>
      </w:tblGrid>
      <w:tr w:rsidR="00F47E55" w14:paraId="0D4B0EB5" w14:textId="77777777" w:rsidTr="00A45C17">
        <w:trPr>
          <w:cnfStyle w:val="100000000000" w:firstRow="1" w:lastRow="0" w:firstColumn="0" w:lastColumn="0" w:oddVBand="0" w:evenVBand="0" w:oddHBand="0" w:evenHBand="0" w:firstRowFirstColumn="0" w:firstRowLastColumn="0" w:lastRowFirstColumn="0" w:lastRowLastColumn="0"/>
          <w:cantSplit/>
          <w:trHeight w:val="20"/>
          <w:tblHeader/>
        </w:trPr>
        <w:tc>
          <w:tcPr>
            <w:tcW w:w="1471" w:type="pct"/>
            <w:tcBorders>
              <w:top w:val="none" w:sz="0" w:space="0" w:color="auto"/>
              <w:left w:val="none" w:sz="0" w:space="0" w:color="auto"/>
              <w:bottom w:val="none" w:sz="0" w:space="0" w:color="auto"/>
            </w:tcBorders>
          </w:tcPr>
          <w:p w14:paraId="7AC3AFF9" w14:textId="77777777" w:rsidR="00F47E55" w:rsidRDefault="00F47E55" w:rsidP="00535BD8">
            <w:pPr>
              <w:pStyle w:val="TBLHeading"/>
            </w:pPr>
            <w:r>
              <w:t>Title of regulatory proposal</w:t>
            </w:r>
          </w:p>
          <w:p w14:paraId="4042E5AF" w14:textId="77777777" w:rsidR="00F47E55" w:rsidRPr="006E170D" w:rsidRDefault="00F47E55" w:rsidP="00535BD8">
            <w:pPr>
              <w:pStyle w:val="TBLHeading"/>
            </w:pPr>
            <w:r>
              <w:t>Description of regulatory proposal</w:t>
            </w:r>
          </w:p>
        </w:tc>
        <w:tc>
          <w:tcPr>
            <w:tcW w:w="883" w:type="pct"/>
            <w:tcBorders>
              <w:top w:val="none" w:sz="0" w:space="0" w:color="auto"/>
              <w:bottom w:val="none" w:sz="0" w:space="0" w:color="auto"/>
            </w:tcBorders>
          </w:tcPr>
          <w:p w14:paraId="617238B9" w14:textId="77777777" w:rsidR="00F47E55" w:rsidRDefault="00F47E55" w:rsidP="00535BD8">
            <w:pPr>
              <w:pStyle w:val="TBLHeading"/>
            </w:pPr>
            <w:r>
              <w:t xml:space="preserve">Reason </w:t>
            </w:r>
          </w:p>
          <w:p w14:paraId="75F6FC5A" w14:textId="77777777" w:rsidR="00F47E55" w:rsidRPr="006E170D" w:rsidRDefault="00F47E55" w:rsidP="00535BD8">
            <w:pPr>
              <w:pStyle w:val="TBLHeading"/>
            </w:pPr>
            <w:r>
              <w:t>for PIR</w:t>
            </w:r>
          </w:p>
        </w:tc>
        <w:tc>
          <w:tcPr>
            <w:tcW w:w="1031" w:type="pct"/>
            <w:tcBorders>
              <w:top w:val="none" w:sz="0" w:space="0" w:color="auto"/>
              <w:bottom w:val="none" w:sz="0" w:space="0" w:color="auto"/>
            </w:tcBorders>
          </w:tcPr>
          <w:p w14:paraId="1F3BFF29" w14:textId="77777777" w:rsidR="00F47E55" w:rsidRDefault="00F47E55" w:rsidP="00535BD8">
            <w:pPr>
              <w:pStyle w:val="TBLHeading"/>
            </w:pPr>
            <w:r>
              <w:t xml:space="preserve">Implementation </w:t>
            </w:r>
          </w:p>
          <w:p w14:paraId="5BB8821D" w14:textId="77777777" w:rsidR="00F47E55" w:rsidRPr="006E170D" w:rsidRDefault="00F47E55" w:rsidP="00535BD8">
            <w:pPr>
              <w:pStyle w:val="TBLHeading"/>
            </w:pPr>
            <w:r>
              <w:t>date</w:t>
            </w:r>
          </w:p>
        </w:tc>
        <w:tc>
          <w:tcPr>
            <w:tcW w:w="883" w:type="pct"/>
            <w:tcBorders>
              <w:top w:val="none" w:sz="0" w:space="0" w:color="auto"/>
              <w:bottom w:val="none" w:sz="0" w:space="0" w:color="auto"/>
            </w:tcBorders>
          </w:tcPr>
          <w:p w14:paraId="5064718B" w14:textId="77777777" w:rsidR="00F47E55" w:rsidRPr="006E170D" w:rsidRDefault="00F47E55" w:rsidP="00535BD8">
            <w:pPr>
              <w:pStyle w:val="TBLHeading"/>
            </w:pPr>
            <w:r>
              <w:t>Due date</w:t>
            </w:r>
          </w:p>
        </w:tc>
        <w:tc>
          <w:tcPr>
            <w:tcW w:w="733" w:type="pct"/>
            <w:tcBorders>
              <w:top w:val="none" w:sz="0" w:space="0" w:color="auto"/>
              <w:bottom w:val="none" w:sz="0" w:space="0" w:color="auto"/>
              <w:right w:val="none" w:sz="0" w:space="0" w:color="auto"/>
            </w:tcBorders>
          </w:tcPr>
          <w:p w14:paraId="3864C7A0" w14:textId="77777777" w:rsidR="00F47E55" w:rsidRPr="006E170D" w:rsidRDefault="00F47E55" w:rsidP="00535BD8">
            <w:pPr>
              <w:pStyle w:val="TBLHeading"/>
            </w:pPr>
            <w:r>
              <w:t>PIR compliance</w:t>
            </w:r>
          </w:p>
        </w:tc>
      </w:tr>
      <w:tr w:rsidR="00F47E55" w14:paraId="09DE5C5C" w14:textId="77777777" w:rsidTr="00A45C17">
        <w:trPr>
          <w:cantSplit/>
          <w:trHeight w:val="20"/>
        </w:trPr>
        <w:tc>
          <w:tcPr>
            <w:tcW w:w="1471" w:type="pct"/>
            <w:shd w:val="clear" w:color="auto" w:fill="auto"/>
          </w:tcPr>
          <w:p w14:paraId="07CE00E8" w14:textId="0ECF7DB4" w:rsidR="00F47E55" w:rsidRPr="006A02B4" w:rsidRDefault="00F47E55" w:rsidP="00535BD8">
            <w:pPr>
              <w:pStyle w:val="TBLText"/>
              <w:rPr>
                <w:b/>
              </w:rPr>
            </w:pPr>
            <w:r w:rsidRPr="006A02B4">
              <w:rPr>
                <w:b/>
              </w:rPr>
              <w:t>ADGSM – Refining the Australian Domestic Gas Security Mechanism</w:t>
            </w:r>
            <w:r w:rsidR="006A02B4" w:rsidRPr="006A02B4">
              <w:rPr>
                <w:b/>
              </w:rPr>
              <w:t xml:space="preserve"> </w:t>
            </w:r>
          </w:p>
          <w:p w14:paraId="2F457589" w14:textId="6FA22774" w:rsidR="006A02B4" w:rsidRPr="006A02B4" w:rsidRDefault="006A02B4" w:rsidP="00535BD8">
            <w:pPr>
              <w:pStyle w:val="TBLText"/>
            </w:pPr>
            <w:r w:rsidRPr="006A02B4">
              <w:t>Reforms to enable 1) a</w:t>
            </w:r>
            <w:r w:rsidRPr="00A151E4">
              <w:t>ctivation to be considered every three months</w:t>
            </w:r>
            <w:r w:rsidRPr="006A02B4">
              <w:t xml:space="preserve"> 2) a</w:t>
            </w:r>
            <w:r w:rsidRPr="00A151E4">
              <w:t xml:space="preserve">ll LNG exporters in a shortfall market to share the shortfall liability equally </w:t>
            </w:r>
            <w:r w:rsidRPr="006A02B4">
              <w:t>and 3) e</w:t>
            </w:r>
            <w:r w:rsidRPr="00A151E4">
              <w:t>xport p</w:t>
            </w:r>
            <w:r w:rsidRPr="006A02B4">
              <w:t>ermissions to be made tradable.</w:t>
            </w:r>
          </w:p>
        </w:tc>
        <w:tc>
          <w:tcPr>
            <w:tcW w:w="883" w:type="pct"/>
            <w:shd w:val="clear" w:color="auto" w:fill="auto"/>
          </w:tcPr>
          <w:p w14:paraId="16BAD26D" w14:textId="1D245644" w:rsidR="00F47E55" w:rsidRPr="006E170D" w:rsidRDefault="00F47E55" w:rsidP="00535BD8">
            <w:pPr>
              <w:pStyle w:val="TBLText"/>
            </w:pPr>
            <w:r>
              <w:t>Substantial</w:t>
            </w:r>
            <w:r>
              <w:rPr>
                <w:spacing w:val="28"/>
              </w:rPr>
              <w:t xml:space="preserve"> </w:t>
            </w:r>
            <w:r>
              <w:t>Impact</w:t>
            </w:r>
          </w:p>
        </w:tc>
        <w:tc>
          <w:tcPr>
            <w:tcW w:w="1031" w:type="pct"/>
            <w:shd w:val="clear" w:color="auto" w:fill="auto"/>
          </w:tcPr>
          <w:p w14:paraId="18276848" w14:textId="3ED4D753" w:rsidR="00F47E55" w:rsidRPr="006E170D" w:rsidRDefault="00F47E55" w:rsidP="00535BD8">
            <w:pPr>
              <w:pStyle w:val="TBLText"/>
            </w:pPr>
            <w:r>
              <w:t>Oct 2022</w:t>
            </w:r>
          </w:p>
        </w:tc>
        <w:tc>
          <w:tcPr>
            <w:tcW w:w="883" w:type="pct"/>
            <w:shd w:val="clear" w:color="auto" w:fill="auto"/>
          </w:tcPr>
          <w:p w14:paraId="3AD84CFA" w14:textId="18C9A988" w:rsidR="00F47E55" w:rsidRPr="006E170D" w:rsidRDefault="00F47E55" w:rsidP="00535BD8">
            <w:pPr>
              <w:pStyle w:val="TBLBulletedList"/>
              <w:numPr>
                <w:ilvl w:val="0"/>
                <w:numId w:val="0"/>
              </w:numPr>
              <w:ind w:left="357" w:hanging="357"/>
            </w:pPr>
            <w:r>
              <w:t>Oct 2027</w:t>
            </w:r>
          </w:p>
        </w:tc>
        <w:tc>
          <w:tcPr>
            <w:tcW w:w="733" w:type="pct"/>
            <w:shd w:val="clear" w:color="auto" w:fill="auto"/>
          </w:tcPr>
          <w:p w14:paraId="170DDCDA" w14:textId="604F72C7" w:rsidR="00F47E55" w:rsidRPr="006E170D" w:rsidRDefault="00F47E55" w:rsidP="00535BD8">
            <w:pPr>
              <w:pStyle w:val="TBLNumberedList"/>
              <w:numPr>
                <w:ilvl w:val="0"/>
                <w:numId w:val="0"/>
              </w:numPr>
              <w:ind w:left="357" w:hanging="357"/>
            </w:pPr>
            <w:r>
              <w:t>Compliant</w:t>
            </w:r>
          </w:p>
        </w:tc>
      </w:tr>
    </w:tbl>
    <w:p w14:paraId="3340B4A9" w14:textId="2D18531B" w:rsidR="00713895" w:rsidRPr="00352190" w:rsidRDefault="00713895" w:rsidP="00BF11C3">
      <w:pPr>
        <w:pStyle w:val="Heading2"/>
        <w:rPr>
          <w:noProof/>
        </w:rPr>
      </w:pPr>
      <w:bookmarkStart w:id="23" w:name="_Toc171679586"/>
      <w:bookmarkStart w:id="24" w:name="_Toc210227749"/>
      <w:r w:rsidRPr="2F9A60E7">
        <w:rPr>
          <w:noProof/>
        </w:rPr>
        <w:t>Department of Infrastructure and Regional Development</w:t>
      </w:r>
      <w:bookmarkEnd w:id="23"/>
      <w:bookmarkEnd w:id="24"/>
    </w:p>
    <w:p w14:paraId="545F822C" w14:textId="0B6541DF" w:rsidR="00713895" w:rsidRPr="00774646" w:rsidRDefault="003F5A9A" w:rsidP="00713895">
      <w:pPr>
        <w:pStyle w:val="Figure"/>
        <w:numPr>
          <w:ilvl w:val="0"/>
          <w:numId w:val="0"/>
        </w:numPr>
      </w:pPr>
      <w:r>
        <w:t xml:space="preserve">Table </w:t>
      </w:r>
      <w:r>
        <w:fldChar w:fldCharType="begin"/>
      </w:r>
      <w:r>
        <w:instrText xml:space="preserve"> SEQ Table \* ARABIC </w:instrText>
      </w:r>
      <w:r>
        <w:fldChar w:fldCharType="separate"/>
      </w:r>
      <w:r>
        <w:t>10</w:t>
      </w:r>
      <w:r>
        <w:fldChar w:fldCharType="end"/>
      </w:r>
      <w:r>
        <w:t xml:space="preserve">. </w:t>
      </w:r>
      <w:r w:rsidRPr="0086577D">
        <w:t>Department of Infrastructure and Regional Development</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10. Department of Infrastructure and Regional Development"/>
        <w:tblDescription w:val="Figure 10. Department of Infrastructure and Regional Development"/>
      </w:tblPr>
      <w:tblGrid>
        <w:gridCol w:w="2934"/>
        <w:gridCol w:w="1760"/>
        <w:gridCol w:w="2055"/>
        <w:gridCol w:w="1760"/>
        <w:gridCol w:w="1459"/>
      </w:tblGrid>
      <w:tr w:rsidR="00713895" w14:paraId="7E045369" w14:textId="77777777" w:rsidTr="00A45C17">
        <w:trPr>
          <w:cnfStyle w:val="100000000000" w:firstRow="1" w:lastRow="0" w:firstColumn="0" w:lastColumn="0" w:oddVBand="0" w:evenVBand="0" w:oddHBand="0" w:evenHBand="0" w:firstRowFirstColumn="0" w:firstRowLastColumn="0" w:lastRowFirstColumn="0" w:lastRowLastColumn="0"/>
          <w:cantSplit/>
          <w:trHeight w:val="20"/>
          <w:tblHeader/>
        </w:trPr>
        <w:tc>
          <w:tcPr>
            <w:tcW w:w="1471" w:type="pct"/>
            <w:tcBorders>
              <w:top w:val="none" w:sz="0" w:space="0" w:color="auto"/>
              <w:left w:val="none" w:sz="0" w:space="0" w:color="auto"/>
              <w:bottom w:val="none" w:sz="0" w:space="0" w:color="auto"/>
            </w:tcBorders>
          </w:tcPr>
          <w:p w14:paraId="6F11B676" w14:textId="77777777" w:rsidR="00713895" w:rsidRDefault="00713895" w:rsidP="00EC5084">
            <w:pPr>
              <w:pStyle w:val="TBLHeading"/>
            </w:pPr>
            <w:r>
              <w:t>Title of regulatory proposal</w:t>
            </w:r>
          </w:p>
          <w:p w14:paraId="1591BCF6" w14:textId="77777777" w:rsidR="00713895" w:rsidRPr="006E170D" w:rsidRDefault="00713895" w:rsidP="00EC5084">
            <w:pPr>
              <w:pStyle w:val="TBLHeading"/>
            </w:pPr>
            <w:r>
              <w:t>Description of regulatory proposal</w:t>
            </w:r>
          </w:p>
        </w:tc>
        <w:tc>
          <w:tcPr>
            <w:tcW w:w="883" w:type="pct"/>
            <w:tcBorders>
              <w:top w:val="none" w:sz="0" w:space="0" w:color="auto"/>
              <w:bottom w:val="none" w:sz="0" w:space="0" w:color="auto"/>
            </w:tcBorders>
          </w:tcPr>
          <w:p w14:paraId="130AF905" w14:textId="77777777" w:rsidR="00713895" w:rsidRDefault="00713895" w:rsidP="00EC5084">
            <w:pPr>
              <w:pStyle w:val="TBLHeading"/>
            </w:pPr>
            <w:r>
              <w:t xml:space="preserve">Reason </w:t>
            </w:r>
          </w:p>
          <w:p w14:paraId="26FFEB84" w14:textId="77777777" w:rsidR="00713895" w:rsidRPr="006E170D" w:rsidRDefault="00713895" w:rsidP="00EC5084">
            <w:pPr>
              <w:pStyle w:val="TBLHeading"/>
            </w:pPr>
            <w:r>
              <w:t>for PIR</w:t>
            </w:r>
          </w:p>
        </w:tc>
        <w:tc>
          <w:tcPr>
            <w:tcW w:w="1031" w:type="pct"/>
            <w:tcBorders>
              <w:top w:val="none" w:sz="0" w:space="0" w:color="auto"/>
              <w:bottom w:val="none" w:sz="0" w:space="0" w:color="auto"/>
            </w:tcBorders>
          </w:tcPr>
          <w:p w14:paraId="42FAF15B" w14:textId="77777777" w:rsidR="00713895" w:rsidRDefault="00713895" w:rsidP="00EC5084">
            <w:pPr>
              <w:pStyle w:val="TBLHeading"/>
            </w:pPr>
            <w:r>
              <w:t xml:space="preserve">Implementation </w:t>
            </w:r>
          </w:p>
          <w:p w14:paraId="300A180F" w14:textId="77777777" w:rsidR="00713895" w:rsidRPr="006E170D" w:rsidRDefault="00713895" w:rsidP="00EC5084">
            <w:pPr>
              <w:pStyle w:val="TBLHeading"/>
            </w:pPr>
            <w:r>
              <w:t>date</w:t>
            </w:r>
          </w:p>
        </w:tc>
        <w:tc>
          <w:tcPr>
            <w:tcW w:w="883" w:type="pct"/>
            <w:tcBorders>
              <w:top w:val="none" w:sz="0" w:space="0" w:color="auto"/>
              <w:bottom w:val="none" w:sz="0" w:space="0" w:color="auto"/>
            </w:tcBorders>
          </w:tcPr>
          <w:p w14:paraId="0E49D5CA" w14:textId="77777777" w:rsidR="00713895" w:rsidRPr="006E170D" w:rsidRDefault="00713895" w:rsidP="00EC5084">
            <w:pPr>
              <w:pStyle w:val="TBLHeading"/>
            </w:pPr>
            <w:r>
              <w:t>Due date</w:t>
            </w:r>
          </w:p>
        </w:tc>
        <w:tc>
          <w:tcPr>
            <w:tcW w:w="733" w:type="pct"/>
            <w:tcBorders>
              <w:top w:val="none" w:sz="0" w:space="0" w:color="auto"/>
              <w:bottom w:val="none" w:sz="0" w:space="0" w:color="auto"/>
              <w:right w:val="none" w:sz="0" w:space="0" w:color="auto"/>
            </w:tcBorders>
          </w:tcPr>
          <w:p w14:paraId="419B4DCC" w14:textId="77777777" w:rsidR="00713895" w:rsidRPr="006E170D" w:rsidRDefault="00713895" w:rsidP="00EC5084">
            <w:pPr>
              <w:pStyle w:val="TBLHeading"/>
            </w:pPr>
            <w:r>
              <w:t>PIR compliance</w:t>
            </w:r>
          </w:p>
        </w:tc>
      </w:tr>
      <w:tr w:rsidR="00713895" w14:paraId="539F6255" w14:textId="77777777" w:rsidTr="00A45C17">
        <w:trPr>
          <w:cantSplit/>
          <w:trHeight w:val="20"/>
        </w:trPr>
        <w:tc>
          <w:tcPr>
            <w:tcW w:w="1471" w:type="pct"/>
            <w:shd w:val="clear" w:color="auto" w:fill="FFFFCC"/>
          </w:tcPr>
          <w:p w14:paraId="0700EE37" w14:textId="0E2655AF" w:rsidR="00713895" w:rsidRPr="00660830" w:rsidRDefault="00713895" w:rsidP="00EC5084">
            <w:pPr>
              <w:pStyle w:val="TBLText"/>
              <w:rPr>
                <w:b/>
              </w:rPr>
            </w:pPr>
            <w:r w:rsidRPr="00660830">
              <w:rPr>
                <w:b/>
              </w:rPr>
              <w:t>Qantas Sale Amendment Bill 2014</w:t>
            </w:r>
            <w:r w:rsidR="0097695B">
              <w:rPr>
                <w:b/>
                <w:vertAlign w:val="superscript"/>
              </w:rPr>
              <w:t>a</w:t>
            </w:r>
          </w:p>
          <w:p w14:paraId="49BF6C40" w14:textId="77777777" w:rsidR="00713895" w:rsidRPr="006E170D" w:rsidRDefault="00713895" w:rsidP="00EC5084">
            <w:pPr>
              <w:pStyle w:val="TBLText"/>
            </w:pPr>
            <w:r w:rsidRPr="00660830">
              <w:t>Remove foreign ownership and other restrictions on Qantas</w:t>
            </w:r>
          </w:p>
        </w:tc>
        <w:tc>
          <w:tcPr>
            <w:tcW w:w="883" w:type="pct"/>
            <w:shd w:val="clear" w:color="auto" w:fill="FFFFCC"/>
          </w:tcPr>
          <w:p w14:paraId="4FA8BCE6" w14:textId="77777777" w:rsidR="00713895" w:rsidRPr="006E170D" w:rsidRDefault="00713895" w:rsidP="00EC5084">
            <w:pPr>
              <w:pStyle w:val="TBLText"/>
            </w:pPr>
            <w:r>
              <w:t>E/c</w:t>
            </w:r>
          </w:p>
        </w:tc>
        <w:tc>
          <w:tcPr>
            <w:tcW w:w="1031" w:type="pct"/>
            <w:shd w:val="clear" w:color="auto" w:fill="FFFFCC"/>
          </w:tcPr>
          <w:p w14:paraId="1763A1BE" w14:textId="77777777" w:rsidR="00713895" w:rsidRPr="006E170D" w:rsidRDefault="00713895" w:rsidP="00EC5084">
            <w:pPr>
              <w:pStyle w:val="TBLText"/>
            </w:pPr>
            <w:r>
              <w:t>Aug 2014</w:t>
            </w:r>
          </w:p>
        </w:tc>
        <w:tc>
          <w:tcPr>
            <w:tcW w:w="883" w:type="pct"/>
            <w:shd w:val="clear" w:color="auto" w:fill="FFFFCC"/>
          </w:tcPr>
          <w:p w14:paraId="6440B5DC" w14:textId="77777777" w:rsidR="00713895" w:rsidRPr="006E170D" w:rsidRDefault="00713895" w:rsidP="00EC5084">
            <w:pPr>
              <w:pStyle w:val="TBLBulletedList"/>
              <w:numPr>
                <w:ilvl w:val="0"/>
                <w:numId w:val="0"/>
              </w:numPr>
              <w:ind w:left="357" w:hanging="357"/>
            </w:pPr>
            <w:r>
              <w:t>Aug 2016</w:t>
            </w:r>
          </w:p>
        </w:tc>
        <w:tc>
          <w:tcPr>
            <w:tcW w:w="733" w:type="pct"/>
            <w:shd w:val="clear" w:color="auto" w:fill="FFFFCC"/>
          </w:tcPr>
          <w:p w14:paraId="218DAFD6" w14:textId="77777777" w:rsidR="00713895" w:rsidRPr="006E170D" w:rsidRDefault="00713895" w:rsidP="00EC5084">
            <w:pPr>
              <w:pStyle w:val="TBLNumberedList"/>
              <w:numPr>
                <w:ilvl w:val="0"/>
                <w:numId w:val="0"/>
              </w:numPr>
              <w:ind w:left="357" w:hanging="357"/>
            </w:pPr>
            <w:r>
              <w:t>Non-compliant</w:t>
            </w:r>
          </w:p>
        </w:tc>
      </w:tr>
    </w:tbl>
    <w:p w14:paraId="248C3C8F" w14:textId="7D7D0169" w:rsidR="00713895" w:rsidRPr="00487D8E" w:rsidRDefault="00713895" w:rsidP="00EC1B23">
      <w:pPr>
        <w:pStyle w:val="BodyText"/>
        <w:ind w:left="0" w:right="55"/>
        <w:rPr>
          <w:rStyle w:val="Emphasis"/>
          <w:rFonts w:asciiTheme="minorHAnsi" w:hAnsiTheme="minorHAnsi" w:cstheme="minorHAnsi"/>
          <w:sz w:val="14"/>
        </w:rPr>
      </w:pPr>
      <w:r w:rsidRPr="00487D8E">
        <w:rPr>
          <w:rStyle w:val="Emphasis"/>
          <w:rFonts w:asciiTheme="minorHAnsi" w:hAnsiTheme="minorHAnsi" w:cstheme="minorHAnsi"/>
          <w:sz w:val="14"/>
        </w:rPr>
        <w:t>E/c Exceptional circumstances were granted by the Prime Minister.</w:t>
      </w:r>
    </w:p>
    <w:p w14:paraId="3FAC0ABC" w14:textId="215ECA39" w:rsidR="006D3127" w:rsidRPr="00487D8E" w:rsidRDefault="0097695B" w:rsidP="00EC1B23">
      <w:pPr>
        <w:pStyle w:val="BodyText"/>
        <w:ind w:left="0" w:right="55"/>
        <w:rPr>
          <w:rStyle w:val="Emphasis"/>
          <w:rFonts w:asciiTheme="minorHAnsi" w:hAnsiTheme="minorHAnsi" w:cstheme="minorHAnsi"/>
          <w:sz w:val="14"/>
        </w:rPr>
      </w:pPr>
      <w:proofErr w:type="gramStart"/>
      <w:r>
        <w:rPr>
          <w:rStyle w:val="Emphasis"/>
          <w:rFonts w:asciiTheme="minorHAnsi" w:hAnsiTheme="minorHAnsi" w:cstheme="minorHAnsi"/>
          <w:sz w:val="14"/>
        </w:rPr>
        <w:t>a</w:t>
      </w:r>
      <w:proofErr w:type="gramEnd"/>
      <w:r w:rsidR="006D3127" w:rsidRPr="00487D8E">
        <w:rPr>
          <w:rStyle w:val="Emphasis"/>
          <w:rFonts w:asciiTheme="minorHAnsi" w:hAnsiTheme="minorHAnsi" w:cstheme="minorHAnsi"/>
          <w:sz w:val="14"/>
        </w:rPr>
        <w:t xml:space="preserve"> Responsibility for this PIR has subsequently moved to Department of Infrastructure, Transport, Regional Development, Communications and the Arts, </w:t>
      </w:r>
      <w:r w:rsidR="00AD1777" w:rsidRPr="00487D8E">
        <w:rPr>
          <w:rStyle w:val="Emphasis"/>
          <w:rFonts w:asciiTheme="minorHAnsi" w:hAnsiTheme="minorHAnsi" w:cstheme="minorHAnsi"/>
          <w:sz w:val="14"/>
        </w:rPr>
        <w:t>following</w:t>
      </w:r>
      <w:r w:rsidR="006D3127" w:rsidRPr="00487D8E">
        <w:rPr>
          <w:rStyle w:val="Emphasis"/>
          <w:rFonts w:asciiTheme="minorHAnsi" w:hAnsiTheme="minorHAnsi" w:cstheme="minorHAnsi"/>
          <w:sz w:val="14"/>
        </w:rPr>
        <w:t xml:space="preserve"> machinery of Government changes</w:t>
      </w:r>
      <w:r w:rsidR="00AD1777" w:rsidRPr="00487D8E">
        <w:rPr>
          <w:rStyle w:val="Emphasis"/>
          <w:rFonts w:asciiTheme="minorHAnsi" w:hAnsiTheme="minorHAnsi" w:cstheme="minorHAnsi"/>
          <w:sz w:val="14"/>
        </w:rPr>
        <w:t xml:space="preserve"> in July 2022</w:t>
      </w:r>
      <w:r w:rsidR="006D3127" w:rsidRPr="00487D8E">
        <w:rPr>
          <w:rStyle w:val="Emphasis"/>
          <w:rFonts w:asciiTheme="minorHAnsi" w:hAnsiTheme="minorHAnsi" w:cstheme="minorHAnsi"/>
          <w:sz w:val="14"/>
        </w:rPr>
        <w:t>.</w:t>
      </w:r>
    </w:p>
    <w:p w14:paraId="1A240C63" w14:textId="4E17FA3E" w:rsidR="00D00A83" w:rsidRDefault="00D00A83" w:rsidP="004630E1">
      <w:pPr>
        <w:pStyle w:val="Heading2"/>
        <w:rPr>
          <w:noProof/>
        </w:rPr>
      </w:pPr>
      <w:bookmarkStart w:id="25" w:name="_Toc210227750"/>
      <w:r w:rsidRPr="0092577C">
        <w:rPr>
          <w:noProof/>
        </w:rPr>
        <w:t>Department of Social Services</w:t>
      </w:r>
      <w:bookmarkEnd w:id="25"/>
    </w:p>
    <w:p w14:paraId="3EB23CB6" w14:textId="3419588A" w:rsidR="00D00A83" w:rsidRPr="00774646" w:rsidRDefault="00D00A83" w:rsidP="00D00A83">
      <w:pPr>
        <w:pStyle w:val="Figure"/>
        <w:numPr>
          <w:ilvl w:val="0"/>
          <w:numId w:val="0"/>
        </w:numPr>
      </w:pPr>
      <w:r>
        <w:t xml:space="preserve">Table 11. </w:t>
      </w:r>
      <w:r w:rsidRPr="00D00A83">
        <w:t>Department of Social Services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10. Department of Infrastructure and Regional Development"/>
        <w:tblDescription w:val="Figure 10. Department of Infrastructure and Regional Development"/>
      </w:tblPr>
      <w:tblGrid>
        <w:gridCol w:w="2936"/>
        <w:gridCol w:w="1760"/>
        <w:gridCol w:w="2055"/>
        <w:gridCol w:w="1760"/>
        <w:gridCol w:w="1457"/>
      </w:tblGrid>
      <w:tr w:rsidR="00D00A83" w14:paraId="50E8DD4B" w14:textId="77777777" w:rsidTr="00A45C17">
        <w:trPr>
          <w:cnfStyle w:val="100000000000" w:firstRow="1" w:lastRow="0" w:firstColumn="0" w:lastColumn="0" w:oddVBand="0" w:evenVBand="0" w:oddHBand="0" w:evenHBand="0" w:firstRowFirstColumn="0" w:firstRowLastColumn="0" w:lastRowFirstColumn="0" w:lastRowLastColumn="0"/>
          <w:cantSplit/>
          <w:trHeight w:val="300"/>
          <w:tblHeader/>
        </w:trPr>
        <w:tc>
          <w:tcPr>
            <w:tcW w:w="1472" w:type="pct"/>
            <w:tcBorders>
              <w:top w:val="none" w:sz="0" w:space="0" w:color="auto"/>
              <w:left w:val="none" w:sz="0" w:space="0" w:color="auto"/>
              <w:bottom w:val="none" w:sz="0" w:space="0" w:color="auto"/>
            </w:tcBorders>
          </w:tcPr>
          <w:p w14:paraId="56CFDB52" w14:textId="77777777" w:rsidR="00D00A83" w:rsidRDefault="00D00A83" w:rsidP="00B0124E">
            <w:pPr>
              <w:pStyle w:val="TBLHeading"/>
            </w:pPr>
            <w:r>
              <w:t>Title of regulatory proposal</w:t>
            </w:r>
          </w:p>
          <w:p w14:paraId="7F1DC462" w14:textId="77777777" w:rsidR="00D00A83" w:rsidRPr="006E170D" w:rsidRDefault="00D00A83" w:rsidP="00B0124E">
            <w:pPr>
              <w:pStyle w:val="TBLHeading"/>
            </w:pPr>
            <w:r>
              <w:t>Description of regulatory proposal</w:t>
            </w:r>
          </w:p>
        </w:tc>
        <w:tc>
          <w:tcPr>
            <w:tcW w:w="883" w:type="pct"/>
            <w:tcBorders>
              <w:top w:val="none" w:sz="0" w:space="0" w:color="auto"/>
              <w:bottom w:val="none" w:sz="0" w:space="0" w:color="auto"/>
            </w:tcBorders>
          </w:tcPr>
          <w:p w14:paraId="3403DD83" w14:textId="77777777" w:rsidR="00D00A83" w:rsidRDefault="00D00A83" w:rsidP="00B0124E">
            <w:pPr>
              <w:pStyle w:val="TBLHeading"/>
            </w:pPr>
            <w:r>
              <w:t xml:space="preserve">Reason </w:t>
            </w:r>
          </w:p>
          <w:p w14:paraId="1355B273" w14:textId="77777777" w:rsidR="00D00A83" w:rsidRPr="006E170D" w:rsidRDefault="00D00A83" w:rsidP="00B0124E">
            <w:pPr>
              <w:pStyle w:val="TBLHeading"/>
            </w:pPr>
            <w:r>
              <w:t>for PIR</w:t>
            </w:r>
          </w:p>
        </w:tc>
        <w:tc>
          <w:tcPr>
            <w:tcW w:w="1031" w:type="pct"/>
            <w:tcBorders>
              <w:top w:val="none" w:sz="0" w:space="0" w:color="auto"/>
              <w:bottom w:val="none" w:sz="0" w:space="0" w:color="auto"/>
            </w:tcBorders>
          </w:tcPr>
          <w:p w14:paraId="59ABA0AB" w14:textId="77777777" w:rsidR="00D00A83" w:rsidRDefault="00D00A83" w:rsidP="00B0124E">
            <w:pPr>
              <w:pStyle w:val="TBLHeading"/>
            </w:pPr>
            <w:r>
              <w:t xml:space="preserve">Implementation </w:t>
            </w:r>
          </w:p>
          <w:p w14:paraId="283FB77C" w14:textId="77777777" w:rsidR="00D00A83" w:rsidRPr="006E170D" w:rsidRDefault="00D00A83" w:rsidP="00B0124E">
            <w:pPr>
              <w:pStyle w:val="TBLHeading"/>
            </w:pPr>
            <w:r>
              <w:t>date</w:t>
            </w:r>
          </w:p>
        </w:tc>
        <w:tc>
          <w:tcPr>
            <w:tcW w:w="883" w:type="pct"/>
            <w:tcBorders>
              <w:top w:val="none" w:sz="0" w:space="0" w:color="auto"/>
              <w:bottom w:val="none" w:sz="0" w:space="0" w:color="auto"/>
            </w:tcBorders>
          </w:tcPr>
          <w:p w14:paraId="2F6ED116" w14:textId="77777777" w:rsidR="00D00A83" w:rsidRPr="006E170D" w:rsidRDefault="00D00A83" w:rsidP="00B0124E">
            <w:pPr>
              <w:pStyle w:val="TBLHeading"/>
            </w:pPr>
            <w:r>
              <w:t>Due date</w:t>
            </w:r>
          </w:p>
        </w:tc>
        <w:tc>
          <w:tcPr>
            <w:tcW w:w="732" w:type="pct"/>
            <w:tcBorders>
              <w:top w:val="none" w:sz="0" w:space="0" w:color="auto"/>
              <w:bottom w:val="none" w:sz="0" w:space="0" w:color="auto"/>
              <w:right w:val="none" w:sz="0" w:space="0" w:color="auto"/>
            </w:tcBorders>
          </w:tcPr>
          <w:p w14:paraId="495805F1" w14:textId="77777777" w:rsidR="00D00A83" w:rsidRPr="006E170D" w:rsidRDefault="00D00A83" w:rsidP="00B0124E">
            <w:pPr>
              <w:pStyle w:val="TBLHeading"/>
            </w:pPr>
            <w:r>
              <w:t>PIR compliance</w:t>
            </w:r>
          </w:p>
        </w:tc>
      </w:tr>
      <w:tr w:rsidR="00D00A83" w14:paraId="56F4EF27" w14:textId="77777777" w:rsidTr="00A45C17">
        <w:trPr>
          <w:cantSplit/>
          <w:trHeight w:val="300"/>
        </w:trPr>
        <w:tc>
          <w:tcPr>
            <w:tcW w:w="1472" w:type="pct"/>
            <w:shd w:val="clear" w:color="auto" w:fill="auto"/>
          </w:tcPr>
          <w:p w14:paraId="1D221986" w14:textId="77777777" w:rsidR="00D00A83" w:rsidRDefault="00D00A83">
            <w:pPr>
              <w:pStyle w:val="TBLText"/>
              <w:rPr>
                <w:b/>
                <w:bCs/>
              </w:rPr>
            </w:pPr>
            <w:r w:rsidRPr="00D00A83">
              <w:rPr>
                <w:b/>
                <w:bCs/>
              </w:rPr>
              <w:t xml:space="preserve">Resetting the Social Security Deeming Rates </w:t>
            </w:r>
          </w:p>
          <w:p w14:paraId="5DE51EE2" w14:textId="1A2A9A09" w:rsidR="00D00A83" w:rsidRPr="00633E8C" w:rsidRDefault="3EBC817E">
            <w:pPr>
              <w:pStyle w:val="TBLText"/>
            </w:pPr>
            <w:r w:rsidRPr="004630E1">
              <w:t>Increase deeming rates,</w:t>
            </w:r>
            <w:r w:rsidR="00A54CC4">
              <w:t xml:space="preserve"> </w:t>
            </w:r>
            <w:r w:rsidRPr="004630E1">
              <w:t xml:space="preserve">to 0.75% for </w:t>
            </w:r>
            <w:r w:rsidR="32AFC8C9" w:rsidRPr="004630E1">
              <w:t>financial assets under $64,200 for singles and $106,200 for couples combined. Assets over this amount will be deemed at a rate of 2.75%.</w:t>
            </w:r>
          </w:p>
        </w:tc>
        <w:tc>
          <w:tcPr>
            <w:tcW w:w="883" w:type="pct"/>
            <w:shd w:val="clear" w:color="auto" w:fill="auto"/>
          </w:tcPr>
          <w:p w14:paraId="39DEAE20" w14:textId="53D5DD97" w:rsidR="00D00A83" w:rsidRPr="004630E1" w:rsidRDefault="00A54CC4">
            <w:pPr>
              <w:pStyle w:val="TBLText"/>
              <w:rPr>
                <w:b/>
                <w:bCs/>
              </w:rPr>
            </w:pPr>
            <w:r>
              <w:t>Insufficient</w:t>
            </w:r>
          </w:p>
        </w:tc>
        <w:tc>
          <w:tcPr>
            <w:tcW w:w="1031" w:type="pct"/>
            <w:shd w:val="clear" w:color="auto" w:fill="auto"/>
          </w:tcPr>
          <w:p w14:paraId="2ECADC4A" w14:textId="40568822" w:rsidR="00D00A83" w:rsidRPr="004630E1" w:rsidRDefault="00D00A83">
            <w:pPr>
              <w:pStyle w:val="TBLText"/>
              <w:rPr>
                <w:b/>
                <w:bCs/>
              </w:rPr>
            </w:pPr>
            <w:r w:rsidRPr="004630E1">
              <w:t>September 2025</w:t>
            </w:r>
          </w:p>
        </w:tc>
        <w:tc>
          <w:tcPr>
            <w:tcW w:w="883" w:type="pct"/>
            <w:shd w:val="clear" w:color="auto" w:fill="auto"/>
          </w:tcPr>
          <w:p w14:paraId="3771D47B" w14:textId="04BBDFCA" w:rsidR="00D00A83" w:rsidRPr="004630E1" w:rsidRDefault="00D00A83" w:rsidP="004630E1">
            <w:pPr>
              <w:pStyle w:val="TBLText"/>
              <w:rPr>
                <w:b/>
                <w:bCs/>
              </w:rPr>
            </w:pPr>
            <w:r w:rsidRPr="004630E1">
              <w:t>September 2027</w:t>
            </w:r>
          </w:p>
        </w:tc>
        <w:tc>
          <w:tcPr>
            <w:tcW w:w="732" w:type="pct"/>
            <w:shd w:val="clear" w:color="auto" w:fill="auto"/>
          </w:tcPr>
          <w:p w14:paraId="24F1451B" w14:textId="30D70D0B" w:rsidR="00D00A83" w:rsidRPr="004630E1" w:rsidRDefault="00D00A83" w:rsidP="004630E1">
            <w:pPr>
              <w:pStyle w:val="TBLNumberedList"/>
              <w:numPr>
                <w:ilvl w:val="0"/>
                <w:numId w:val="0"/>
              </w:numPr>
              <w:spacing w:after="0"/>
              <w:ind w:left="357" w:hanging="357"/>
              <w:rPr>
                <w:b/>
                <w:bCs/>
              </w:rPr>
            </w:pPr>
            <w:r>
              <w:t>Compliant</w:t>
            </w:r>
          </w:p>
        </w:tc>
      </w:tr>
    </w:tbl>
    <w:p w14:paraId="12E20B1C" w14:textId="3A3A960A" w:rsidR="00BE67F5" w:rsidRDefault="00BE67F5" w:rsidP="00F910F6">
      <w:pPr>
        <w:rPr>
          <w:rFonts w:eastAsiaTheme="majorEastAsia"/>
          <w:noProof/>
        </w:rPr>
      </w:pPr>
    </w:p>
    <w:p w14:paraId="02AACFF8" w14:textId="15C3C826" w:rsidR="00D3432A" w:rsidRDefault="00D3432A" w:rsidP="002C7E25">
      <w:pPr>
        <w:pStyle w:val="Heading2"/>
        <w:spacing w:before="120" w:after="0"/>
        <w:rPr>
          <w:noProof/>
        </w:rPr>
      </w:pPr>
      <w:bookmarkStart w:id="26" w:name="_Toc171679587"/>
      <w:bookmarkStart w:id="27" w:name="_Toc210227751"/>
      <w:r w:rsidRPr="2F9A60E7">
        <w:rPr>
          <w:noProof/>
        </w:rPr>
        <w:lastRenderedPageBreak/>
        <w:t>Department of the Treasury</w:t>
      </w:r>
      <w:bookmarkEnd w:id="26"/>
      <w:bookmarkEnd w:id="27"/>
    </w:p>
    <w:p w14:paraId="6DF90D58" w14:textId="749AE2DC" w:rsidR="00217B80" w:rsidRPr="00774646" w:rsidRDefault="003F5A9A" w:rsidP="009500CF">
      <w:pPr>
        <w:pStyle w:val="Figure"/>
        <w:numPr>
          <w:ilvl w:val="0"/>
          <w:numId w:val="0"/>
        </w:numPr>
        <w:spacing w:before="120" w:after="0"/>
      </w:pPr>
      <w:r>
        <w:t xml:space="preserve">Table </w:t>
      </w:r>
      <w:r w:rsidR="00D00A83">
        <w:t>12</w:t>
      </w:r>
      <w:r>
        <w:t xml:space="preserve">. </w:t>
      </w:r>
      <w:r w:rsidRPr="00F81715">
        <w:t>Department of the Treasury</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11. Department of the Treasury"/>
        <w:tblDescription w:val="Figure 11. Department of the Treasury"/>
      </w:tblPr>
      <w:tblGrid>
        <w:gridCol w:w="2973"/>
        <w:gridCol w:w="1763"/>
        <w:gridCol w:w="2045"/>
        <w:gridCol w:w="1750"/>
        <w:gridCol w:w="1437"/>
      </w:tblGrid>
      <w:tr w:rsidR="00D3432A" w14:paraId="66392E6A" w14:textId="77777777" w:rsidTr="00A45C17">
        <w:trPr>
          <w:cnfStyle w:val="100000000000" w:firstRow="1" w:lastRow="0" w:firstColumn="0" w:lastColumn="0" w:oddVBand="0" w:evenVBand="0" w:oddHBand="0" w:evenHBand="0" w:firstRowFirstColumn="0" w:firstRowLastColumn="0" w:lastRowFirstColumn="0" w:lastRowLastColumn="0"/>
          <w:cantSplit/>
          <w:trHeight w:val="20"/>
          <w:tblHeader/>
        </w:trPr>
        <w:tc>
          <w:tcPr>
            <w:tcW w:w="1491" w:type="pct"/>
            <w:tcBorders>
              <w:top w:val="none" w:sz="0" w:space="0" w:color="auto"/>
              <w:left w:val="none" w:sz="0" w:space="0" w:color="auto"/>
              <w:bottom w:val="none" w:sz="0" w:space="0" w:color="auto"/>
            </w:tcBorders>
          </w:tcPr>
          <w:p w14:paraId="0681E847" w14:textId="4E490AD2" w:rsidR="004C4A97" w:rsidRDefault="004C4A97" w:rsidP="00E35D5A">
            <w:pPr>
              <w:pStyle w:val="TBLHeading"/>
            </w:pPr>
            <w:r>
              <w:t>Title of regulatory proposal</w:t>
            </w:r>
          </w:p>
          <w:p w14:paraId="40B8A736" w14:textId="77777777" w:rsidR="00D3432A" w:rsidRPr="006E170D" w:rsidRDefault="004C4A97" w:rsidP="00E35D5A">
            <w:pPr>
              <w:pStyle w:val="TBLHeading"/>
            </w:pPr>
            <w:r>
              <w:t>Description of regulatory proposal</w:t>
            </w:r>
          </w:p>
        </w:tc>
        <w:tc>
          <w:tcPr>
            <w:tcW w:w="884" w:type="pct"/>
            <w:tcBorders>
              <w:top w:val="none" w:sz="0" w:space="0" w:color="auto"/>
              <w:bottom w:val="none" w:sz="0" w:space="0" w:color="auto"/>
            </w:tcBorders>
          </w:tcPr>
          <w:p w14:paraId="06F39E09" w14:textId="77777777" w:rsidR="00F31809" w:rsidRDefault="00F31809" w:rsidP="00E35D5A">
            <w:pPr>
              <w:pStyle w:val="TBLHeading"/>
            </w:pPr>
            <w:r>
              <w:t xml:space="preserve">Reason </w:t>
            </w:r>
          </w:p>
          <w:p w14:paraId="4B026376" w14:textId="77777777" w:rsidR="00D3432A" w:rsidRPr="006E170D" w:rsidRDefault="00F31809" w:rsidP="00E35D5A">
            <w:pPr>
              <w:pStyle w:val="TBLHeading"/>
            </w:pPr>
            <w:r>
              <w:t>for PIR</w:t>
            </w:r>
          </w:p>
        </w:tc>
        <w:tc>
          <w:tcPr>
            <w:tcW w:w="1026" w:type="pct"/>
            <w:tcBorders>
              <w:top w:val="none" w:sz="0" w:space="0" w:color="auto"/>
              <w:bottom w:val="none" w:sz="0" w:space="0" w:color="auto"/>
            </w:tcBorders>
          </w:tcPr>
          <w:p w14:paraId="35AE7571" w14:textId="77777777" w:rsidR="00F31809" w:rsidRDefault="00F31809" w:rsidP="00E35D5A">
            <w:pPr>
              <w:pStyle w:val="TBLHeading"/>
            </w:pPr>
            <w:r>
              <w:t xml:space="preserve">Implementation </w:t>
            </w:r>
          </w:p>
          <w:p w14:paraId="00DC4626" w14:textId="77777777" w:rsidR="00D3432A" w:rsidRPr="006E170D" w:rsidRDefault="00F31809" w:rsidP="00E35D5A">
            <w:pPr>
              <w:pStyle w:val="TBLHeading"/>
            </w:pPr>
            <w:r>
              <w:t>date</w:t>
            </w:r>
          </w:p>
        </w:tc>
        <w:tc>
          <w:tcPr>
            <w:tcW w:w="878" w:type="pct"/>
            <w:tcBorders>
              <w:top w:val="none" w:sz="0" w:space="0" w:color="auto"/>
              <w:bottom w:val="none" w:sz="0" w:space="0" w:color="auto"/>
            </w:tcBorders>
          </w:tcPr>
          <w:p w14:paraId="1D7BC7F8" w14:textId="77777777" w:rsidR="00D3432A" w:rsidRPr="006E170D" w:rsidRDefault="00F31809" w:rsidP="00E35D5A">
            <w:pPr>
              <w:pStyle w:val="TBLHeading"/>
            </w:pPr>
            <w:r>
              <w:t>Due date</w:t>
            </w:r>
          </w:p>
        </w:tc>
        <w:tc>
          <w:tcPr>
            <w:tcW w:w="722" w:type="pct"/>
            <w:tcBorders>
              <w:top w:val="none" w:sz="0" w:space="0" w:color="auto"/>
              <w:bottom w:val="none" w:sz="0" w:space="0" w:color="auto"/>
              <w:right w:val="none" w:sz="0" w:space="0" w:color="auto"/>
            </w:tcBorders>
          </w:tcPr>
          <w:p w14:paraId="30B3365C" w14:textId="77777777" w:rsidR="00D3432A" w:rsidRPr="006E170D" w:rsidRDefault="00F31809" w:rsidP="00E35D5A">
            <w:pPr>
              <w:pStyle w:val="TBLHeading"/>
            </w:pPr>
            <w:r>
              <w:t>PIR compliance</w:t>
            </w:r>
          </w:p>
        </w:tc>
      </w:tr>
      <w:tr w:rsidR="00D3432A" w14:paraId="780DC0E0" w14:textId="77777777" w:rsidTr="00A45C17">
        <w:trPr>
          <w:cantSplit/>
          <w:trHeight w:val="20"/>
        </w:trPr>
        <w:tc>
          <w:tcPr>
            <w:tcW w:w="1491" w:type="pct"/>
          </w:tcPr>
          <w:p w14:paraId="0AC43EC2" w14:textId="77777777" w:rsidR="0056345E" w:rsidRPr="0056345E" w:rsidRDefault="0056345E" w:rsidP="00E35D5A">
            <w:pPr>
              <w:pStyle w:val="TBLText"/>
              <w:rPr>
                <w:rFonts w:eastAsia="Arial" w:hAnsi="Arial" w:cs="Arial"/>
                <w:b/>
              </w:rPr>
            </w:pPr>
            <w:r w:rsidRPr="0056345E">
              <w:rPr>
                <w:b/>
              </w:rPr>
              <w:t>Foreign Investment Review Reforms</w:t>
            </w:r>
          </w:p>
          <w:p w14:paraId="25A85E63" w14:textId="77777777" w:rsidR="00D3432A" w:rsidRPr="006E170D" w:rsidRDefault="0056345E" w:rsidP="00E35D5A">
            <w:pPr>
              <w:pStyle w:val="TBLText"/>
            </w:pPr>
            <w:r>
              <w:rPr>
                <w:spacing w:val="-1"/>
              </w:rPr>
              <w:t>Ensure</w:t>
            </w:r>
            <w:r w:rsidRPr="00B30A31">
              <w:rPr>
                <w:spacing w:val="-1"/>
              </w:rPr>
              <w:t xml:space="preserve"> Australia’s foreign investment screening framework keeps pace with emerging risks and global developments, whilst maintaining Australia as an attractive destination for foreign investment</w:t>
            </w:r>
          </w:p>
        </w:tc>
        <w:tc>
          <w:tcPr>
            <w:tcW w:w="884" w:type="pct"/>
          </w:tcPr>
          <w:p w14:paraId="4739C180" w14:textId="77777777" w:rsidR="00D3432A" w:rsidRPr="006E170D" w:rsidRDefault="00D61368" w:rsidP="00E35D5A">
            <w:pPr>
              <w:pStyle w:val="TBLText"/>
            </w:pPr>
            <w:r>
              <w:rPr>
                <w:spacing w:val="-1"/>
              </w:rPr>
              <w:t>Substantial</w:t>
            </w:r>
            <w:r>
              <w:rPr>
                <w:spacing w:val="28"/>
              </w:rPr>
              <w:t xml:space="preserve"> </w:t>
            </w:r>
            <w:r>
              <w:t>Impact</w:t>
            </w:r>
          </w:p>
        </w:tc>
        <w:tc>
          <w:tcPr>
            <w:tcW w:w="1026" w:type="pct"/>
          </w:tcPr>
          <w:p w14:paraId="0DC1148F" w14:textId="77777777" w:rsidR="00D3432A" w:rsidRPr="006E170D" w:rsidRDefault="0056345E" w:rsidP="00E35D5A">
            <w:pPr>
              <w:pStyle w:val="TBLText"/>
            </w:pPr>
            <w:r>
              <w:rPr>
                <w:spacing w:val="-1"/>
              </w:rPr>
              <w:t>Nov 2020</w:t>
            </w:r>
          </w:p>
        </w:tc>
        <w:tc>
          <w:tcPr>
            <w:tcW w:w="878" w:type="pct"/>
          </w:tcPr>
          <w:p w14:paraId="433E693F" w14:textId="77777777" w:rsidR="00D3432A" w:rsidRPr="006E170D" w:rsidRDefault="0056345E" w:rsidP="00E35D5A">
            <w:pPr>
              <w:pStyle w:val="TBLText"/>
            </w:pPr>
            <w:r>
              <w:rPr>
                <w:spacing w:val="-1"/>
              </w:rPr>
              <w:t>Oct</w:t>
            </w:r>
            <w:r>
              <w:t xml:space="preserve"> 2025</w:t>
            </w:r>
          </w:p>
        </w:tc>
        <w:tc>
          <w:tcPr>
            <w:tcW w:w="722" w:type="pct"/>
          </w:tcPr>
          <w:p w14:paraId="4C5871AC" w14:textId="77777777" w:rsidR="00D3432A" w:rsidRPr="006E170D" w:rsidRDefault="0056345E" w:rsidP="00E35D5A">
            <w:pPr>
              <w:pStyle w:val="TBLText"/>
            </w:pPr>
            <w:r>
              <w:rPr>
                <w:spacing w:val="-1"/>
              </w:rPr>
              <w:t>Compliant</w:t>
            </w:r>
          </w:p>
        </w:tc>
      </w:tr>
      <w:tr w:rsidR="00986D1E" w14:paraId="47374B82" w14:textId="77777777" w:rsidTr="00A45C17">
        <w:trPr>
          <w:cantSplit/>
          <w:trHeight w:val="20"/>
        </w:trPr>
        <w:tc>
          <w:tcPr>
            <w:tcW w:w="1491" w:type="pct"/>
          </w:tcPr>
          <w:p w14:paraId="71681DD0" w14:textId="3596BC56" w:rsidR="00986D1E" w:rsidRPr="00BF11C3" w:rsidRDefault="00A3507A" w:rsidP="00E35D5A">
            <w:pPr>
              <w:pStyle w:val="TBLText"/>
              <w:rPr>
                <w:b/>
                <w:vertAlign w:val="superscript"/>
              </w:rPr>
            </w:pPr>
            <w:r w:rsidRPr="00BF11C3">
              <w:rPr>
                <w:b/>
              </w:rPr>
              <w:t xml:space="preserve">Options for </w:t>
            </w:r>
            <w:r w:rsidR="00127EF7" w:rsidRPr="00BF11C3">
              <w:rPr>
                <w:b/>
              </w:rPr>
              <w:t>Energy Price Relief</w:t>
            </w:r>
            <w:r w:rsidR="0097695B">
              <w:rPr>
                <w:b/>
                <w:vertAlign w:val="superscript"/>
              </w:rPr>
              <w:t>a</w:t>
            </w:r>
          </w:p>
          <w:p w14:paraId="1799F770" w14:textId="363B0A8C" w:rsidR="00F47E55" w:rsidRPr="00BF11C3" w:rsidRDefault="00F47E55" w:rsidP="00E35D5A">
            <w:pPr>
              <w:shd w:val="clear" w:color="auto" w:fill="FFFFFF"/>
              <w:rPr>
                <w:noProof/>
                <w:sz w:val="18"/>
                <w:szCs w:val="18"/>
              </w:rPr>
            </w:pPr>
            <w:r w:rsidRPr="00BF11C3">
              <w:rPr>
                <w:noProof/>
                <w:sz w:val="18"/>
                <w:szCs w:val="18"/>
              </w:rPr>
              <w:t>A combination of three Commonwealth responses to address the problem of high energy prices: a mandatory code of conduct for the wholesale gas market, a temporary 12-month gas price cap, and bringing forward commencement of reforms to the Australian Domestic Gas Security Mechanism (ADGSM)</w:t>
            </w:r>
          </w:p>
        </w:tc>
        <w:tc>
          <w:tcPr>
            <w:tcW w:w="884" w:type="pct"/>
          </w:tcPr>
          <w:p w14:paraId="08B64F38" w14:textId="5E204729" w:rsidR="00986D1E" w:rsidRPr="00BF11C3" w:rsidRDefault="00F47E55" w:rsidP="00E35D5A">
            <w:pPr>
              <w:pStyle w:val="TBLText"/>
            </w:pPr>
            <w:r w:rsidRPr="00BF11C3">
              <w:rPr>
                <w:spacing w:val="-1"/>
              </w:rPr>
              <w:t>Substantial</w:t>
            </w:r>
            <w:r w:rsidR="00AE1D7F">
              <w:rPr>
                <w:spacing w:val="-1"/>
              </w:rPr>
              <w:t xml:space="preserve"> </w:t>
            </w:r>
            <w:r w:rsidRPr="00BF11C3">
              <w:t>Impact</w:t>
            </w:r>
          </w:p>
        </w:tc>
        <w:tc>
          <w:tcPr>
            <w:tcW w:w="1026" w:type="pct"/>
          </w:tcPr>
          <w:p w14:paraId="5509CE6A" w14:textId="44B4816F" w:rsidR="00986D1E" w:rsidRPr="00BF11C3" w:rsidRDefault="00127EF7" w:rsidP="00E35D5A">
            <w:pPr>
              <w:pStyle w:val="TBLText"/>
            </w:pPr>
            <w:r w:rsidRPr="00BF11C3">
              <w:t>Dec</w:t>
            </w:r>
            <w:r w:rsidR="00986D1E" w:rsidRPr="00BF11C3">
              <w:t xml:space="preserve"> 2022</w:t>
            </w:r>
          </w:p>
        </w:tc>
        <w:tc>
          <w:tcPr>
            <w:tcW w:w="878" w:type="pct"/>
          </w:tcPr>
          <w:p w14:paraId="530CB6CF" w14:textId="02B8567A" w:rsidR="00127EF7" w:rsidRPr="00BF11C3" w:rsidRDefault="00F47E55" w:rsidP="00E35D5A">
            <w:pPr>
              <w:pStyle w:val="TBLText"/>
            </w:pPr>
            <w:r w:rsidRPr="00BF11C3">
              <w:t>Dec 2027</w:t>
            </w:r>
          </w:p>
          <w:p w14:paraId="7440A5C0" w14:textId="4B399841" w:rsidR="00986D1E" w:rsidRPr="00BF11C3" w:rsidRDefault="00986D1E" w:rsidP="00E35D5A">
            <w:pPr>
              <w:pStyle w:val="TBLText"/>
            </w:pPr>
          </w:p>
        </w:tc>
        <w:tc>
          <w:tcPr>
            <w:tcW w:w="722" w:type="pct"/>
          </w:tcPr>
          <w:p w14:paraId="6F23B082" w14:textId="1A828AC7" w:rsidR="00986D1E" w:rsidRPr="00BF11C3" w:rsidRDefault="00986D1E" w:rsidP="00E35D5A">
            <w:pPr>
              <w:pStyle w:val="TBLText"/>
            </w:pPr>
            <w:r w:rsidRPr="00BF11C3">
              <w:t>Compliant</w:t>
            </w:r>
          </w:p>
        </w:tc>
      </w:tr>
      <w:tr w:rsidR="00AC30ED" w14:paraId="095DF006" w14:textId="77777777" w:rsidTr="00A45C17">
        <w:trPr>
          <w:cantSplit/>
          <w:trHeight w:val="20"/>
        </w:trPr>
        <w:tc>
          <w:tcPr>
            <w:tcW w:w="1491" w:type="pct"/>
          </w:tcPr>
          <w:p w14:paraId="706A02EF" w14:textId="77777777" w:rsidR="00AC30ED" w:rsidRPr="00E53DB7" w:rsidRDefault="00AC30ED" w:rsidP="00E35D5A">
            <w:pPr>
              <w:pStyle w:val="TBLText"/>
              <w:rPr>
                <w:b/>
              </w:rPr>
            </w:pPr>
            <w:r w:rsidRPr="00E53DB7">
              <w:rPr>
                <w:b/>
              </w:rPr>
              <w:t>Reducing tax concessions on superannuation balances exceeding $3 million</w:t>
            </w:r>
          </w:p>
          <w:p w14:paraId="76F084DC" w14:textId="64B09030" w:rsidR="00AC30ED" w:rsidRPr="00E53DB7" w:rsidRDefault="00AC30ED" w:rsidP="00E35D5A">
            <w:pPr>
              <w:pStyle w:val="TBLText"/>
            </w:pPr>
            <w:r w:rsidRPr="00E53DB7">
              <w:t>The Australian Government will reduce the tax concessions available to individuals whose total superannuation balances exceed $3</w:t>
            </w:r>
            <w:r w:rsidR="005D10FF">
              <w:t> </w:t>
            </w:r>
            <w:r w:rsidRPr="00E53DB7">
              <w:t>million at the end of the financial year, commencing on 1</w:t>
            </w:r>
            <w:r w:rsidR="0097695B">
              <w:t> </w:t>
            </w:r>
            <w:r w:rsidRPr="00E53DB7">
              <w:t>July 2025.</w:t>
            </w:r>
          </w:p>
        </w:tc>
        <w:tc>
          <w:tcPr>
            <w:tcW w:w="884" w:type="pct"/>
          </w:tcPr>
          <w:p w14:paraId="0425F26C" w14:textId="6AC0AFC3" w:rsidR="00AC30ED" w:rsidRPr="00E53DB7" w:rsidRDefault="00FF37A7" w:rsidP="00E35D5A">
            <w:pPr>
              <w:pStyle w:val="TBLText"/>
              <w:rPr>
                <w:spacing w:val="-1"/>
              </w:rPr>
            </w:pPr>
            <w:r>
              <w:rPr>
                <w:spacing w:val="-1"/>
              </w:rPr>
              <w:t>Insufficient</w:t>
            </w:r>
          </w:p>
        </w:tc>
        <w:tc>
          <w:tcPr>
            <w:tcW w:w="1026" w:type="pct"/>
          </w:tcPr>
          <w:p w14:paraId="3ED1CE82" w14:textId="36F24AD2" w:rsidR="00AC30ED" w:rsidRPr="00E53DB7" w:rsidRDefault="00AC30ED" w:rsidP="00E35D5A">
            <w:pPr>
              <w:pStyle w:val="TBLText"/>
            </w:pPr>
            <w:r w:rsidRPr="00E53DB7">
              <w:t>Jul 2025</w:t>
            </w:r>
            <w:r w:rsidR="0097695B">
              <w:rPr>
                <w:vertAlign w:val="superscript"/>
              </w:rPr>
              <w:t>b</w:t>
            </w:r>
          </w:p>
        </w:tc>
        <w:tc>
          <w:tcPr>
            <w:tcW w:w="878" w:type="pct"/>
          </w:tcPr>
          <w:p w14:paraId="11EC30B0" w14:textId="6A6ADCE1" w:rsidR="00AC30ED" w:rsidRPr="00E53DB7" w:rsidRDefault="00AC30ED" w:rsidP="00E35D5A">
            <w:pPr>
              <w:pStyle w:val="TBLText"/>
            </w:pPr>
            <w:r w:rsidRPr="00E53DB7">
              <w:t>Jul 2027</w:t>
            </w:r>
          </w:p>
        </w:tc>
        <w:tc>
          <w:tcPr>
            <w:tcW w:w="722" w:type="pct"/>
          </w:tcPr>
          <w:p w14:paraId="2D149326" w14:textId="55E506F7" w:rsidR="00AC30ED" w:rsidRPr="00E53DB7" w:rsidRDefault="00AC30ED" w:rsidP="00E35D5A">
            <w:pPr>
              <w:pStyle w:val="TBLText"/>
            </w:pPr>
            <w:r w:rsidRPr="00E53DB7">
              <w:t>Compliant</w:t>
            </w:r>
          </w:p>
        </w:tc>
      </w:tr>
      <w:tr w:rsidR="009812D1" w14:paraId="122FFC0C" w14:textId="77777777" w:rsidTr="00A45C17">
        <w:trPr>
          <w:cantSplit/>
          <w:trHeight w:val="20"/>
        </w:trPr>
        <w:tc>
          <w:tcPr>
            <w:tcW w:w="1491" w:type="pct"/>
          </w:tcPr>
          <w:p w14:paraId="2619B8CD" w14:textId="28B8AD5F" w:rsidR="009812D1" w:rsidRPr="0081587D" w:rsidRDefault="009812D1" w:rsidP="00E35D5A">
            <w:pPr>
              <w:pStyle w:val="TBLText"/>
              <w:spacing w:after="0"/>
              <w:rPr>
                <w:b/>
                <w:bCs/>
              </w:rPr>
            </w:pPr>
            <w:r w:rsidRPr="4D4FF620">
              <w:rPr>
                <w:b/>
                <w:bCs/>
              </w:rPr>
              <w:t xml:space="preserve">Production Tax </w:t>
            </w:r>
          </w:p>
          <w:p w14:paraId="14FFD820" w14:textId="69BF2C56" w:rsidR="009812D1" w:rsidRPr="0081587D" w:rsidRDefault="009812D1" w:rsidP="00E35D5A">
            <w:pPr>
              <w:pStyle w:val="TBLText"/>
              <w:rPr>
                <w:b/>
                <w:bCs/>
              </w:rPr>
            </w:pPr>
            <w:r w:rsidRPr="4D4FF620">
              <w:rPr>
                <w:b/>
                <w:bCs/>
              </w:rPr>
              <w:t>Incentive</w:t>
            </w:r>
            <w:r w:rsidR="0081587D" w:rsidRPr="4D4FF620">
              <w:rPr>
                <w:b/>
                <w:bCs/>
              </w:rPr>
              <w:t xml:space="preserve"> for eligible Critical Minerals and Hydrogen projects</w:t>
            </w:r>
          </w:p>
          <w:p w14:paraId="222BE62B" w14:textId="1FBA6C6E" w:rsidR="009812D1" w:rsidRPr="0081587D" w:rsidRDefault="001C1CEA" w:rsidP="00E35D5A">
            <w:pPr>
              <w:pStyle w:val="TBLText"/>
            </w:pPr>
            <w:r>
              <w:t>Provide</w:t>
            </w:r>
            <w:r w:rsidR="0081587D">
              <w:t>s</w:t>
            </w:r>
            <w:r>
              <w:t xml:space="preserve"> a Production Tax Incentive</w:t>
            </w:r>
            <w:r w:rsidR="0081587D">
              <w:t xml:space="preserve"> (PTI) – a time-limited and uncapped 10 per cent refundable tax offset – for eligible Critical Minerals and Hydrogen projects. </w:t>
            </w:r>
          </w:p>
        </w:tc>
        <w:tc>
          <w:tcPr>
            <w:tcW w:w="884" w:type="pct"/>
          </w:tcPr>
          <w:p w14:paraId="0929CCE0" w14:textId="1C63BAB9" w:rsidR="009812D1" w:rsidRDefault="001C1CEA" w:rsidP="00E35D5A">
            <w:pPr>
              <w:pStyle w:val="TBLText"/>
            </w:pPr>
            <w:r>
              <w:rPr>
                <w:spacing w:val="-1"/>
              </w:rPr>
              <w:t>Substantial Impact</w:t>
            </w:r>
          </w:p>
        </w:tc>
        <w:tc>
          <w:tcPr>
            <w:tcW w:w="1026" w:type="pct"/>
          </w:tcPr>
          <w:p w14:paraId="23A56B45" w14:textId="09C8B17D" w:rsidR="009812D1" w:rsidRPr="00E53DB7" w:rsidRDefault="0081587D" w:rsidP="00E35D5A">
            <w:pPr>
              <w:pStyle w:val="TBLText"/>
            </w:pPr>
            <w:r>
              <w:t>Jul 2027</w:t>
            </w:r>
            <w:r w:rsidRPr="4D4FF620">
              <w:rPr>
                <w:vertAlign w:val="superscript"/>
              </w:rPr>
              <w:t>b</w:t>
            </w:r>
          </w:p>
        </w:tc>
        <w:tc>
          <w:tcPr>
            <w:tcW w:w="878" w:type="pct"/>
          </w:tcPr>
          <w:p w14:paraId="1C10EAE5" w14:textId="0A807016" w:rsidR="009812D1" w:rsidRPr="00E53DB7" w:rsidRDefault="0081587D" w:rsidP="00E35D5A">
            <w:pPr>
              <w:pStyle w:val="TBLText"/>
            </w:pPr>
            <w:r>
              <w:t>July 2032</w:t>
            </w:r>
            <w:r w:rsidRPr="4D4FF620">
              <w:rPr>
                <w:vertAlign w:val="superscript"/>
              </w:rPr>
              <w:t>c</w:t>
            </w:r>
          </w:p>
        </w:tc>
        <w:tc>
          <w:tcPr>
            <w:tcW w:w="722" w:type="pct"/>
          </w:tcPr>
          <w:p w14:paraId="501008D7" w14:textId="3C92C80D" w:rsidR="009812D1" w:rsidRPr="00E53DB7" w:rsidRDefault="001C1CEA" w:rsidP="00E35D5A">
            <w:pPr>
              <w:pStyle w:val="TBLText"/>
            </w:pPr>
            <w:r>
              <w:t>Compliant</w:t>
            </w:r>
          </w:p>
        </w:tc>
      </w:tr>
    </w:tbl>
    <w:p w14:paraId="1ACC416B" w14:textId="48C6656B" w:rsidR="005D10FF" w:rsidRDefault="0097695B" w:rsidP="00EC1B23">
      <w:pPr>
        <w:pStyle w:val="BodyText"/>
        <w:ind w:left="0" w:right="57"/>
        <w:rPr>
          <w:rStyle w:val="Emphasis"/>
          <w:rFonts w:asciiTheme="minorHAnsi" w:hAnsiTheme="minorHAnsi" w:cstheme="minorHAnsi"/>
          <w:sz w:val="14"/>
        </w:rPr>
      </w:pPr>
      <w:proofErr w:type="gramStart"/>
      <w:r>
        <w:rPr>
          <w:rStyle w:val="Emphasis"/>
          <w:rFonts w:asciiTheme="minorHAnsi" w:hAnsiTheme="minorHAnsi" w:cstheme="minorHAnsi"/>
          <w:sz w:val="14"/>
        </w:rPr>
        <w:t>a</w:t>
      </w:r>
      <w:proofErr w:type="gramEnd"/>
      <w:r w:rsidR="00887200" w:rsidRPr="00487D8E">
        <w:rPr>
          <w:rStyle w:val="Emphasis"/>
          <w:rFonts w:asciiTheme="minorHAnsi" w:hAnsiTheme="minorHAnsi" w:cstheme="minorHAnsi"/>
          <w:sz w:val="14"/>
        </w:rPr>
        <w:t xml:space="preserve"> </w:t>
      </w:r>
      <w:r w:rsidR="00986D1E" w:rsidRPr="00487D8E">
        <w:rPr>
          <w:rStyle w:val="Emphasis"/>
          <w:rFonts w:asciiTheme="minorHAnsi" w:hAnsiTheme="minorHAnsi" w:cstheme="minorHAnsi"/>
          <w:sz w:val="14"/>
        </w:rPr>
        <w:t>Joint PIR with Department of Climate Change, Energy, the Environment and Water</w:t>
      </w:r>
      <w:r w:rsidR="00EC1B23" w:rsidRPr="00487D8E">
        <w:rPr>
          <w:rStyle w:val="Emphasis"/>
          <w:rFonts w:asciiTheme="minorHAnsi" w:hAnsiTheme="minorHAnsi" w:cstheme="minorHAnsi"/>
          <w:sz w:val="14"/>
        </w:rPr>
        <w:t>.</w:t>
      </w:r>
    </w:p>
    <w:p w14:paraId="47B15905" w14:textId="77777777" w:rsidR="0081587D" w:rsidRDefault="0097695B" w:rsidP="4D4FF620">
      <w:pPr>
        <w:pStyle w:val="BodyText"/>
        <w:ind w:left="0" w:right="57"/>
        <w:rPr>
          <w:rStyle w:val="Emphasis"/>
          <w:rFonts w:asciiTheme="minorHAnsi" w:hAnsiTheme="minorHAnsi"/>
          <w:sz w:val="14"/>
          <w:szCs w:val="14"/>
        </w:rPr>
      </w:pPr>
      <w:proofErr w:type="gramStart"/>
      <w:r w:rsidRPr="4D4FF620">
        <w:rPr>
          <w:rStyle w:val="Emphasis"/>
          <w:rFonts w:asciiTheme="minorHAnsi" w:hAnsiTheme="minorHAnsi"/>
          <w:sz w:val="14"/>
          <w:szCs w:val="14"/>
        </w:rPr>
        <w:t>b</w:t>
      </w:r>
      <w:proofErr w:type="gramEnd"/>
      <w:r w:rsidR="005D10FF" w:rsidRPr="4D4FF620">
        <w:rPr>
          <w:rStyle w:val="Emphasis"/>
          <w:rFonts w:asciiTheme="minorHAnsi" w:hAnsiTheme="minorHAnsi"/>
          <w:sz w:val="14"/>
          <w:szCs w:val="14"/>
        </w:rPr>
        <w:t xml:space="preserve"> To be confirmed.</w:t>
      </w:r>
    </w:p>
    <w:p w14:paraId="5F13B750" w14:textId="57C6C5AD" w:rsidR="006A572C" w:rsidRPr="00487D8E" w:rsidRDefault="0081587D" w:rsidP="4D4FF620">
      <w:pPr>
        <w:pStyle w:val="BodyText"/>
        <w:ind w:left="0" w:right="57"/>
        <w:rPr>
          <w:rStyle w:val="Emphasis"/>
          <w:rFonts w:asciiTheme="minorHAnsi" w:hAnsiTheme="minorHAnsi"/>
          <w:sz w:val="14"/>
          <w:szCs w:val="14"/>
        </w:rPr>
      </w:pPr>
      <w:proofErr w:type="gramStart"/>
      <w:r w:rsidRPr="4D4FF620">
        <w:rPr>
          <w:rStyle w:val="Emphasis"/>
          <w:rFonts w:asciiTheme="minorHAnsi" w:hAnsiTheme="minorHAnsi"/>
          <w:sz w:val="14"/>
          <w:szCs w:val="14"/>
        </w:rPr>
        <w:t>c</w:t>
      </w:r>
      <w:proofErr w:type="gramEnd"/>
      <w:r w:rsidRPr="4D4FF620">
        <w:rPr>
          <w:rStyle w:val="Emphasis"/>
          <w:rFonts w:asciiTheme="minorHAnsi" w:hAnsiTheme="minorHAnsi"/>
          <w:sz w:val="14"/>
          <w:szCs w:val="14"/>
        </w:rPr>
        <w:t xml:space="preserve"> Treasury ha</w:t>
      </w:r>
      <w:r w:rsidR="006C7302" w:rsidRPr="4D4FF620">
        <w:rPr>
          <w:rStyle w:val="Emphasis"/>
          <w:rFonts w:asciiTheme="minorHAnsi" w:hAnsiTheme="minorHAnsi"/>
          <w:sz w:val="14"/>
          <w:szCs w:val="14"/>
        </w:rPr>
        <w:t>s</w:t>
      </w:r>
      <w:r w:rsidRPr="4D4FF620">
        <w:rPr>
          <w:rStyle w:val="Emphasis"/>
          <w:rFonts w:asciiTheme="minorHAnsi" w:hAnsiTheme="minorHAnsi"/>
          <w:sz w:val="14"/>
          <w:szCs w:val="14"/>
        </w:rPr>
        <w:t xml:space="preserve"> agreed to</w:t>
      </w:r>
      <w:r w:rsidR="00DC632A" w:rsidRPr="4D4FF620">
        <w:rPr>
          <w:rStyle w:val="Emphasis"/>
          <w:rFonts w:asciiTheme="minorHAnsi" w:hAnsiTheme="minorHAnsi"/>
          <w:sz w:val="14"/>
          <w:szCs w:val="14"/>
        </w:rPr>
        <w:t xml:space="preserve"> a due date of March 2029 to provide a timely assessment of the efficiency and effectiveness of the policy</w:t>
      </w:r>
      <w:r w:rsidRPr="4D4FF620">
        <w:rPr>
          <w:rStyle w:val="Emphasis"/>
          <w:rFonts w:asciiTheme="minorHAnsi" w:hAnsiTheme="minorHAnsi"/>
          <w:sz w:val="14"/>
          <w:szCs w:val="14"/>
        </w:rPr>
        <w:t>.</w:t>
      </w:r>
      <w:r>
        <w:br/>
      </w:r>
    </w:p>
    <w:p w14:paraId="3796F174" w14:textId="77777777" w:rsidR="006A572C" w:rsidRPr="00E55A4F" w:rsidRDefault="006A572C" w:rsidP="00CA0291">
      <w:pPr>
        <w:pStyle w:val="BodyText"/>
        <w:spacing w:line="391" w:lineRule="auto"/>
        <w:ind w:left="0" w:right="55"/>
        <w:rPr>
          <w:rStyle w:val="Emphasis"/>
          <w:i/>
          <w:sz w:val="14"/>
        </w:rPr>
      </w:pPr>
    </w:p>
    <w:sectPr w:rsidR="006A572C" w:rsidRPr="00E55A4F" w:rsidSect="00AE700B">
      <w:headerReference w:type="default" r:id="rId21"/>
      <w:footerReference w:type="default" r:id="rId22"/>
      <w:headerReference w:type="first" r:id="rId23"/>
      <w:pgSz w:w="11906" w:h="16838"/>
      <w:pgMar w:top="1701" w:right="964" w:bottom="1701" w:left="964" w:header="993" w:footer="709"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610B7" w14:textId="77777777" w:rsidR="00D00A83" w:rsidRDefault="00D00A83" w:rsidP="00F957C6">
      <w:pPr>
        <w:spacing w:after="0" w:line="240" w:lineRule="auto"/>
      </w:pPr>
      <w:r>
        <w:separator/>
      </w:r>
    </w:p>
  </w:endnote>
  <w:endnote w:type="continuationSeparator" w:id="0">
    <w:p w14:paraId="42F64805" w14:textId="77777777" w:rsidR="00D00A83" w:rsidRDefault="00D00A83"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00000000"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EDAE9" w14:textId="01603B3D" w:rsidR="001937C3" w:rsidRPr="00630078" w:rsidRDefault="001937C3">
    <w:pPr>
      <w:pStyle w:val="Footer"/>
      <w:rPr>
        <w:sz w:val="18"/>
      </w:rPr>
    </w:pPr>
    <w:r w:rsidRPr="00630078">
      <w:rPr>
        <w:sz w:val="18"/>
      </w:rPr>
      <w:t>PMC | OIA | Post-Implementation Reviews: Required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34668" w14:textId="77777777" w:rsidR="00DF7E63" w:rsidRPr="00303C55" w:rsidRDefault="00DF7E63" w:rsidP="00303C55">
    <w:pPr>
      <w:pStyle w:val="Footer"/>
    </w:pPr>
    <w:r>
      <w:t>Post-implementation Reviews: Required</w:t>
    </w:r>
    <w:r>
      <w:ptab w:relativeTo="margin" w:alignment="center" w:leader="none"/>
    </w:r>
    <w:r>
      <w:rPr>
        <w:noProof/>
        <w:lang w:eastAsia="en-AU"/>
      </w:rPr>
      <mc:AlternateContent>
        <mc:Choice Requires="wps">
          <w:drawing>
            <wp:anchor distT="0" distB="0" distL="114300" distR="114300" simplePos="0" relativeHeight="251673600" behindDoc="1" locked="0" layoutInCell="1" allowOverlap="1" wp14:anchorId="19C825AE" wp14:editId="2E5A46F9">
              <wp:simplePos x="0" y="0"/>
              <wp:positionH relativeFrom="column">
                <wp:posOffset>6220460</wp:posOffset>
              </wp:positionH>
              <wp:positionV relativeFrom="page">
                <wp:posOffset>691515</wp:posOffset>
              </wp:positionV>
              <wp:extent cx="609600" cy="0"/>
              <wp:effectExtent l="0" t="0" r="19050" b="19050"/>
              <wp:wrapNone/>
              <wp:docPr id="106" name="Straight Connector 106"/>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5B8090" id="Straight Connector 106"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page" from="489.8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Lk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2o0UQXke0mMm&#10;ZY9jFnsMgVuIJIqXezXF1DFlHw50tVI8UBE+G/Lly5LEXPt7XvoLcxaaHzftm03LU9A3V/PMi5Ty&#10;O0AvyqWXzoaiXHXq9D5lzsXQG4SNUsclc73ls4MCduETGFbDudaVXfcI9o7ESfEGDF/XRQXHqshC&#10;Mda5hdT+mXTFFhrU3fpb4oKuGTHkhehtQPpd1jzfSjUX/E31RWuR/YTDuc6htoMXpCq7LnPZwB/t&#10;Sn/+5XbfAQ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BMRwuS1AQAAugMAAA4AAAAAAAAAAAAAAAAALgIAAGRycy9lMm9E&#10;b2MueG1sUEsBAi0AFAAGAAgAAAAhADM4mGXeAAAADAEAAA8AAAAAAAAAAAAAAAAADwQAAGRycy9k&#10;b3ducmV2LnhtbFBLBQYAAAAABAAEAPMAAAAaBQAAAAA=&#10;" strokecolor="black [3200]" strokeweight=".5pt">
              <v:stroke joinstyle="miter"/>
              <w10:wrap anchory="page"/>
            </v:line>
          </w:pict>
        </mc:Fallback>
      </mc:AlternateContent>
    </w:r>
    <w:sdt>
      <w:sdtPr>
        <w:rPr>
          <w:rStyle w:val="CLASSIFICATIONChar"/>
        </w:rPr>
        <w:alias w:val="Classification"/>
        <w:tag w:val="Classification"/>
        <w:id w:val="-810248438"/>
        <w:placeholder>
          <w:docPart w:val="EF9F39270B2C415C96D5CABE853BBE3E"/>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r>
      <w:rPr>
        <w:noProof/>
        <w:lang w:eastAsia="en-AU"/>
      </w:rPr>
      <mc:AlternateContent>
        <mc:Choice Requires="wps">
          <w:drawing>
            <wp:anchor distT="0" distB="0" distL="114300" distR="114300" simplePos="0" relativeHeight="251672576" behindDoc="0" locked="0" layoutInCell="1" allowOverlap="1" wp14:anchorId="5861923A" wp14:editId="323397C2">
              <wp:simplePos x="0" y="0"/>
              <wp:positionH relativeFrom="column">
                <wp:posOffset>6223000</wp:posOffset>
              </wp:positionH>
              <wp:positionV relativeFrom="page">
                <wp:posOffset>690245</wp:posOffset>
              </wp:positionV>
              <wp:extent cx="60960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6C23D7" id="Straight Connector 10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page" from="490pt,54.35pt" to="538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" strokecolor="black [3200]" strokeweight=".5pt">
              <v:stroke joinstyle="miter"/>
              <w10:wrap anchory="page"/>
            </v:line>
          </w:pict>
        </mc:Fallback>
      </mc:AlternateContent>
    </w:r>
    <w:r>
      <w:t xml:space="preserve"> </w:t>
    </w:r>
    <w:r>
      <w:ptab w:relativeTo="margin" w:alignment="right" w:leader="none"/>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0114" w14:textId="77777777" w:rsidR="00D00A83" w:rsidRPr="00285CAF" w:rsidRDefault="00D00A83" w:rsidP="00D10635">
    <w:pPr>
      <w:jc w:val="center"/>
    </w:pPr>
  </w:p>
  <w:p w14:paraId="52CA4F5B" w14:textId="621BE00A" w:rsidR="00D00A83" w:rsidRPr="008046D4" w:rsidRDefault="00D00A83" w:rsidP="00D10635">
    <w:pPr>
      <w:pStyle w:val="Header"/>
      <w:rPr>
        <w:rFonts w:ascii="Segoe UI" w:hAnsi="Segoe UI" w:cs="Segoe UI"/>
        <w:color w:val="7F7F7F" w:themeColor="text1" w:themeTint="80"/>
        <w:sz w:val="18"/>
      </w:rPr>
    </w:pPr>
    <w:r>
      <w:rPr>
        <w:color w:val="7F7F7F" w:themeColor="text1" w:themeTint="80"/>
        <w:sz w:val="18"/>
        <w:szCs w:val="18"/>
      </w:rPr>
      <w:t>PM&amp;C | OIA | Post-implementation Reviews: Required</w:t>
    </w:r>
    <w:r w:rsidRPr="008046D4">
      <w:rPr>
        <w:rFonts w:ascii="Segoe UI" w:hAnsi="Segoe UI" w:cs="Segoe UI"/>
        <w:sz w:val="18"/>
      </w:rPr>
      <w:ptab w:relativeTo="margin" w:alignment="center" w:leader="none"/>
    </w:r>
    <w:r>
      <w:ptab w:relativeTo="margin" w:alignment="right" w:leader="none"/>
    </w:r>
    <w:r w:rsidRPr="008046D4">
      <w:rPr>
        <w:rFonts w:ascii="Segoe UI" w:hAnsi="Segoe UI" w:cs="Segoe UI"/>
        <w:color w:val="7F7F7F" w:themeColor="text1" w:themeTint="80"/>
        <w:sz w:val="18"/>
      </w:rPr>
      <w:fldChar w:fldCharType="begin"/>
    </w:r>
    <w:r w:rsidRPr="008046D4">
      <w:rPr>
        <w:rFonts w:ascii="Segoe UI" w:hAnsi="Segoe UI" w:cs="Segoe UI"/>
        <w:color w:val="7F7F7F" w:themeColor="text1" w:themeTint="80"/>
        <w:sz w:val="18"/>
      </w:rPr>
      <w:instrText xml:space="preserve"> PAGE   \* MERGEFORMAT </w:instrText>
    </w:r>
    <w:r w:rsidRPr="008046D4">
      <w:rPr>
        <w:rFonts w:ascii="Segoe UI" w:hAnsi="Segoe UI" w:cs="Segoe UI"/>
        <w:color w:val="7F7F7F" w:themeColor="text1" w:themeTint="80"/>
        <w:sz w:val="18"/>
      </w:rPr>
      <w:fldChar w:fldCharType="separate"/>
    </w:r>
    <w:r w:rsidR="000F5D74">
      <w:rPr>
        <w:rFonts w:ascii="Segoe UI" w:hAnsi="Segoe UI" w:cs="Segoe UI"/>
        <w:noProof/>
        <w:color w:val="7F7F7F" w:themeColor="text1" w:themeTint="80"/>
        <w:sz w:val="18"/>
      </w:rPr>
      <w:t>9</w:t>
    </w:r>
    <w:r w:rsidRPr="008046D4">
      <w:rPr>
        <w:rFonts w:ascii="Segoe UI" w:hAnsi="Segoe UI" w:cs="Segoe UI"/>
        <w:noProof/>
        <w:color w:val="7F7F7F" w:themeColor="text1" w:themeTint="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9370E" w14:textId="77777777" w:rsidR="00D00A83" w:rsidRDefault="00D00A83" w:rsidP="00F957C6">
      <w:pPr>
        <w:spacing w:after="0" w:line="240" w:lineRule="auto"/>
      </w:pPr>
      <w:r>
        <w:separator/>
      </w:r>
    </w:p>
  </w:footnote>
  <w:footnote w:type="continuationSeparator" w:id="0">
    <w:p w14:paraId="485F3CF0" w14:textId="77777777" w:rsidR="00D00A83" w:rsidRDefault="00D00A83"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02191" w14:textId="5FD056CA" w:rsidR="00DF7E63" w:rsidRDefault="001937C3" w:rsidP="00303C55">
    <w:pPr>
      <w:pStyle w:val="Header"/>
      <w:ind w:left="1134"/>
      <w:rPr>
        <w:noProof/>
        <w:lang w:eastAsia="en-AU"/>
      </w:rPr>
    </w:pPr>
    <w:r>
      <w:rPr>
        <w:rFonts w:ascii="Segoe UI" w:hAnsi="Segoe UI"/>
        <w:caps/>
        <w:noProof/>
        <w:color w:val="C00000"/>
        <w:sz w:val="18"/>
        <w:lang w:eastAsia="en-AU"/>
      </w:rPr>
      <w:drawing>
        <wp:anchor distT="0" distB="0" distL="114300" distR="114300" simplePos="0" relativeHeight="251682816" behindDoc="0" locked="0" layoutInCell="1" allowOverlap="1" wp14:anchorId="6360125A" wp14:editId="23E1C286">
          <wp:simplePos x="0" y="0"/>
          <wp:positionH relativeFrom="column">
            <wp:posOffset>3710980</wp:posOffset>
          </wp:positionH>
          <wp:positionV relativeFrom="paragraph">
            <wp:posOffset>-433415</wp:posOffset>
          </wp:positionV>
          <wp:extent cx="1470030" cy="1179654"/>
          <wp:effectExtent l="0" t="0" r="0" b="1905"/>
          <wp:wrapSquare wrapText="bothSides"/>
          <wp:docPr id="1" name="Picture 1" descr="The Office of Impac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A-LOGO-CMYK-BOTTOM.png"/>
                  <pic:cNvPicPr/>
                </pic:nvPicPr>
                <pic:blipFill>
                  <a:blip r:embed="rId1">
                    <a:extLst>
                      <a:ext uri="{28A0092B-C50C-407E-A947-70E740481C1C}">
                        <a14:useLocalDpi xmlns:a14="http://schemas.microsoft.com/office/drawing/2010/main" val="0"/>
                      </a:ext>
                    </a:extLst>
                  </a:blip>
                  <a:stretch>
                    <a:fillRect/>
                  </a:stretch>
                </pic:blipFill>
                <pic:spPr>
                  <a:xfrm>
                    <a:off x="0" y="0"/>
                    <a:ext cx="1470030" cy="1179654"/>
                  </a:xfrm>
                  <a:prstGeom prst="rect">
                    <a:avLst/>
                  </a:prstGeom>
                </pic:spPr>
              </pic:pic>
            </a:graphicData>
          </a:graphic>
          <wp14:sizeRelH relativeFrom="page">
            <wp14:pctWidth>0</wp14:pctWidth>
          </wp14:sizeRelH>
          <wp14:sizeRelV relativeFrom="page">
            <wp14:pctHeight>0</wp14:pctHeight>
          </wp14:sizeRelV>
        </wp:anchor>
      </w:drawing>
    </w:r>
    <w:r w:rsidR="0083163C">
      <w:rPr>
        <w:rFonts w:ascii="Segoe UI" w:hAnsi="Segoe UI"/>
        <w:caps/>
        <w:noProof/>
        <w:color w:val="C00000"/>
        <w:sz w:val="18"/>
        <w:lang w:eastAsia="en-AU"/>
      </w:rPr>
      <w:drawing>
        <wp:anchor distT="0" distB="0" distL="114300" distR="114300" simplePos="0" relativeHeight="251680768" behindDoc="0" locked="0" layoutInCell="1" allowOverlap="1" wp14:anchorId="3B5B95DB" wp14:editId="4390D504">
          <wp:simplePos x="0" y="0"/>
          <wp:positionH relativeFrom="margin">
            <wp:posOffset>0</wp:posOffset>
          </wp:positionH>
          <wp:positionV relativeFrom="page">
            <wp:posOffset>349250</wp:posOffset>
          </wp:positionV>
          <wp:extent cx="3236400" cy="547200"/>
          <wp:effectExtent l="0" t="0" r="2540" b="5715"/>
          <wp:wrapSquare wrapText="bothSides"/>
          <wp:docPr id="2" name="Picture 2" descr="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the Prime Minister and Cabinet"/>
                  <pic:cNvPicPr>
                    <a:picLocks noChangeAspect="1" noChangeArrowheads="1"/>
                  </pic:cNvPicPr>
                </pic:nvPicPr>
                <pic:blipFill>
                  <a:blip r:embed="rId2">
                    <a:extLst>
                      <a:ext uri="{28A0092B-C50C-407E-A947-70E740481C1C}">
                        <a14:useLocalDpi xmlns:a14="http://schemas.microsoft.com/office/drawing/2010/main" val="0"/>
                      </a:ext>
                    </a:extLst>
                  </a:blip>
                  <a:srcRect l="6358" t="23689" r="6641" b="24025"/>
                  <a:stretch>
                    <a:fillRect/>
                  </a:stretch>
                </pic:blipFill>
                <pic:spPr bwMode="auto">
                  <a:xfrm>
                    <a:off x="0" y="0"/>
                    <a:ext cx="3236400" cy="54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B46CDF" w14:textId="77777777" w:rsidR="00DF7E63" w:rsidRDefault="00AE700B" w:rsidP="00DC000A">
    <w:pPr>
      <w:pStyle w:val="Header"/>
      <w:tabs>
        <w:tab w:val="clear" w:pos="4513"/>
        <w:tab w:val="clear" w:pos="9026"/>
        <w:tab w:val="left" w:pos="3046"/>
      </w:tabs>
      <w:ind w:left="1134"/>
    </w:pPr>
    <w:r w:rsidRPr="00285CAF">
      <w:rPr>
        <w:noProof/>
        <w:lang w:eastAsia="en-AU"/>
      </w:rPr>
      <mc:AlternateContent>
        <mc:Choice Requires="wps">
          <w:drawing>
            <wp:anchor distT="0" distB="0" distL="114300" distR="114300" simplePos="0" relativeHeight="251660288" behindDoc="1" locked="0" layoutInCell="1" allowOverlap="1" wp14:anchorId="2648C7DB" wp14:editId="5127E863">
              <wp:simplePos x="0" y="0"/>
              <wp:positionH relativeFrom="column">
                <wp:posOffset>6334760</wp:posOffset>
              </wp:positionH>
              <wp:positionV relativeFrom="page">
                <wp:posOffset>692150</wp:posOffset>
              </wp:positionV>
              <wp:extent cx="609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08A036"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page" from="498.8pt,54.5pt" to="546.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MGtAEAALYDAAAOAAAAZHJzL2Uyb0RvYy54bWysU8GOEzEMvSPxD1HudKa7Ug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" strokecolor="black [3200]" strokeweight=".5pt">
              <v:stroke joinstyle="miter"/>
              <w10:wrap anchory="page"/>
            </v:line>
          </w:pict>
        </mc:Fallback>
      </mc:AlternateContent>
    </w:r>
    <w:r w:rsidR="00DF7E63">
      <w:tab/>
    </w:r>
  </w:p>
  <w:p w14:paraId="02C1A5DF" w14:textId="77777777" w:rsidR="00DF7E63" w:rsidRDefault="00DF7E63" w:rsidP="00303C55">
    <w:pPr>
      <w:pStyle w:val="Header"/>
      <w:ind w:left="1134"/>
    </w:pPr>
  </w:p>
  <w:p w14:paraId="5A04FD0E" w14:textId="77777777" w:rsidR="00DF7E63" w:rsidRDefault="00DF7E63" w:rsidP="00831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654EB" w14:textId="77777777" w:rsidR="00DF7E63" w:rsidRDefault="00DF7E63" w:rsidP="00303C55">
    <w:pPr>
      <w:pStyle w:val="Header"/>
      <w:jc w:val="center"/>
    </w:pPr>
    <w:r>
      <w:rPr>
        <w:noProof/>
        <w:lang w:eastAsia="en-AU"/>
      </w:rPr>
      <mc:AlternateContent>
        <mc:Choice Requires="wps">
          <w:drawing>
            <wp:anchor distT="0" distB="0" distL="114300" distR="114300" simplePos="0" relativeHeight="251665408" behindDoc="1" locked="0" layoutInCell="1" allowOverlap="1" wp14:anchorId="030AF0EA" wp14:editId="55C8F768">
              <wp:simplePos x="0" y="0"/>
              <wp:positionH relativeFrom="column">
                <wp:posOffset>6220460</wp:posOffset>
              </wp:positionH>
              <wp:positionV relativeFrom="page">
                <wp:posOffset>691515</wp:posOffset>
              </wp:positionV>
              <wp:extent cx="609600" cy="0"/>
              <wp:effectExtent l="0" t="0" r="19050" b="19050"/>
              <wp:wrapNone/>
              <wp:docPr id="102" name="Straight Connector 102"/>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FAB13F" id="Straight Connector 102"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page" from="489.8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G6gOH21AQAAugMAAA4AAAAAAAAAAAAAAAAALgIAAGRycy9lMm9E&#10;b2MueG1sUEsBAi0AFAAGAAgAAAAhADM4mGXeAAAADAEAAA8AAAAAAAAAAAAAAAAADwQAAGRycy9k&#10;b3ducmV2LnhtbFBLBQYAAAAABAAEAPMAAAAaBQAAAAA=&#10;" strokecolor="black [3200]" strokeweight=".5pt">
              <v:stroke joinstyle="miter"/>
              <w10:wrap anchory="page"/>
            </v:line>
          </w:pict>
        </mc:Fallback>
      </mc:AlternateContent>
    </w:r>
    <w:sdt>
      <w:sdtPr>
        <w:rPr>
          <w:rStyle w:val="CLASSIFICATIONChar"/>
        </w:rPr>
        <w:alias w:val="Classification"/>
        <w:tag w:val="Classification"/>
        <w:id w:val="848293828"/>
        <w:placeholder>
          <w:docPart w:val="1CF7880DFCCF4AEC9ECE47B9538C9F8B"/>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9BBD0" w14:textId="77777777" w:rsidR="00D00A83" w:rsidRPr="00D10635" w:rsidRDefault="00D00A83" w:rsidP="00D10635">
    <w:pPr>
      <w:jc w:val="center"/>
    </w:pPr>
    <w:r>
      <w:rPr>
        <w:noProof/>
        <w:lang w:eastAsia="en-AU"/>
      </w:rPr>
      <mc:AlternateContent>
        <mc:Choice Requires="wps">
          <w:drawing>
            <wp:anchor distT="0" distB="0" distL="114300" distR="114300" simplePos="0" relativeHeight="251677696" behindDoc="1" locked="0" layoutInCell="1" allowOverlap="1" wp14:anchorId="0051BB68" wp14:editId="5A8F34A9">
              <wp:simplePos x="0" y="0"/>
              <wp:positionH relativeFrom="column">
                <wp:posOffset>6329680</wp:posOffset>
              </wp:positionH>
              <wp:positionV relativeFrom="page">
                <wp:posOffset>691515</wp:posOffset>
              </wp:positionV>
              <wp:extent cx="60840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9C26A3" id="Straight Connector 4" o:spid="_x0000_s1026" style="position:absolute;z-index:-2516387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98.4pt,54.45pt" to="546.3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" strokecolor="black [3200]" strokeweight=".5pt">
              <v:stroke joinstyle="miter"/>
              <w10:wrap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5C3A" w14:textId="77777777" w:rsidR="00D00A83" w:rsidRDefault="00D00A83" w:rsidP="00303C55">
    <w:pPr>
      <w:pStyle w:val="Header"/>
      <w:jc w:val="center"/>
    </w:pPr>
    <w:r>
      <w:rPr>
        <w:noProof/>
        <w:lang w:eastAsia="en-AU"/>
      </w:rPr>
      <mc:AlternateContent>
        <mc:Choice Requires="wps">
          <w:drawing>
            <wp:anchor distT="0" distB="0" distL="114300" distR="114300" simplePos="0" relativeHeight="251675648" behindDoc="1" locked="0" layoutInCell="1" allowOverlap="1" wp14:anchorId="42E413DC" wp14:editId="42DAA654">
              <wp:simplePos x="0" y="0"/>
              <wp:positionH relativeFrom="column">
                <wp:posOffset>6220460</wp:posOffset>
              </wp:positionH>
              <wp:positionV relativeFrom="page">
                <wp:posOffset>691515</wp:posOffset>
              </wp:positionV>
              <wp:extent cx="6096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62E091" id="Straight Connector 108"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page" from="489.8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0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Wh5VUJ6H9JhJ&#10;2eOYxR5D4BYiieLlXk0xdUzZhwNdrRQPVITPhnz5siQx1/6el/7CnIXmx037ZtPyFPTN1TzzIqX8&#10;DtCLcumls6EoV506vU+ZczH0BmGj1HHJXG/57KCAXfgEhtVwrnVl1z2CvSNxUrwBw9d1UcGxKrJQ&#10;jHVuIbV/Jl2xhQZ1t/6WuKBrRgx5IXobkH6XNc+3Us0Ff1N90VpkP+FwrnOo7eAFqcquy1w28Ee7&#10;0p9/ud13AA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Esf+TS1AQAAugMAAA4AAAAAAAAAAAAAAAAALgIAAGRycy9lMm9E&#10;b2MueG1sUEsBAi0AFAAGAAgAAAAhADM4mGXeAAAADAEAAA8AAAAAAAAAAAAAAAAADwQAAGRycy9k&#10;b3ducmV2LnhtbFBLBQYAAAAABAAEAPMAAAAaBQAAAAA=&#10;" strokecolor="black [3200]" strokeweight=".5pt">
              <v:stroke joinstyle="miter"/>
              <w10:wrap anchory="page"/>
            </v:line>
          </w:pict>
        </mc:Fallback>
      </mc:AlternateContent>
    </w:r>
    <w:sdt>
      <w:sdtPr>
        <w:rPr>
          <w:rStyle w:val="CLASSIFICATIONChar"/>
        </w:rPr>
        <w:alias w:val="Classification"/>
        <w:tag w:val="Classification"/>
        <w:id w:val="205463371"/>
        <w:placeholder>
          <w:docPart w:val="12C24C14EA444AD6A7376F6DBF882D46"/>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51ACA69A"/>
    <w:lvl w:ilvl="0" w:tplc="080C07C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72DE1CAA"/>
    <w:lvl w:ilvl="0" w:tplc="1CB0EE9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F542A2B0"/>
    <w:lvl w:ilvl="0" w:tplc="FA4E2F1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C6B214D4"/>
    <w:lvl w:ilvl="0" w:tplc="8460E7C6">
      <w:start w:val="1"/>
      <w:numFmt w:val="decimal"/>
      <w:pStyle w:val="Figure"/>
      <w:suff w:val="space"/>
      <w:lvlText w:val="Figure %1."/>
      <w:lvlJc w:val="left"/>
      <w:pPr>
        <w:ind w:left="3119"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864231E2"/>
    <w:lvl w:ilvl="0" w:tplc="8764996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94DC3E6A"/>
    <w:lvl w:ilvl="0" w:tplc="177076E2">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2DC077C0"/>
    <w:lvl w:ilvl="0" w:tplc="6F428F6E">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E51B32"/>
    <w:multiLevelType w:val="hybridMultilevel"/>
    <w:tmpl w:val="915C1D12"/>
    <w:lvl w:ilvl="0" w:tplc="9CF4C534">
      <w:start w:val="1"/>
      <w:numFmt w:val="decimal"/>
      <w:pStyle w:val="TB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6A5751"/>
    <w:multiLevelType w:val="hybridMultilevel"/>
    <w:tmpl w:val="2B000772"/>
    <w:lvl w:ilvl="0" w:tplc="6AC2351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81170D5"/>
    <w:multiLevelType w:val="hybridMultilevel"/>
    <w:tmpl w:val="3622095C"/>
    <w:lvl w:ilvl="0" w:tplc="07186822">
      <w:start w:val="1"/>
      <w:numFmt w:val="decimal"/>
      <w:pStyle w:val="NumberedList-Level1"/>
      <w:lvlText w:val="%1."/>
      <w:lvlJc w:val="left"/>
      <w:pPr>
        <w:ind w:left="567" w:hanging="283"/>
      </w:pPr>
      <w:rPr>
        <w:rFonts w:hint="default"/>
      </w:rPr>
    </w:lvl>
    <w:lvl w:ilvl="1" w:tplc="931294C8">
      <w:start w:val="1"/>
      <w:numFmt w:val="lowerLetter"/>
      <w:pStyle w:val="NumberedList-level2"/>
      <w:lvlText w:val="%2."/>
      <w:lvlJc w:val="left"/>
      <w:pPr>
        <w:ind w:left="851" w:hanging="284"/>
      </w:pPr>
      <w:rPr>
        <w:rFonts w:hint="default"/>
      </w:rPr>
    </w:lvl>
    <w:lvl w:ilvl="2" w:tplc="5508A634">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0"/>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8"/>
  </w:num>
  <w:num w:numId="20">
    <w:abstractNumId w:val="18"/>
    <w:lvlOverride w:ilvl="0">
      <w:startOverride w:val="1"/>
    </w:lvlOverride>
  </w:num>
  <w:num w:numId="21">
    <w:abstractNumId w:val="22"/>
  </w:num>
  <w:num w:numId="22">
    <w:abstractNumId w:val="19"/>
  </w:num>
  <w:num w:numId="23">
    <w:abstractNumId w:val="11"/>
    <w:lvlOverride w:ilvl="0">
      <w:startOverride w:val="1"/>
    </w:lvlOverride>
  </w:num>
  <w:num w:numId="24">
    <w:abstractNumId w:val="22"/>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4"/>
  </w:num>
  <w:num w:numId="28">
    <w:abstractNumId w:val="17"/>
  </w:num>
  <w:num w:numId="29">
    <w:abstractNumId w:val="13"/>
  </w:num>
  <w:num w:numId="30">
    <w:abstractNumId w:val="15"/>
  </w:num>
  <w:num w:numId="31">
    <w:abstractNumId w:val="12"/>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06"/>
    <w:rsid w:val="00010FCE"/>
    <w:rsid w:val="00014CBB"/>
    <w:rsid w:val="00017A9D"/>
    <w:rsid w:val="00017CF6"/>
    <w:rsid w:val="00027038"/>
    <w:rsid w:val="0003154E"/>
    <w:rsid w:val="000363AF"/>
    <w:rsid w:val="00037513"/>
    <w:rsid w:val="000507B5"/>
    <w:rsid w:val="00063EC6"/>
    <w:rsid w:val="0006627F"/>
    <w:rsid w:val="000706A5"/>
    <w:rsid w:val="00075554"/>
    <w:rsid w:val="00081CD8"/>
    <w:rsid w:val="00084CD7"/>
    <w:rsid w:val="000923AB"/>
    <w:rsid w:val="000A1E3F"/>
    <w:rsid w:val="000A4B19"/>
    <w:rsid w:val="000B1C41"/>
    <w:rsid w:val="000B2FAD"/>
    <w:rsid w:val="000B3417"/>
    <w:rsid w:val="000B3B5B"/>
    <w:rsid w:val="000C741C"/>
    <w:rsid w:val="000C7A83"/>
    <w:rsid w:val="000D749D"/>
    <w:rsid w:val="000D7751"/>
    <w:rsid w:val="000F5D74"/>
    <w:rsid w:val="00117A77"/>
    <w:rsid w:val="00117FDC"/>
    <w:rsid w:val="00127EF7"/>
    <w:rsid w:val="00141AA6"/>
    <w:rsid w:val="00154179"/>
    <w:rsid w:val="001618B5"/>
    <w:rsid w:val="00171A2D"/>
    <w:rsid w:val="001842C6"/>
    <w:rsid w:val="001842D5"/>
    <w:rsid w:val="00187B90"/>
    <w:rsid w:val="0019150D"/>
    <w:rsid w:val="001937C3"/>
    <w:rsid w:val="001966FA"/>
    <w:rsid w:val="001A1EF6"/>
    <w:rsid w:val="001C1CEA"/>
    <w:rsid w:val="001C41D2"/>
    <w:rsid w:val="001E7D56"/>
    <w:rsid w:val="001F430E"/>
    <w:rsid w:val="001F7D29"/>
    <w:rsid w:val="00216D57"/>
    <w:rsid w:val="00217B80"/>
    <w:rsid w:val="00220077"/>
    <w:rsid w:val="00220800"/>
    <w:rsid w:val="00220DDA"/>
    <w:rsid w:val="00227DB5"/>
    <w:rsid w:val="00243A23"/>
    <w:rsid w:val="002617B8"/>
    <w:rsid w:val="00266808"/>
    <w:rsid w:val="00266CCC"/>
    <w:rsid w:val="00274D42"/>
    <w:rsid w:val="00281317"/>
    <w:rsid w:val="00285CAF"/>
    <w:rsid w:val="00286E0A"/>
    <w:rsid w:val="00287D0E"/>
    <w:rsid w:val="00290A3D"/>
    <w:rsid w:val="00291C0D"/>
    <w:rsid w:val="002927E4"/>
    <w:rsid w:val="00293234"/>
    <w:rsid w:val="002A4365"/>
    <w:rsid w:val="002B393D"/>
    <w:rsid w:val="002B5B63"/>
    <w:rsid w:val="002B661A"/>
    <w:rsid w:val="002C7A05"/>
    <w:rsid w:val="002C7E25"/>
    <w:rsid w:val="002D6B3D"/>
    <w:rsid w:val="002F7289"/>
    <w:rsid w:val="002F76A5"/>
    <w:rsid w:val="002F7CC2"/>
    <w:rsid w:val="002F7E1F"/>
    <w:rsid w:val="00302380"/>
    <w:rsid w:val="00303C55"/>
    <w:rsid w:val="0030604F"/>
    <w:rsid w:val="00311C2D"/>
    <w:rsid w:val="00330BC8"/>
    <w:rsid w:val="00333AAE"/>
    <w:rsid w:val="00341703"/>
    <w:rsid w:val="00344229"/>
    <w:rsid w:val="00352190"/>
    <w:rsid w:val="00353E5E"/>
    <w:rsid w:val="00360437"/>
    <w:rsid w:val="00374D2A"/>
    <w:rsid w:val="003767E5"/>
    <w:rsid w:val="00376FE6"/>
    <w:rsid w:val="00383105"/>
    <w:rsid w:val="00385BD5"/>
    <w:rsid w:val="003864DF"/>
    <w:rsid w:val="003A35E1"/>
    <w:rsid w:val="003A40AC"/>
    <w:rsid w:val="003B455C"/>
    <w:rsid w:val="003D4746"/>
    <w:rsid w:val="003D4B0F"/>
    <w:rsid w:val="003D676D"/>
    <w:rsid w:val="003E37C0"/>
    <w:rsid w:val="003F23E9"/>
    <w:rsid w:val="003F5A9A"/>
    <w:rsid w:val="003F6E1F"/>
    <w:rsid w:val="00444BB8"/>
    <w:rsid w:val="0045457A"/>
    <w:rsid w:val="004630E1"/>
    <w:rsid w:val="0048426C"/>
    <w:rsid w:val="0048426E"/>
    <w:rsid w:val="00487D8E"/>
    <w:rsid w:val="004B2C90"/>
    <w:rsid w:val="004B69DC"/>
    <w:rsid w:val="004B6E13"/>
    <w:rsid w:val="004C17DE"/>
    <w:rsid w:val="004C4A97"/>
    <w:rsid w:val="004D0B52"/>
    <w:rsid w:val="004E7EE5"/>
    <w:rsid w:val="004F4C4F"/>
    <w:rsid w:val="0050054E"/>
    <w:rsid w:val="00504AB7"/>
    <w:rsid w:val="005053AE"/>
    <w:rsid w:val="0051621E"/>
    <w:rsid w:val="005226B9"/>
    <w:rsid w:val="00524255"/>
    <w:rsid w:val="0052546C"/>
    <w:rsid w:val="00532364"/>
    <w:rsid w:val="00553A0C"/>
    <w:rsid w:val="00561E9F"/>
    <w:rsid w:val="0056345E"/>
    <w:rsid w:val="0056703A"/>
    <w:rsid w:val="0057459B"/>
    <w:rsid w:val="0059041B"/>
    <w:rsid w:val="00590B63"/>
    <w:rsid w:val="00591288"/>
    <w:rsid w:val="005917FD"/>
    <w:rsid w:val="0059385A"/>
    <w:rsid w:val="005A4AA1"/>
    <w:rsid w:val="005B429B"/>
    <w:rsid w:val="005B5E3F"/>
    <w:rsid w:val="005C0F15"/>
    <w:rsid w:val="005D10FF"/>
    <w:rsid w:val="005D4706"/>
    <w:rsid w:val="005F0571"/>
    <w:rsid w:val="005F4B91"/>
    <w:rsid w:val="005F4C90"/>
    <w:rsid w:val="00601CB4"/>
    <w:rsid w:val="0060732B"/>
    <w:rsid w:val="006110E0"/>
    <w:rsid w:val="006200EB"/>
    <w:rsid w:val="00621EA3"/>
    <w:rsid w:val="00630078"/>
    <w:rsid w:val="006301FE"/>
    <w:rsid w:val="0063244D"/>
    <w:rsid w:val="00633E8C"/>
    <w:rsid w:val="0064006F"/>
    <w:rsid w:val="00640234"/>
    <w:rsid w:val="0064343A"/>
    <w:rsid w:val="00646301"/>
    <w:rsid w:val="00646524"/>
    <w:rsid w:val="006465A6"/>
    <w:rsid w:val="00647384"/>
    <w:rsid w:val="00647B55"/>
    <w:rsid w:val="00651F43"/>
    <w:rsid w:val="00660830"/>
    <w:rsid w:val="00664077"/>
    <w:rsid w:val="00684E39"/>
    <w:rsid w:val="006908B0"/>
    <w:rsid w:val="00696196"/>
    <w:rsid w:val="006A008F"/>
    <w:rsid w:val="006A02B4"/>
    <w:rsid w:val="006A08D4"/>
    <w:rsid w:val="006A2AAA"/>
    <w:rsid w:val="006A572C"/>
    <w:rsid w:val="006A5AA6"/>
    <w:rsid w:val="006C19EB"/>
    <w:rsid w:val="006C7302"/>
    <w:rsid w:val="006D27B1"/>
    <w:rsid w:val="006D3127"/>
    <w:rsid w:val="006E170D"/>
    <w:rsid w:val="006E7CC7"/>
    <w:rsid w:val="00704593"/>
    <w:rsid w:val="007110D9"/>
    <w:rsid w:val="00713895"/>
    <w:rsid w:val="0071548B"/>
    <w:rsid w:val="007204A9"/>
    <w:rsid w:val="00720B6E"/>
    <w:rsid w:val="00720C68"/>
    <w:rsid w:val="007365CB"/>
    <w:rsid w:val="0075067A"/>
    <w:rsid w:val="0075386E"/>
    <w:rsid w:val="00756929"/>
    <w:rsid w:val="00757207"/>
    <w:rsid w:val="00767DBB"/>
    <w:rsid w:val="00774646"/>
    <w:rsid w:val="007766EA"/>
    <w:rsid w:val="00781695"/>
    <w:rsid w:val="00781B25"/>
    <w:rsid w:val="007A02A7"/>
    <w:rsid w:val="007A4F1B"/>
    <w:rsid w:val="007C0935"/>
    <w:rsid w:val="008046D4"/>
    <w:rsid w:val="0081197F"/>
    <w:rsid w:val="00813817"/>
    <w:rsid w:val="0081587D"/>
    <w:rsid w:val="0083163C"/>
    <w:rsid w:val="008326FA"/>
    <w:rsid w:val="00833792"/>
    <w:rsid w:val="0084092B"/>
    <w:rsid w:val="00841F41"/>
    <w:rsid w:val="0084367D"/>
    <w:rsid w:val="0085220D"/>
    <w:rsid w:val="0085706C"/>
    <w:rsid w:val="008701B4"/>
    <w:rsid w:val="008714F7"/>
    <w:rsid w:val="008734DF"/>
    <w:rsid w:val="00887200"/>
    <w:rsid w:val="008A0614"/>
    <w:rsid w:val="008A169E"/>
    <w:rsid w:val="008A268F"/>
    <w:rsid w:val="008B032E"/>
    <w:rsid w:val="008B7A5E"/>
    <w:rsid w:val="008C47A1"/>
    <w:rsid w:val="008C5EB4"/>
    <w:rsid w:val="008C738F"/>
    <w:rsid w:val="008D6B9E"/>
    <w:rsid w:val="008E1024"/>
    <w:rsid w:val="008E487F"/>
    <w:rsid w:val="00913ED0"/>
    <w:rsid w:val="00921D43"/>
    <w:rsid w:val="0092577C"/>
    <w:rsid w:val="00925B53"/>
    <w:rsid w:val="00927650"/>
    <w:rsid w:val="00932DED"/>
    <w:rsid w:val="00933A6C"/>
    <w:rsid w:val="00942CB6"/>
    <w:rsid w:val="00942CE9"/>
    <w:rsid w:val="009459B3"/>
    <w:rsid w:val="009500CF"/>
    <w:rsid w:val="0095439D"/>
    <w:rsid w:val="009545B7"/>
    <w:rsid w:val="00954FF2"/>
    <w:rsid w:val="009610F2"/>
    <w:rsid w:val="00962EE8"/>
    <w:rsid w:val="00967EBA"/>
    <w:rsid w:val="0097695B"/>
    <w:rsid w:val="00976EE9"/>
    <w:rsid w:val="009812D1"/>
    <w:rsid w:val="00986D1E"/>
    <w:rsid w:val="00996FEE"/>
    <w:rsid w:val="009A6D9C"/>
    <w:rsid w:val="009A6DF3"/>
    <w:rsid w:val="009B6799"/>
    <w:rsid w:val="009C3990"/>
    <w:rsid w:val="009C60F6"/>
    <w:rsid w:val="009D167E"/>
    <w:rsid w:val="009D2471"/>
    <w:rsid w:val="009D665B"/>
    <w:rsid w:val="009E17FE"/>
    <w:rsid w:val="009F0889"/>
    <w:rsid w:val="00A008E6"/>
    <w:rsid w:val="00A1276A"/>
    <w:rsid w:val="00A12C83"/>
    <w:rsid w:val="00A16ADE"/>
    <w:rsid w:val="00A3507A"/>
    <w:rsid w:val="00A36E67"/>
    <w:rsid w:val="00A43DAC"/>
    <w:rsid w:val="00A45C17"/>
    <w:rsid w:val="00A50090"/>
    <w:rsid w:val="00A50E71"/>
    <w:rsid w:val="00A516F1"/>
    <w:rsid w:val="00A534FF"/>
    <w:rsid w:val="00A54CC4"/>
    <w:rsid w:val="00A74603"/>
    <w:rsid w:val="00A9453B"/>
    <w:rsid w:val="00AA16DF"/>
    <w:rsid w:val="00AA1830"/>
    <w:rsid w:val="00AA54E8"/>
    <w:rsid w:val="00AA705F"/>
    <w:rsid w:val="00AB0232"/>
    <w:rsid w:val="00AB7EFF"/>
    <w:rsid w:val="00AC30ED"/>
    <w:rsid w:val="00AD1777"/>
    <w:rsid w:val="00AD7805"/>
    <w:rsid w:val="00AE1D7F"/>
    <w:rsid w:val="00AE700B"/>
    <w:rsid w:val="00AE7DE1"/>
    <w:rsid w:val="00AF214E"/>
    <w:rsid w:val="00B3333C"/>
    <w:rsid w:val="00B3484F"/>
    <w:rsid w:val="00B371F7"/>
    <w:rsid w:val="00B4301C"/>
    <w:rsid w:val="00B444A2"/>
    <w:rsid w:val="00B50DBA"/>
    <w:rsid w:val="00B6596F"/>
    <w:rsid w:val="00B76189"/>
    <w:rsid w:val="00B87DD3"/>
    <w:rsid w:val="00B93243"/>
    <w:rsid w:val="00B96B23"/>
    <w:rsid w:val="00BD3769"/>
    <w:rsid w:val="00BD57F5"/>
    <w:rsid w:val="00BE067E"/>
    <w:rsid w:val="00BE1F0B"/>
    <w:rsid w:val="00BE208F"/>
    <w:rsid w:val="00BE48A4"/>
    <w:rsid w:val="00BE56F0"/>
    <w:rsid w:val="00BE67F5"/>
    <w:rsid w:val="00BE7E4B"/>
    <w:rsid w:val="00BF0967"/>
    <w:rsid w:val="00BF11C3"/>
    <w:rsid w:val="00BF3C12"/>
    <w:rsid w:val="00C01F44"/>
    <w:rsid w:val="00C042E2"/>
    <w:rsid w:val="00C0746D"/>
    <w:rsid w:val="00C13490"/>
    <w:rsid w:val="00C17539"/>
    <w:rsid w:val="00C17FEF"/>
    <w:rsid w:val="00C468B9"/>
    <w:rsid w:val="00C47620"/>
    <w:rsid w:val="00C54D1F"/>
    <w:rsid w:val="00C606D9"/>
    <w:rsid w:val="00C654F5"/>
    <w:rsid w:val="00C73F92"/>
    <w:rsid w:val="00C91C7A"/>
    <w:rsid w:val="00C93DEE"/>
    <w:rsid w:val="00CA0291"/>
    <w:rsid w:val="00CA0A64"/>
    <w:rsid w:val="00CA5C0B"/>
    <w:rsid w:val="00CA6E30"/>
    <w:rsid w:val="00CB09B6"/>
    <w:rsid w:val="00CC6110"/>
    <w:rsid w:val="00CD49DD"/>
    <w:rsid w:val="00CE14D3"/>
    <w:rsid w:val="00CE4A11"/>
    <w:rsid w:val="00CF17E7"/>
    <w:rsid w:val="00CF4850"/>
    <w:rsid w:val="00CF79CF"/>
    <w:rsid w:val="00D00A83"/>
    <w:rsid w:val="00D03799"/>
    <w:rsid w:val="00D04E61"/>
    <w:rsid w:val="00D10635"/>
    <w:rsid w:val="00D17430"/>
    <w:rsid w:val="00D207A6"/>
    <w:rsid w:val="00D30A7C"/>
    <w:rsid w:val="00D31298"/>
    <w:rsid w:val="00D3432A"/>
    <w:rsid w:val="00D377B3"/>
    <w:rsid w:val="00D40FF1"/>
    <w:rsid w:val="00D4429E"/>
    <w:rsid w:val="00D45BEA"/>
    <w:rsid w:val="00D525B8"/>
    <w:rsid w:val="00D61368"/>
    <w:rsid w:val="00D71496"/>
    <w:rsid w:val="00D7607B"/>
    <w:rsid w:val="00D82306"/>
    <w:rsid w:val="00D840D2"/>
    <w:rsid w:val="00D965B7"/>
    <w:rsid w:val="00D97EBC"/>
    <w:rsid w:val="00DA18A2"/>
    <w:rsid w:val="00DA694F"/>
    <w:rsid w:val="00DB2F55"/>
    <w:rsid w:val="00DC000A"/>
    <w:rsid w:val="00DC0F37"/>
    <w:rsid w:val="00DC632A"/>
    <w:rsid w:val="00DD063F"/>
    <w:rsid w:val="00DE0914"/>
    <w:rsid w:val="00DE56A7"/>
    <w:rsid w:val="00DF2CCD"/>
    <w:rsid w:val="00DF2F8D"/>
    <w:rsid w:val="00DF7E63"/>
    <w:rsid w:val="00E03D3F"/>
    <w:rsid w:val="00E04761"/>
    <w:rsid w:val="00E104CE"/>
    <w:rsid w:val="00E11DF7"/>
    <w:rsid w:val="00E13C89"/>
    <w:rsid w:val="00E224F4"/>
    <w:rsid w:val="00E236B5"/>
    <w:rsid w:val="00E2753F"/>
    <w:rsid w:val="00E35D5A"/>
    <w:rsid w:val="00E37295"/>
    <w:rsid w:val="00E4098D"/>
    <w:rsid w:val="00E40EB3"/>
    <w:rsid w:val="00E42998"/>
    <w:rsid w:val="00E53DB7"/>
    <w:rsid w:val="00E55A4F"/>
    <w:rsid w:val="00E73E81"/>
    <w:rsid w:val="00E81918"/>
    <w:rsid w:val="00E84F06"/>
    <w:rsid w:val="00E903E7"/>
    <w:rsid w:val="00E92551"/>
    <w:rsid w:val="00E969D0"/>
    <w:rsid w:val="00EC10A9"/>
    <w:rsid w:val="00EC1B23"/>
    <w:rsid w:val="00EC1F6C"/>
    <w:rsid w:val="00EC39B5"/>
    <w:rsid w:val="00EC5CAA"/>
    <w:rsid w:val="00ED0697"/>
    <w:rsid w:val="00ED46EA"/>
    <w:rsid w:val="00ED75DB"/>
    <w:rsid w:val="00EF7BFD"/>
    <w:rsid w:val="00F03073"/>
    <w:rsid w:val="00F25F5B"/>
    <w:rsid w:val="00F30014"/>
    <w:rsid w:val="00F31809"/>
    <w:rsid w:val="00F333C8"/>
    <w:rsid w:val="00F46A4B"/>
    <w:rsid w:val="00F47E55"/>
    <w:rsid w:val="00F72979"/>
    <w:rsid w:val="00F7423F"/>
    <w:rsid w:val="00F910F6"/>
    <w:rsid w:val="00F9321F"/>
    <w:rsid w:val="00F957C6"/>
    <w:rsid w:val="00FA5D8B"/>
    <w:rsid w:val="00FA639C"/>
    <w:rsid w:val="00FD2C22"/>
    <w:rsid w:val="00FD3410"/>
    <w:rsid w:val="00FE2C7F"/>
    <w:rsid w:val="00FF37A7"/>
    <w:rsid w:val="01CBEEB2"/>
    <w:rsid w:val="025F5726"/>
    <w:rsid w:val="0BF4E920"/>
    <w:rsid w:val="0C315C10"/>
    <w:rsid w:val="1C3530AC"/>
    <w:rsid w:val="233717B3"/>
    <w:rsid w:val="2526401A"/>
    <w:rsid w:val="26912B5A"/>
    <w:rsid w:val="28C90FDF"/>
    <w:rsid w:val="2CA83CB7"/>
    <w:rsid w:val="2DC6F72F"/>
    <w:rsid w:val="2F9A60E7"/>
    <w:rsid w:val="32AF375F"/>
    <w:rsid w:val="32AFC8C9"/>
    <w:rsid w:val="334AEDEF"/>
    <w:rsid w:val="365FFA82"/>
    <w:rsid w:val="3809F837"/>
    <w:rsid w:val="3A6DCE0D"/>
    <w:rsid w:val="3EBC817E"/>
    <w:rsid w:val="43E9409A"/>
    <w:rsid w:val="4BB36BCF"/>
    <w:rsid w:val="4D4FF620"/>
    <w:rsid w:val="555A62AD"/>
    <w:rsid w:val="57D26F6D"/>
    <w:rsid w:val="5D3ED4AD"/>
    <w:rsid w:val="6685649A"/>
    <w:rsid w:val="68A462AB"/>
    <w:rsid w:val="69FB11DC"/>
    <w:rsid w:val="715CE69C"/>
    <w:rsid w:val="7426FCF8"/>
    <w:rsid w:val="76C927D2"/>
    <w:rsid w:val="77814ED9"/>
    <w:rsid w:val="7CD34B06"/>
    <w:rsid w:val="7DD542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4954249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635"/>
    <w:pPr>
      <w:spacing w:after="120"/>
    </w:pPr>
    <w:rPr>
      <w:sz w:val="22"/>
    </w:rPr>
  </w:style>
  <w:style w:type="paragraph" w:styleId="Heading1">
    <w:name w:val="heading 1"/>
    <w:basedOn w:val="Normal"/>
    <w:next w:val="Normal"/>
    <w:link w:val="Heading1Char"/>
    <w:uiPriority w:val="2"/>
    <w:qFormat/>
    <w:rsid w:val="00285CAF"/>
    <w:pPr>
      <w:keepNext/>
      <w:keepLines/>
      <w:spacing w:before="360" w:line="240" w:lineRule="auto"/>
      <w:outlineLvl w:val="0"/>
    </w:pPr>
    <w:rPr>
      <w:rFonts w:asciiTheme="majorHAnsi" w:eastAsiaTheme="majorEastAsia" w:hAnsiTheme="majorHAnsi" w:cstheme="majorBidi"/>
      <w:color w:val="1B375C" w:themeColor="accent1"/>
      <w:sz w:val="40"/>
      <w:szCs w:val="40"/>
    </w:rPr>
  </w:style>
  <w:style w:type="paragraph" w:styleId="Heading2">
    <w:name w:val="heading 2"/>
    <w:basedOn w:val="Normal"/>
    <w:next w:val="Normal"/>
    <w:link w:val="Heading2Char"/>
    <w:uiPriority w:val="2"/>
    <w:qFormat/>
    <w:rsid w:val="00117A77"/>
    <w:pPr>
      <w:keepNext/>
      <w:keepLines/>
      <w:spacing w:before="240" w:line="240" w:lineRule="auto"/>
      <w:outlineLvl w:val="1"/>
    </w:pPr>
    <w:rPr>
      <w:rFonts w:asciiTheme="majorHAnsi" w:eastAsiaTheme="majorEastAsia" w:hAnsiTheme="majorHAnsi" w:cstheme="majorBidi"/>
      <w:color w:val="1B375C" w:themeColor="accent1"/>
      <w:sz w:val="32"/>
      <w:szCs w:val="28"/>
    </w:rPr>
  </w:style>
  <w:style w:type="paragraph" w:styleId="Heading3">
    <w:name w:val="heading 3"/>
    <w:basedOn w:val="Heading4"/>
    <w:next w:val="Normal"/>
    <w:link w:val="Heading3Char"/>
    <w:uiPriority w:val="2"/>
    <w:qFormat/>
    <w:rsid w:val="00FE2C7F"/>
    <w:pPr>
      <w:outlineLvl w:val="2"/>
    </w:pPr>
    <w:rPr>
      <w:color w:val="1B375C" w:themeColor="accent1"/>
      <w:sz w:val="26"/>
    </w:rPr>
  </w:style>
  <w:style w:type="paragraph" w:styleId="Heading4">
    <w:name w:val="heading 4"/>
    <w:basedOn w:val="Normal"/>
    <w:next w:val="Normal"/>
    <w:link w:val="Heading4Char"/>
    <w:uiPriority w:val="2"/>
    <w:qFormat/>
    <w:rsid w:val="006200EB"/>
    <w:pPr>
      <w:keepNext/>
      <w:keepLines/>
      <w:spacing w:before="240"/>
      <w:outlineLvl w:val="3"/>
    </w:pPr>
    <w:rPr>
      <w:rFonts w:asciiTheme="majorHAnsi" w:eastAsiaTheme="majorEastAsia" w:hAnsiTheme="majorHAnsi" w:cstheme="majorBidi"/>
      <w:color w:val="3266AB"/>
      <w:szCs w:val="22"/>
    </w:rPr>
  </w:style>
  <w:style w:type="paragraph" w:styleId="Heading5">
    <w:name w:val="heading 5"/>
    <w:basedOn w:val="Normal"/>
    <w:next w:val="Normal"/>
    <w:link w:val="Heading5Char"/>
    <w:uiPriority w:val="2"/>
    <w:unhideWhenUsed/>
    <w:rsid w:val="006200EB"/>
    <w:pPr>
      <w:keepNext/>
      <w:keepLines/>
      <w:spacing w:before="240"/>
      <w:outlineLvl w:val="4"/>
    </w:pPr>
    <w:rPr>
      <w:rFonts w:asciiTheme="majorHAnsi" w:eastAsiaTheme="majorEastAsia" w:hAnsiTheme="majorHAnsi" w:cstheme="majorBidi"/>
      <w: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12C83"/>
    <w:rPr>
      <w:rFonts w:asciiTheme="majorHAnsi" w:eastAsiaTheme="majorEastAsia" w:hAnsiTheme="majorHAnsi" w:cstheme="majorBidi"/>
      <w:color w:val="1B375C" w:themeColor="accent1"/>
      <w:sz w:val="40"/>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A12C83"/>
    <w:rPr>
      <w:rFonts w:asciiTheme="majorHAnsi" w:eastAsiaTheme="majorEastAsia" w:hAnsiTheme="majorHAnsi" w:cstheme="majorBidi"/>
      <w:color w:val="1B375C" w:themeColor="accent1"/>
      <w:sz w:val="32"/>
      <w:szCs w:val="28"/>
    </w:rPr>
  </w:style>
  <w:style w:type="character" w:customStyle="1" w:styleId="Heading3Char">
    <w:name w:val="Heading 3 Char"/>
    <w:basedOn w:val="DefaultParagraphFont"/>
    <w:link w:val="Heading3"/>
    <w:uiPriority w:val="2"/>
    <w:rsid w:val="00A12C83"/>
    <w:rPr>
      <w:rFonts w:asciiTheme="majorHAnsi" w:eastAsiaTheme="majorEastAsia" w:hAnsiTheme="majorHAnsi" w:cstheme="majorBidi"/>
      <w:color w:val="1B375C" w:themeColor="accent1"/>
      <w:sz w:val="26"/>
      <w:szCs w:val="22"/>
    </w:rPr>
  </w:style>
  <w:style w:type="character" w:customStyle="1" w:styleId="Heading4Char">
    <w:name w:val="Heading 4 Char"/>
    <w:basedOn w:val="DefaultParagraphFont"/>
    <w:link w:val="Heading4"/>
    <w:uiPriority w:val="2"/>
    <w:rsid w:val="006200EB"/>
    <w:rPr>
      <w:rFonts w:asciiTheme="majorHAnsi" w:eastAsiaTheme="majorEastAsia" w:hAnsiTheme="majorHAnsi" w:cstheme="majorBidi"/>
      <w:color w:val="3266AB"/>
      <w:sz w:val="22"/>
      <w:szCs w:val="22"/>
    </w:rPr>
  </w:style>
  <w:style w:type="character" w:customStyle="1" w:styleId="Heading5Char">
    <w:name w:val="Heading 5 Char"/>
    <w:basedOn w:val="DefaultParagraphFont"/>
    <w:link w:val="Heading5"/>
    <w:uiPriority w:val="2"/>
    <w:rsid w:val="006200EB"/>
    <w:rPr>
      <w:rFonts w:asciiTheme="majorHAnsi" w:eastAsiaTheme="majorEastAsia" w:hAnsiTheme="majorHAnsi" w:cstheme="majorBidi"/>
      <w: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Figure"/>
    <w:next w:val="Normal"/>
    <w:uiPriority w:val="35"/>
    <w:unhideWhenUsed/>
    <w:qFormat/>
    <w:rsid w:val="008E487F"/>
    <w:pPr>
      <w:numPr>
        <w:numId w:val="0"/>
      </w:numPr>
    </w:pPr>
  </w:style>
  <w:style w:type="character" w:styleId="Strong">
    <w:name w:val="Strong"/>
    <w:basedOn w:val="DefaultParagraphFont"/>
    <w:uiPriority w:val="22"/>
    <w:semiHidden/>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6200EB"/>
    <w:pPr>
      <w:spacing w:before="240"/>
      <w:ind w:left="720" w:right="720"/>
    </w:pPr>
    <w:rPr>
      <w:i/>
      <w:iCs/>
      <w:noProof/>
      <w:color w:val="3266AB"/>
    </w:rPr>
  </w:style>
  <w:style w:type="character" w:customStyle="1" w:styleId="QuoteChar">
    <w:name w:val="Quote Char"/>
    <w:basedOn w:val="DefaultParagraphFont"/>
    <w:link w:val="Quote"/>
    <w:uiPriority w:val="16"/>
    <w:rsid w:val="006200EB"/>
    <w:rPr>
      <w:i/>
      <w:iCs/>
      <w:noProof/>
      <w:color w:val="3266AB"/>
      <w:sz w:val="22"/>
    </w:rPr>
  </w:style>
  <w:style w:type="paragraph" w:styleId="IntenseQuote">
    <w:name w:val="Intense Quote"/>
    <w:basedOn w:val="Normal"/>
    <w:next w:val="Normal"/>
    <w:link w:val="IntenseQuoteChar"/>
    <w:uiPriority w:val="17"/>
    <w:qFormat/>
    <w:rsid w:val="006200EB"/>
    <w:pPr>
      <w:spacing w:before="120" w:line="264" w:lineRule="auto"/>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6200EB"/>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semiHidden/>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C7A05"/>
    <w:pPr>
      <w:jc w:val="center"/>
    </w:pPr>
    <w:rPr>
      <w:rFonts w:ascii="Segoe UI" w:hAnsi="Segoe UI"/>
      <w:caps/>
      <w:color w:val="C00000"/>
      <w:sz w:val="18"/>
    </w:rPr>
  </w:style>
  <w:style w:type="paragraph" w:customStyle="1" w:styleId="BOXHeading2">
    <w:name w:val="BOX Heading 2"/>
    <w:basedOn w:val="Heading2"/>
    <w:next w:val="BOXText"/>
    <w:uiPriority w:val="6"/>
    <w:qFormat/>
    <w:rsid w:val="004C17DE"/>
    <w:pPr>
      <w:pBdr>
        <w:top w:val="single" w:sz="48" w:space="1" w:color="E0E8F2"/>
        <w:left w:val="single" w:sz="48" w:space="4" w:color="E0E8F2"/>
        <w:bottom w:val="single" w:sz="48" w:space="1" w:color="E0E8F2"/>
        <w:right w:val="single" w:sz="48" w:space="4" w:color="E0E8F2"/>
      </w:pBdr>
      <w:shd w:val="clear" w:color="auto" w:fill="E0E8F2"/>
      <w:ind w:left="227" w:right="227"/>
    </w:pPr>
    <w:rPr>
      <w:noProof/>
    </w:rPr>
  </w:style>
  <w:style w:type="character" w:customStyle="1" w:styleId="CLASSIFICATIONChar">
    <w:name w:val="CLASSIFICATION Char"/>
    <w:basedOn w:val="DefaultParagraphFont"/>
    <w:link w:val="CLASSIFICATION"/>
    <w:uiPriority w:val="99"/>
    <w:rsid w:val="00E2753F"/>
    <w:rPr>
      <w:rFonts w:ascii="Segoe UI" w:hAnsi="Segoe UI"/>
      <w:caps/>
      <w:color w:val="C00000"/>
      <w:sz w:val="18"/>
    </w:rPr>
  </w:style>
  <w:style w:type="paragraph" w:customStyle="1" w:styleId="BOXText">
    <w:name w:val="BOX Text"/>
    <w:basedOn w:val="Normal"/>
    <w:uiPriority w:val="4"/>
    <w:qFormat/>
    <w:rsid w:val="004C17DE"/>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rPr>
      <w:noProof/>
    </w:rPr>
  </w:style>
  <w:style w:type="paragraph" w:customStyle="1" w:styleId="BOXBulletedList">
    <w:name w:val="BOX Bulleted List"/>
    <w:basedOn w:val="BOXText"/>
    <w:uiPriority w:val="5"/>
    <w:qFormat/>
    <w:rsid w:val="00FE2C7F"/>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paragraph" w:customStyle="1" w:styleId="Figure">
    <w:name w:val="Figure"/>
    <w:basedOn w:val="Normal"/>
    <w:uiPriority w:val="2"/>
    <w:qFormat/>
    <w:rsid w:val="006200EB"/>
    <w:pPr>
      <w:numPr>
        <w:numId w:val="27"/>
      </w:numPr>
      <w:spacing w:before="240"/>
    </w:pPr>
    <w:rPr>
      <w:rFonts w:ascii="Segoe UI" w:hAnsi="Segoe UI" w:cs="Segoe UI"/>
      <w:noProof/>
      <w:color w:val="3266AB"/>
    </w:rPr>
  </w:style>
  <w:style w:type="paragraph" w:customStyle="1" w:styleId="TBLHeading">
    <w:name w:val="TBL Heading"/>
    <w:basedOn w:val="Normal"/>
    <w:autoRedefine/>
    <w:uiPriority w:val="11"/>
    <w:qFormat/>
    <w:rsid w:val="006E170D"/>
    <w:pPr>
      <w:spacing w:line="240" w:lineRule="auto"/>
    </w:pPr>
    <w:rPr>
      <w:rFonts w:ascii="Segoe UI" w:hAnsi="Segoe UI" w:cs="Segoe UI"/>
      <w:noProof/>
      <w:color w:val="FFFFFF" w:themeColor="background1"/>
      <w:sz w:val="18"/>
    </w:rPr>
  </w:style>
  <w:style w:type="paragraph" w:customStyle="1" w:styleId="TBLText">
    <w:name w:val="TBL Text"/>
    <w:basedOn w:val="Normal"/>
    <w:uiPriority w:val="9"/>
    <w:qFormat/>
    <w:rsid w:val="006E170D"/>
    <w:pPr>
      <w:spacing w:line="240" w:lineRule="auto"/>
    </w:pPr>
    <w:rPr>
      <w:noProof/>
      <w:sz w:val="18"/>
      <w:szCs w:val="18"/>
    </w:rPr>
  </w:style>
  <w:style w:type="paragraph" w:customStyle="1" w:styleId="TBLBulletedList">
    <w:name w:val="TBL Bulleted List"/>
    <w:basedOn w:val="TBLText"/>
    <w:uiPriority w:val="10"/>
    <w:qFormat/>
    <w:rsid w:val="00374D2A"/>
    <w:pPr>
      <w:numPr>
        <w:numId w:val="12"/>
      </w:numPr>
      <w:ind w:left="357" w:hanging="357"/>
    </w:pPr>
  </w:style>
  <w:style w:type="paragraph" w:customStyle="1" w:styleId="TBLNumberedList">
    <w:name w:val="TBL Numbered List"/>
    <w:basedOn w:val="TBLText"/>
    <w:uiPriority w:val="10"/>
    <w:qFormat/>
    <w:rsid w:val="00374D2A"/>
    <w:pPr>
      <w:numPr>
        <w:numId w:val="13"/>
      </w:numPr>
      <w:ind w:left="357" w:hanging="357"/>
    </w:pPr>
  </w:style>
  <w:style w:type="paragraph" w:customStyle="1" w:styleId="BOXHeading3">
    <w:name w:val="BOX Heading 3"/>
    <w:basedOn w:val="BOXHeading2"/>
    <w:next w:val="BOXText"/>
    <w:uiPriority w:val="6"/>
    <w:qFormat/>
    <w:rsid w:val="00FE2C7F"/>
    <w:pPr>
      <w:outlineLvl w:val="2"/>
    </w:pPr>
    <w:rPr>
      <w:sz w:val="26"/>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962EE8"/>
    <w:pPr>
      <w:numPr>
        <w:numId w:val="14"/>
      </w:numPr>
      <w:ind w:left="568" w:hanging="284"/>
    </w:pPr>
  </w:style>
  <w:style w:type="paragraph" w:customStyle="1" w:styleId="BulletedList-Level2">
    <w:name w:val="Bulleted List - Level 2"/>
    <w:basedOn w:val="BulletedList-Level1"/>
    <w:uiPriority w:val="1"/>
    <w:qFormat/>
    <w:rsid w:val="00962EE8"/>
    <w:pPr>
      <w:numPr>
        <w:numId w:val="30"/>
      </w:numPr>
    </w:pPr>
  </w:style>
  <w:style w:type="paragraph" w:customStyle="1" w:styleId="BulletedList-Level3">
    <w:name w:val="Bulleted List - Level 3"/>
    <w:basedOn w:val="ListParagraph"/>
    <w:uiPriority w:val="1"/>
    <w:qFormat/>
    <w:rsid w:val="00962EE8"/>
    <w:pPr>
      <w:numPr>
        <w:numId w:val="31"/>
      </w:numPr>
      <w:ind w:left="1135" w:hanging="284"/>
    </w:pPr>
  </w:style>
  <w:style w:type="paragraph" w:customStyle="1" w:styleId="NumberedList-Level1">
    <w:name w:val="Numbered List - Level 1"/>
    <w:basedOn w:val="ListParagraph"/>
    <w:uiPriority w:val="1"/>
    <w:qFormat/>
    <w:rsid w:val="00962EE8"/>
    <w:pPr>
      <w:numPr>
        <w:numId w:val="21"/>
      </w:numPr>
      <w:ind w:left="568" w:hanging="284"/>
    </w:pPr>
  </w:style>
  <w:style w:type="paragraph" w:customStyle="1" w:styleId="NumberedList-level2">
    <w:name w:val="Numbered List - level 2"/>
    <w:basedOn w:val="ListParagraph"/>
    <w:uiPriority w:val="1"/>
    <w:qFormat/>
    <w:rsid w:val="00962EE8"/>
    <w:pPr>
      <w:numPr>
        <w:ilvl w:val="1"/>
        <w:numId w:val="21"/>
      </w:numPr>
    </w:pPr>
  </w:style>
  <w:style w:type="paragraph" w:customStyle="1" w:styleId="NumberedList-Level3">
    <w:name w:val="Numbered List - Level 3"/>
    <w:basedOn w:val="ListParagraph"/>
    <w:uiPriority w:val="1"/>
    <w:qFormat/>
    <w:rsid w:val="00962EE8"/>
    <w:pPr>
      <w:numPr>
        <w:ilvl w:val="2"/>
        <w:numId w:val="21"/>
      </w:numPr>
    </w:pPr>
  </w:style>
  <w:style w:type="paragraph" w:customStyle="1" w:styleId="BoxDark-HeadingLevel1">
    <w:name w:val="Box Dark - Heading Level 1"/>
    <w:basedOn w:val="BOXHeading2"/>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3266AB" w:themeColor="hyperlink"/>
      <w:u w:val="single"/>
    </w:rPr>
  </w:style>
  <w:style w:type="paragraph" w:customStyle="1" w:styleId="BoxDark-HeadingLevel3">
    <w:name w:val="Box Dark - Heading Level 3"/>
    <w:basedOn w:val="BOXHeading3"/>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customStyle="1" w:styleId="BoxDark-Text">
    <w:name w:val="Box Dark - Text"/>
    <w:basedOn w:val="BOXText"/>
    <w:uiPriority w:val="7"/>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rPr>
  </w:style>
  <w:style w:type="paragraph" w:customStyle="1" w:styleId="BOXNumberedList">
    <w:name w:val="BOX Numbered List"/>
    <w:basedOn w:val="BOXText"/>
    <w:uiPriority w:val="5"/>
    <w:qFormat/>
    <w:rsid w:val="00FE2C7F"/>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ind w:left="584" w:hanging="357"/>
    </w:pPr>
  </w:style>
  <w:style w:type="paragraph" w:styleId="BodyText">
    <w:name w:val="Body Text"/>
    <w:basedOn w:val="Normal"/>
    <w:link w:val="BodyTextChar"/>
    <w:uiPriority w:val="1"/>
    <w:qFormat/>
    <w:rsid w:val="00DE0914"/>
    <w:pPr>
      <w:widowControl w:val="0"/>
      <w:spacing w:after="0" w:line="240" w:lineRule="auto"/>
      <w:ind w:left="998"/>
    </w:pPr>
    <w:rPr>
      <w:rFonts w:ascii="Arial" w:eastAsia="Arial" w:hAnsi="Arial"/>
      <w:i/>
      <w:sz w:val="12"/>
      <w:szCs w:val="12"/>
      <w:lang w:val="en-US"/>
    </w:rPr>
  </w:style>
  <w:style w:type="character" w:customStyle="1" w:styleId="BodyTextChar">
    <w:name w:val="Body Text Char"/>
    <w:basedOn w:val="DefaultParagraphFont"/>
    <w:link w:val="BodyText"/>
    <w:uiPriority w:val="1"/>
    <w:rsid w:val="00DE0914"/>
    <w:rPr>
      <w:rFonts w:ascii="Arial" w:eastAsia="Arial" w:hAnsi="Arial"/>
      <w:i/>
      <w:sz w:val="12"/>
      <w:szCs w:val="12"/>
      <w:lang w:val="en-US"/>
    </w:rPr>
  </w:style>
  <w:style w:type="paragraph" w:customStyle="1" w:styleId="TableParagraph">
    <w:name w:val="Table Paragraph"/>
    <w:basedOn w:val="Normal"/>
    <w:uiPriority w:val="1"/>
    <w:qFormat/>
    <w:rsid w:val="00EC39B5"/>
    <w:pPr>
      <w:widowControl w:val="0"/>
      <w:spacing w:after="0" w:line="240" w:lineRule="auto"/>
    </w:pPr>
    <w:rPr>
      <w:rFonts w:eastAsiaTheme="minorHAnsi"/>
      <w:szCs w:val="22"/>
      <w:lang w:val="en-US"/>
    </w:rPr>
  </w:style>
  <w:style w:type="character" w:styleId="CommentReference">
    <w:name w:val="annotation reference"/>
    <w:basedOn w:val="DefaultParagraphFont"/>
    <w:uiPriority w:val="99"/>
    <w:semiHidden/>
    <w:unhideWhenUsed/>
    <w:rsid w:val="00E55A4F"/>
    <w:rPr>
      <w:sz w:val="16"/>
      <w:szCs w:val="16"/>
    </w:rPr>
  </w:style>
  <w:style w:type="paragraph" w:styleId="CommentText">
    <w:name w:val="annotation text"/>
    <w:basedOn w:val="Normal"/>
    <w:link w:val="CommentTextChar"/>
    <w:uiPriority w:val="99"/>
    <w:semiHidden/>
    <w:unhideWhenUsed/>
    <w:rsid w:val="00E55A4F"/>
    <w:pPr>
      <w:spacing w:line="240" w:lineRule="auto"/>
    </w:pPr>
    <w:rPr>
      <w:sz w:val="20"/>
      <w:szCs w:val="20"/>
    </w:rPr>
  </w:style>
  <w:style w:type="character" w:customStyle="1" w:styleId="CommentTextChar">
    <w:name w:val="Comment Text Char"/>
    <w:basedOn w:val="DefaultParagraphFont"/>
    <w:link w:val="CommentText"/>
    <w:uiPriority w:val="99"/>
    <w:semiHidden/>
    <w:rsid w:val="00E55A4F"/>
    <w:rPr>
      <w:sz w:val="20"/>
      <w:szCs w:val="20"/>
    </w:rPr>
  </w:style>
  <w:style w:type="paragraph" w:styleId="CommentSubject">
    <w:name w:val="annotation subject"/>
    <w:basedOn w:val="CommentText"/>
    <w:next w:val="CommentText"/>
    <w:link w:val="CommentSubjectChar"/>
    <w:uiPriority w:val="99"/>
    <w:semiHidden/>
    <w:unhideWhenUsed/>
    <w:rsid w:val="00E55A4F"/>
    <w:rPr>
      <w:b/>
      <w:bCs/>
    </w:rPr>
  </w:style>
  <w:style w:type="character" w:customStyle="1" w:styleId="CommentSubjectChar">
    <w:name w:val="Comment Subject Char"/>
    <w:basedOn w:val="CommentTextChar"/>
    <w:link w:val="CommentSubject"/>
    <w:uiPriority w:val="99"/>
    <w:semiHidden/>
    <w:rsid w:val="00E55A4F"/>
    <w:rPr>
      <w:b/>
      <w:bCs/>
      <w:sz w:val="20"/>
      <w:szCs w:val="20"/>
    </w:rPr>
  </w:style>
  <w:style w:type="character" w:styleId="FollowedHyperlink">
    <w:name w:val="FollowedHyperlink"/>
    <w:basedOn w:val="DefaultParagraphFont"/>
    <w:uiPriority w:val="99"/>
    <w:semiHidden/>
    <w:unhideWhenUsed/>
    <w:rsid w:val="0051621E"/>
    <w:rPr>
      <w:color w:val="3266AB" w:themeColor="followedHyperlink"/>
      <w:u w:val="single"/>
    </w:rPr>
  </w:style>
  <w:style w:type="paragraph" w:styleId="Revision">
    <w:name w:val="Revision"/>
    <w:hidden/>
    <w:uiPriority w:val="99"/>
    <w:semiHidden/>
    <w:rsid w:val="00302380"/>
    <w:pPr>
      <w:spacing w:after="0" w:line="240" w:lineRule="auto"/>
    </w:pPr>
    <w:rPr>
      <w:sz w:val="22"/>
    </w:rPr>
  </w:style>
  <w:style w:type="paragraph" w:styleId="FootnoteText">
    <w:name w:val="footnote text"/>
    <w:basedOn w:val="Normal"/>
    <w:link w:val="FootnoteTextChar"/>
    <w:uiPriority w:val="99"/>
    <w:semiHidden/>
    <w:unhideWhenUsed/>
    <w:rsid w:val="00720B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6E"/>
    <w:rPr>
      <w:sz w:val="20"/>
      <w:szCs w:val="20"/>
    </w:rPr>
  </w:style>
  <w:style w:type="character" w:styleId="FootnoteReference">
    <w:name w:val="footnote reference"/>
    <w:basedOn w:val="DefaultParagraphFont"/>
    <w:uiPriority w:val="99"/>
    <w:semiHidden/>
    <w:unhideWhenUsed/>
    <w:rsid w:val="00720B6E"/>
    <w:rPr>
      <w:vertAlign w:val="superscript"/>
    </w:rPr>
  </w:style>
  <w:style w:type="character" w:customStyle="1" w:styleId="ui-provider">
    <w:name w:val="ui-provider"/>
    <w:basedOn w:val="DefaultParagraphFont"/>
    <w:rsid w:val="000B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572861">
      <w:bodyDiv w:val="1"/>
      <w:marLeft w:val="0"/>
      <w:marRight w:val="0"/>
      <w:marTop w:val="0"/>
      <w:marBottom w:val="0"/>
      <w:divBdr>
        <w:top w:val="none" w:sz="0" w:space="0" w:color="auto"/>
        <w:left w:val="none" w:sz="0" w:space="0" w:color="auto"/>
        <w:bottom w:val="none" w:sz="0" w:space="0" w:color="auto"/>
        <w:right w:val="none" w:sz="0" w:space="0" w:color="auto"/>
      </w:divBdr>
    </w:div>
    <w:div w:id="632716130">
      <w:bodyDiv w:val="1"/>
      <w:marLeft w:val="0"/>
      <w:marRight w:val="0"/>
      <w:marTop w:val="0"/>
      <w:marBottom w:val="0"/>
      <w:divBdr>
        <w:top w:val="none" w:sz="0" w:space="0" w:color="auto"/>
        <w:left w:val="none" w:sz="0" w:space="0" w:color="auto"/>
        <w:bottom w:val="none" w:sz="0" w:space="0" w:color="auto"/>
        <w:right w:val="none" w:sz="0" w:space="0" w:color="auto"/>
      </w:divBdr>
    </w:div>
    <w:div w:id="1130393948">
      <w:bodyDiv w:val="1"/>
      <w:marLeft w:val="0"/>
      <w:marRight w:val="0"/>
      <w:marTop w:val="0"/>
      <w:marBottom w:val="0"/>
      <w:divBdr>
        <w:top w:val="none" w:sz="0" w:space="0" w:color="auto"/>
        <w:left w:val="none" w:sz="0" w:space="0" w:color="auto"/>
        <w:bottom w:val="none" w:sz="0" w:space="0" w:color="auto"/>
        <w:right w:val="none" w:sz="0" w:space="0" w:color="auto"/>
      </w:divBdr>
    </w:div>
    <w:div w:id="1213807954">
      <w:bodyDiv w:val="1"/>
      <w:marLeft w:val="0"/>
      <w:marRight w:val="0"/>
      <w:marTop w:val="0"/>
      <w:marBottom w:val="0"/>
      <w:divBdr>
        <w:top w:val="none" w:sz="0" w:space="0" w:color="auto"/>
        <w:left w:val="none" w:sz="0" w:space="0" w:color="auto"/>
        <w:bottom w:val="none" w:sz="0" w:space="0" w:color="auto"/>
        <w:right w:val="none" w:sz="0" w:space="0" w:color="auto"/>
      </w:divBdr>
    </w:div>
    <w:div w:id="1344699255">
      <w:bodyDiv w:val="1"/>
      <w:marLeft w:val="0"/>
      <w:marRight w:val="0"/>
      <w:marTop w:val="0"/>
      <w:marBottom w:val="0"/>
      <w:divBdr>
        <w:top w:val="none" w:sz="0" w:space="0" w:color="auto"/>
        <w:left w:val="none" w:sz="0" w:space="0" w:color="auto"/>
        <w:bottom w:val="none" w:sz="0" w:space="0" w:color="auto"/>
        <w:right w:val="none" w:sz="0" w:space="0" w:color="auto"/>
      </w:divBdr>
    </w:div>
    <w:div w:id="1455908440">
      <w:bodyDiv w:val="1"/>
      <w:marLeft w:val="0"/>
      <w:marRight w:val="0"/>
      <w:marTop w:val="0"/>
      <w:marBottom w:val="0"/>
      <w:divBdr>
        <w:top w:val="none" w:sz="0" w:space="0" w:color="auto"/>
        <w:left w:val="none" w:sz="0" w:space="0" w:color="auto"/>
        <w:bottom w:val="none" w:sz="0" w:space="0" w:color="auto"/>
        <w:right w:val="none" w:sz="0" w:space="0" w:color="auto"/>
      </w:divBdr>
    </w:div>
    <w:div w:id="1571043316">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1679817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998652245">
      <w:bodyDiv w:val="1"/>
      <w:marLeft w:val="0"/>
      <w:marRight w:val="0"/>
      <w:marTop w:val="0"/>
      <w:marBottom w:val="0"/>
      <w:divBdr>
        <w:top w:val="none" w:sz="0" w:space="0" w:color="auto"/>
        <w:left w:val="none" w:sz="0" w:space="0" w:color="auto"/>
        <w:bottom w:val="none" w:sz="0" w:space="0" w:color="auto"/>
        <w:right w:val="none" w:sz="0" w:space="0" w:color="auto"/>
      </w:divBdr>
    </w:div>
    <w:div w:id="202054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valuation@treasury.gov.au"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evaluation.treasury.gov.au/toolkit/commonwealth-evaluation-toolkit" TargetMode="External"/><Relationship Id="rId17" Type="http://schemas.openxmlformats.org/officeDocument/2006/relationships/header" Target="header1.xml"/><Relationship Id="rId25" Type="http://schemas.openxmlformats.org/officeDocument/2006/relationships/glossaryDocument" Target="glossary/document.xml"/><Relationship Id="Rf49c6299ffb044de"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oia.pmc.gov.au/published-impact-analyses-and-reports/prime-ministers-exemption-covid-19-related-measur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obpr.pmc.gov.au/resources/guidance-obpr-procedures/post-implementation-reviews"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ia.pmc.gov.au/summary-report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F7880DFCCF4AEC9ECE47B9538C9F8B"/>
        <w:category>
          <w:name w:val="General"/>
          <w:gallery w:val="placeholder"/>
        </w:category>
        <w:types>
          <w:type w:val="bbPlcHdr"/>
        </w:types>
        <w:behaviors>
          <w:behavior w:val="content"/>
        </w:behaviors>
        <w:guid w:val="{0AAF9F7D-AE87-4283-9FAA-DA5564AF871D}"/>
      </w:docPartPr>
      <w:docPartBody>
        <w:p w:rsidR="00705BF3" w:rsidRDefault="0059041B">
          <w:pPr>
            <w:pStyle w:val="1CF7880DFCCF4AEC9ECE47B9538C9F8B"/>
          </w:pPr>
          <w:r w:rsidRPr="00B6525C">
            <w:rPr>
              <w:rStyle w:val="PlaceholderText"/>
            </w:rPr>
            <w:t>Choose an item.</w:t>
          </w:r>
        </w:p>
      </w:docPartBody>
    </w:docPart>
    <w:docPart>
      <w:docPartPr>
        <w:name w:val="EF9F39270B2C415C96D5CABE853BBE3E"/>
        <w:category>
          <w:name w:val="General"/>
          <w:gallery w:val="placeholder"/>
        </w:category>
        <w:types>
          <w:type w:val="bbPlcHdr"/>
        </w:types>
        <w:behaviors>
          <w:behavior w:val="content"/>
        </w:behaviors>
        <w:guid w:val="{FDF6F156-BF9F-4085-BA26-AD8CDF721B54}"/>
      </w:docPartPr>
      <w:docPartBody>
        <w:p w:rsidR="00705BF3" w:rsidRDefault="0059041B">
          <w:pPr>
            <w:pStyle w:val="EF9F39270B2C415C96D5CABE853BBE3E"/>
          </w:pPr>
          <w:r w:rsidRPr="00B6525C">
            <w:rPr>
              <w:rStyle w:val="PlaceholderText"/>
            </w:rPr>
            <w:t>Choose an item.</w:t>
          </w:r>
        </w:p>
      </w:docPartBody>
    </w:docPart>
    <w:docPart>
      <w:docPartPr>
        <w:name w:val="12C24C14EA444AD6A7376F6DBF882D46"/>
        <w:category>
          <w:name w:val="General"/>
          <w:gallery w:val="placeholder"/>
        </w:category>
        <w:types>
          <w:type w:val="bbPlcHdr"/>
        </w:types>
        <w:behaviors>
          <w:behavior w:val="content"/>
        </w:behaviors>
        <w:guid w:val="{FF563371-D09A-4341-8B87-C94D1558A754}"/>
      </w:docPartPr>
      <w:docPartBody>
        <w:p w:rsidR="00705BF3" w:rsidRDefault="0059041B">
          <w:pPr>
            <w:pStyle w:val="12C24C14EA444AD6A7376F6DBF882D46"/>
          </w:pPr>
          <w:r w:rsidRPr="00B65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00000000"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BF3"/>
    <w:rsid w:val="000B3237"/>
    <w:rsid w:val="00114970"/>
    <w:rsid w:val="001A0E88"/>
    <w:rsid w:val="001C201F"/>
    <w:rsid w:val="00213999"/>
    <w:rsid w:val="0028743E"/>
    <w:rsid w:val="00293B68"/>
    <w:rsid w:val="002C747F"/>
    <w:rsid w:val="002E46DA"/>
    <w:rsid w:val="00304A5E"/>
    <w:rsid w:val="0034105E"/>
    <w:rsid w:val="00451558"/>
    <w:rsid w:val="00467287"/>
    <w:rsid w:val="004E4485"/>
    <w:rsid w:val="004F5E8B"/>
    <w:rsid w:val="0059041B"/>
    <w:rsid w:val="005D58FB"/>
    <w:rsid w:val="005F3197"/>
    <w:rsid w:val="0060605C"/>
    <w:rsid w:val="006148F0"/>
    <w:rsid w:val="00705BF3"/>
    <w:rsid w:val="007519DD"/>
    <w:rsid w:val="00780DA9"/>
    <w:rsid w:val="00795C15"/>
    <w:rsid w:val="00821EA5"/>
    <w:rsid w:val="008731B6"/>
    <w:rsid w:val="008C7B9B"/>
    <w:rsid w:val="009319E8"/>
    <w:rsid w:val="00960F67"/>
    <w:rsid w:val="00970A8A"/>
    <w:rsid w:val="00971D79"/>
    <w:rsid w:val="009D4C4C"/>
    <w:rsid w:val="00A1650C"/>
    <w:rsid w:val="00A42BF4"/>
    <w:rsid w:val="00A435B8"/>
    <w:rsid w:val="00AD6E52"/>
    <w:rsid w:val="00B3162C"/>
    <w:rsid w:val="00B3469A"/>
    <w:rsid w:val="00B62C83"/>
    <w:rsid w:val="00C1632E"/>
    <w:rsid w:val="00CA1455"/>
    <w:rsid w:val="00DD5E0C"/>
    <w:rsid w:val="00E32217"/>
    <w:rsid w:val="00ED2333"/>
    <w:rsid w:val="00F32354"/>
    <w:rsid w:val="00F51E17"/>
    <w:rsid w:val="00FA6468"/>
    <w:rsid w:val="00FB7468"/>
    <w:rsid w:val="00FF2F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B39B3BBF9F24E8D94D2EF1DE7D6B58A">
    <w:name w:val="EB39B3BBF9F24E8D94D2EF1DE7D6B58A"/>
  </w:style>
  <w:style w:type="paragraph" w:customStyle="1" w:styleId="1FE158AF2233475889F9D24AE21BB2EA">
    <w:name w:val="1FE158AF2233475889F9D24AE21BB2EA"/>
  </w:style>
  <w:style w:type="paragraph" w:customStyle="1" w:styleId="B8BCE42945C942D0A7EC7BBA70089273">
    <w:name w:val="B8BCE42945C942D0A7EC7BBA70089273"/>
  </w:style>
  <w:style w:type="paragraph" w:customStyle="1" w:styleId="1CF7880DFCCF4AEC9ECE47B9538C9F8B">
    <w:name w:val="1CF7880DFCCF4AEC9ECE47B9538C9F8B"/>
  </w:style>
  <w:style w:type="paragraph" w:customStyle="1" w:styleId="EF9F39270B2C415C96D5CABE853BBE3E">
    <w:name w:val="EF9F39270B2C415C96D5CABE853BBE3E"/>
  </w:style>
  <w:style w:type="paragraph" w:customStyle="1" w:styleId="E184C6F6AECA49429DEB03DA8F9E25FB">
    <w:name w:val="E184C6F6AECA49429DEB03DA8F9E25FB"/>
  </w:style>
  <w:style w:type="paragraph" w:customStyle="1" w:styleId="DA5FF4DAAB484528BA60BF7DB8C49AE8">
    <w:name w:val="DA5FF4DAAB484528BA60BF7DB8C49AE8"/>
  </w:style>
  <w:style w:type="paragraph" w:customStyle="1" w:styleId="12C24C14EA444AD6A7376F6DBF882D46">
    <w:name w:val="12C24C14EA444AD6A7376F6DBF882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Custom 1">
      <a:dk1>
        <a:srgbClr val="000000"/>
      </a:dk1>
      <a:lt1>
        <a:srgbClr val="FFFFFF"/>
      </a:lt1>
      <a:dk2>
        <a:srgbClr val="0F1F35"/>
      </a:dk2>
      <a:lt2>
        <a:srgbClr val="E0E8F2"/>
      </a:lt2>
      <a:accent1>
        <a:srgbClr val="1B375C"/>
      </a:accent1>
      <a:accent2>
        <a:srgbClr val="778E61"/>
      </a:accent2>
      <a:accent3>
        <a:srgbClr val="F26337"/>
      </a:accent3>
      <a:accent4>
        <a:srgbClr val="4BADB0"/>
      </a:accent4>
      <a:accent5>
        <a:srgbClr val="B75B53"/>
      </a:accent5>
      <a:accent6>
        <a:srgbClr val="FCB76C"/>
      </a:accent6>
      <a:hlink>
        <a:srgbClr val="3266AB"/>
      </a:hlink>
      <a:folHlink>
        <a:srgbClr val="3266AB"/>
      </a:folHlink>
    </a:clrScheme>
    <a:fontScheme name="PM&amp;C 2022">
      <a:majorFont>
        <a:latin typeface="Times New Roman"/>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359620c81b97637cbe42c57a53f8f632">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6167440c3b5fc6f15ef2d07217fb4b01"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TaxKeywordTaxHTField xmlns="d0dfa800-9ef0-44cb-8a12-633e29de1e0b">
      <Terms xmlns="http://schemas.microsoft.com/office/infopath/2007/PartnerControls"/>
    </TaxKeywordTaxHTField>
    <TaxCatchAll xmlns="d0dfa800-9ef0-44cb-8a12-633e29de1e0b">
      <Value>4</Value>
    </TaxCatchAll>
    <_dlc_DocId xmlns="d0dfa800-9ef0-44cb-8a12-633e29de1e0b">PMCdoc-213507164-67559</_dlc_DocId>
    <_dlc_DocIdPersistId xmlns="d0dfa800-9ef0-44cb-8a12-633e29de1e0b" xsi:nil="true"/>
    <_dlc_DocIdUrl xmlns="d0dfa800-9ef0-44cb-8a12-633e29de1e0b">
      <Url>https://pmc01.sharepoint.com/sites/pmc-ms-cb/_layouts/15/DocIdRedir.aspx?ID=PMCdoc-213507164-67559</Url>
      <Description>PMCdoc-213507164-67559</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9CF9C-D948-4D7B-976F-5FAA9A709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C7DC8-BC2B-4F3A-A4FE-E610B69276D5}">
  <ds:schemaRefs>
    <ds:schemaRef ds:uri="d0dfa800-9ef0-44cb-8a12-633e29de1e0b"/>
    <ds:schemaRef ds:uri="http://purl.org/dc/elements/1.1/"/>
    <ds:schemaRef ds:uri="http://schemas.microsoft.com/sharepoint/v3"/>
    <ds:schemaRef ds:uri="http://schemas.openxmlformats.org/package/2006/metadata/core-properties"/>
    <ds:schemaRef ds:uri="http://purl.org/dc/terms/"/>
    <ds:schemaRef ds:uri="ce530a30-1469-477c-a42f-e412a5d2cfe7"/>
    <ds:schemaRef ds:uri="http://schemas.microsoft.com/office/2006/documentManagement/types"/>
    <ds:schemaRef ds:uri="http://schemas.microsoft.com/office/infopath/2007/PartnerControls"/>
    <ds:schemaRef ds:uri="e771ab56-0c5d-40e7-b080-2686d2b8962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5883AE5-2A63-4DB1-BFCE-34B9AAA4963D}">
  <ds:schemaRefs>
    <ds:schemaRef ds:uri="http://schemas.microsoft.com/sharepoint/v3/contenttype/forms"/>
  </ds:schemaRefs>
</ds:datastoreItem>
</file>

<file path=customXml/itemProps4.xml><?xml version="1.0" encoding="utf-8"?>
<ds:datastoreItem xmlns:ds="http://schemas.openxmlformats.org/officeDocument/2006/customXml" ds:itemID="{023A6F20-0B85-4E56-8206-B76EA5E0A834}">
  <ds:schemaRefs>
    <ds:schemaRef ds:uri="http://schemas.microsoft.com/sharepoint/events"/>
  </ds:schemaRefs>
</ds:datastoreItem>
</file>

<file path=customXml/itemProps5.xml><?xml version="1.0" encoding="utf-8"?>
<ds:datastoreItem xmlns:ds="http://schemas.openxmlformats.org/officeDocument/2006/customXml" ds:itemID="{4007C2F7-E0B8-400C-89A4-31DD9235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2129</Words>
  <Characters>12711</Characters>
  <Application>Microsoft Office Word</Application>
  <DocSecurity>0</DocSecurity>
  <Lines>508</Lines>
  <Paragraphs>353</Paragraphs>
  <ScaleCrop>false</ScaleCrop>
  <HeadingPairs>
    <vt:vector size="2" baseType="variant">
      <vt:variant>
        <vt:lpstr>Title</vt:lpstr>
      </vt:variant>
      <vt:variant>
        <vt:i4>1</vt:i4>
      </vt:variant>
    </vt:vector>
  </HeadingPairs>
  <TitlesOfParts>
    <vt:vector size="1" baseType="lpstr">
      <vt:lpstr>Post-implementation Reviews: Required</vt:lpstr>
    </vt:vector>
  </TitlesOfParts>
  <Manager/>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Post-implementation Reviews: Required</dc:title>
  <dc:subject/>
  <dc:creator/>
  <cp:keywords/>
  <dc:description/>
  <cp:lastModifiedBy/>
  <dcterms:created xsi:type="dcterms:W3CDTF">2025-10-02T05:16:00Z</dcterms:created>
  <dcterms:modified xsi:type="dcterms:W3CDTF">2025-10-02T05:16:00Z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TaxKeyword">
    <vt:lpwstr/>
  </property>
  <property fmtid="{D5CDD505-2E9C-101B-9397-08002B2CF9AE}" pid="4" name="MediaServiceImageTags">
    <vt:lpwstr/>
  </property>
  <property fmtid="{D5CDD505-2E9C-101B-9397-08002B2CF9AE}" pid="5" name="SecurityClassification">
    <vt:lpwstr>4;#OFFICIAL|9e0ec9cb-4e7f-4d4a-bd32-1ee7525c6d87</vt:lpwstr>
  </property>
  <property fmtid="{D5CDD505-2E9C-101B-9397-08002B2CF9AE}" pid="6" name="InformationMarker">
    <vt:lpwstr/>
  </property>
  <property fmtid="{D5CDD505-2E9C-101B-9397-08002B2CF9AE}" pid="7" name="_dlc_DocIdItemGuid">
    <vt:lpwstr>4fb932e2-dfac-4804-8398-e212b8d66185</vt:lpwstr>
  </property>
  <property fmtid="{D5CDD505-2E9C-101B-9397-08002B2CF9AE}" pid="8" name="ComplianceAssetId">
    <vt:lpwstr/>
  </property>
  <property fmtid="{D5CDD505-2E9C-101B-9397-08002B2CF9AE}" pid="9" name="_ExtendedDescription">
    <vt:lpwstr/>
  </property>
  <property fmtid="{D5CDD505-2E9C-101B-9397-08002B2CF9AE}" pid="10" name="_activity">
    <vt:lpwstr>{"FileActivityType":"9","FileActivityTimeStamp":"2025-09-02T04:01:28.277Z","FileActivityUsersOnPage":[{"DisplayName":"Lloyd, Eddie","Id":"eddie.lloyd@pmc.gov.au"}],"FileActivityNavigationId":null}</vt:lpwstr>
  </property>
  <property fmtid="{D5CDD505-2E9C-101B-9397-08002B2CF9AE}" pid="11" name="TriggerFlowInfo">
    <vt:lpwstr/>
  </property>
</Properties>
</file>