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DC361" w14:textId="144D7D2B" w:rsidR="00E92551" w:rsidRPr="00F957C6" w:rsidRDefault="00EE0074" w:rsidP="5081F3C9">
      <w:pPr>
        <w:pStyle w:val="Title"/>
        <w:rPr>
          <w:highlight w:val="yellow"/>
        </w:rPr>
      </w:pPr>
      <w:r>
        <w:t xml:space="preserve">Australian Government Impact </w:t>
      </w:r>
      <w:r w:rsidR="006B4E20">
        <w:t xml:space="preserve">Analysis </w:t>
      </w:r>
      <w:r w:rsidR="00EF3670">
        <w:t>s</w:t>
      </w:r>
      <w:r>
        <w:t>tatus</w:t>
      </w:r>
      <w:r w:rsidR="00AC4EAA">
        <w:t>,</w:t>
      </w:r>
      <w:r>
        <w:t xml:space="preserve"> 20</w:t>
      </w:r>
      <w:r w:rsidR="224AFE55">
        <w:t>24</w:t>
      </w:r>
      <w:r>
        <w:t>-</w:t>
      </w:r>
      <w:r w:rsidR="1D2A1525">
        <w:t>25</w:t>
      </w:r>
    </w:p>
    <w:p w14:paraId="79AD446A" w14:textId="1478CB9A" w:rsidR="00725547" w:rsidRDefault="02E3DBB9" w:rsidP="02E3DBB9">
      <w:pPr>
        <w:rPr>
          <w:rFonts w:eastAsia="Arial"/>
          <w:lang w:eastAsia="en-AU" w:bidi="en-AU"/>
        </w:rPr>
      </w:pPr>
      <w:r w:rsidRPr="02E3DBB9">
        <w:rPr>
          <w:rFonts w:eastAsia="Arial"/>
          <w:lang w:eastAsia="en-AU" w:bidi="en-AU"/>
        </w:rPr>
        <w:t xml:space="preserve">The Office of Impact Analysis (OIA) publishes Impact Analyses (IAs) – formerly known as Regulation Impact Statements (RISs) </w:t>
      </w:r>
      <w:r w:rsidR="00C34112" w:rsidRPr="02E3DBB9">
        <w:rPr>
          <w:rFonts w:eastAsia="Arial"/>
          <w:lang w:eastAsia="en-AU" w:bidi="en-AU"/>
        </w:rPr>
        <w:t>–</w:t>
      </w:r>
      <w:r w:rsidRPr="02E3DBB9">
        <w:rPr>
          <w:rFonts w:eastAsia="Arial"/>
          <w:lang w:eastAsia="en-AU" w:bidi="en-AU"/>
        </w:rPr>
        <w:t xml:space="preserve"> on its website as soon as prac</w:t>
      </w:r>
      <w:r w:rsidR="00701D43">
        <w:rPr>
          <w:rFonts w:eastAsia="Arial"/>
          <w:lang w:eastAsia="en-AU" w:bidi="en-AU"/>
        </w:rPr>
        <w:t>ticable after the date of policy</w:t>
      </w:r>
      <w:r w:rsidRPr="02E3DBB9">
        <w:rPr>
          <w:rFonts w:eastAsia="Arial"/>
          <w:lang w:eastAsia="en-AU" w:bidi="en-AU"/>
        </w:rPr>
        <w:t xml:space="preserve"> announcements, in consultation with the relevant agency. </w:t>
      </w:r>
    </w:p>
    <w:p w14:paraId="5988B831" w14:textId="3E7EF96F" w:rsidR="00101566" w:rsidRPr="001664BA" w:rsidRDefault="55097689" w:rsidP="00CF1E1D">
      <w:pPr>
        <w:rPr>
          <w:rFonts w:eastAsia="Arial"/>
          <w:lang w:eastAsia="en-AU" w:bidi="en-AU"/>
        </w:rPr>
      </w:pPr>
      <w:r w:rsidRPr="35D7278F">
        <w:rPr>
          <w:rFonts w:eastAsia="Arial"/>
          <w:lang w:eastAsia="en-AU" w:bidi="en-AU"/>
        </w:rPr>
        <w:t xml:space="preserve">This compliance report covers </w:t>
      </w:r>
      <w:r w:rsidR="1FFD0E60" w:rsidRPr="35D7278F">
        <w:rPr>
          <w:rFonts w:eastAsia="Arial"/>
          <w:lang w:eastAsia="en-AU" w:bidi="en-AU"/>
        </w:rPr>
        <w:t>IA</w:t>
      </w:r>
      <w:r w:rsidRPr="35D7278F">
        <w:rPr>
          <w:rFonts w:eastAsia="Arial"/>
          <w:lang w:eastAsia="en-AU" w:bidi="en-AU"/>
        </w:rPr>
        <w:t xml:space="preserve">s uploaded to the </w:t>
      </w:r>
      <w:r w:rsidR="114104F5" w:rsidRPr="35D7278F">
        <w:rPr>
          <w:rFonts w:eastAsia="Arial"/>
          <w:lang w:eastAsia="en-AU" w:bidi="en-AU"/>
        </w:rPr>
        <w:t>O</w:t>
      </w:r>
      <w:r w:rsidR="1FFD0E60" w:rsidRPr="35D7278F">
        <w:rPr>
          <w:rFonts w:eastAsia="Arial"/>
          <w:lang w:eastAsia="en-AU" w:bidi="en-AU"/>
        </w:rPr>
        <w:t>IA</w:t>
      </w:r>
      <w:r w:rsidRPr="35D7278F">
        <w:rPr>
          <w:rFonts w:eastAsia="Arial"/>
          <w:lang w:eastAsia="en-AU" w:bidi="en-AU"/>
        </w:rPr>
        <w:t xml:space="preserve"> website</w:t>
      </w:r>
      <w:r w:rsidR="553AC521" w:rsidRPr="35D7278F">
        <w:rPr>
          <w:rFonts w:eastAsia="Arial"/>
          <w:lang w:eastAsia="en-AU" w:bidi="en-AU"/>
        </w:rPr>
        <w:t xml:space="preserve"> for decisions made</w:t>
      </w:r>
      <w:r w:rsidRPr="35D7278F">
        <w:rPr>
          <w:rFonts w:eastAsia="Arial"/>
          <w:lang w:eastAsia="en-AU" w:bidi="en-AU"/>
        </w:rPr>
        <w:t xml:space="preserve"> in </w:t>
      </w:r>
      <w:r w:rsidR="1DD65028" w:rsidRPr="35D7278F">
        <w:rPr>
          <w:rFonts w:eastAsia="Arial"/>
          <w:lang w:eastAsia="en-AU" w:bidi="en-AU"/>
        </w:rPr>
        <w:t>20</w:t>
      </w:r>
      <w:r w:rsidR="21B92EAA" w:rsidRPr="35D7278F">
        <w:rPr>
          <w:rFonts w:eastAsia="Arial"/>
          <w:lang w:eastAsia="en-AU" w:bidi="en-AU"/>
        </w:rPr>
        <w:t>24</w:t>
      </w:r>
      <w:r w:rsidR="1DD65028" w:rsidRPr="35D7278F">
        <w:rPr>
          <w:rFonts w:eastAsia="Arial"/>
          <w:lang w:eastAsia="en-AU" w:bidi="en-AU"/>
        </w:rPr>
        <w:t>-</w:t>
      </w:r>
      <w:r w:rsidR="42198367" w:rsidRPr="35D7278F">
        <w:rPr>
          <w:rFonts w:eastAsia="Arial"/>
          <w:lang w:eastAsia="en-AU" w:bidi="en-AU"/>
        </w:rPr>
        <w:t>25</w:t>
      </w:r>
      <w:r w:rsidRPr="35D7278F">
        <w:rPr>
          <w:rFonts w:eastAsia="Arial"/>
          <w:lang w:eastAsia="en-AU" w:bidi="en-AU"/>
        </w:rPr>
        <w:t xml:space="preserve">. </w:t>
      </w:r>
      <w:r w:rsidR="1FFD0E60" w:rsidRPr="35D7278F">
        <w:rPr>
          <w:rFonts w:eastAsia="Arial"/>
          <w:lang w:eastAsia="en-AU" w:bidi="en-AU"/>
        </w:rPr>
        <w:t>IA</w:t>
      </w:r>
      <w:r w:rsidRPr="35D7278F">
        <w:rPr>
          <w:rFonts w:eastAsia="Arial"/>
          <w:lang w:eastAsia="en-AU" w:bidi="en-AU"/>
        </w:rPr>
        <w:t xml:space="preserve"> compliance reports for previous years are </w:t>
      </w:r>
      <w:r w:rsidR="114104F5" w:rsidRPr="35D7278F">
        <w:rPr>
          <w:rFonts w:eastAsia="Arial"/>
          <w:lang w:eastAsia="en-AU" w:bidi="en-AU"/>
        </w:rPr>
        <w:t xml:space="preserve">also </w:t>
      </w:r>
      <w:r w:rsidRPr="35D7278F">
        <w:rPr>
          <w:rFonts w:eastAsia="Arial"/>
          <w:lang w:eastAsia="en-AU" w:bidi="en-AU"/>
        </w:rPr>
        <w:t>available on the O</w:t>
      </w:r>
      <w:r w:rsidR="1FFD0E60" w:rsidRPr="35D7278F">
        <w:rPr>
          <w:rFonts w:eastAsia="Arial"/>
          <w:lang w:eastAsia="en-AU" w:bidi="en-AU"/>
        </w:rPr>
        <w:t>IA</w:t>
      </w:r>
      <w:r w:rsidRPr="35D7278F">
        <w:rPr>
          <w:rFonts w:eastAsia="Arial"/>
          <w:lang w:eastAsia="en-AU" w:bidi="en-AU"/>
        </w:rPr>
        <w:t xml:space="preserve"> website. </w:t>
      </w:r>
    </w:p>
    <w:p w14:paraId="1604A7A9" w14:textId="135A8F1A" w:rsidR="00CF1E1D" w:rsidRPr="001664BA" w:rsidRDefault="00CF1E1D" w:rsidP="00CF1E1D">
      <w:pPr>
        <w:rPr>
          <w:rFonts w:eastAsia="Arial"/>
          <w:lang w:eastAsia="en-AU" w:bidi="en-AU"/>
        </w:rPr>
      </w:pPr>
      <w:r w:rsidRPr="001664BA">
        <w:t>Please note that all Department and Agency names in this report reflect t</w:t>
      </w:r>
      <w:r w:rsidR="006B3940" w:rsidRPr="001664BA">
        <w:t>heir name at the time the IA</w:t>
      </w:r>
      <w:r w:rsidR="006B4E20" w:rsidRPr="001664BA">
        <w:t xml:space="preserve"> </w:t>
      </w:r>
      <w:r w:rsidRPr="001664BA">
        <w:t>was published.</w:t>
      </w:r>
    </w:p>
    <w:p w14:paraId="6D98FF7C" w14:textId="620314D0" w:rsidR="00725547" w:rsidRPr="001664BA" w:rsidRDefault="53A03BB8" w:rsidP="00C141C1">
      <w:pPr>
        <w:rPr>
          <w:rFonts w:eastAsia="Arial"/>
          <w:lang w:eastAsia="en-AU" w:bidi="en-AU"/>
        </w:rPr>
      </w:pPr>
      <w:r w:rsidRPr="081E6A61">
        <w:rPr>
          <w:rFonts w:eastAsia="Arial"/>
          <w:lang w:eastAsia="en-AU" w:bidi="en-AU"/>
        </w:rPr>
        <w:t>U</w:t>
      </w:r>
      <w:r w:rsidR="2E54093F" w:rsidRPr="081E6A61">
        <w:rPr>
          <w:rFonts w:eastAsia="Arial"/>
          <w:lang w:eastAsia="en-AU" w:bidi="en-AU"/>
        </w:rPr>
        <w:t>nder the current settings, the O</w:t>
      </w:r>
      <w:r w:rsidR="72C5504E" w:rsidRPr="081E6A61">
        <w:rPr>
          <w:rFonts w:eastAsia="Arial"/>
          <w:lang w:eastAsia="en-AU" w:bidi="en-AU"/>
        </w:rPr>
        <w:t>IA</w:t>
      </w:r>
      <w:r w:rsidR="2E54093F" w:rsidRPr="081E6A61">
        <w:rPr>
          <w:rFonts w:eastAsia="Arial"/>
          <w:lang w:eastAsia="en-AU" w:bidi="en-AU"/>
        </w:rPr>
        <w:t xml:space="preserve"> publishes each </w:t>
      </w:r>
      <w:r w:rsidR="72C5504E" w:rsidRPr="081E6A61">
        <w:rPr>
          <w:rFonts w:eastAsia="Arial"/>
          <w:lang w:eastAsia="en-AU" w:bidi="en-AU"/>
        </w:rPr>
        <w:t>IA</w:t>
      </w:r>
      <w:r w:rsidR="10EE6620" w:rsidRPr="081E6A61">
        <w:rPr>
          <w:rFonts w:eastAsia="Arial"/>
          <w:lang w:eastAsia="en-AU" w:bidi="en-AU"/>
        </w:rPr>
        <w:t xml:space="preserve"> document</w:t>
      </w:r>
      <w:r w:rsidR="2E54093F" w:rsidRPr="081E6A61">
        <w:rPr>
          <w:rFonts w:eastAsia="Arial"/>
          <w:lang w:eastAsia="en-AU" w:bidi="en-AU"/>
        </w:rPr>
        <w:t xml:space="preserve">, the associated agency certification letter and the </w:t>
      </w:r>
      <w:r w:rsidR="72C5504E" w:rsidRPr="081E6A61">
        <w:rPr>
          <w:rFonts w:eastAsia="Arial"/>
          <w:lang w:eastAsia="en-AU" w:bidi="en-AU"/>
        </w:rPr>
        <w:t>OIA a</w:t>
      </w:r>
      <w:r w:rsidR="2E54093F" w:rsidRPr="081E6A61">
        <w:rPr>
          <w:rFonts w:eastAsia="Arial"/>
          <w:lang w:eastAsia="en-AU" w:bidi="en-AU"/>
        </w:rPr>
        <w:t>ssessment letter</w:t>
      </w:r>
      <w:r w:rsidR="6C2FB716" w:rsidRPr="081E6A61">
        <w:rPr>
          <w:rFonts w:eastAsia="Arial"/>
          <w:lang w:eastAsia="en-AU" w:bidi="en-AU"/>
        </w:rPr>
        <w:t xml:space="preserve"> on its website</w:t>
      </w:r>
      <w:r w:rsidR="2E54093F" w:rsidRPr="081E6A61">
        <w:rPr>
          <w:rFonts w:eastAsia="Arial"/>
          <w:lang w:eastAsia="en-AU" w:bidi="en-AU"/>
        </w:rPr>
        <w:t>. A</w:t>
      </w:r>
      <w:r w:rsidR="72C5504E" w:rsidRPr="081E6A61">
        <w:rPr>
          <w:rFonts w:eastAsia="Arial"/>
          <w:lang w:eastAsia="en-AU" w:bidi="en-AU"/>
        </w:rPr>
        <w:t>n</w:t>
      </w:r>
      <w:r w:rsidR="2E54093F" w:rsidRPr="081E6A61">
        <w:rPr>
          <w:rFonts w:eastAsia="Arial"/>
          <w:lang w:eastAsia="en-AU" w:bidi="en-AU"/>
        </w:rPr>
        <w:t xml:space="preserve"> </w:t>
      </w:r>
      <w:r w:rsidR="72C5504E" w:rsidRPr="081E6A61">
        <w:rPr>
          <w:rFonts w:eastAsia="Arial"/>
          <w:lang w:eastAsia="en-AU" w:bidi="en-AU"/>
        </w:rPr>
        <w:t>IA</w:t>
      </w:r>
      <w:r w:rsidR="2E54093F" w:rsidRPr="081E6A61">
        <w:rPr>
          <w:rFonts w:eastAsia="Arial"/>
          <w:lang w:eastAsia="en-AU" w:bidi="en-AU"/>
        </w:rPr>
        <w:t xml:space="preserve"> can evolve during the policy development process and can also be published for consultation at an early stage. The O</w:t>
      </w:r>
      <w:r w:rsidR="72C5504E" w:rsidRPr="081E6A61">
        <w:rPr>
          <w:rFonts w:eastAsia="Arial"/>
          <w:lang w:eastAsia="en-AU" w:bidi="en-AU"/>
        </w:rPr>
        <w:t>IA</w:t>
      </w:r>
      <w:r w:rsidR="2E54093F" w:rsidRPr="081E6A61">
        <w:rPr>
          <w:rFonts w:eastAsia="Arial"/>
          <w:lang w:eastAsia="en-AU" w:bidi="en-AU"/>
        </w:rPr>
        <w:t xml:space="preserve"> assesses </w:t>
      </w:r>
      <w:r w:rsidR="72C5504E" w:rsidRPr="081E6A61">
        <w:rPr>
          <w:rFonts w:eastAsia="Arial"/>
          <w:lang w:eastAsia="en-AU" w:bidi="en-AU"/>
        </w:rPr>
        <w:t>IA</w:t>
      </w:r>
      <w:r w:rsidR="2E54093F" w:rsidRPr="081E6A61">
        <w:rPr>
          <w:rFonts w:eastAsia="Arial"/>
          <w:lang w:eastAsia="en-AU" w:bidi="en-AU"/>
        </w:rPr>
        <w:t xml:space="preserve">s for compliance at the final decision point. </w:t>
      </w:r>
    </w:p>
    <w:p w14:paraId="6852DE18" w14:textId="740470ED" w:rsidR="00725547" w:rsidRPr="001573D5" w:rsidRDefault="4E0AC77D" w:rsidP="00C141C1">
      <w:pPr>
        <w:rPr>
          <w:rFonts w:eastAsia="Arial"/>
          <w:lang w:eastAsia="en-AU" w:bidi="en-AU"/>
        </w:rPr>
      </w:pPr>
      <w:r w:rsidRPr="03051D12">
        <w:rPr>
          <w:rFonts w:eastAsia="Arial"/>
          <w:lang w:eastAsia="en-AU" w:bidi="en-AU"/>
        </w:rPr>
        <w:t>In addition to a full IA</w:t>
      </w:r>
      <w:r w:rsidR="44533939" w:rsidRPr="03051D12">
        <w:rPr>
          <w:rFonts w:eastAsia="Arial"/>
          <w:lang w:eastAsia="en-AU" w:bidi="en-AU"/>
        </w:rPr>
        <w:t>,</w:t>
      </w:r>
      <w:r w:rsidR="1FD599F0" w:rsidRPr="03051D12">
        <w:rPr>
          <w:rFonts w:eastAsia="Arial"/>
          <w:lang w:eastAsia="en-AU" w:bidi="en-AU"/>
        </w:rPr>
        <w:t xml:space="preserve"> the </w:t>
      </w:r>
      <w:r w:rsidR="3B8F6146" w:rsidRPr="03051D12">
        <w:rPr>
          <w:rFonts w:eastAsia="Arial"/>
          <w:lang w:eastAsia="en-AU" w:bidi="en-AU"/>
        </w:rPr>
        <w:t>IA</w:t>
      </w:r>
      <w:r w:rsidR="1FD599F0" w:rsidRPr="03051D12">
        <w:rPr>
          <w:rFonts w:eastAsia="Arial"/>
          <w:lang w:eastAsia="en-AU" w:bidi="en-AU"/>
        </w:rPr>
        <w:t xml:space="preserve"> requirements </w:t>
      </w:r>
      <w:r w:rsidR="4872FE41" w:rsidRPr="03051D12">
        <w:rPr>
          <w:rFonts w:eastAsia="Arial"/>
          <w:lang w:eastAsia="en-AU" w:bidi="en-AU"/>
        </w:rPr>
        <w:t>can be</w:t>
      </w:r>
      <w:r w:rsidR="2B3A150E" w:rsidRPr="03051D12">
        <w:rPr>
          <w:rFonts w:eastAsia="Arial"/>
          <w:lang w:eastAsia="en-AU" w:bidi="en-AU"/>
        </w:rPr>
        <w:t xml:space="preserve"> </w:t>
      </w:r>
      <w:r w:rsidR="1FD599F0" w:rsidRPr="03051D12">
        <w:rPr>
          <w:rFonts w:eastAsia="Arial"/>
          <w:lang w:eastAsia="en-AU" w:bidi="en-AU"/>
        </w:rPr>
        <w:t xml:space="preserve">met by </w:t>
      </w:r>
      <w:r w:rsidR="6FE68E5C" w:rsidRPr="03051D12">
        <w:rPr>
          <w:rFonts w:eastAsia="Arial"/>
          <w:lang w:eastAsia="en-AU" w:bidi="en-AU"/>
        </w:rPr>
        <w:t xml:space="preserve">the relevant Department Deputy Secretary </w:t>
      </w:r>
      <w:r w:rsidR="1FD599F0" w:rsidRPr="03051D12">
        <w:rPr>
          <w:rFonts w:eastAsia="Arial"/>
          <w:lang w:eastAsia="en-AU" w:bidi="en-AU"/>
        </w:rPr>
        <w:t xml:space="preserve">certifying an </w:t>
      </w:r>
      <w:r w:rsidR="4BFFF7D3" w:rsidRPr="03051D12">
        <w:rPr>
          <w:rFonts w:eastAsia="Arial"/>
          <w:lang w:eastAsia="en-AU" w:bidi="en-AU"/>
        </w:rPr>
        <w:t>Impact Analysis equivalent (IAE)</w:t>
      </w:r>
      <w:r w:rsidR="1FD599F0" w:rsidRPr="03051D12">
        <w:rPr>
          <w:rFonts w:eastAsia="Arial"/>
          <w:lang w:eastAsia="en-AU" w:bidi="en-AU"/>
        </w:rPr>
        <w:t xml:space="preserve"> process. The O</w:t>
      </w:r>
      <w:r w:rsidR="3B8F6146" w:rsidRPr="03051D12">
        <w:rPr>
          <w:rFonts w:eastAsia="Arial"/>
          <w:lang w:eastAsia="en-AU" w:bidi="en-AU"/>
        </w:rPr>
        <w:t>IA</w:t>
      </w:r>
      <w:r w:rsidR="1FD599F0" w:rsidRPr="03051D12">
        <w:rPr>
          <w:rFonts w:eastAsia="Arial"/>
          <w:lang w:eastAsia="en-AU" w:bidi="en-AU"/>
        </w:rPr>
        <w:t xml:space="preserve"> does not assess these certifications for quality, only for relevance</w:t>
      </w:r>
      <w:r w:rsidR="7AACEC28" w:rsidRPr="03051D12">
        <w:rPr>
          <w:rFonts w:eastAsia="Arial"/>
          <w:lang w:eastAsia="en-AU" w:bidi="en-AU"/>
        </w:rPr>
        <w:t xml:space="preserve"> to the recommended options, and for the coverage of the seven IA questions</w:t>
      </w:r>
      <w:r w:rsidR="1FD599F0" w:rsidRPr="03051D12">
        <w:rPr>
          <w:rFonts w:eastAsia="Arial"/>
          <w:lang w:eastAsia="en-AU" w:bidi="en-AU"/>
        </w:rPr>
        <w:t xml:space="preserve">. </w:t>
      </w:r>
    </w:p>
    <w:p w14:paraId="26803BCD" w14:textId="77777777" w:rsidR="00586FEC" w:rsidRDefault="00586FEC" w:rsidP="00C141C1">
      <w:pPr>
        <w:sectPr w:rsidR="00586FEC" w:rsidSect="00C141C1">
          <w:headerReference w:type="even" r:id="rId12"/>
          <w:headerReference w:type="default" r:id="rId13"/>
          <w:footerReference w:type="even" r:id="rId14"/>
          <w:footerReference w:type="default" r:id="rId15"/>
          <w:headerReference w:type="first" r:id="rId16"/>
          <w:footerReference w:type="first" r:id="rId17"/>
          <w:pgSz w:w="11906" w:h="16838"/>
          <w:pgMar w:top="2835" w:right="964" w:bottom="1701" w:left="964" w:header="709" w:footer="709" w:gutter="0"/>
          <w:cols w:space="708"/>
          <w:docGrid w:linePitch="360"/>
        </w:sectPr>
      </w:pPr>
    </w:p>
    <w:sdt>
      <w:sdtPr>
        <w:rPr>
          <w:rFonts w:asciiTheme="minorHAnsi" w:eastAsiaTheme="minorEastAsia" w:hAnsiTheme="minorHAnsi" w:cstheme="minorBidi"/>
          <w:color w:val="auto"/>
          <w:sz w:val="22"/>
          <w:szCs w:val="21"/>
        </w:rPr>
        <w:id w:val="440034072"/>
        <w:docPartObj>
          <w:docPartGallery w:val="Table of Contents"/>
          <w:docPartUnique/>
        </w:docPartObj>
      </w:sdtPr>
      <w:sdtEndPr/>
      <w:sdtContent>
        <w:p w14:paraId="50C08E16" w14:textId="77777777" w:rsidR="00117A77" w:rsidRDefault="00117A77">
          <w:pPr>
            <w:pStyle w:val="TOCHeading"/>
          </w:pPr>
          <w:r>
            <w:t>Contents</w:t>
          </w:r>
        </w:p>
        <w:p w14:paraId="34C3D795" w14:textId="1FA35417" w:rsidR="00916C3E" w:rsidRDefault="15A450E2" w:rsidP="00E44616">
          <w:pPr>
            <w:pStyle w:val="TOC1"/>
            <w:tabs>
              <w:tab w:val="right" w:leader="dot" w:pos="9960"/>
            </w:tabs>
            <w:rPr>
              <w:rStyle w:val="Hyperlink"/>
              <w:rFonts w:asciiTheme="majorHAnsi" w:eastAsiaTheme="majorEastAsia" w:hAnsiTheme="majorHAnsi" w:cstheme="majorBidi"/>
              <w:noProof/>
              <w:sz w:val="40"/>
              <w:szCs w:val="40"/>
              <w:lang w:eastAsia="en-AU"/>
            </w:rPr>
          </w:pPr>
          <w:r>
            <w:fldChar w:fldCharType="begin"/>
          </w:r>
          <w:r w:rsidR="00AE7678">
            <w:instrText>TOC \o "1-3" \z \u \h</w:instrText>
          </w:r>
          <w:r>
            <w:fldChar w:fldCharType="separate"/>
          </w:r>
          <w:hyperlink w:anchor="_Toc1390883726">
            <w:r w:rsidRPr="15A450E2">
              <w:rPr>
                <w:rStyle w:val="Hyperlink"/>
              </w:rPr>
              <w:t>Summary of compliance</w:t>
            </w:r>
            <w:r w:rsidR="00AE7678">
              <w:tab/>
            </w:r>
            <w:r w:rsidR="00AE7678">
              <w:fldChar w:fldCharType="begin"/>
            </w:r>
            <w:r w:rsidR="00AE7678">
              <w:instrText>PAGEREF _Toc1390883726 \h</w:instrText>
            </w:r>
            <w:r w:rsidR="00AE7678">
              <w:fldChar w:fldCharType="separate"/>
            </w:r>
            <w:r w:rsidRPr="15A450E2">
              <w:rPr>
                <w:rStyle w:val="Hyperlink"/>
              </w:rPr>
              <w:t>2</w:t>
            </w:r>
            <w:r w:rsidR="00AE7678">
              <w:fldChar w:fldCharType="end"/>
            </w:r>
          </w:hyperlink>
        </w:p>
        <w:p w14:paraId="5832345D" w14:textId="59CE8478" w:rsidR="00916C3E" w:rsidRDefault="0019779B" w:rsidP="00E44616">
          <w:pPr>
            <w:pStyle w:val="TOC1"/>
            <w:tabs>
              <w:tab w:val="right" w:leader="dot" w:pos="9960"/>
            </w:tabs>
            <w:rPr>
              <w:rStyle w:val="Hyperlink"/>
              <w:noProof/>
              <w:lang w:eastAsia="en-AU"/>
            </w:rPr>
          </w:pPr>
          <w:hyperlink w:anchor="_Toc745227988">
            <w:r w:rsidR="15A450E2" w:rsidRPr="15A450E2">
              <w:rPr>
                <w:rStyle w:val="Hyperlink"/>
              </w:rPr>
              <w:t>Impact Analysis compliance summary by Department or Agency, 2024-25</w:t>
            </w:r>
            <w:r w:rsidR="007317AC">
              <w:tab/>
            </w:r>
            <w:r w:rsidR="007317AC">
              <w:fldChar w:fldCharType="begin"/>
            </w:r>
            <w:r w:rsidR="007317AC">
              <w:instrText>PAGEREF _Toc745227988 \h</w:instrText>
            </w:r>
            <w:r w:rsidR="007317AC">
              <w:fldChar w:fldCharType="separate"/>
            </w:r>
            <w:r w:rsidR="15A450E2" w:rsidRPr="15A450E2">
              <w:rPr>
                <w:rStyle w:val="Hyperlink"/>
              </w:rPr>
              <w:t>3</w:t>
            </w:r>
            <w:r w:rsidR="007317AC">
              <w:fldChar w:fldCharType="end"/>
            </w:r>
          </w:hyperlink>
        </w:p>
        <w:p w14:paraId="190FA755" w14:textId="22B8E7A9" w:rsidR="00916C3E" w:rsidRDefault="0019779B" w:rsidP="00E44616">
          <w:pPr>
            <w:pStyle w:val="TOC2"/>
            <w:tabs>
              <w:tab w:val="right" w:leader="dot" w:pos="9960"/>
            </w:tabs>
            <w:rPr>
              <w:rStyle w:val="Hyperlink"/>
              <w:noProof/>
              <w:lang w:eastAsia="en-AU"/>
            </w:rPr>
          </w:pPr>
          <w:hyperlink w:anchor="_Toc941507958">
            <w:r w:rsidR="15A450E2" w:rsidRPr="15A450E2">
              <w:rPr>
                <w:rStyle w:val="Hyperlink"/>
              </w:rPr>
              <w:t>Attorney-General’s Department</w:t>
            </w:r>
            <w:r w:rsidR="007317AC">
              <w:tab/>
            </w:r>
            <w:r w:rsidR="007317AC">
              <w:fldChar w:fldCharType="begin"/>
            </w:r>
            <w:r w:rsidR="007317AC">
              <w:instrText>PAGEREF _Toc941507958 \h</w:instrText>
            </w:r>
            <w:r w:rsidR="007317AC">
              <w:fldChar w:fldCharType="separate"/>
            </w:r>
            <w:r w:rsidR="15A450E2" w:rsidRPr="15A450E2">
              <w:rPr>
                <w:rStyle w:val="Hyperlink"/>
              </w:rPr>
              <w:t>3</w:t>
            </w:r>
            <w:r w:rsidR="007317AC">
              <w:fldChar w:fldCharType="end"/>
            </w:r>
          </w:hyperlink>
        </w:p>
        <w:p w14:paraId="08932FAA" w14:textId="67D418E3" w:rsidR="00916C3E" w:rsidRDefault="0019779B" w:rsidP="00E44616">
          <w:pPr>
            <w:pStyle w:val="TOC2"/>
            <w:tabs>
              <w:tab w:val="right" w:leader="dot" w:pos="9960"/>
            </w:tabs>
            <w:rPr>
              <w:rStyle w:val="Hyperlink"/>
              <w:noProof/>
              <w:lang w:eastAsia="en-AU"/>
            </w:rPr>
          </w:pPr>
          <w:hyperlink w:anchor="_Toc758008045">
            <w:r w:rsidR="15A450E2" w:rsidRPr="15A450E2">
              <w:rPr>
                <w:rStyle w:val="Hyperlink"/>
              </w:rPr>
              <w:t>Australian Communications and Media Authority</w:t>
            </w:r>
            <w:r w:rsidR="007317AC">
              <w:tab/>
            </w:r>
            <w:r w:rsidR="007317AC">
              <w:fldChar w:fldCharType="begin"/>
            </w:r>
            <w:r w:rsidR="007317AC">
              <w:instrText>PAGEREF _Toc758008045 \h</w:instrText>
            </w:r>
            <w:r w:rsidR="007317AC">
              <w:fldChar w:fldCharType="separate"/>
            </w:r>
            <w:r w:rsidR="15A450E2" w:rsidRPr="15A450E2">
              <w:rPr>
                <w:rStyle w:val="Hyperlink"/>
              </w:rPr>
              <w:t>3</w:t>
            </w:r>
            <w:r w:rsidR="007317AC">
              <w:fldChar w:fldCharType="end"/>
            </w:r>
          </w:hyperlink>
        </w:p>
        <w:p w14:paraId="119840B0" w14:textId="304FB729" w:rsidR="00916C3E" w:rsidRDefault="0019779B" w:rsidP="00E44616">
          <w:pPr>
            <w:pStyle w:val="TOC2"/>
            <w:tabs>
              <w:tab w:val="right" w:leader="dot" w:pos="9960"/>
            </w:tabs>
            <w:rPr>
              <w:rStyle w:val="Hyperlink"/>
              <w:noProof/>
              <w:lang w:eastAsia="en-AU"/>
            </w:rPr>
          </w:pPr>
          <w:hyperlink w:anchor="_Toc1298055871">
            <w:r w:rsidR="15A450E2" w:rsidRPr="15A450E2">
              <w:rPr>
                <w:rStyle w:val="Hyperlink"/>
              </w:rPr>
              <w:t>Australian Competition and Consumer Commission</w:t>
            </w:r>
            <w:r w:rsidR="007317AC">
              <w:tab/>
            </w:r>
            <w:r w:rsidR="007317AC">
              <w:fldChar w:fldCharType="begin"/>
            </w:r>
            <w:r w:rsidR="007317AC">
              <w:instrText>PAGEREF _Toc1298055871 \h</w:instrText>
            </w:r>
            <w:r w:rsidR="007317AC">
              <w:fldChar w:fldCharType="separate"/>
            </w:r>
            <w:r w:rsidR="15A450E2" w:rsidRPr="15A450E2">
              <w:rPr>
                <w:rStyle w:val="Hyperlink"/>
              </w:rPr>
              <w:t>4</w:t>
            </w:r>
            <w:r w:rsidR="007317AC">
              <w:fldChar w:fldCharType="end"/>
            </w:r>
          </w:hyperlink>
        </w:p>
        <w:p w14:paraId="18F64EB2" w14:textId="1AEF0DBF" w:rsidR="00916C3E" w:rsidRDefault="0019779B" w:rsidP="00E44616">
          <w:pPr>
            <w:pStyle w:val="TOC2"/>
            <w:tabs>
              <w:tab w:val="right" w:leader="dot" w:pos="9960"/>
            </w:tabs>
            <w:rPr>
              <w:rStyle w:val="Hyperlink"/>
              <w:noProof/>
              <w:lang w:eastAsia="en-AU"/>
            </w:rPr>
          </w:pPr>
          <w:hyperlink w:anchor="_Toc1159818757">
            <w:r w:rsidR="15A450E2" w:rsidRPr="15A450E2">
              <w:rPr>
                <w:rStyle w:val="Hyperlink"/>
              </w:rPr>
              <w:t>Civil Aviation Safety Authority</w:t>
            </w:r>
            <w:r w:rsidR="007317AC">
              <w:tab/>
            </w:r>
            <w:r w:rsidR="007317AC">
              <w:fldChar w:fldCharType="begin"/>
            </w:r>
            <w:r w:rsidR="007317AC">
              <w:instrText>PAGEREF _Toc1159818757 \h</w:instrText>
            </w:r>
            <w:r w:rsidR="007317AC">
              <w:fldChar w:fldCharType="separate"/>
            </w:r>
            <w:r w:rsidR="15A450E2" w:rsidRPr="15A450E2">
              <w:rPr>
                <w:rStyle w:val="Hyperlink"/>
              </w:rPr>
              <w:t>4</w:t>
            </w:r>
            <w:r w:rsidR="007317AC">
              <w:fldChar w:fldCharType="end"/>
            </w:r>
          </w:hyperlink>
        </w:p>
        <w:p w14:paraId="3C35C354" w14:textId="3DCD092F" w:rsidR="00916C3E" w:rsidRDefault="0019779B" w:rsidP="00E44616">
          <w:pPr>
            <w:pStyle w:val="TOC2"/>
            <w:tabs>
              <w:tab w:val="right" w:leader="dot" w:pos="9960"/>
            </w:tabs>
            <w:rPr>
              <w:rStyle w:val="Hyperlink"/>
              <w:noProof/>
              <w:lang w:eastAsia="en-AU"/>
            </w:rPr>
          </w:pPr>
          <w:hyperlink w:anchor="_Toc1500984264">
            <w:r w:rsidR="15A450E2" w:rsidRPr="15A450E2">
              <w:rPr>
                <w:rStyle w:val="Hyperlink"/>
              </w:rPr>
              <w:t>Department of Climate Change, Energy, the Environment and Water</w:t>
            </w:r>
            <w:r w:rsidR="007317AC">
              <w:tab/>
            </w:r>
            <w:r w:rsidR="007317AC">
              <w:fldChar w:fldCharType="begin"/>
            </w:r>
            <w:r w:rsidR="007317AC">
              <w:instrText>PAGEREF _Toc1500984264 \h</w:instrText>
            </w:r>
            <w:r w:rsidR="007317AC">
              <w:fldChar w:fldCharType="separate"/>
            </w:r>
            <w:r w:rsidR="15A450E2" w:rsidRPr="15A450E2">
              <w:rPr>
                <w:rStyle w:val="Hyperlink"/>
              </w:rPr>
              <w:t>5</w:t>
            </w:r>
            <w:r w:rsidR="007317AC">
              <w:fldChar w:fldCharType="end"/>
            </w:r>
          </w:hyperlink>
        </w:p>
        <w:p w14:paraId="75933DFC" w14:textId="78FD0565" w:rsidR="00916C3E" w:rsidRDefault="0019779B" w:rsidP="00E44616">
          <w:pPr>
            <w:pStyle w:val="TOC2"/>
            <w:tabs>
              <w:tab w:val="right" w:leader="dot" w:pos="9960"/>
            </w:tabs>
            <w:rPr>
              <w:rStyle w:val="Hyperlink"/>
              <w:noProof/>
              <w:lang w:eastAsia="en-AU"/>
            </w:rPr>
          </w:pPr>
          <w:hyperlink w:anchor="_Toc1561601870">
            <w:r w:rsidR="15A450E2" w:rsidRPr="15A450E2">
              <w:rPr>
                <w:rStyle w:val="Hyperlink"/>
              </w:rPr>
              <w:t>Department of Employment and Workplace Relations</w:t>
            </w:r>
            <w:r w:rsidR="007317AC">
              <w:tab/>
            </w:r>
            <w:r w:rsidR="007317AC">
              <w:fldChar w:fldCharType="begin"/>
            </w:r>
            <w:r w:rsidR="007317AC">
              <w:instrText>PAGEREF _Toc1561601870 \h</w:instrText>
            </w:r>
            <w:r w:rsidR="007317AC">
              <w:fldChar w:fldCharType="separate"/>
            </w:r>
            <w:r w:rsidR="15A450E2" w:rsidRPr="15A450E2">
              <w:rPr>
                <w:rStyle w:val="Hyperlink"/>
              </w:rPr>
              <w:t>5</w:t>
            </w:r>
            <w:r w:rsidR="007317AC">
              <w:fldChar w:fldCharType="end"/>
            </w:r>
          </w:hyperlink>
        </w:p>
        <w:p w14:paraId="2CBDEFE6" w14:textId="1525E0EF" w:rsidR="00916C3E" w:rsidRDefault="0019779B" w:rsidP="00E44616">
          <w:pPr>
            <w:pStyle w:val="TOC2"/>
            <w:tabs>
              <w:tab w:val="right" w:leader="dot" w:pos="9960"/>
            </w:tabs>
            <w:rPr>
              <w:rStyle w:val="Hyperlink"/>
              <w:noProof/>
              <w:lang w:eastAsia="en-AU"/>
            </w:rPr>
          </w:pPr>
          <w:hyperlink w:anchor="_Toc987699282">
            <w:r w:rsidR="15A450E2" w:rsidRPr="15A450E2">
              <w:rPr>
                <w:rStyle w:val="Hyperlink"/>
              </w:rPr>
              <w:t>Department of Finance</w:t>
            </w:r>
            <w:r w:rsidR="007317AC">
              <w:tab/>
            </w:r>
            <w:r w:rsidR="007317AC">
              <w:fldChar w:fldCharType="begin"/>
            </w:r>
            <w:r w:rsidR="007317AC">
              <w:instrText>PAGEREF _Toc987699282 \h</w:instrText>
            </w:r>
            <w:r w:rsidR="007317AC">
              <w:fldChar w:fldCharType="separate"/>
            </w:r>
            <w:r w:rsidR="15A450E2" w:rsidRPr="15A450E2">
              <w:rPr>
                <w:rStyle w:val="Hyperlink"/>
              </w:rPr>
              <w:t>5</w:t>
            </w:r>
            <w:r w:rsidR="007317AC">
              <w:fldChar w:fldCharType="end"/>
            </w:r>
          </w:hyperlink>
        </w:p>
        <w:p w14:paraId="0DA90E12" w14:textId="1D970633" w:rsidR="00916C3E" w:rsidRDefault="0019779B" w:rsidP="00E44616">
          <w:pPr>
            <w:pStyle w:val="TOC2"/>
            <w:tabs>
              <w:tab w:val="right" w:leader="dot" w:pos="9960"/>
            </w:tabs>
            <w:rPr>
              <w:rStyle w:val="Hyperlink"/>
              <w:noProof/>
              <w:lang w:eastAsia="en-AU"/>
            </w:rPr>
          </w:pPr>
          <w:hyperlink w:anchor="_Toc1404519062">
            <w:r w:rsidR="15A450E2" w:rsidRPr="15A450E2">
              <w:rPr>
                <w:rStyle w:val="Hyperlink"/>
              </w:rPr>
              <w:t>Department of Foreign Affairs and Trade</w:t>
            </w:r>
            <w:r w:rsidR="007317AC">
              <w:tab/>
            </w:r>
            <w:r w:rsidR="007317AC">
              <w:fldChar w:fldCharType="begin"/>
            </w:r>
            <w:r w:rsidR="007317AC">
              <w:instrText>PAGEREF _Toc1404519062 \h</w:instrText>
            </w:r>
            <w:r w:rsidR="007317AC">
              <w:fldChar w:fldCharType="separate"/>
            </w:r>
            <w:r w:rsidR="15A450E2" w:rsidRPr="15A450E2">
              <w:rPr>
                <w:rStyle w:val="Hyperlink"/>
              </w:rPr>
              <w:t>5</w:t>
            </w:r>
            <w:r w:rsidR="007317AC">
              <w:fldChar w:fldCharType="end"/>
            </w:r>
          </w:hyperlink>
        </w:p>
        <w:p w14:paraId="298D6EE7" w14:textId="6AC5AF8B" w:rsidR="00916C3E" w:rsidRDefault="0019779B" w:rsidP="00E44616">
          <w:pPr>
            <w:pStyle w:val="TOC2"/>
            <w:tabs>
              <w:tab w:val="right" w:leader="dot" w:pos="9960"/>
            </w:tabs>
            <w:rPr>
              <w:rStyle w:val="Hyperlink"/>
              <w:noProof/>
              <w:lang w:eastAsia="en-AU"/>
            </w:rPr>
          </w:pPr>
          <w:hyperlink w:anchor="_Toc377092266">
            <w:r w:rsidR="15A450E2" w:rsidRPr="15A450E2">
              <w:rPr>
                <w:rStyle w:val="Hyperlink"/>
              </w:rPr>
              <w:t>Department of Health and Aged Care</w:t>
            </w:r>
            <w:r w:rsidR="007317AC">
              <w:tab/>
            </w:r>
            <w:r w:rsidR="007317AC">
              <w:fldChar w:fldCharType="begin"/>
            </w:r>
            <w:r w:rsidR="007317AC">
              <w:instrText>PAGEREF _Toc377092266 \h</w:instrText>
            </w:r>
            <w:r w:rsidR="007317AC">
              <w:fldChar w:fldCharType="separate"/>
            </w:r>
            <w:r w:rsidR="15A450E2" w:rsidRPr="15A450E2">
              <w:rPr>
                <w:rStyle w:val="Hyperlink"/>
              </w:rPr>
              <w:t>6</w:t>
            </w:r>
            <w:r w:rsidR="007317AC">
              <w:fldChar w:fldCharType="end"/>
            </w:r>
          </w:hyperlink>
        </w:p>
        <w:p w14:paraId="31E46DC2" w14:textId="4D859AD8" w:rsidR="00916C3E" w:rsidRDefault="0019779B" w:rsidP="00E44616">
          <w:pPr>
            <w:pStyle w:val="TOC2"/>
            <w:tabs>
              <w:tab w:val="right" w:leader="dot" w:pos="9960"/>
            </w:tabs>
            <w:rPr>
              <w:rStyle w:val="Hyperlink"/>
              <w:noProof/>
              <w:lang w:eastAsia="en-AU"/>
            </w:rPr>
          </w:pPr>
          <w:hyperlink w:anchor="_Toc1300770731">
            <w:r w:rsidR="15A450E2" w:rsidRPr="15A450E2">
              <w:rPr>
                <w:rStyle w:val="Hyperlink"/>
              </w:rPr>
              <w:t>Department of Home Affairs</w:t>
            </w:r>
            <w:r w:rsidR="007317AC">
              <w:tab/>
            </w:r>
            <w:r w:rsidR="007317AC">
              <w:fldChar w:fldCharType="begin"/>
            </w:r>
            <w:r w:rsidR="007317AC">
              <w:instrText>PAGEREF _Toc1300770731 \h</w:instrText>
            </w:r>
            <w:r w:rsidR="007317AC">
              <w:fldChar w:fldCharType="separate"/>
            </w:r>
            <w:r w:rsidR="15A450E2" w:rsidRPr="15A450E2">
              <w:rPr>
                <w:rStyle w:val="Hyperlink"/>
              </w:rPr>
              <w:t>6</w:t>
            </w:r>
            <w:r w:rsidR="007317AC">
              <w:fldChar w:fldCharType="end"/>
            </w:r>
          </w:hyperlink>
        </w:p>
        <w:p w14:paraId="23537D27" w14:textId="07000DBF" w:rsidR="00916C3E" w:rsidRDefault="0019779B" w:rsidP="00E44616">
          <w:pPr>
            <w:pStyle w:val="TOC2"/>
            <w:tabs>
              <w:tab w:val="right" w:leader="dot" w:pos="9960"/>
            </w:tabs>
            <w:rPr>
              <w:rStyle w:val="Hyperlink"/>
              <w:noProof/>
              <w:lang w:eastAsia="en-AU"/>
            </w:rPr>
          </w:pPr>
          <w:hyperlink w:anchor="_Toc2106287236">
            <w:r w:rsidR="15A450E2" w:rsidRPr="15A450E2">
              <w:rPr>
                <w:rStyle w:val="Hyperlink"/>
              </w:rPr>
              <w:t>Department of Infrastructure, Transport, Regional Development, Communications and the Arts</w:t>
            </w:r>
            <w:r w:rsidR="007317AC">
              <w:tab/>
            </w:r>
            <w:r w:rsidR="007317AC">
              <w:fldChar w:fldCharType="begin"/>
            </w:r>
            <w:r w:rsidR="007317AC">
              <w:instrText>PAGEREF _Toc2106287236 \h</w:instrText>
            </w:r>
            <w:r w:rsidR="007317AC">
              <w:fldChar w:fldCharType="separate"/>
            </w:r>
            <w:r w:rsidR="15A450E2" w:rsidRPr="15A450E2">
              <w:rPr>
                <w:rStyle w:val="Hyperlink"/>
              </w:rPr>
              <w:t>7</w:t>
            </w:r>
            <w:r w:rsidR="007317AC">
              <w:fldChar w:fldCharType="end"/>
            </w:r>
          </w:hyperlink>
        </w:p>
        <w:p w14:paraId="54F4F431" w14:textId="049A93DE" w:rsidR="00916C3E" w:rsidRDefault="0019779B" w:rsidP="00E44616">
          <w:pPr>
            <w:pStyle w:val="TOC2"/>
            <w:tabs>
              <w:tab w:val="right" w:leader="dot" w:pos="9960"/>
            </w:tabs>
            <w:rPr>
              <w:rStyle w:val="Hyperlink"/>
              <w:noProof/>
              <w:lang w:eastAsia="en-AU"/>
            </w:rPr>
          </w:pPr>
          <w:hyperlink w:anchor="_Toc1788219672">
            <w:r w:rsidR="15A450E2" w:rsidRPr="15A450E2">
              <w:rPr>
                <w:rStyle w:val="Hyperlink"/>
              </w:rPr>
              <w:t>Department of the Treasury</w:t>
            </w:r>
            <w:r w:rsidR="007317AC">
              <w:tab/>
            </w:r>
            <w:r w:rsidR="007317AC">
              <w:fldChar w:fldCharType="begin"/>
            </w:r>
            <w:r w:rsidR="007317AC">
              <w:instrText>PAGEREF _Toc1788219672 \h</w:instrText>
            </w:r>
            <w:r w:rsidR="007317AC">
              <w:fldChar w:fldCharType="separate"/>
            </w:r>
            <w:r w:rsidR="15A450E2" w:rsidRPr="15A450E2">
              <w:rPr>
                <w:rStyle w:val="Hyperlink"/>
              </w:rPr>
              <w:t>7</w:t>
            </w:r>
            <w:r w:rsidR="007317AC">
              <w:fldChar w:fldCharType="end"/>
            </w:r>
          </w:hyperlink>
        </w:p>
        <w:p w14:paraId="5448F063" w14:textId="2A876950" w:rsidR="00916C3E" w:rsidRDefault="0019779B" w:rsidP="00E44616">
          <w:pPr>
            <w:pStyle w:val="TOC2"/>
            <w:tabs>
              <w:tab w:val="right" w:leader="dot" w:pos="9960"/>
            </w:tabs>
            <w:rPr>
              <w:rStyle w:val="Hyperlink"/>
              <w:noProof/>
              <w:lang w:eastAsia="en-AU"/>
            </w:rPr>
          </w:pPr>
          <w:hyperlink w:anchor="_Toc847477851">
            <w:r w:rsidR="15A450E2" w:rsidRPr="15A450E2">
              <w:rPr>
                <w:rStyle w:val="Hyperlink"/>
              </w:rPr>
              <w:t>National Indigenous Australians Agency</w:t>
            </w:r>
            <w:r w:rsidR="007317AC">
              <w:tab/>
            </w:r>
            <w:r w:rsidR="007317AC">
              <w:fldChar w:fldCharType="begin"/>
            </w:r>
            <w:r w:rsidR="007317AC">
              <w:instrText>PAGEREF _Toc847477851 \h</w:instrText>
            </w:r>
            <w:r w:rsidR="007317AC">
              <w:fldChar w:fldCharType="separate"/>
            </w:r>
            <w:r w:rsidR="15A450E2" w:rsidRPr="15A450E2">
              <w:rPr>
                <w:rStyle w:val="Hyperlink"/>
              </w:rPr>
              <w:t>8</w:t>
            </w:r>
            <w:r w:rsidR="007317AC">
              <w:fldChar w:fldCharType="end"/>
            </w:r>
          </w:hyperlink>
        </w:p>
        <w:p w14:paraId="0D3AF816" w14:textId="515CD721" w:rsidR="00916C3E" w:rsidRDefault="0019779B" w:rsidP="00E44616">
          <w:pPr>
            <w:pStyle w:val="TOC1"/>
            <w:tabs>
              <w:tab w:val="right" w:leader="dot" w:pos="9960"/>
            </w:tabs>
            <w:rPr>
              <w:rStyle w:val="Hyperlink"/>
              <w:noProof/>
              <w:lang w:eastAsia="en-AU"/>
            </w:rPr>
          </w:pPr>
          <w:hyperlink w:anchor="_Toc1742321844">
            <w:r w:rsidR="15A450E2" w:rsidRPr="15A450E2">
              <w:rPr>
                <w:rStyle w:val="Hyperlink"/>
              </w:rPr>
              <w:t>Detailed information on proposals requiring Impact Analysis, 2025-25</w:t>
            </w:r>
            <w:r w:rsidR="007317AC">
              <w:tab/>
            </w:r>
            <w:r w:rsidR="007317AC">
              <w:fldChar w:fldCharType="begin"/>
            </w:r>
            <w:r w:rsidR="007317AC">
              <w:instrText>PAGEREF _Toc1742321844 \h</w:instrText>
            </w:r>
            <w:r w:rsidR="007317AC">
              <w:fldChar w:fldCharType="separate"/>
            </w:r>
            <w:r w:rsidR="15A450E2" w:rsidRPr="15A450E2">
              <w:rPr>
                <w:rStyle w:val="Hyperlink"/>
              </w:rPr>
              <w:t>9</w:t>
            </w:r>
            <w:r w:rsidR="007317AC">
              <w:fldChar w:fldCharType="end"/>
            </w:r>
          </w:hyperlink>
        </w:p>
        <w:p w14:paraId="2A4C099C" w14:textId="63DEB782" w:rsidR="00916C3E" w:rsidRDefault="0019779B" w:rsidP="00E44616">
          <w:pPr>
            <w:pStyle w:val="TOC2"/>
            <w:tabs>
              <w:tab w:val="right" w:leader="dot" w:pos="9960"/>
            </w:tabs>
            <w:rPr>
              <w:rStyle w:val="Hyperlink"/>
              <w:noProof/>
              <w:lang w:eastAsia="en-AU"/>
            </w:rPr>
          </w:pPr>
          <w:hyperlink w:anchor="_Toc960676183">
            <w:r w:rsidR="15A450E2" w:rsidRPr="15A450E2">
              <w:rPr>
                <w:rStyle w:val="Hyperlink"/>
              </w:rPr>
              <w:t>Attorney-General's Department</w:t>
            </w:r>
            <w:r w:rsidR="007317AC">
              <w:tab/>
            </w:r>
            <w:r w:rsidR="007317AC">
              <w:fldChar w:fldCharType="begin"/>
            </w:r>
            <w:r w:rsidR="007317AC">
              <w:instrText>PAGEREF _Toc960676183 \h</w:instrText>
            </w:r>
            <w:r w:rsidR="007317AC">
              <w:fldChar w:fldCharType="separate"/>
            </w:r>
            <w:r w:rsidR="15A450E2" w:rsidRPr="15A450E2">
              <w:rPr>
                <w:rStyle w:val="Hyperlink"/>
              </w:rPr>
              <w:t>9</w:t>
            </w:r>
            <w:r w:rsidR="007317AC">
              <w:fldChar w:fldCharType="end"/>
            </w:r>
          </w:hyperlink>
        </w:p>
        <w:p w14:paraId="42196031" w14:textId="420447B6" w:rsidR="00916C3E" w:rsidRDefault="0019779B" w:rsidP="00E44616">
          <w:pPr>
            <w:pStyle w:val="TOC3"/>
            <w:tabs>
              <w:tab w:val="right" w:leader="dot" w:pos="9960"/>
            </w:tabs>
            <w:rPr>
              <w:rStyle w:val="Hyperlink"/>
              <w:noProof/>
              <w:lang w:eastAsia="en-AU"/>
            </w:rPr>
          </w:pPr>
          <w:hyperlink w:anchor="_Toc1518399072">
            <w:r w:rsidR="15A450E2" w:rsidRPr="15A450E2">
              <w:rPr>
                <w:rStyle w:val="Hyperlink"/>
              </w:rPr>
              <w:t>Anti-Money Laundering and Counter-Terrorism Financing Regime (AML-CTF) Reforms</w:t>
            </w:r>
            <w:r w:rsidR="007317AC">
              <w:tab/>
            </w:r>
            <w:r w:rsidR="007317AC">
              <w:fldChar w:fldCharType="begin"/>
            </w:r>
            <w:r w:rsidR="007317AC">
              <w:instrText>PAGEREF _Toc1518399072 \h</w:instrText>
            </w:r>
            <w:r w:rsidR="007317AC">
              <w:fldChar w:fldCharType="separate"/>
            </w:r>
            <w:r w:rsidR="15A450E2" w:rsidRPr="15A450E2">
              <w:rPr>
                <w:rStyle w:val="Hyperlink"/>
              </w:rPr>
              <w:t>9</w:t>
            </w:r>
            <w:r w:rsidR="007317AC">
              <w:fldChar w:fldCharType="end"/>
            </w:r>
          </w:hyperlink>
        </w:p>
        <w:p w14:paraId="628C0C51" w14:textId="117B4A17" w:rsidR="00916C3E" w:rsidRDefault="0019779B" w:rsidP="00E44616">
          <w:pPr>
            <w:pStyle w:val="TOC2"/>
            <w:tabs>
              <w:tab w:val="right" w:leader="dot" w:pos="9960"/>
            </w:tabs>
            <w:rPr>
              <w:rStyle w:val="Hyperlink"/>
              <w:noProof/>
              <w:lang w:eastAsia="en-AU"/>
            </w:rPr>
          </w:pPr>
          <w:hyperlink w:anchor="_Toc976157314">
            <w:r w:rsidR="15A450E2" w:rsidRPr="15A450E2">
              <w:rPr>
                <w:rStyle w:val="Hyperlink"/>
              </w:rPr>
              <w:t>Australian Communications and Media Authority</w:t>
            </w:r>
            <w:r w:rsidR="007317AC">
              <w:tab/>
            </w:r>
            <w:r w:rsidR="007317AC">
              <w:fldChar w:fldCharType="begin"/>
            </w:r>
            <w:r w:rsidR="007317AC">
              <w:instrText>PAGEREF _Toc976157314 \h</w:instrText>
            </w:r>
            <w:r w:rsidR="007317AC">
              <w:fldChar w:fldCharType="separate"/>
            </w:r>
            <w:r w:rsidR="15A450E2" w:rsidRPr="15A450E2">
              <w:rPr>
                <w:rStyle w:val="Hyperlink"/>
              </w:rPr>
              <w:t>10</w:t>
            </w:r>
            <w:r w:rsidR="007317AC">
              <w:fldChar w:fldCharType="end"/>
            </w:r>
          </w:hyperlink>
        </w:p>
        <w:p w14:paraId="31C17B6F" w14:textId="1EE329B8" w:rsidR="00916C3E" w:rsidRDefault="0019779B" w:rsidP="00E44616">
          <w:pPr>
            <w:pStyle w:val="TOC3"/>
            <w:tabs>
              <w:tab w:val="right" w:leader="dot" w:pos="9960"/>
            </w:tabs>
            <w:rPr>
              <w:rStyle w:val="Hyperlink"/>
              <w:noProof/>
              <w:lang w:eastAsia="en-AU"/>
            </w:rPr>
          </w:pPr>
          <w:hyperlink w:anchor="_Toc1178835722">
            <w:r w:rsidR="15A450E2" w:rsidRPr="15A450E2">
              <w:rPr>
                <w:rStyle w:val="Hyperlink"/>
              </w:rPr>
              <w:t>Requirements to identify and manage mobile phones unable to access the Triple Zero (000) Emergency Call Service</w:t>
            </w:r>
            <w:r w:rsidR="007317AC">
              <w:tab/>
            </w:r>
            <w:r w:rsidR="007317AC">
              <w:fldChar w:fldCharType="begin"/>
            </w:r>
            <w:r w:rsidR="007317AC">
              <w:instrText>PAGEREF _Toc1178835722 \h</w:instrText>
            </w:r>
            <w:r w:rsidR="007317AC">
              <w:fldChar w:fldCharType="separate"/>
            </w:r>
            <w:r w:rsidR="15A450E2" w:rsidRPr="15A450E2">
              <w:rPr>
                <w:rStyle w:val="Hyperlink"/>
              </w:rPr>
              <w:t>10</w:t>
            </w:r>
            <w:r w:rsidR="007317AC">
              <w:fldChar w:fldCharType="end"/>
            </w:r>
          </w:hyperlink>
        </w:p>
        <w:p w14:paraId="66A91C66" w14:textId="44C9AB43" w:rsidR="00916C3E" w:rsidRDefault="0019779B" w:rsidP="00E44616">
          <w:pPr>
            <w:pStyle w:val="TOC3"/>
            <w:tabs>
              <w:tab w:val="right" w:leader="dot" w:pos="9960"/>
            </w:tabs>
            <w:rPr>
              <w:rStyle w:val="Hyperlink"/>
              <w:noProof/>
              <w:lang w:eastAsia="en-AU"/>
            </w:rPr>
          </w:pPr>
          <w:hyperlink w:anchor="_Toc1066753292">
            <w:r w:rsidR="15A450E2" w:rsidRPr="15A450E2">
              <w:rPr>
                <w:rStyle w:val="Hyperlink"/>
              </w:rPr>
              <w:t>Improving Telco Communications to Stakeholders During Outages</w:t>
            </w:r>
            <w:r w:rsidR="007317AC">
              <w:tab/>
            </w:r>
            <w:r w:rsidR="007317AC">
              <w:fldChar w:fldCharType="begin"/>
            </w:r>
            <w:r w:rsidR="007317AC">
              <w:instrText>PAGEREF _Toc1066753292 \h</w:instrText>
            </w:r>
            <w:r w:rsidR="007317AC">
              <w:fldChar w:fldCharType="separate"/>
            </w:r>
            <w:r w:rsidR="15A450E2" w:rsidRPr="15A450E2">
              <w:rPr>
                <w:rStyle w:val="Hyperlink"/>
              </w:rPr>
              <w:t>11</w:t>
            </w:r>
            <w:r w:rsidR="007317AC">
              <w:fldChar w:fldCharType="end"/>
            </w:r>
          </w:hyperlink>
        </w:p>
        <w:p w14:paraId="00B37569" w14:textId="4B50EAD2" w:rsidR="00916C3E" w:rsidRDefault="0019779B" w:rsidP="00E44616">
          <w:pPr>
            <w:pStyle w:val="TOC3"/>
            <w:tabs>
              <w:tab w:val="right" w:leader="dot" w:pos="9960"/>
            </w:tabs>
            <w:rPr>
              <w:rStyle w:val="Hyperlink"/>
              <w:noProof/>
              <w:lang w:eastAsia="en-AU"/>
            </w:rPr>
          </w:pPr>
          <w:hyperlink w:anchor="_Toc73298967">
            <w:r w:rsidR="15A450E2" w:rsidRPr="15A450E2">
              <w:rPr>
                <w:rStyle w:val="Hyperlink"/>
              </w:rPr>
              <w:t>Future use of the upper 6 GHz band</w:t>
            </w:r>
            <w:r w:rsidR="007317AC">
              <w:tab/>
            </w:r>
            <w:r w:rsidR="007317AC">
              <w:fldChar w:fldCharType="begin"/>
            </w:r>
            <w:r w:rsidR="007317AC">
              <w:instrText>PAGEREF _Toc73298967 \h</w:instrText>
            </w:r>
            <w:r w:rsidR="007317AC">
              <w:fldChar w:fldCharType="separate"/>
            </w:r>
            <w:r w:rsidR="15A450E2" w:rsidRPr="15A450E2">
              <w:rPr>
                <w:rStyle w:val="Hyperlink"/>
              </w:rPr>
              <w:t>12</w:t>
            </w:r>
            <w:r w:rsidR="007317AC">
              <w:fldChar w:fldCharType="end"/>
            </w:r>
          </w:hyperlink>
        </w:p>
        <w:p w14:paraId="7FABF663" w14:textId="6444FFB5" w:rsidR="00916C3E" w:rsidRDefault="0019779B" w:rsidP="00E44616">
          <w:pPr>
            <w:pStyle w:val="TOC2"/>
            <w:tabs>
              <w:tab w:val="right" w:leader="dot" w:pos="9960"/>
            </w:tabs>
            <w:rPr>
              <w:rStyle w:val="Hyperlink"/>
              <w:noProof/>
              <w:lang w:eastAsia="en-AU"/>
            </w:rPr>
          </w:pPr>
          <w:hyperlink w:anchor="_Toc962375726">
            <w:r w:rsidR="15A450E2" w:rsidRPr="15A450E2">
              <w:rPr>
                <w:rStyle w:val="Hyperlink"/>
              </w:rPr>
              <w:t>Australian Competition and Consumer Commission</w:t>
            </w:r>
            <w:r w:rsidR="007317AC">
              <w:tab/>
            </w:r>
            <w:r w:rsidR="007317AC">
              <w:fldChar w:fldCharType="begin"/>
            </w:r>
            <w:r w:rsidR="007317AC">
              <w:instrText>PAGEREF _Toc962375726 \h</w:instrText>
            </w:r>
            <w:r w:rsidR="007317AC">
              <w:fldChar w:fldCharType="separate"/>
            </w:r>
            <w:r w:rsidR="15A450E2" w:rsidRPr="15A450E2">
              <w:rPr>
                <w:rStyle w:val="Hyperlink"/>
              </w:rPr>
              <w:t>13</w:t>
            </w:r>
            <w:r w:rsidR="007317AC">
              <w:fldChar w:fldCharType="end"/>
            </w:r>
          </w:hyperlink>
        </w:p>
        <w:p w14:paraId="03182B7B" w14:textId="635992F9" w:rsidR="00916C3E" w:rsidRDefault="0019779B" w:rsidP="00E44616">
          <w:pPr>
            <w:pStyle w:val="TOC3"/>
            <w:tabs>
              <w:tab w:val="right" w:leader="dot" w:pos="9960"/>
            </w:tabs>
            <w:rPr>
              <w:rStyle w:val="Hyperlink"/>
              <w:noProof/>
              <w:lang w:eastAsia="en-AU"/>
            </w:rPr>
          </w:pPr>
          <w:hyperlink w:anchor="_Toc1904799401">
            <w:r w:rsidR="15A450E2" w:rsidRPr="15A450E2">
              <w:rPr>
                <w:rStyle w:val="Hyperlink"/>
              </w:rPr>
              <w:t>ACCC: safety risks posed by infant inclined products</w:t>
            </w:r>
            <w:r w:rsidR="007317AC">
              <w:tab/>
            </w:r>
            <w:r w:rsidR="007317AC">
              <w:fldChar w:fldCharType="begin"/>
            </w:r>
            <w:r w:rsidR="007317AC">
              <w:instrText>PAGEREF _Toc1904799401 \h</w:instrText>
            </w:r>
            <w:r w:rsidR="007317AC">
              <w:fldChar w:fldCharType="separate"/>
            </w:r>
            <w:r w:rsidR="15A450E2" w:rsidRPr="15A450E2">
              <w:rPr>
                <w:rStyle w:val="Hyperlink"/>
              </w:rPr>
              <w:t>13</w:t>
            </w:r>
            <w:r w:rsidR="007317AC">
              <w:fldChar w:fldCharType="end"/>
            </w:r>
          </w:hyperlink>
        </w:p>
        <w:p w14:paraId="5148C1E8" w14:textId="6F60E26D" w:rsidR="00916C3E" w:rsidRDefault="0019779B" w:rsidP="00E44616">
          <w:pPr>
            <w:pStyle w:val="TOC2"/>
            <w:tabs>
              <w:tab w:val="right" w:leader="dot" w:pos="9960"/>
            </w:tabs>
            <w:rPr>
              <w:rStyle w:val="Hyperlink"/>
              <w:noProof/>
              <w:lang w:eastAsia="en-AU"/>
            </w:rPr>
          </w:pPr>
          <w:hyperlink w:anchor="_Toc1424957941">
            <w:r w:rsidR="15A450E2" w:rsidRPr="15A450E2">
              <w:rPr>
                <w:rStyle w:val="Hyperlink"/>
              </w:rPr>
              <w:t>Civil Aviation Safety Authority</w:t>
            </w:r>
            <w:r w:rsidR="007317AC">
              <w:tab/>
            </w:r>
            <w:r w:rsidR="007317AC">
              <w:fldChar w:fldCharType="begin"/>
            </w:r>
            <w:r w:rsidR="007317AC">
              <w:instrText>PAGEREF _Toc1424957941 \h</w:instrText>
            </w:r>
            <w:r w:rsidR="007317AC">
              <w:fldChar w:fldCharType="separate"/>
            </w:r>
            <w:r w:rsidR="15A450E2" w:rsidRPr="15A450E2">
              <w:rPr>
                <w:rStyle w:val="Hyperlink"/>
              </w:rPr>
              <w:t>14</w:t>
            </w:r>
            <w:r w:rsidR="007317AC">
              <w:fldChar w:fldCharType="end"/>
            </w:r>
          </w:hyperlink>
        </w:p>
        <w:p w14:paraId="6F43D246" w14:textId="7B380AA1" w:rsidR="00916C3E" w:rsidRDefault="0019779B" w:rsidP="00E44616">
          <w:pPr>
            <w:pStyle w:val="TOC3"/>
            <w:tabs>
              <w:tab w:val="right" w:leader="dot" w:pos="9960"/>
            </w:tabs>
            <w:rPr>
              <w:rStyle w:val="Hyperlink"/>
              <w:noProof/>
              <w:lang w:eastAsia="en-AU"/>
            </w:rPr>
          </w:pPr>
          <w:hyperlink w:anchor="_Toc1492504399">
            <w:r w:rsidR="15A450E2" w:rsidRPr="15A450E2">
              <w:rPr>
                <w:rStyle w:val="Hyperlink"/>
              </w:rPr>
              <w:t>Part 43 of the Civil Aviation Safety Regulations (CASR) Maintenance of aircraft in private and aerial work operations</w:t>
            </w:r>
            <w:r w:rsidR="007317AC">
              <w:tab/>
            </w:r>
            <w:r w:rsidR="007317AC">
              <w:fldChar w:fldCharType="begin"/>
            </w:r>
            <w:r w:rsidR="007317AC">
              <w:instrText>PAGEREF _Toc1492504399 \h</w:instrText>
            </w:r>
            <w:r w:rsidR="007317AC">
              <w:fldChar w:fldCharType="separate"/>
            </w:r>
            <w:r w:rsidR="15A450E2" w:rsidRPr="15A450E2">
              <w:rPr>
                <w:rStyle w:val="Hyperlink"/>
              </w:rPr>
              <w:t>14</w:t>
            </w:r>
            <w:r w:rsidR="007317AC">
              <w:fldChar w:fldCharType="end"/>
            </w:r>
          </w:hyperlink>
        </w:p>
        <w:p w14:paraId="17E6B4FA" w14:textId="51F34815" w:rsidR="00916C3E" w:rsidRDefault="0019779B" w:rsidP="00E44616">
          <w:pPr>
            <w:pStyle w:val="TOC2"/>
            <w:tabs>
              <w:tab w:val="right" w:leader="dot" w:pos="9960"/>
            </w:tabs>
            <w:rPr>
              <w:rStyle w:val="Hyperlink"/>
              <w:noProof/>
              <w:lang w:eastAsia="en-AU"/>
            </w:rPr>
          </w:pPr>
          <w:hyperlink w:anchor="_Toc575150445">
            <w:r w:rsidR="15A450E2" w:rsidRPr="15A450E2">
              <w:rPr>
                <w:rStyle w:val="Hyperlink"/>
              </w:rPr>
              <w:t>Department of Climate Change, Energy, the Environment and Water</w:t>
            </w:r>
            <w:r w:rsidR="007317AC">
              <w:tab/>
            </w:r>
            <w:r w:rsidR="007317AC">
              <w:fldChar w:fldCharType="begin"/>
            </w:r>
            <w:r w:rsidR="007317AC">
              <w:instrText>PAGEREF _Toc575150445 \h</w:instrText>
            </w:r>
            <w:r w:rsidR="007317AC">
              <w:fldChar w:fldCharType="separate"/>
            </w:r>
            <w:r w:rsidR="15A450E2" w:rsidRPr="15A450E2">
              <w:rPr>
                <w:rStyle w:val="Hyperlink"/>
              </w:rPr>
              <w:t>15</w:t>
            </w:r>
            <w:r w:rsidR="007317AC">
              <w:fldChar w:fldCharType="end"/>
            </w:r>
          </w:hyperlink>
        </w:p>
        <w:p w14:paraId="08B9A3E1" w14:textId="62AC5933" w:rsidR="00916C3E" w:rsidRDefault="0019779B" w:rsidP="00E44616">
          <w:pPr>
            <w:pStyle w:val="TOC3"/>
            <w:tabs>
              <w:tab w:val="right" w:leader="dot" w:pos="9960"/>
            </w:tabs>
            <w:rPr>
              <w:rStyle w:val="Hyperlink"/>
              <w:noProof/>
              <w:lang w:eastAsia="en-AU"/>
            </w:rPr>
          </w:pPr>
          <w:hyperlink w:anchor="_Toc1669871312">
            <w:r w:rsidR="15A450E2" w:rsidRPr="15A450E2">
              <w:rPr>
                <w:rStyle w:val="Hyperlink"/>
              </w:rPr>
              <w:t>Implementing a Guarantee of Origin Scheme</w:t>
            </w:r>
            <w:r w:rsidR="007317AC">
              <w:tab/>
            </w:r>
            <w:r w:rsidR="007317AC">
              <w:fldChar w:fldCharType="begin"/>
            </w:r>
            <w:r w:rsidR="007317AC">
              <w:instrText>PAGEREF _Toc1669871312 \h</w:instrText>
            </w:r>
            <w:r w:rsidR="007317AC">
              <w:fldChar w:fldCharType="separate"/>
            </w:r>
            <w:r w:rsidR="15A450E2" w:rsidRPr="15A450E2">
              <w:rPr>
                <w:rStyle w:val="Hyperlink"/>
              </w:rPr>
              <w:t>15</w:t>
            </w:r>
            <w:r w:rsidR="007317AC">
              <w:fldChar w:fldCharType="end"/>
            </w:r>
          </w:hyperlink>
        </w:p>
        <w:p w14:paraId="54D0A609" w14:textId="5AB914A3" w:rsidR="00916C3E" w:rsidRDefault="0019779B" w:rsidP="00E44616">
          <w:pPr>
            <w:pStyle w:val="TOC2"/>
            <w:tabs>
              <w:tab w:val="right" w:leader="dot" w:pos="9960"/>
            </w:tabs>
            <w:rPr>
              <w:rStyle w:val="Hyperlink"/>
              <w:noProof/>
              <w:lang w:eastAsia="en-AU"/>
            </w:rPr>
          </w:pPr>
          <w:hyperlink w:anchor="_Toc298252118">
            <w:r w:rsidR="15A450E2" w:rsidRPr="15A450E2">
              <w:rPr>
                <w:rStyle w:val="Hyperlink"/>
              </w:rPr>
              <w:t>Department of Employment and Workplace Relations</w:t>
            </w:r>
            <w:r w:rsidR="007317AC">
              <w:tab/>
            </w:r>
            <w:r w:rsidR="007317AC">
              <w:fldChar w:fldCharType="begin"/>
            </w:r>
            <w:r w:rsidR="007317AC">
              <w:instrText>PAGEREF _Toc298252118 \h</w:instrText>
            </w:r>
            <w:r w:rsidR="007317AC">
              <w:fldChar w:fldCharType="separate"/>
            </w:r>
            <w:r w:rsidR="15A450E2" w:rsidRPr="15A450E2">
              <w:rPr>
                <w:rStyle w:val="Hyperlink"/>
              </w:rPr>
              <w:t>16</w:t>
            </w:r>
            <w:r w:rsidR="007317AC">
              <w:fldChar w:fldCharType="end"/>
            </w:r>
          </w:hyperlink>
        </w:p>
        <w:p w14:paraId="637E830E" w14:textId="73365B37" w:rsidR="00916C3E" w:rsidRDefault="0019779B" w:rsidP="00E44616">
          <w:pPr>
            <w:pStyle w:val="TOC3"/>
            <w:tabs>
              <w:tab w:val="right" w:leader="dot" w:pos="9960"/>
            </w:tabs>
            <w:rPr>
              <w:rStyle w:val="Hyperlink"/>
              <w:noProof/>
              <w:lang w:eastAsia="en-AU"/>
            </w:rPr>
          </w:pPr>
          <w:hyperlink w:anchor="_Toc750080834">
            <w:r w:rsidR="15A450E2" w:rsidRPr="15A450E2">
              <w:rPr>
                <w:rStyle w:val="Hyperlink"/>
              </w:rPr>
              <w:t>Import Ban On Engineered Stone</w:t>
            </w:r>
            <w:r w:rsidR="007317AC">
              <w:tab/>
            </w:r>
            <w:r w:rsidR="007317AC">
              <w:fldChar w:fldCharType="begin"/>
            </w:r>
            <w:r w:rsidR="007317AC">
              <w:instrText>PAGEREF _Toc750080834 \h</w:instrText>
            </w:r>
            <w:r w:rsidR="007317AC">
              <w:fldChar w:fldCharType="separate"/>
            </w:r>
            <w:r w:rsidR="15A450E2" w:rsidRPr="15A450E2">
              <w:rPr>
                <w:rStyle w:val="Hyperlink"/>
              </w:rPr>
              <w:t>16</w:t>
            </w:r>
            <w:r w:rsidR="007317AC">
              <w:fldChar w:fldCharType="end"/>
            </w:r>
          </w:hyperlink>
        </w:p>
        <w:p w14:paraId="07769D7C" w14:textId="66172238" w:rsidR="00916C3E" w:rsidRDefault="0019779B" w:rsidP="00E44616">
          <w:pPr>
            <w:pStyle w:val="TOC2"/>
            <w:tabs>
              <w:tab w:val="right" w:leader="dot" w:pos="9960"/>
            </w:tabs>
            <w:rPr>
              <w:rStyle w:val="Hyperlink"/>
              <w:noProof/>
              <w:lang w:eastAsia="en-AU"/>
            </w:rPr>
          </w:pPr>
          <w:hyperlink w:anchor="_Toc2062349218">
            <w:r w:rsidR="15A450E2" w:rsidRPr="15A450E2">
              <w:rPr>
                <w:rStyle w:val="Hyperlink"/>
              </w:rPr>
              <w:t>Department of Finance</w:t>
            </w:r>
            <w:r w:rsidR="007317AC">
              <w:tab/>
            </w:r>
            <w:r w:rsidR="007317AC">
              <w:fldChar w:fldCharType="begin"/>
            </w:r>
            <w:r w:rsidR="007317AC">
              <w:instrText>PAGEREF _Toc2062349218 \h</w:instrText>
            </w:r>
            <w:r w:rsidR="007317AC">
              <w:fldChar w:fldCharType="separate"/>
            </w:r>
            <w:r w:rsidR="15A450E2" w:rsidRPr="15A450E2">
              <w:rPr>
                <w:rStyle w:val="Hyperlink"/>
              </w:rPr>
              <w:t>17</w:t>
            </w:r>
            <w:r w:rsidR="007317AC">
              <w:fldChar w:fldCharType="end"/>
            </w:r>
          </w:hyperlink>
        </w:p>
        <w:p w14:paraId="6C845903" w14:textId="6FA593D6" w:rsidR="00916C3E" w:rsidRDefault="0019779B" w:rsidP="00E44616">
          <w:pPr>
            <w:pStyle w:val="TOC3"/>
            <w:tabs>
              <w:tab w:val="right" w:leader="dot" w:pos="9960"/>
            </w:tabs>
            <w:rPr>
              <w:rStyle w:val="Hyperlink"/>
              <w:noProof/>
              <w:lang w:eastAsia="en-AU"/>
            </w:rPr>
          </w:pPr>
          <w:hyperlink w:anchor="_Toc2073927777">
            <w:r w:rsidR="15A450E2" w:rsidRPr="15A450E2">
              <w:rPr>
                <w:rStyle w:val="Hyperlink"/>
              </w:rPr>
              <w:t>Electoral Expenditure and Gift Cap Reforms</w:t>
            </w:r>
            <w:r w:rsidR="007317AC">
              <w:tab/>
            </w:r>
            <w:r w:rsidR="007317AC">
              <w:fldChar w:fldCharType="begin"/>
            </w:r>
            <w:r w:rsidR="007317AC">
              <w:instrText>PAGEREF _Toc2073927777 \h</w:instrText>
            </w:r>
            <w:r w:rsidR="007317AC">
              <w:fldChar w:fldCharType="separate"/>
            </w:r>
            <w:r w:rsidR="15A450E2" w:rsidRPr="15A450E2">
              <w:rPr>
                <w:rStyle w:val="Hyperlink"/>
              </w:rPr>
              <w:t>17</w:t>
            </w:r>
            <w:r w:rsidR="007317AC">
              <w:fldChar w:fldCharType="end"/>
            </w:r>
          </w:hyperlink>
        </w:p>
        <w:p w14:paraId="2C57C66C" w14:textId="71976D26" w:rsidR="00916C3E" w:rsidRDefault="0019779B" w:rsidP="00E44616">
          <w:pPr>
            <w:pStyle w:val="TOC2"/>
            <w:tabs>
              <w:tab w:val="right" w:leader="dot" w:pos="9960"/>
            </w:tabs>
            <w:rPr>
              <w:rStyle w:val="Hyperlink"/>
              <w:noProof/>
              <w:lang w:eastAsia="en-AU"/>
            </w:rPr>
          </w:pPr>
          <w:hyperlink w:anchor="_Toc2077424556">
            <w:r w:rsidR="15A450E2" w:rsidRPr="15A450E2">
              <w:rPr>
                <w:rStyle w:val="Hyperlink"/>
              </w:rPr>
              <w:t>Department of Foreign Affairs and Trade</w:t>
            </w:r>
            <w:r w:rsidR="007317AC">
              <w:tab/>
            </w:r>
            <w:r w:rsidR="007317AC">
              <w:fldChar w:fldCharType="begin"/>
            </w:r>
            <w:r w:rsidR="007317AC">
              <w:instrText>PAGEREF _Toc2077424556 \h</w:instrText>
            </w:r>
            <w:r w:rsidR="007317AC">
              <w:fldChar w:fldCharType="separate"/>
            </w:r>
            <w:r w:rsidR="15A450E2" w:rsidRPr="15A450E2">
              <w:rPr>
                <w:rStyle w:val="Hyperlink"/>
              </w:rPr>
              <w:t>17</w:t>
            </w:r>
            <w:r w:rsidR="007317AC">
              <w:fldChar w:fldCharType="end"/>
            </w:r>
          </w:hyperlink>
        </w:p>
        <w:p w14:paraId="3E63DA4D" w14:textId="50C580A3" w:rsidR="00916C3E" w:rsidRDefault="0019779B" w:rsidP="00E44616">
          <w:pPr>
            <w:pStyle w:val="TOC3"/>
            <w:tabs>
              <w:tab w:val="right" w:leader="dot" w:pos="9960"/>
            </w:tabs>
            <w:rPr>
              <w:rStyle w:val="Hyperlink"/>
              <w:noProof/>
              <w:lang w:eastAsia="en-AU"/>
            </w:rPr>
          </w:pPr>
          <w:hyperlink w:anchor="_Toc745863088">
            <w:r w:rsidR="15A450E2" w:rsidRPr="15A450E2">
              <w:rPr>
                <w:rStyle w:val="Hyperlink"/>
              </w:rPr>
              <w:t>Australia - United Arab Emirates Comprehensive Economic Partnership Agreement (UAE CEPA)</w:t>
            </w:r>
            <w:r w:rsidR="007317AC">
              <w:tab/>
            </w:r>
            <w:r w:rsidR="007317AC">
              <w:fldChar w:fldCharType="begin"/>
            </w:r>
            <w:r w:rsidR="007317AC">
              <w:instrText>PAGEREF _Toc745863088 \h</w:instrText>
            </w:r>
            <w:r w:rsidR="007317AC">
              <w:fldChar w:fldCharType="separate"/>
            </w:r>
            <w:r w:rsidR="15A450E2" w:rsidRPr="15A450E2">
              <w:rPr>
                <w:rStyle w:val="Hyperlink"/>
              </w:rPr>
              <w:t>17</w:t>
            </w:r>
            <w:r w:rsidR="007317AC">
              <w:fldChar w:fldCharType="end"/>
            </w:r>
          </w:hyperlink>
        </w:p>
        <w:p w14:paraId="17BA973D" w14:textId="5204D01A" w:rsidR="00916C3E" w:rsidRDefault="0019779B" w:rsidP="00E44616">
          <w:pPr>
            <w:pStyle w:val="TOC2"/>
            <w:tabs>
              <w:tab w:val="right" w:leader="dot" w:pos="9960"/>
            </w:tabs>
            <w:rPr>
              <w:rStyle w:val="Hyperlink"/>
              <w:noProof/>
              <w:lang w:eastAsia="en-AU"/>
            </w:rPr>
          </w:pPr>
          <w:hyperlink w:anchor="_Toc465992497">
            <w:r w:rsidR="15A450E2" w:rsidRPr="15A450E2">
              <w:rPr>
                <w:rStyle w:val="Hyperlink"/>
              </w:rPr>
              <w:t>Department of Health and Aged Care</w:t>
            </w:r>
            <w:r w:rsidR="007317AC">
              <w:tab/>
            </w:r>
            <w:r w:rsidR="007317AC">
              <w:fldChar w:fldCharType="begin"/>
            </w:r>
            <w:r w:rsidR="007317AC">
              <w:instrText>PAGEREF _Toc465992497 \h</w:instrText>
            </w:r>
            <w:r w:rsidR="007317AC">
              <w:fldChar w:fldCharType="separate"/>
            </w:r>
            <w:r w:rsidR="15A450E2" w:rsidRPr="15A450E2">
              <w:rPr>
                <w:rStyle w:val="Hyperlink"/>
              </w:rPr>
              <w:t>19</w:t>
            </w:r>
            <w:r w:rsidR="007317AC">
              <w:fldChar w:fldCharType="end"/>
            </w:r>
          </w:hyperlink>
        </w:p>
        <w:p w14:paraId="6C48BBC6" w14:textId="01700A01" w:rsidR="00916C3E" w:rsidRDefault="0019779B" w:rsidP="00E44616">
          <w:pPr>
            <w:pStyle w:val="TOC3"/>
            <w:tabs>
              <w:tab w:val="right" w:leader="dot" w:pos="9960"/>
            </w:tabs>
            <w:rPr>
              <w:rStyle w:val="Hyperlink"/>
              <w:noProof/>
              <w:lang w:eastAsia="en-AU"/>
            </w:rPr>
          </w:pPr>
          <w:hyperlink w:anchor="_Toc222416184">
            <w:r w:rsidR="15A450E2" w:rsidRPr="15A450E2">
              <w:rPr>
                <w:rStyle w:val="Hyperlink"/>
              </w:rPr>
              <w:t>Aged Care Bill 2024</w:t>
            </w:r>
            <w:r w:rsidR="007317AC">
              <w:tab/>
            </w:r>
            <w:r w:rsidR="007317AC">
              <w:fldChar w:fldCharType="begin"/>
            </w:r>
            <w:r w:rsidR="007317AC">
              <w:instrText>PAGEREF _Toc222416184 \h</w:instrText>
            </w:r>
            <w:r w:rsidR="007317AC">
              <w:fldChar w:fldCharType="separate"/>
            </w:r>
            <w:r w:rsidR="15A450E2" w:rsidRPr="15A450E2">
              <w:rPr>
                <w:rStyle w:val="Hyperlink"/>
              </w:rPr>
              <w:t>19</w:t>
            </w:r>
            <w:r w:rsidR="007317AC">
              <w:fldChar w:fldCharType="end"/>
            </w:r>
          </w:hyperlink>
        </w:p>
        <w:p w14:paraId="3D58991C" w14:textId="57A622F2" w:rsidR="00916C3E" w:rsidRDefault="0019779B" w:rsidP="00E44616">
          <w:pPr>
            <w:pStyle w:val="TOC3"/>
            <w:tabs>
              <w:tab w:val="right" w:leader="dot" w:pos="9960"/>
            </w:tabs>
            <w:rPr>
              <w:rStyle w:val="Hyperlink"/>
              <w:noProof/>
              <w:lang w:eastAsia="en-AU"/>
            </w:rPr>
          </w:pPr>
          <w:hyperlink w:anchor="_Toc420737347">
            <w:r w:rsidR="15A450E2" w:rsidRPr="15A450E2">
              <w:rPr>
                <w:rStyle w:val="Hyperlink"/>
              </w:rPr>
              <w:t>Health Legislation Amendment (Modernising My Health Record—Sharing by Default) Bill 2024</w:t>
            </w:r>
            <w:r w:rsidR="007317AC">
              <w:tab/>
            </w:r>
            <w:r w:rsidR="007317AC">
              <w:fldChar w:fldCharType="begin"/>
            </w:r>
            <w:r w:rsidR="007317AC">
              <w:instrText>PAGEREF _Toc420737347 \h</w:instrText>
            </w:r>
            <w:r w:rsidR="007317AC">
              <w:fldChar w:fldCharType="separate"/>
            </w:r>
            <w:r w:rsidR="15A450E2" w:rsidRPr="15A450E2">
              <w:rPr>
                <w:rStyle w:val="Hyperlink"/>
              </w:rPr>
              <w:t>20</w:t>
            </w:r>
            <w:r w:rsidR="007317AC">
              <w:fldChar w:fldCharType="end"/>
            </w:r>
          </w:hyperlink>
        </w:p>
        <w:p w14:paraId="0AF69C85" w14:textId="6D00A507" w:rsidR="00916C3E" w:rsidRDefault="0019779B" w:rsidP="00E44616">
          <w:pPr>
            <w:pStyle w:val="TOC3"/>
            <w:tabs>
              <w:tab w:val="right" w:leader="dot" w:pos="9960"/>
            </w:tabs>
            <w:rPr>
              <w:rStyle w:val="Hyperlink"/>
              <w:noProof/>
              <w:lang w:eastAsia="en-AU"/>
            </w:rPr>
          </w:pPr>
          <w:hyperlink w:anchor="_Toc45641045">
            <w:r w:rsidR="15A450E2" w:rsidRPr="15A450E2">
              <w:rPr>
                <w:rStyle w:val="Hyperlink"/>
              </w:rPr>
              <w:t>Proposed Adoption of an Australian Sunscreen Exposure Model</w:t>
            </w:r>
            <w:r w:rsidR="007317AC">
              <w:tab/>
            </w:r>
            <w:r w:rsidR="007317AC">
              <w:fldChar w:fldCharType="begin"/>
            </w:r>
            <w:r w:rsidR="007317AC">
              <w:instrText>PAGEREF _Toc45641045 \h</w:instrText>
            </w:r>
            <w:r w:rsidR="007317AC">
              <w:fldChar w:fldCharType="separate"/>
            </w:r>
            <w:r w:rsidR="15A450E2" w:rsidRPr="15A450E2">
              <w:rPr>
                <w:rStyle w:val="Hyperlink"/>
              </w:rPr>
              <w:t>20</w:t>
            </w:r>
            <w:r w:rsidR="007317AC">
              <w:fldChar w:fldCharType="end"/>
            </w:r>
          </w:hyperlink>
        </w:p>
        <w:p w14:paraId="31DF4986" w14:textId="39D7A060" w:rsidR="00916C3E" w:rsidRDefault="0019779B" w:rsidP="00E44616">
          <w:pPr>
            <w:pStyle w:val="TOC3"/>
            <w:tabs>
              <w:tab w:val="right" w:leader="dot" w:pos="9960"/>
            </w:tabs>
            <w:rPr>
              <w:rStyle w:val="Hyperlink"/>
              <w:noProof/>
              <w:lang w:eastAsia="en-AU"/>
            </w:rPr>
          </w:pPr>
          <w:hyperlink w:anchor="_Toc859712120">
            <w:r w:rsidR="15A450E2" w:rsidRPr="15A450E2">
              <w:rPr>
                <w:rStyle w:val="Hyperlink"/>
              </w:rPr>
              <w:t>Bulk Billing for all Australians</w:t>
            </w:r>
            <w:r w:rsidR="007317AC">
              <w:tab/>
            </w:r>
            <w:r w:rsidR="007317AC">
              <w:fldChar w:fldCharType="begin"/>
            </w:r>
            <w:r w:rsidR="007317AC">
              <w:instrText>PAGEREF _Toc859712120 \h</w:instrText>
            </w:r>
            <w:r w:rsidR="007317AC">
              <w:fldChar w:fldCharType="separate"/>
            </w:r>
            <w:r w:rsidR="15A450E2" w:rsidRPr="15A450E2">
              <w:rPr>
                <w:rStyle w:val="Hyperlink"/>
              </w:rPr>
              <w:t>22</w:t>
            </w:r>
            <w:r w:rsidR="007317AC">
              <w:fldChar w:fldCharType="end"/>
            </w:r>
          </w:hyperlink>
        </w:p>
        <w:p w14:paraId="5E145DCA" w14:textId="56F0C839" w:rsidR="00916C3E" w:rsidRDefault="0019779B" w:rsidP="00E44616">
          <w:pPr>
            <w:pStyle w:val="TOC3"/>
            <w:tabs>
              <w:tab w:val="right" w:leader="dot" w:pos="9960"/>
            </w:tabs>
            <w:rPr>
              <w:rStyle w:val="Hyperlink"/>
              <w:noProof/>
              <w:lang w:eastAsia="en-AU"/>
            </w:rPr>
          </w:pPr>
          <w:hyperlink w:anchor="_Toc1922227301">
            <w:r w:rsidR="15A450E2" w:rsidRPr="15A450E2">
              <w:rPr>
                <w:rStyle w:val="Hyperlink"/>
              </w:rPr>
              <w:t>Building the General Practice Workforce to Strengthen Medicare</w:t>
            </w:r>
            <w:r w:rsidR="007317AC">
              <w:tab/>
            </w:r>
            <w:r w:rsidR="007317AC">
              <w:fldChar w:fldCharType="begin"/>
            </w:r>
            <w:r w:rsidR="007317AC">
              <w:instrText>PAGEREF _Toc1922227301 \h</w:instrText>
            </w:r>
            <w:r w:rsidR="007317AC">
              <w:fldChar w:fldCharType="separate"/>
            </w:r>
            <w:r w:rsidR="15A450E2" w:rsidRPr="15A450E2">
              <w:rPr>
                <w:rStyle w:val="Hyperlink"/>
              </w:rPr>
              <w:t>23</w:t>
            </w:r>
            <w:r w:rsidR="007317AC">
              <w:fldChar w:fldCharType="end"/>
            </w:r>
          </w:hyperlink>
        </w:p>
        <w:p w14:paraId="4E5EEC7E" w14:textId="08CE88C4" w:rsidR="00916C3E" w:rsidRDefault="0019779B" w:rsidP="00E44616">
          <w:pPr>
            <w:pStyle w:val="TOC3"/>
            <w:tabs>
              <w:tab w:val="right" w:leader="dot" w:pos="9960"/>
            </w:tabs>
            <w:rPr>
              <w:rStyle w:val="Hyperlink"/>
              <w:noProof/>
              <w:lang w:eastAsia="en-AU"/>
            </w:rPr>
          </w:pPr>
          <w:hyperlink w:anchor="_Toc1459915439">
            <w:r w:rsidR="15A450E2" w:rsidRPr="15A450E2">
              <w:rPr>
                <w:rStyle w:val="Hyperlink"/>
              </w:rPr>
              <w:t>Mandatory reporting of medical device adverse events by healthcare facilities</w:t>
            </w:r>
            <w:r w:rsidR="007317AC">
              <w:tab/>
            </w:r>
            <w:r w:rsidR="007317AC">
              <w:fldChar w:fldCharType="begin"/>
            </w:r>
            <w:r w:rsidR="007317AC">
              <w:instrText>PAGEREF _Toc1459915439 \h</w:instrText>
            </w:r>
            <w:r w:rsidR="007317AC">
              <w:fldChar w:fldCharType="separate"/>
            </w:r>
            <w:r w:rsidR="15A450E2" w:rsidRPr="15A450E2">
              <w:rPr>
                <w:rStyle w:val="Hyperlink"/>
              </w:rPr>
              <w:t>24</w:t>
            </w:r>
            <w:r w:rsidR="007317AC">
              <w:fldChar w:fldCharType="end"/>
            </w:r>
          </w:hyperlink>
        </w:p>
        <w:p w14:paraId="2AA37D02" w14:textId="4E7687CC" w:rsidR="00916C3E" w:rsidRDefault="0019779B" w:rsidP="00E44616">
          <w:pPr>
            <w:pStyle w:val="TOC2"/>
            <w:tabs>
              <w:tab w:val="right" w:leader="dot" w:pos="9960"/>
            </w:tabs>
            <w:rPr>
              <w:rStyle w:val="Hyperlink"/>
              <w:noProof/>
              <w:lang w:eastAsia="en-AU"/>
            </w:rPr>
          </w:pPr>
          <w:hyperlink w:anchor="_Toc977034660">
            <w:r w:rsidR="15A450E2" w:rsidRPr="15A450E2">
              <w:rPr>
                <w:rStyle w:val="Hyperlink"/>
              </w:rPr>
              <w:t>Department of Home Affairs</w:t>
            </w:r>
            <w:r w:rsidR="007317AC">
              <w:tab/>
            </w:r>
            <w:r w:rsidR="007317AC">
              <w:fldChar w:fldCharType="begin"/>
            </w:r>
            <w:r w:rsidR="007317AC">
              <w:instrText>PAGEREF _Toc977034660 \h</w:instrText>
            </w:r>
            <w:r w:rsidR="007317AC">
              <w:fldChar w:fldCharType="separate"/>
            </w:r>
            <w:r w:rsidR="15A450E2" w:rsidRPr="15A450E2">
              <w:rPr>
                <w:rStyle w:val="Hyperlink"/>
              </w:rPr>
              <w:t>25</w:t>
            </w:r>
            <w:r w:rsidR="007317AC">
              <w:fldChar w:fldCharType="end"/>
            </w:r>
          </w:hyperlink>
        </w:p>
        <w:p w14:paraId="5CFF8A65" w14:textId="67FE97B1" w:rsidR="00916C3E" w:rsidRDefault="0019779B" w:rsidP="00E44616">
          <w:pPr>
            <w:pStyle w:val="TOC3"/>
            <w:tabs>
              <w:tab w:val="right" w:leader="dot" w:pos="9960"/>
            </w:tabs>
            <w:rPr>
              <w:rStyle w:val="Hyperlink"/>
              <w:noProof/>
              <w:lang w:eastAsia="en-AU"/>
            </w:rPr>
          </w:pPr>
          <w:hyperlink w:anchor="_Toc1052275845">
            <w:r w:rsidR="15A450E2" w:rsidRPr="15A450E2">
              <w:rPr>
                <w:rStyle w:val="Hyperlink"/>
              </w:rPr>
              <w:t>Cyber Security Legislation: Mandatory Ransomware Payment Reporting – Cyber Security Bill 2024</w:t>
            </w:r>
            <w:r w:rsidR="007317AC">
              <w:tab/>
            </w:r>
            <w:r w:rsidR="007317AC">
              <w:fldChar w:fldCharType="begin"/>
            </w:r>
            <w:r w:rsidR="007317AC">
              <w:instrText>PAGEREF _Toc1052275845 \h</w:instrText>
            </w:r>
            <w:r w:rsidR="007317AC">
              <w:fldChar w:fldCharType="separate"/>
            </w:r>
            <w:r w:rsidR="15A450E2" w:rsidRPr="15A450E2">
              <w:rPr>
                <w:rStyle w:val="Hyperlink"/>
              </w:rPr>
              <w:t>25</w:t>
            </w:r>
            <w:r w:rsidR="007317AC">
              <w:fldChar w:fldCharType="end"/>
            </w:r>
          </w:hyperlink>
        </w:p>
        <w:p w14:paraId="526D2845" w14:textId="343D8A6C" w:rsidR="00916C3E" w:rsidRDefault="0019779B" w:rsidP="00E44616">
          <w:pPr>
            <w:pStyle w:val="TOC3"/>
            <w:tabs>
              <w:tab w:val="right" w:leader="dot" w:pos="9960"/>
            </w:tabs>
            <w:rPr>
              <w:rStyle w:val="Hyperlink"/>
              <w:noProof/>
              <w:lang w:eastAsia="en-AU"/>
            </w:rPr>
          </w:pPr>
          <w:hyperlink w:anchor="_Toc141232649">
            <w:r w:rsidR="15A450E2" w:rsidRPr="15A450E2">
              <w:rPr>
                <w:rStyle w:val="Hyperlink"/>
              </w:rPr>
              <w:t>Cyber Security Legislation: Amendments to the Security of Critical Infrastructure Act 2018</w:t>
            </w:r>
            <w:r w:rsidR="007317AC">
              <w:tab/>
            </w:r>
            <w:r w:rsidR="007317AC">
              <w:fldChar w:fldCharType="begin"/>
            </w:r>
            <w:r w:rsidR="007317AC">
              <w:instrText>PAGEREF _Toc141232649 \h</w:instrText>
            </w:r>
            <w:r w:rsidR="007317AC">
              <w:fldChar w:fldCharType="separate"/>
            </w:r>
            <w:r w:rsidR="15A450E2" w:rsidRPr="15A450E2">
              <w:rPr>
                <w:rStyle w:val="Hyperlink"/>
              </w:rPr>
              <w:t>26</w:t>
            </w:r>
            <w:r w:rsidR="007317AC">
              <w:fldChar w:fldCharType="end"/>
            </w:r>
          </w:hyperlink>
        </w:p>
        <w:p w14:paraId="40AEC844" w14:textId="2D69F3DD" w:rsidR="00916C3E" w:rsidRDefault="0019779B" w:rsidP="00E44616">
          <w:pPr>
            <w:pStyle w:val="TOC3"/>
            <w:tabs>
              <w:tab w:val="right" w:leader="dot" w:pos="9960"/>
            </w:tabs>
            <w:rPr>
              <w:rStyle w:val="Hyperlink"/>
              <w:noProof/>
              <w:lang w:eastAsia="en-AU"/>
            </w:rPr>
          </w:pPr>
          <w:hyperlink w:anchor="_Toc521295227">
            <w:r w:rsidR="15A450E2" w:rsidRPr="15A450E2">
              <w:rPr>
                <w:rStyle w:val="Hyperlink"/>
              </w:rPr>
              <w:t>Critical Telecommunications Assets</w:t>
            </w:r>
            <w:r w:rsidR="007317AC">
              <w:tab/>
            </w:r>
            <w:r w:rsidR="007317AC">
              <w:fldChar w:fldCharType="begin"/>
            </w:r>
            <w:r w:rsidR="007317AC">
              <w:instrText>PAGEREF _Toc521295227 \h</w:instrText>
            </w:r>
            <w:r w:rsidR="007317AC">
              <w:fldChar w:fldCharType="separate"/>
            </w:r>
            <w:r w:rsidR="15A450E2" w:rsidRPr="15A450E2">
              <w:rPr>
                <w:rStyle w:val="Hyperlink"/>
              </w:rPr>
              <w:t>27</w:t>
            </w:r>
            <w:r w:rsidR="007317AC">
              <w:fldChar w:fldCharType="end"/>
            </w:r>
          </w:hyperlink>
        </w:p>
        <w:p w14:paraId="0C45B372" w14:textId="05D5994B" w:rsidR="00916C3E" w:rsidRDefault="0019779B" w:rsidP="00E44616">
          <w:pPr>
            <w:pStyle w:val="TOC3"/>
            <w:tabs>
              <w:tab w:val="right" w:leader="dot" w:pos="9960"/>
            </w:tabs>
            <w:rPr>
              <w:rStyle w:val="Hyperlink"/>
              <w:noProof/>
              <w:lang w:eastAsia="en-AU"/>
            </w:rPr>
          </w:pPr>
          <w:hyperlink w:anchor="_Toc207229604">
            <w:r w:rsidR="15A450E2" w:rsidRPr="15A450E2">
              <w:rPr>
                <w:rStyle w:val="Hyperlink"/>
              </w:rPr>
              <w:t>Aviation and Maritime Transport Security Reforms</w:t>
            </w:r>
            <w:r w:rsidR="007317AC">
              <w:tab/>
            </w:r>
            <w:r w:rsidR="007317AC">
              <w:fldChar w:fldCharType="begin"/>
            </w:r>
            <w:r w:rsidR="007317AC">
              <w:instrText>PAGEREF _Toc207229604 \h</w:instrText>
            </w:r>
            <w:r w:rsidR="007317AC">
              <w:fldChar w:fldCharType="separate"/>
            </w:r>
            <w:r w:rsidR="15A450E2" w:rsidRPr="15A450E2">
              <w:rPr>
                <w:rStyle w:val="Hyperlink"/>
              </w:rPr>
              <w:t>27</w:t>
            </w:r>
            <w:r w:rsidR="007317AC">
              <w:fldChar w:fldCharType="end"/>
            </w:r>
          </w:hyperlink>
        </w:p>
        <w:p w14:paraId="6901CE9D" w14:textId="6F9ACAE4" w:rsidR="00916C3E" w:rsidRDefault="0019779B" w:rsidP="00E44616">
          <w:pPr>
            <w:pStyle w:val="TOC2"/>
            <w:tabs>
              <w:tab w:val="right" w:leader="dot" w:pos="9960"/>
            </w:tabs>
            <w:rPr>
              <w:rStyle w:val="Hyperlink"/>
              <w:noProof/>
              <w:lang w:eastAsia="en-AU"/>
            </w:rPr>
          </w:pPr>
          <w:hyperlink w:anchor="_Toc902858513">
            <w:r w:rsidR="15A450E2" w:rsidRPr="15A450E2">
              <w:rPr>
                <w:rStyle w:val="Hyperlink"/>
              </w:rPr>
              <w:t>Department of Infrastructure, Transport, Regional Development, Communications and the Arts</w:t>
            </w:r>
            <w:r w:rsidR="007317AC">
              <w:tab/>
            </w:r>
            <w:r w:rsidR="007317AC">
              <w:fldChar w:fldCharType="begin"/>
            </w:r>
            <w:r w:rsidR="007317AC">
              <w:instrText>PAGEREF _Toc902858513 \h</w:instrText>
            </w:r>
            <w:r w:rsidR="007317AC">
              <w:fldChar w:fldCharType="separate"/>
            </w:r>
            <w:r w:rsidR="15A450E2" w:rsidRPr="15A450E2">
              <w:rPr>
                <w:rStyle w:val="Hyperlink"/>
              </w:rPr>
              <w:t>28</w:t>
            </w:r>
            <w:r w:rsidR="007317AC">
              <w:fldChar w:fldCharType="end"/>
            </w:r>
          </w:hyperlink>
        </w:p>
        <w:p w14:paraId="056051B4" w14:textId="61FBED9C" w:rsidR="00916C3E" w:rsidRDefault="0019779B" w:rsidP="00E44616">
          <w:pPr>
            <w:pStyle w:val="TOC3"/>
            <w:tabs>
              <w:tab w:val="right" w:leader="dot" w:pos="9960"/>
            </w:tabs>
            <w:rPr>
              <w:rStyle w:val="Hyperlink"/>
              <w:noProof/>
              <w:lang w:eastAsia="en-AU"/>
            </w:rPr>
          </w:pPr>
          <w:hyperlink w:anchor="_Toc551078185">
            <w:r w:rsidR="15A450E2" w:rsidRPr="15A450E2">
              <w:rPr>
                <w:rStyle w:val="Hyperlink"/>
              </w:rPr>
              <w:t>Online Misinformation and Disinformation Reform</w:t>
            </w:r>
            <w:r w:rsidR="007317AC">
              <w:tab/>
            </w:r>
            <w:r w:rsidR="007317AC">
              <w:fldChar w:fldCharType="begin"/>
            </w:r>
            <w:r w:rsidR="007317AC">
              <w:instrText>PAGEREF _Toc551078185 \h</w:instrText>
            </w:r>
            <w:r w:rsidR="007317AC">
              <w:fldChar w:fldCharType="separate"/>
            </w:r>
            <w:r w:rsidR="15A450E2" w:rsidRPr="15A450E2">
              <w:rPr>
                <w:rStyle w:val="Hyperlink"/>
              </w:rPr>
              <w:t>29</w:t>
            </w:r>
            <w:r w:rsidR="007317AC">
              <w:fldChar w:fldCharType="end"/>
            </w:r>
          </w:hyperlink>
        </w:p>
        <w:p w14:paraId="5B2B12BF" w14:textId="5C2338E8" w:rsidR="00916C3E" w:rsidRDefault="0019779B" w:rsidP="00E44616">
          <w:pPr>
            <w:pStyle w:val="TOC3"/>
            <w:tabs>
              <w:tab w:val="right" w:leader="dot" w:pos="9960"/>
            </w:tabs>
            <w:rPr>
              <w:rStyle w:val="Hyperlink"/>
              <w:noProof/>
              <w:lang w:eastAsia="en-AU"/>
            </w:rPr>
          </w:pPr>
          <w:hyperlink w:anchor="_Toc1495353186">
            <w:r w:rsidR="15A450E2" w:rsidRPr="15A450E2">
              <w:rPr>
                <w:rStyle w:val="Hyperlink"/>
              </w:rPr>
              <w:t>Sydney Airport Demand Management</w:t>
            </w:r>
            <w:r w:rsidR="007317AC">
              <w:tab/>
            </w:r>
            <w:r w:rsidR="007317AC">
              <w:fldChar w:fldCharType="begin"/>
            </w:r>
            <w:r w:rsidR="007317AC">
              <w:instrText>PAGEREF _Toc1495353186 \h</w:instrText>
            </w:r>
            <w:r w:rsidR="007317AC">
              <w:fldChar w:fldCharType="separate"/>
            </w:r>
            <w:r w:rsidR="15A450E2" w:rsidRPr="15A450E2">
              <w:rPr>
                <w:rStyle w:val="Hyperlink"/>
              </w:rPr>
              <w:t>29</w:t>
            </w:r>
            <w:r w:rsidR="007317AC">
              <w:fldChar w:fldCharType="end"/>
            </w:r>
          </w:hyperlink>
        </w:p>
        <w:p w14:paraId="1E7B179C" w14:textId="664B401B" w:rsidR="00916C3E" w:rsidRDefault="0019779B" w:rsidP="00E44616">
          <w:pPr>
            <w:pStyle w:val="TOC3"/>
            <w:tabs>
              <w:tab w:val="right" w:leader="dot" w:pos="9960"/>
            </w:tabs>
            <w:rPr>
              <w:rStyle w:val="Hyperlink"/>
              <w:noProof/>
              <w:lang w:eastAsia="en-AU"/>
            </w:rPr>
          </w:pPr>
          <w:hyperlink w:anchor="_Toc873393581">
            <w:r w:rsidR="15A450E2" w:rsidRPr="15A450E2">
              <w:rPr>
                <w:rStyle w:val="Hyperlink"/>
              </w:rPr>
              <w:t>Social Media Age Limit</w:t>
            </w:r>
            <w:r w:rsidR="007317AC">
              <w:tab/>
            </w:r>
            <w:r w:rsidR="007317AC">
              <w:fldChar w:fldCharType="begin"/>
            </w:r>
            <w:r w:rsidR="007317AC">
              <w:instrText>PAGEREF _Toc873393581 \h</w:instrText>
            </w:r>
            <w:r w:rsidR="007317AC">
              <w:fldChar w:fldCharType="separate"/>
            </w:r>
            <w:r w:rsidR="15A450E2" w:rsidRPr="15A450E2">
              <w:rPr>
                <w:rStyle w:val="Hyperlink"/>
              </w:rPr>
              <w:t>30</w:t>
            </w:r>
            <w:r w:rsidR="007317AC">
              <w:fldChar w:fldCharType="end"/>
            </w:r>
          </w:hyperlink>
        </w:p>
        <w:p w14:paraId="73457690" w14:textId="7305CEAD" w:rsidR="00916C3E" w:rsidRDefault="0019779B" w:rsidP="00E44616">
          <w:pPr>
            <w:pStyle w:val="TOC3"/>
            <w:tabs>
              <w:tab w:val="right" w:leader="dot" w:pos="9960"/>
            </w:tabs>
            <w:rPr>
              <w:rStyle w:val="Hyperlink"/>
              <w:noProof/>
              <w:lang w:eastAsia="en-AU"/>
            </w:rPr>
          </w:pPr>
          <w:hyperlink w:anchor="_Toc363143960">
            <w:r w:rsidR="15A450E2" w:rsidRPr="15A450E2">
              <w:rPr>
                <w:rStyle w:val="Hyperlink"/>
              </w:rPr>
              <w:t>SMS Sender ID Register</w:t>
            </w:r>
            <w:r w:rsidR="007317AC">
              <w:tab/>
            </w:r>
            <w:r w:rsidR="007317AC">
              <w:fldChar w:fldCharType="begin"/>
            </w:r>
            <w:r w:rsidR="007317AC">
              <w:instrText>PAGEREF _Toc363143960 \h</w:instrText>
            </w:r>
            <w:r w:rsidR="007317AC">
              <w:fldChar w:fldCharType="separate"/>
            </w:r>
            <w:r w:rsidR="15A450E2" w:rsidRPr="15A450E2">
              <w:rPr>
                <w:rStyle w:val="Hyperlink"/>
              </w:rPr>
              <w:t>31</w:t>
            </w:r>
            <w:r w:rsidR="007317AC">
              <w:fldChar w:fldCharType="end"/>
            </w:r>
          </w:hyperlink>
        </w:p>
        <w:p w14:paraId="4AE269AC" w14:textId="5BB9AF69" w:rsidR="00916C3E" w:rsidRDefault="0019779B" w:rsidP="00E44616">
          <w:pPr>
            <w:pStyle w:val="TOC2"/>
            <w:tabs>
              <w:tab w:val="right" w:leader="dot" w:pos="9960"/>
            </w:tabs>
            <w:rPr>
              <w:rStyle w:val="Hyperlink"/>
              <w:noProof/>
              <w:lang w:eastAsia="en-AU"/>
            </w:rPr>
          </w:pPr>
          <w:hyperlink w:anchor="_Toc560055">
            <w:r w:rsidR="15A450E2" w:rsidRPr="15A450E2">
              <w:rPr>
                <w:rStyle w:val="Hyperlink"/>
              </w:rPr>
              <w:t>Department of the Treasury</w:t>
            </w:r>
            <w:r w:rsidR="007317AC">
              <w:tab/>
            </w:r>
            <w:r w:rsidR="007317AC">
              <w:fldChar w:fldCharType="begin"/>
            </w:r>
            <w:r w:rsidR="007317AC">
              <w:instrText>PAGEREF _Toc560055 \h</w:instrText>
            </w:r>
            <w:r w:rsidR="007317AC">
              <w:fldChar w:fldCharType="separate"/>
            </w:r>
            <w:r w:rsidR="15A450E2" w:rsidRPr="15A450E2">
              <w:rPr>
                <w:rStyle w:val="Hyperlink"/>
              </w:rPr>
              <w:t>32</w:t>
            </w:r>
            <w:r w:rsidR="007317AC">
              <w:fldChar w:fldCharType="end"/>
            </w:r>
          </w:hyperlink>
        </w:p>
        <w:p w14:paraId="6AFCD2F5" w14:textId="794C83F8" w:rsidR="00916C3E" w:rsidRDefault="0019779B" w:rsidP="00E44616">
          <w:pPr>
            <w:pStyle w:val="TOC3"/>
            <w:tabs>
              <w:tab w:val="right" w:leader="dot" w:pos="9960"/>
            </w:tabs>
            <w:rPr>
              <w:rStyle w:val="Hyperlink"/>
              <w:noProof/>
              <w:lang w:eastAsia="en-AU"/>
            </w:rPr>
          </w:pPr>
          <w:hyperlink w:anchor="_Toc755319071">
            <w:r w:rsidR="15A450E2" w:rsidRPr="15A450E2">
              <w:rPr>
                <w:rStyle w:val="Hyperlink"/>
              </w:rPr>
              <w:t>Supporting social and affordable housing under the Housing Australia Future Fund and the National Housing Accord</w:t>
            </w:r>
            <w:r w:rsidR="007317AC">
              <w:tab/>
            </w:r>
            <w:r w:rsidR="007317AC">
              <w:fldChar w:fldCharType="begin"/>
            </w:r>
            <w:r w:rsidR="007317AC">
              <w:instrText>PAGEREF _Toc755319071 \h</w:instrText>
            </w:r>
            <w:r w:rsidR="007317AC">
              <w:fldChar w:fldCharType="separate"/>
            </w:r>
            <w:r w:rsidR="15A450E2" w:rsidRPr="15A450E2">
              <w:rPr>
                <w:rStyle w:val="Hyperlink"/>
              </w:rPr>
              <w:t>32</w:t>
            </w:r>
            <w:r w:rsidR="007317AC">
              <w:fldChar w:fldCharType="end"/>
            </w:r>
          </w:hyperlink>
        </w:p>
        <w:p w14:paraId="0035FB4B" w14:textId="37FB98D5" w:rsidR="00916C3E" w:rsidRDefault="0019779B" w:rsidP="00E44616">
          <w:pPr>
            <w:pStyle w:val="TOC3"/>
            <w:tabs>
              <w:tab w:val="right" w:leader="dot" w:pos="9960"/>
            </w:tabs>
            <w:rPr>
              <w:rStyle w:val="Hyperlink"/>
              <w:noProof/>
              <w:lang w:eastAsia="en-AU"/>
            </w:rPr>
          </w:pPr>
          <w:hyperlink w:anchor="_Toc104074790">
            <w:r w:rsidR="15A450E2" w:rsidRPr="15A450E2">
              <w:rPr>
                <w:rStyle w:val="Hyperlink"/>
              </w:rPr>
              <w:t>Use of genetic testing information by life insurers</w:t>
            </w:r>
            <w:r w:rsidR="007317AC">
              <w:tab/>
            </w:r>
            <w:r w:rsidR="007317AC">
              <w:fldChar w:fldCharType="begin"/>
            </w:r>
            <w:r w:rsidR="007317AC">
              <w:instrText>PAGEREF _Toc104074790 \h</w:instrText>
            </w:r>
            <w:r w:rsidR="007317AC">
              <w:fldChar w:fldCharType="separate"/>
            </w:r>
            <w:r w:rsidR="15A450E2" w:rsidRPr="15A450E2">
              <w:rPr>
                <w:rStyle w:val="Hyperlink"/>
              </w:rPr>
              <w:t>33</w:t>
            </w:r>
            <w:r w:rsidR="007317AC">
              <w:fldChar w:fldCharType="end"/>
            </w:r>
          </w:hyperlink>
        </w:p>
        <w:p w14:paraId="31F60A25" w14:textId="7766604E" w:rsidR="00916C3E" w:rsidRDefault="0019779B" w:rsidP="00E44616">
          <w:pPr>
            <w:pStyle w:val="TOC3"/>
            <w:tabs>
              <w:tab w:val="right" w:leader="dot" w:pos="9960"/>
            </w:tabs>
            <w:rPr>
              <w:rStyle w:val="Hyperlink"/>
              <w:noProof/>
              <w:lang w:eastAsia="en-AU"/>
            </w:rPr>
          </w:pPr>
          <w:hyperlink w:anchor="_Toc328566908">
            <w:r w:rsidR="15A450E2" w:rsidRPr="15A450E2">
              <w:rPr>
                <w:rStyle w:val="Hyperlink"/>
              </w:rPr>
              <w:t>Ban on advertising of superannuation funds during onboarding</w:t>
            </w:r>
            <w:r w:rsidR="007317AC">
              <w:tab/>
            </w:r>
            <w:r w:rsidR="007317AC">
              <w:fldChar w:fldCharType="begin"/>
            </w:r>
            <w:r w:rsidR="007317AC">
              <w:instrText>PAGEREF _Toc328566908 \h</w:instrText>
            </w:r>
            <w:r w:rsidR="007317AC">
              <w:fldChar w:fldCharType="separate"/>
            </w:r>
            <w:r w:rsidR="15A450E2" w:rsidRPr="15A450E2">
              <w:rPr>
                <w:rStyle w:val="Hyperlink"/>
              </w:rPr>
              <w:t>33</w:t>
            </w:r>
            <w:r w:rsidR="007317AC">
              <w:fldChar w:fldCharType="end"/>
            </w:r>
          </w:hyperlink>
        </w:p>
        <w:p w14:paraId="46EFF320" w14:textId="178D974C" w:rsidR="00916C3E" w:rsidRDefault="0019779B" w:rsidP="00E44616">
          <w:pPr>
            <w:pStyle w:val="TOC3"/>
            <w:tabs>
              <w:tab w:val="right" w:leader="dot" w:pos="9960"/>
            </w:tabs>
            <w:rPr>
              <w:rStyle w:val="Hyperlink"/>
              <w:noProof/>
              <w:lang w:eastAsia="en-AU"/>
            </w:rPr>
          </w:pPr>
          <w:hyperlink w:anchor="_Toc786441800">
            <w:r w:rsidR="15A450E2" w:rsidRPr="15A450E2">
              <w:rPr>
                <w:rStyle w:val="Hyperlink"/>
              </w:rPr>
              <w:t>Merger Reform: A Faster, Stronger and Simpler System for a More Competitive Economy</w:t>
            </w:r>
            <w:r w:rsidR="007317AC">
              <w:tab/>
            </w:r>
            <w:r w:rsidR="007317AC">
              <w:fldChar w:fldCharType="begin"/>
            </w:r>
            <w:r w:rsidR="007317AC">
              <w:instrText>PAGEREF _Toc786441800 \h</w:instrText>
            </w:r>
            <w:r w:rsidR="007317AC">
              <w:fldChar w:fldCharType="separate"/>
            </w:r>
            <w:r w:rsidR="15A450E2" w:rsidRPr="15A450E2">
              <w:rPr>
                <w:rStyle w:val="Hyperlink"/>
              </w:rPr>
              <w:t>34</w:t>
            </w:r>
            <w:r w:rsidR="007317AC">
              <w:fldChar w:fldCharType="end"/>
            </w:r>
          </w:hyperlink>
        </w:p>
        <w:p w14:paraId="7E4EF800" w14:textId="3B645333" w:rsidR="00916C3E" w:rsidRDefault="0019779B" w:rsidP="00E44616">
          <w:pPr>
            <w:pStyle w:val="TOC3"/>
            <w:tabs>
              <w:tab w:val="right" w:leader="dot" w:pos="9960"/>
            </w:tabs>
            <w:rPr>
              <w:rStyle w:val="Hyperlink"/>
              <w:noProof/>
              <w:lang w:eastAsia="en-AU"/>
            </w:rPr>
          </w:pPr>
          <w:hyperlink w:anchor="_Toc1534023430">
            <w:r w:rsidR="15A450E2" w:rsidRPr="15A450E2">
              <w:rPr>
                <w:rStyle w:val="Hyperlink"/>
              </w:rPr>
              <w:t>Scams Prevention Framework</w:t>
            </w:r>
            <w:r w:rsidR="007317AC">
              <w:tab/>
            </w:r>
            <w:r w:rsidR="007317AC">
              <w:fldChar w:fldCharType="begin"/>
            </w:r>
            <w:r w:rsidR="007317AC">
              <w:instrText>PAGEREF _Toc1534023430 \h</w:instrText>
            </w:r>
            <w:r w:rsidR="007317AC">
              <w:fldChar w:fldCharType="separate"/>
            </w:r>
            <w:r w:rsidR="15A450E2" w:rsidRPr="15A450E2">
              <w:rPr>
                <w:rStyle w:val="Hyperlink"/>
              </w:rPr>
              <w:t>35</w:t>
            </w:r>
            <w:r w:rsidR="007317AC">
              <w:fldChar w:fldCharType="end"/>
            </w:r>
          </w:hyperlink>
        </w:p>
        <w:p w14:paraId="368D0EFD" w14:textId="5134749B" w:rsidR="00916C3E" w:rsidRDefault="0019779B" w:rsidP="00E44616">
          <w:pPr>
            <w:pStyle w:val="TOC3"/>
            <w:tabs>
              <w:tab w:val="right" w:leader="dot" w:pos="9960"/>
            </w:tabs>
            <w:rPr>
              <w:rStyle w:val="Hyperlink"/>
              <w:noProof/>
              <w:lang w:eastAsia="en-AU"/>
            </w:rPr>
          </w:pPr>
          <w:hyperlink w:anchor="_Toc1926702946">
            <w:r w:rsidR="15A450E2" w:rsidRPr="15A450E2">
              <w:rPr>
                <w:rStyle w:val="Hyperlink"/>
              </w:rPr>
              <w:t>Hydrogen Production Tax Incentive</w:t>
            </w:r>
            <w:r w:rsidR="007317AC">
              <w:tab/>
            </w:r>
            <w:r w:rsidR="007317AC">
              <w:fldChar w:fldCharType="begin"/>
            </w:r>
            <w:r w:rsidR="007317AC">
              <w:instrText>PAGEREF _Toc1926702946 \h</w:instrText>
            </w:r>
            <w:r w:rsidR="007317AC">
              <w:fldChar w:fldCharType="separate"/>
            </w:r>
            <w:r w:rsidR="15A450E2" w:rsidRPr="15A450E2">
              <w:rPr>
                <w:rStyle w:val="Hyperlink"/>
              </w:rPr>
              <w:t>36</w:t>
            </w:r>
            <w:r w:rsidR="007317AC">
              <w:fldChar w:fldCharType="end"/>
            </w:r>
          </w:hyperlink>
        </w:p>
        <w:p w14:paraId="5C84C478" w14:textId="53DB2465" w:rsidR="00916C3E" w:rsidRDefault="0019779B" w:rsidP="00E44616">
          <w:pPr>
            <w:pStyle w:val="TOC3"/>
            <w:tabs>
              <w:tab w:val="right" w:leader="dot" w:pos="9960"/>
            </w:tabs>
            <w:rPr>
              <w:rStyle w:val="Hyperlink"/>
              <w:noProof/>
              <w:lang w:eastAsia="en-AU"/>
            </w:rPr>
          </w:pPr>
          <w:hyperlink w:anchor="_Toc1228679052">
            <w:r w:rsidR="15A450E2" w:rsidRPr="15A450E2">
              <w:rPr>
                <w:rStyle w:val="Hyperlink"/>
              </w:rPr>
              <w:t>Critical Minerals Production Tax Incentive</w:t>
            </w:r>
            <w:r w:rsidR="007317AC">
              <w:tab/>
            </w:r>
            <w:r w:rsidR="007317AC">
              <w:fldChar w:fldCharType="begin"/>
            </w:r>
            <w:r w:rsidR="007317AC">
              <w:instrText>PAGEREF _Toc1228679052 \h</w:instrText>
            </w:r>
            <w:r w:rsidR="007317AC">
              <w:fldChar w:fldCharType="separate"/>
            </w:r>
            <w:r w:rsidR="15A450E2" w:rsidRPr="15A450E2">
              <w:rPr>
                <w:rStyle w:val="Hyperlink"/>
              </w:rPr>
              <w:t>37</w:t>
            </w:r>
            <w:r w:rsidR="007317AC">
              <w:fldChar w:fldCharType="end"/>
            </w:r>
          </w:hyperlink>
        </w:p>
        <w:p w14:paraId="6C721126" w14:textId="4048F7EA" w:rsidR="00916C3E" w:rsidRDefault="0019779B" w:rsidP="00E44616">
          <w:pPr>
            <w:pStyle w:val="TOC3"/>
            <w:tabs>
              <w:tab w:val="right" w:leader="dot" w:pos="9960"/>
            </w:tabs>
            <w:rPr>
              <w:rStyle w:val="Hyperlink"/>
              <w:noProof/>
              <w:lang w:eastAsia="en-AU"/>
            </w:rPr>
          </w:pPr>
          <w:hyperlink w:anchor="_Toc1502242">
            <w:r w:rsidR="15A450E2" w:rsidRPr="15A450E2">
              <w:rPr>
                <w:rStyle w:val="Hyperlink"/>
              </w:rPr>
              <w:t>Closing the ATO’s Small Business Superannuation Clearing House</w:t>
            </w:r>
            <w:r w:rsidR="007317AC">
              <w:tab/>
            </w:r>
            <w:r w:rsidR="007317AC">
              <w:fldChar w:fldCharType="begin"/>
            </w:r>
            <w:r w:rsidR="007317AC">
              <w:instrText>PAGEREF _Toc1502242 \h</w:instrText>
            </w:r>
            <w:r w:rsidR="007317AC">
              <w:fldChar w:fldCharType="separate"/>
            </w:r>
            <w:r w:rsidR="15A450E2" w:rsidRPr="15A450E2">
              <w:rPr>
                <w:rStyle w:val="Hyperlink"/>
              </w:rPr>
              <w:t>37</w:t>
            </w:r>
            <w:r w:rsidR="007317AC">
              <w:fldChar w:fldCharType="end"/>
            </w:r>
          </w:hyperlink>
        </w:p>
        <w:p w14:paraId="6F08CBAC" w14:textId="2811E481" w:rsidR="00916C3E" w:rsidRDefault="0019779B" w:rsidP="00E44616">
          <w:pPr>
            <w:pStyle w:val="TOC3"/>
            <w:tabs>
              <w:tab w:val="right" w:leader="dot" w:pos="9960"/>
            </w:tabs>
            <w:rPr>
              <w:rStyle w:val="Hyperlink"/>
              <w:noProof/>
              <w:lang w:eastAsia="en-AU"/>
            </w:rPr>
          </w:pPr>
          <w:hyperlink w:anchor="_Toc1712166113">
            <w:r w:rsidR="15A450E2" w:rsidRPr="15A450E2">
              <w:rPr>
                <w:rStyle w:val="Hyperlink"/>
              </w:rPr>
              <w:t>Help to Buy Shared Equity Scheme</w:t>
            </w:r>
            <w:r w:rsidR="007317AC">
              <w:tab/>
            </w:r>
            <w:r w:rsidR="007317AC">
              <w:fldChar w:fldCharType="begin"/>
            </w:r>
            <w:r w:rsidR="007317AC">
              <w:instrText>PAGEREF _Toc1712166113 \h</w:instrText>
            </w:r>
            <w:r w:rsidR="007317AC">
              <w:fldChar w:fldCharType="separate"/>
            </w:r>
            <w:r w:rsidR="15A450E2" w:rsidRPr="15A450E2">
              <w:rPr>
                <w:rStyle w:val="Hyperlink"/>
              </w:rPr>
              <w:t>38</w:t>
            </w:r>
            <w:r w:rsidR="007317AC">
              <w:fldChar w:fldCharType="end"/>
            </w:r>
          </w:hyperlink>
        </w:p>
        <w:p w14:paraId="3F7A82D7" w14:textId="4A585138" w:rsidR="00916C3E" w:rsidRDefault="0019779B" w:rsidP="00E44616">
          <w:pPr>
            <w:pStyle w:val="TOC2"/>
            <w:tabs>
              <w:tab w:val="right" w:leader="dot" w:pos="9960"/>
            </w:tabs>
            <w:rPr>
              <w:rStyle w:val="Hyperlink"/>
              <w:noProof/>
              <w:lang w:eastAsia="en-AU"/>
            </w:rPr>
          </w:pPr>
          <w:hyperlink w:anchor="_Toc459578334">
            <w:r w:rsidR="15A450E2" w:rsidRPr="15A450E2">
              <w:rPr>
                <w:rStyle w:val="Hyperlink"/>
              </w:rPr>
              <w:t>Department of Veterans’ Affairs</w:t>
            </w:r>
            <w:r w:rsidR="007317AC">
              <w:tab/>
            </w:r>
            <w:r w:rsidR="007317AC">
              <w:fldChar w:fldCharType="begin"/>
            </w:r>
            <w:r w:rsidR="007317AC">
              <w:instrText>PAGEREF _Toc459578334 \h</w:instrText>
            </w:r>
            <w:r w:rsidR="007317AC">
              <w:fldChar w:fldCharType="separate"/>
            </w:r>
            <w:r w:rsidR="15A450E2" w:rsidRPr="15A450E2">
              <w:rPr>
                <w:rStyle w:val="Hyperlink"/>
              </w:rPr>
              <w:t>39</w:t>
            </w:r>
            <w:r w:rsidR="007317AC">
              <w:fldChar w:fldCharType="end"/>
            </w:r>
          </w:hyperlink>
        </w:p>
        <w:p w14:paraId="59FA4799" w14:textId="6B7ED6DA" w:rsidR="00916C3E" w:rsidRDefault="0019779B" w:rsidP="00E44616">
          <w:pPr>
            <w:pStyle w:val="TOC3"/>
            <w:tabs>
              <w:tab w:val="right" w:leader="dot" w:pos="9960"/>
            </w:tabs>
            <w:rPr>
              <w:rStyle w:val="Hyperlink"/>
              <w:noProof/>
              <w:lang w:eastAsia="en-AU"/>
            </w:rPr>
          </w:pPr>
          <w:hyperlink w:anchor="_Toc1784141726">
            <w:r w:rsidR="15A450E2" w:rsidRPr="15A450E2">
              <w:rPr>
                <w:rStyle w:val="Hyperlink"/>
              </w:rPr>
              <w:t>Veterans’ Compensation and Rehabilitation Legislation Reform</w:t>
            </w:r>
            <w:r w:rsidR="007317AC">
              <w:tab/>
            </w:r>
            <w:r w:rsidR="007317AC">
              <w:fldChar w:fldCharType="begin"/>
            </w:r>
            <w:r w:rsidR="007317AC">
              <w:instrText>PAGEREF _Toc1784141726 \h</w:instrText>
            </w:r>
            <w:r w:rsidR="007317AC">
              <w:fldChar w:fldCharType="separate"/>
            </w:r>
            <w:r w:rsidR="15A450E2" w:rsidRPr="15A450E2">
              <w:rPr>
                <w:rStyle w:val="Hyperlink"/>
              </w:rPr>
              <w:t>39</w:t>
            </w:r>
            <w:r w:rsidR="007317AC">
              <w:fldChar w:fldCharType="end"/>
            </w:r>
          </w:hyperlink>
        </w:p>
        <w:p w14:paraId="71999C16" w14:textId="7A475870" w:rsidR="00916C3E" w:rsidRDefault="0019779B" w:rsidP="00E44616">
          <w:pPr>
            <w:pStyle w:val="TOC2"/>
            <w:tabs>
              <w:tab w:val="right" w:leader="dot" w:pos="9960"/>
            </w:tabs>
            <w:rPr>
              <w:rStyle w:val="Hyperlink"/>
              <w:noProof/>
              <w:lang w:eastAsia="en-AU"/>
            </w:rPr>
          </w:pPr>
          <w:hyperlink w:anchor="_Toc1256524104">
            <w:r w:rsidR="15A450E2" w:rsidRPr="15A450E2">
              <w:rPr>
                <w:rStyle w:val="Hyperlink"/>
              </w:rPr>
              <w:t>National Indigenous Australians Agency</w:t>
            </w:r>
            <w:r w:rsidR="007317AC">
              <w:tab/>
            </w:r>
            <w:r w:rsidR="007317AC">
              <w:fldChar w:fldCharType="begin"/>
            </w:r>
            <w:r w:rsidR="007317AC">
              <w:instrText>PAGEREF _Toc1256524104 \h</w:instrText>
            </w:r>
            <w:r w:rsidR="007317AC">
              <w:fldChar w:fldCharType="separate"/>
            </w:r>
            <w:r w:rsidR="15A450E2" w:rsidRPr="15A450E2">
              <w:rPr>
                <w:rStyle w:val="Hyperlink"/>
              </w:rPr>
              <w:t>40</w:t>
            </w:r>
            <w:r w:rsidR="007317AC">
              <w:fldChar w:fldCharType="end"/>
            </w:r>
          </w:hyperlink>
        </w:p>
        <w:p w14:paraId="2D05DA3A" w14:textId="59A0BB81" w:rsidR="00916C3E" w:rsidRDefault="0019779B" w:rsidP="00E44616">
          <w:pPr>
            <w:pStyle w:val="TOC3"/>
            <w:tabs>
              <w:tab w:val="right" w:leader="dot" w:pos="9960"/>
            </w:tabs>
            <w:rPr>
              <w:rStyle w:val="Hyperlink"/>
              <w:noProof/>
              <w:lang w:eastAsia="en-AU"/>
            </w:rPr>
          </w:pPr>
          <w:hyperlink w:anchor="_Toc799503246">
            <w:r w:rsidR="15A450E2" w:rsidRPr="15A450E2">
              <w:rPr>
                <w:rStyle w:val="Hyperlink"/>
              </w:rPr>
              <w:t>Resolution to the collapse of the Youpla Group</w:t>
            </w:r>
            <w:r w:rsidR="007317AC">
              <w:tab/>
            </w:r>
            <w:r w:rsidR="007317AC">
              <w:fldChar w:fldCharType="begin"/>
            </w:r>
            <w:r w:rsidR="007317AC">
              <w:instrText>PAGEREF _Toc799503246 \h</w:instrText>
            </w:r>
            <w:r w:rsidR="007317AC">
              <w:fldChar w:fldCharType="separate"/>
            </w:r>
            <w:r w:rsidR="15A450E2" w:rsidRPr="15A450E2">
              <w:rPr>
                <w:rStyle w:val="Hyperlink"/>
              </w:rPr>
              <w:t>40</w:t>
            </w:r>
            <w:r w:rsidR="007317AC">
              <w:fldChar w:fldCharType="end"/>
            </w:r>
          </w:hyperlink>
        </w:p>
        <w:p w14:paraId="55FE5E1F" w14:textId="0DA3E843" w:rsidR="15A450E2" w:rsidRDefault="0019779B" w:rsidP="00E44616">
          <w:pPr>
            <w:pStyle w:val="TOC3"/>
            <w:tabs>
              <w:tab w:val="right" w:leader="dot" w:pos="9960"/>
            </w:tabs>
            <w:rPr>
              <w:rStyle w:val="Hyperlink"/>
            </w:rPr>
          </w:pPr>
          <w:hyperlink w:anchor="_Toc644154399">
            <w:r w:rsidR="15A450E2" w:rsidRPr="15A450E2">
              <w:rPr>
                <w:rStyle w:val="Hyperlink"/>
              </w:rPr>
              <w:t>Replacing the Community Development Program</w:t>
            </w:r>
            <w:r w:rsidR="15A450E2">
              <w:tab/>
            </w:r>
            <w:r w:rsidR="15A450E2">
              <w:fldChar w:fldCharType="begin"/>
            </w:r>
            <w:r w:rsidR="15A450E2">
              <w:instrText>PAGEREF _Toc644154399 \h</w:instrText>
            </w:r>
            <w:r w:rsidR="15A450E2">
              <w:fldChar w:fldCharType="separate"/>
            </w:r>
            <w:r w:rsidR="15A450E2" w:rsidRPr="15A450E2">
              <w:rPr>
                <w:rStyle w:val="Hyperlink"/>
              </w:rPr>
              <w:t>41</w:t>
            </w:r>
            <w:r w:rsidR="15A450E2">
              <w:fldChar w:fldCharType="end"/>
            </w:r>
          </w:hyperlink>
        </w:p>
        <w:p w14:paraId="5FE035E5" w14:textId="39275E40" w:rsidR="15A450E2" w:rsidRDefault="0019779B" w:rsidP="00E44616">
          <w:pPr>
            <w:pStyle w:val="TOC3"/>
            <w:tabs>
              <w:tab w:val="right" w:leader="dot" w:pos="9960"/>
            </w:tabs>
            <w:rPr>
              <w:rStyle w:val="Hyperlink"/>
            </w:rPr>
          </w:pPr>
          <w:hyperlink w:anchor="_Toc717813453">
            <w:r w:rsidR="15A450E2" w:rsidRPr="15A450E2">
              <w:rPr>
                <w:rStyle w:val="Hyperlink"/>
              </w:rPr>
              <w:t>Supporting Remote Cost-of-Living and Food Security</w:t>
            </w:r>
            <w:r w:rsidR="15A450E2">
              <w:tab/>
            </w:r>
            <w:r w:rsidR="15A450E2">
              <w:fldChar w:fldCharType="begin"/>
            </w:r>
            <w:r w:rsidR="15A450E2">
              <w:instrText>PAGEREF _Toc717813453 \h</w:instrText>
            </w:r>
            <w:r w:rsidR="15A450E2">
              <w:fldChar w:fldCharType="separate"/>
            </w:r>
            <w:r w:rsidR="15A450E2" w:rsidRPr="15A450E2">
              <w:rPr>
                <w:rStyle w:val="Hyperlink"/>
              </w:rPr>
              <w:t>42</w:t>
            </w:r>
            <w:r w:rsidR="15A450E2">
              <w:fldChar w:fldCharType="end"/>
            </w:r>
          </w:hyperlink>
          <w:r w:rsidR="15A450E2">
            <w:fldChar w:fldCharType="end"/>
          </w:r>
        </w:p>
      </w:sdtContent>
    </w:sdt>
    <w:p w14:paraId="101C81A8" w14:textId="65F9A1DF" w:rsidR="00AE7678" w:rsidRDefault="00AE7678" w:rsidP="007B0EB9">
      <w:pPr>
        <w:pStyle w:val="TOC3"/>
        <w:tabs>
          <w:tab w:val="right" w:leader="dot" w:pos="9960"/>
        </w:tabs>
        <w:rPr>
          <w:rStyle w:val="Hyperlink"/>
          <w:noProof/>
          <w:lang w:eastAsia="en-AU"/>
        </w:rPr>
      </w:pPr>
    </w:p>
    <w:p w14:paraId="648210F1" w14:textId="61A5AC60" w:rsidR="00F0159E" w:rsidRDefault="00F0159E" w:rsidP="00F0159E">
      <w:pPr>
        <w:pStyle w:val="TOC3"/>
        <w:tabs>
          <w:tab w:val="right" w:leader="dot" w:pos="9960"/>
        </w:tabs>
      </w:pPr>
    </w:p>
    <w:p w14:paraId="5E867B0E" w14:textId="216025FC" w:rsidR="00774646" w:rsidRDefault="00EE0074" w:rsidP="00F0159E">
      <w:pPr>
        <w:pStyle w:val="Heading1"/>
        <w:pageBreakBefore/>
        <w:rPr>
          <w:noProof/>
        </w:rPr>
      </w:pPr>
      <w:bookmarkStart w:id="0" w:name="_Toc193445409"/>
      <w:bookmarkStart w:id="1" w:name="_Toc1390883726"/>
      <w:r w:rsidRPr="15A450E2">
        <w:rPr>
          <w:noProof/>
        </w:rPr>
        <w:lastRenderedPageBreak/>
        <w:t>Summary of compliance</w:t>
      </w:r>
      <w:bookmarkEnd w:id="0"/>
      <w:bookmarkEnd w:id="1"/>
    </w:p>
    <w:p w14:paraId="682BBF98" w14:textId="2DC37F58" w:rsidR="00AC134E" w:rsidRPr="00D6621B" w:rsidRDefault="00CE18F2" w:rsidP="00F0159E">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1</w:t>
      </w:r>
      <w:r w:rsidR="0019779B">
        <w:rPr>
          <w:noProof/>
        </w:rPr>
        <w:fldChar w:fldCharType="end"/>
      </w:r>
      <w:r>
        <w:t xml:space="preserve">. </w:t>
      </w:r>
      <w:r w:rsidRPr="00894F38">
        <w:t>Summary of compliance</w:t>
      </w:r>
    </w:p>
    <w:tbl>
      <w:tblPr>
        <w:tblStyle w:val="ListTable4-Accent1"/>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620" w:firstRow="1" w:lastRow="0" w:firstColumn="0" w:lastColumn="0" w:noHBand="1" w:noVBand="1"/>
        <w:tblCaption w:val="Summary of compliance"/>
        <w:tblDescription w:val="Summary of compliance"/>
      </w:tblPr>
      <w:tblGrid>
        <w:gridCol w:w="1920"/>
        <w:gridCol w:w="1928"/>
        <w:gridCol w:w="1926"/>
        <w:gridCol w:w="2159"/>
        <w:gridCol w:w="2035"/>
      </w:tblGrid>
      <w:tr w:rsidR="00DE6598" w14:paraId="389A58D3" w14:textId="0BF93B76" w:rsidTr="7717019C">
        <w:trPr>
          <w:cnfStyle w:val="100000000000" w:firstRow="1" w:lastRow="0" w:firstColumn="0" w:lastColumn="0" w:oddVBand="0" w:evenVBand="0" w:oddHBand="0" w:evenHBand="0" w:firstRowFirstColumn="0" w:firstRowLastColumn="0" w:lastRowFirstColumn="0" w:lastRowLastColumn="0"/>
          <w:cantSplit/>
          <w:trHeight w:val="20"/>
          <w:tblHeader/>
        </w:trPr>
        <w:tc>
          <w:tcPr>
            <w:tcW w:w="1920" w:type="dxa"/>
          </w:tcPr>
          <w:p w14:paraId="71621F8E" w14:textId="77777777" w:rsidR="00DE6598" w:rsidRPr="007F69F4" w:rsidRDefault="00DE6598" w:rsidP="00DE6598">
            <w:pPr>
              <w:pStyle w:val="TBLHeading"/>
              <w:rPr>
                <w:b/>
              </w:rPr>
            </w:pPr>
            <w:r w:rsidRPr="007F69F4">
              <w:rPr>
                <w:b/>
              </w:rPr>
              <w:t>Type</w:t>
            </w:r>
          </w:p>
        </w:tc>
        <w:tc>
          <w:tcPr>
            <w:tcW w:w="1928" w:type="dxa"/>
          </w:tcPr>
          <w:p w14:paraId="65A1EAE4" w14:textId="633A5A9A" w:rsidR="00DE6598" w:rsidRPr="001664BA" w:rsidRDefault="00DE6598" w:rsidP="22F13677">
            <w:pPr>
              <w:pStyle w:val="TBLHeading"/>
              <w:jc w:val="right"/>
              <w:rPr>
                <w:b/>
                <w:bCs/>
              </w:rPr>
            </w:pPr>
            <w:r w:rsidRPr="22F13677">
              <w:rPr>
                <w:b/>
                <w:bCs/>
              </w:rPr>
              <w:t>20</w:t>
            </w:r>
            <w:r w:rsidR="68A59799" w:rsidRPr="22F13677">
              <w:rPr>
                <w:b/>
                <w:bCs/>
              </w:rPr>
              <w:t>23</w:t>
            </w:r>
            <w:r w:rsidRPr="22F13677">
              <w:rPr>
                <w:b/>
                <w:bCs/>
              </w:rPr>
              <w:t>-</w:t>
            </w:r>
            <w:r w:rsidR="2934F050" w:rsidRPr="22F13677">
              <w:rPr>
                <w:b/>
                <w:bCs/>
              </w:rPr>
              <w:t>24</w:t>
            </w:r>
          </w:p>
          <w:p w14:paraId="2F2CF5C2" w14:textId="6AF0BDA1" w:rsidR="00DE6598" w:rsidRPr="001664BA" w:rsidRDefault="00DE6598" w:rsidP="22F13677">
            <w:pPr>
              <w:pStyle w:val="TBLHeading"/>
              <w:jc w:val="right"/>
              <w:rPr>
                <w:b/>
                <w:bCs/>
              </w:rPr>
            </w:pPr>
          </w:p>
        </w:tc>
        <w:tc>
          <w:tcPr>
            <w:tcW w:w="1926" w:type="dxa"/>
          </w:tcPr>
          <w:p w14:paraId="6ADCEDC4" w14:textId="527B4120" w:rsidR="00DE6598" w:rsidRPr="001664BA" w:rsidRDefault="00DE6598" w:rsidP="22F13677">
            <w:pPr>
              <w:pStyle w:val="TBLHeading"/>
              <w:jc w:val="right"/>
              <w:rPr>
                <w:b/>
                <w:bCs/>
              </w:rPr>
            </w:pPr>
            <w:r w:rsidRPr="22F13677">
              <w:rPr>
                <w:b/>
                <w:bCs/>
              </w:rPr>
              <w:t>%</w:t>
            </w:r>
          </w:p>
        </w:tc>
        <w:tc>
          <w:tcPr>
            <w:tcW w:w="2159" w:type="dxa"/>
          </w:tcPr>
          <w:p w14:paraId="3971BE7F" w14:textId="233ED044" w:rsidR="00DE6598" w:rsidRPr="001664BA" w:rsidRDefault="3401C243" w:rsidP="22F13677">
            <w:pPr>
              <w:pStyle w:val="TBLHeading"/>
              <w:jc w:val="right"/>
              <w:rPr>
                <w:b/>
                <w:bCs/>
              </w:rPr>
            </w:pPr>
            <w:r w:rsidRPr="0EFE084F">
              <w:rPr>
                <w:b/>
                <w:bCs/>
              </w:rPr>
              <w:t>20</w:t>
            </w:r>
            <w:r w:rsidR="16156C2E" w:rsidRPr="0EFE084F">
              <w:rPr>
                <w:b/>
                <w:bCs/>
              </w:rPr>
              <w:t xml:space="preserve">24-25 </w:t>
            </w:r>
            <w:r w:rsidR="00DE6598">
              <w:br/>
            </w:r>
            <w:r w:rsidR="16156C2E" w:rsidRPr="0EFE084F">
              <w:rPr>
                <w:b/>
                <w:bCs/>
              </w:rPr>
              <w:t xml:space="preserve">(as </w:t>
            </w:r>
            <w:r w:rsidR="5F7A5396" w:rsidRPr="0EFE084F">
              <w:rPr>
                <w:b/>
                <w:bCs/>
              </w:rPr>
              <w:t xml:space="preserve">at </w:t>
            </w:r>
            <w:r w:rsidR="1A5E2B18" w:rsidRPr="0EFE084F">
              <w:rPr>
                <w:b/>
                <w:bCs/>
              </w:rPr>
              <w:t>30</w:t>
            </w:r>
            <w:r w:rsidRPr="0EFE084F">
              <w:rPr>
                <w:b/>
                <w:bCs/>
              </w:rPr>
              <w:t xml:space="preserve"> </w:t>
            </w:r>
            <w:r w:rsidR="3DB22483" w:rsidRPr="0EFE084F">
              <w:rPr>
                <w:b/>
                <w:bCs/>
              </w:rPr>
              <w:t xml:space="preserve">June </w:t>
            </w:r>
            <w:r w:rsidR="16156C2E" w:rsidRPr="0EFE084F">
              <w:rPr>
                <w:b/>
                <w:bCs/>
              </w:rPr>
              <w:t>202</w:t>
            </w:r>
            <w:r w:rsidR="1823FF8D" w:rsidRPr="0EFE084F">
              <w:rPr>
                <w:b/>
                <w:bCs/>
              </w:rPr>
              <w:t>5</w:t>
            </w:r>
            <w:r w:rsidR="16156C2E" w:rsidRPr="0EFE084F">
              <w:rPr>
                <w:b/>
                <w:bCs/>
              </w:rPr>
              <w:t>)</w:t>
            </w:r>
          </w:p>
          <w:p w14:paraId="736ADCC4" w14:textId="4C321CB0" w:rsidR="00DE6598" w:rsidRPr="001664BA" w:rsidRDefault="00DE6598" w:rsidP="22F13677">
            <w:pPr>
              <w:pStyle w:val="TBLHeading"/>
              <w:jc w:val="right"/>
              <w:rPr>
                <w:b/>
                <w:bCs/>
              </w:rPr>
            </w:pPr>
          </w:p>
        </w:tc>
        <w:tc>
          <w:tcPr>
            <w:tcW w:w="2035" w:type="dxa"/>
          </w:tcPr>
          <w:p w14:paraId="65A44AEB" w14:textId="0A73DBA2" w:rsidR="00DE6598" w:rsidRPr="001664BA" w:rsidRDefault="00DE6598" w:rsidP="22F13677">
            <w:pPr>
              <w:pStyle w:val="TBLHeading"/>
              <w:jc w:val="right"/>
              <w:rPr>
                <w:b/>
                <w:bCs/>
              </w:rPr>
            </w:pPr>
            <w:r w:rsidRPr="22F13677">
              <w:rPr>
                <w:b/>
                <w:bCs/>
              </w:rPr>
              <w:t>%</w:t>
            </w:r>
          </w:p>
        </w:tc>
      </w:tr>
      <w:tr w:rsidR="006F3D63" w14:paraId="204E0AC1" w14:textId="03FD8A4E" w:rsidTr="7717019C">
        <w:trPr>
          <w:cantSplit/>
          <w:trHeight w:val="20"/>
        </w:trPr>
        <w:tc>
          <w:tcPr>
            <w:tcW w:w="1920" w:type="dxa"/>
            <w:shd w:val="clear" w:color="auto" w:fill="E0E8F2" w:themeFill="background2"/>
          </w:tcPr>
          <w:p w14:paraId="144E6601" w14:textId="77777777" w:rsidR="00DE6598" w:rsidRPr="00C438FB" w:rsidRDefault="00DE6598" w:rsidP="00DE6598">
            <w:pPr>
              <w:pStyle w:val="TBLText"/>
            </w:pPr>
            <w:r w:rsidRPr="00C438FB">
              <w:t>Not compliant / Insufficient</w:t>
            </w:r>
          </w:p>
        </w:tc>
        <w:tc>
          <w:tcPr>
            <w:tcW w:w="1928" w:type="dxa"/>
            <w:shd w:val="clear" w:color="auto" w:fill="E0E8F2" w:themeFill="background2"/>
          </w:tcPr>
          <w:p w14:paraId="55B601AC" w14:textId="3BC8991E" w:rsidR="00DE6598" w:rsidRPr="001664BA" w:rsidRDefault="1D0F1D1E" w:rsidP="22F13677">
            <w:pPr>
              <w:pStyle w:val="TBLText"/>
              <w:jc w:val="right"/>
            </w:pPr>
            <w:r>
              <w:t>0</w:t>
            </w:r>
            <w:r w:rsidR="1CA01939">
              <w:t>/</w:t>
            </w:r>
            <w:r w:rsidR="0FD5C237">
              <w:t>40</w:t>
            </w:r>
          </w:p>
        </w:tc>
        <w:tc>
          <w:tcPr>
            <w:tcW w:w="1926" w:type="dxa"/>
            <w:shd w:val="clear" w:color="auto" w:fill="E0E8F2" w:themeFill="background2"/>
          </w:tcPr>
          <w:p w14:paraId="426B0FE8" w14:textId="3A26F763" w:rsidR="00DE6598" w:rsidRPr="001664BA" w:rsidRDefault="004C1F82" w:rsidP="22F13677">
            <w:pPr>
              <w:pStyle w:val="TBLText"/>
              <w:jc w:val="right"/>
            </w:pPr>
            <w:r>
              <w:t>0</w:t>
            </w:r>
            <w:r w:rsidR="00310202">
              <w:t>%</w:t>
            </w:r>
          </w:p>
        </w:tc>
        <w:tc>
          <w:tcPr>
            <w:tcW w:w="2159" w:type="dxa"/>
            <w:shd w:val="clear" w:color="auto" w:fill="E0E8F2" w:themeFill="background2"/>
          </w:tcPr>
          <w:p w14:paraId="30AF76D4" w14:textId="19A6FAA1" w:rsidR="00DE6598" w:rsidRPr="001664BA" w:rsidRDefault="00AB0F87" w:rsidP="22F13677">
            <w:pPr>
              <w:pStyle w:val="TBLText"/>
              <w:jc w:val="right"/>
            </w:pPr>
            <w:r>
              <w:t>0/</w:t>
            </w:r>
            <w:r w:rsidR="69E2EC0F">
              <w:t>2</w:t>
            </w:r>
            <w:r w:rsidR="1CE2ACF8">
              <w:t>9</w:t>
            </w:r>
          </w:p>
        </w:tc>
        <w:tc>
          <w:tcPr>
            <w:tcW w:w="2035" w:type="dxa"/>
            <w:shd w:val="clear" w:color="auto" w:fill="E0E8F2" w:themeFill="background2"/>
          </w:tcPr>
          <w:p w14:paraId="566E6819" w14:textId="2B2E576A" w:rsidR="00DE6598" w:rsidRPr="001664BA" w:rsidRDefault="1C6D96CD" w:rsidP="22F13677">
            <w:pPr>
              <w:pStyle w:val="TBLText"/>
              <w:jc w:val="right"/>
            </w:pPr>
            <w:r>
              <w:t>0</w:t>
            </w:r>
            <w:r w:rsidR="00310202">
              <w:t>%</w:t>
            </w:r>
          </w:p>
        </w:tc>
      </w:tr>
      <w:tr w:rsidR="00DE6598" w14:paraId="7C98D6E2" w14:textId="72CEFBB5" w:rsidTr="7717019C">
        <w:trPr>
          <w:cantSplit/>
          <w:trHeight w:val="20"/>
        </w:trPr>
        <w:tc>
          <w:tcPr>
            <w:tcW w:w="1920" w:type="dxa"/>
            <w:shd w:val="clear" w:color="auto" w:fill="auto"/>
          </w:tcPr>
          <w:p w14:paraId="6CFF4EED" w14:textId="77777777" w:rsidR="00DE6598" w:rsidRPr="00C438FB" w:rsidRDefault="00DE6598" w:rsidP="00DE6598">
            <w:pPr>
              <w:pStyle w:val="TBLText"/>
            </w:pPr>
            <w:r w:rsidRPr="00C438FB">
              <w:t>Adequate</w:t>
            </w:r>
          </w:p>
        </w:tc>
        <w:tc>
          <w:tcPr>
            <w:tcW w:w="1928" w:type="dxa"/>
          </w:tcPr>
          <w:p w14:paraId="50EC3FA4" w14:textId="5FBBE476" w:rsidR="00DE6598" w:rsidRPr="001664BA" w:rsidRDefault="314459D2" w:rsidP="22F13677">
            <w:pPr>
              <w:pStyle w:val="TBLText"/>
              <w:jc w:val="right"/>
            </w:pPr>
            <w:r>
              <w:t>14</w:t>
            </w:r>
            <w:r w:rsidR="796A0B3F">
              <w:t>/</w:t>
            </w:r>
            <w:r w:rsidR="1D757866">
              <w:t>40</w:t>
            </w:r>
          </w:p>
        </w:tc>
        <w:tc>
          <w:tcPr>
            <w:tcW w:w="1926" w:type="dxa"/>
          </w:tcPr>
          <w:p w14:paraId="12525BCF" w14:textId="46386B2B" w:rsidR="00DE6598" w:rsidRPr="001664BA" w:rsidRDefault="00E86E7B" w:rsidP="22F13677">
            <w:pPr>
              <w:pStyle w:val="TBLText"/>
              <w:jc w:val="right"/>
            </w:pPr>
            <w:r>
              <w:t>3</w:t>
            </w:r>
            <w:r w:rsidR="378D4968">
              <w:t>5</w:t>
            </w:r>
            <w:r w:rsidR="00310202">
              <w:t>%</w:t>
            </w:r>
          </w:p>
        </w:tc>
        <w:tc>
          <w:tcPr>
            <w:tcW w:w="2159" w:type="dxa"/>
          </w:tcPr>
          <w:p w14:paraId="099B5148" w14:textId="6BA7CCE2" w:rsidR="00DE6598" w:rsidRPr="001664BA" w:rsidRDefault="27817CA4" w:rsidP="22F13677">
            <w:pPr>
              <w:pStyle w:val="TBLText"/>
              <w:jc w:val="right"/>
            </w:pPr>
            <w:r>
              <w:t>1</w:t>
            </w:r>
            <w:r w:rsidR="4BD48857">
              <w:t>2</w:t>
            </w:r>
            <w:r w:rsidR="00AB0F87">
              <w:t>/</w:t>
            </w:r>
            <w:r w:rsidR="32CF5879">
              <w:t>2</w:t>
            </w:r>
            <w:r w:rsidR="2AD149EB">
              <w:t>9</w:t>
            </w:r>
          </w:p>
        </w:tc>
        <w:tc>
          <w:tcPr>
            <w:tcW w:w="2035" w:type="dxa"/>
          </w:tcPr>
          <w:p w14:paraId="2689FAD2" w14:textId="668CE1D4" w:rsidR="00DE6598" w:rsidRPr="001664BA" w:rsidRDefault="2A027D36" w:rsidP="22F13677">
            <w:pPr>
              <w:pStyle w:val="TBLText"/>
              <w:jc w:val="right"/>
            </w:pPr>
            <w:r>
              <w:t>41%</w:t>
            </w:r>
          </w:p>
        </w:tc>
      </w:tr>
      <w:tr w:rsidR="006F3D63" w14:paraId="31F42EBC" w14:textId="1A170C90" w:rsidTr="7717019C">
        <w:trPr>
          <w:cantSplit/>
          <w:trHeight w:val="20"/>
        </w:trPr>
        <w:tc>
          <w:tcPr>
            <w:tcW w:w="1920" w:type="dxa"/>
            <w:shd w:val="clear" w:color="auto" w:fill="E0E8F2" w:themeFill="background2"/>
          </w:tcPr>
          <w:p w14:paraId="0E788F45" w14:textId="77777777" w:rsidR="00DE6598" w:rsidRPr="00C438FB" w:rsidRDefault="00DE6598" w:rsidP="00DE6598">
            <w:pPr>
              <w:pStyle w:val="TBLText"/>
            </w:pPr>
            <w:r w:rsidRPr="00C438FB">
              <w:t>Good Practice</w:t>
            </w:r>
          </w:p>
        </w:tc>
        <w:tc>
          <w:tcPr>
            <w:tcW w:w="1928" w:type="dxa"/>
            <w:shd w:val="clear" w:color="auto" w:fill="E0E8F2" w:themeFill="background2"/>
          </w:tcPr>
          <w:p w14:paraId="05571FBD" w14:textId="0A0CEF81" w:rsidR="00DE6598" w:rsidRPr="001664BA" w:rsidRDefault="00E86E7B" w:rsidP="22F13677">
            <w:pPr>
              <w:pStyle w:val="TBLText"/>
              <w:jc w:val="right"/>
            </w:pPr>
            <w:r>
              <w:t>2</w:t>
            </w:r>
            <w:r w:rsidR="6A3D6B3C">
              <w:t>3</w:t>
            </w:r>
            <w:r w:rsidR="50A962E8">
              <w:t>/</w:t>
            </w:r>
            <w:r w:rsidR="56DF33A9">
              <w:t>40</w:t>
            </w:r>
          </w:p>
        </w:tc>
        <w:tc>
          <w:tcPr>
            <w:tcW w:w="1926" w:type="dxa"/>
            <w:shd w:val="clear" w:color="auto" w:fill="E0E8F2" w:themeFill="background2"/>
          </w:tcPr>
          <w:p w14:paraId="7A693A72" w14:textId="2D4CD92B" w:rsidR="00DE6598" w:rsidRPr="001664BA" w:rsidRDefault="00E86E7B" w:rsidP="22F13677">
            <w:pPr>
              <w:pStyle w:val="TBLText"/>
              <w:jc w:val="right"/>
            </w:pPr>
            <w:r>
              <w:t>5</w:t>
            </w:r>
            <w:r w:rsidR="15FD285B">
              <w:t>8</w:t>
            </w:r>
            <w:r w:rsidR="00310202">
              <w:t>%</w:t>
            </w:r>
          </w:p>
        </w:tc>
        <w:tc>
          <w:tcPr>
            <w:tcW w:w="2159" w:type="dxa"/>
            <w:shd w:val="clear" w:color="auto" w:fill="E0E8F2" w:themeFill="background2"/>
          </w:tcPr>
          <w:p w14:paraId="0149C2AA" w14:textId="000B005B" w:rsidR="00DE6598" w:rsidRPr="001664BA" w:rsidRDefault="1014A7C1" w:rsidP="22F13677">
            <w:pPr>
              <w:pStyle w:val="TBLText"/>
              <w:jc w:val="right"/>
            </w:pPr>
            <w:r>
              <w:t>1</w:t>
            </w:r>
            <w:r w:rsidR="163BA79D">
              <w:t>5</w:t>
            </w:r>
            <w:r w:rsidR="0F1E1EF3">
              <w:t>/</w:t>
            </w:r>
            <w:r w:rsidR="5E8EC548">
              <w:t>2</w:t>
            </w:r>
            <w:r w:rsidR="3E133BC2">
              <w:t>9</w:t>
            </w:r>
          </w:p>
        </w:tc>
        <w:tc>
          <w:tcPr>
            <w:tcW w:w="2035" w:type="dxa"/>
            <w:shd w:val="clear" w:color="auto" w:fill="E0E8F2" w:themeFill="background2"/>
          </w:tcPr>
          <w:p w14:paraId="05BD98C7" w14:textId="50404709" w:rsidR="00DE6598" w:rsidRPr="001664BA" w:rsidRDefault="27817CA4" w:rsidP="22F13677">
            <w:pPr>
              <w:pStyle w:val="TBLText"/>
              <w:jc w:val="right"/>
            </w:pPr>
            <w:r>
              <w:t>5</w:t>
            </w:r>
            <w:r w:rsidR="6550B8B1">
              <w:t>2</w:t>
            </w:r>
            <w:r w:rsidR="5F4C92B3">
              <w:t>%</w:t>
            </w:r>
          </w:p>
        </w:tc>
      </w:tr>
      <w:tr w:rsidR="00DE6598" w14:paraId="36790FDE" w14:textId="651E32C9" w:rsidTr="7717019C">
        <w:trPr>
          <w:cantSplit/>
          <w:trHeight w:val="20"/>
        </w:trPr>
        <w:tc>
          <w:tcPr>
            <w:tcW w:w="1920" w:type="dxa"/>
            <w:shd w:val="clear" w:color="auto" w:fill="auto"/>
          </w:tcPr>
          <w:p w14:paraId="466D8A1C" w14:textId="0ED5E2C7" w:rsidR="00DE6598" w:rsidRPr="00C438FB" w:rsidRDefault="00DE6598" w:rsidP="00DE6598">
            <w:pPr>
              <w:pStyle w:val="TBLText"/>
            </w:pPr>
            <w:r>
              <w:t>Exemplary</w:t>
            </w:r>
          </w:p>
        </w:tc>
        <w:tc>
          <w:tcPr>
            <w:tcW w:w="1928" w:type="dxa"/>
            <w:shd w:val="clear" w:color="auto" w:fill="auto"/>
          </w:tcPr>
          <w:p w14:paraId="7D177F18" w14:textId="4119666B" w:rsidR="00DE6598" w:rsidRPr="001664BA" w:rsidRDefault="13EA4B47" w:rsidP="22F13677">
            <w:pPr>
              <w:pStyle w:val="TBLText"/>
              <w:jc w:val="right"/>
            </w:pPr>
            <w:r>
              <w:t>3</w:t>
            </w:r>
            <w:r w:rsidR="5B72AE6D">
              <w:t>/</w:t>
            </w:r>
            <w:r w:rsidR="7B2B89FA">
              <w:t>40</w:t>
            </w:r>
          </w:p>
        </w:tc>
        <w:tc>
          <w:tcPr>
            <w:tcW w:w="1926" w:type="dxa"/>
            <w:shd w:val="clear" w:color="auto" w:fill="auto"/>
          </w:tcPr>
          <w:p w14:paraId="0973B1CF" w14:textId="6187F4CE" w:rsidR="00DE6598" w:rsidRPr="001664BA" w:rsidRDefault="004C1F82" w:rsidP="22F13677">
            <w:pPr>
              <w:pStyle w:val="TBLText"/>
              <w:jc w:val="right"/>
            </w:pPr>
            <w:r>
              <w:t>8</w:t>
            </w:r>
            <w:r w:rsidR="00310202">
              <w:t>%</w:t>
            </w:r>
          </w:p>
        </w:tc>
        <w:tc>
          <w:tcPr>
            <w:tcW w:w="2159" w:type="dxa"/>
            <w:shd w:val="clear" w:color="auto" w:fill="auto"/>
          </w:tcPr>
          <w:p w14:paraId="528F2628" w14:textId="067AFC08" w:rsidR="00DE6598" w:rsidRPr="001664BA" w:rsidRDefault="001664BA" w:rsidP="22F13677">
            <w:pPr>
              <w:pStyle w:val="TBLText"/>
              <w:jc w:val="right"/>
            </w:pPr>
            <w:r>
              <w:t>2</w:t>
            </w:r>
            <w:r w:rsidR="00AB0F87">
              <w:t>/</w:t>
            </w:r>
            <w:r w:rsidR="11BEE10F">
              <w:t>2</w:t>
            </w:r>
            <w:r w:rsidR="6BB8F718">
              <w:t>9</w:t>
            </w:r>
          </w:p>
        </w:tc>
        <w:tc>
          <w:tcPr>
            <w:tcW w:w="2035" w:type="dxa"/>
            <w:shd w:val="clear" w:color="auto" w:fill="auto"/>
          </w:tcPr>
          <w:p w14:paraId="58B7B4E8" w14:textId="6686D66B" w:rsidR="00DE6598" w:rsidRPr="001664BA" w:rsidRDefault="003D4C08" w:rsidP="22F13677">
            <w:pPr>
              <w:pStyle w:val="TBLText"/>
              <w:jc w:val="right"/>
            </w:pPr>
            <w:r>
              <w:t>7</w:t>
            </w:r>
            <w:r w:rsidR="00310202">
              <w:t>%</w:t>
            </w:r>
          </w:p>
        </w:tc>
      </w:tr>
      <w:tr w:rsidR="006F3D63" w14:paraId="042B1B05" w14:textId="1FDF7ACB" w:rsidTr="7717019C">
        <w:trPr>
          <w:cantSplit/>
          <w:trHeight w:val="20"/>
        </w:trPr>
        <w:tc>
          <w:tcPr>
            <w:tcW w:w="1920" w:type="dxa"/>
            <w:shd w:val="clear" w:color="auto" w:fill="E0E8F2" w:themeFill="background2"/>
          </w:tcPr>
          <w:p w14:paraId="5D627DEE" w14:textId="599B82CB" w:rsidR="00DE6598" w:rsidRPr="00C438FB" w:rsidRDefault="00DE6598" w:rsidP="00DE6598">
            <w:pPr>
              <w:pStyle w:val="TBLText"/>
            </w:pPr>
            <w:r>
              <w:t>IA</w:t>
            </w:r>
            <w:r w:rsidRPr="00C438FB">
              <w:t xml:space="preserve"> Compliance</w:t>
            </w:r>
          </w:p>
        </w:tc>
        <w:tc>
          <w:tcPr>
            <w:tcW w:w="1928" w:type="dxa"/>
            <w:shd w:val="clear" w:color="auto" w:fill="E0E8F2" w:themeFill="background2"/>
          </w:tcPr>
          <w:p w14:paraId="13FCF61F" w14:textId="767506ED" w:rsidR="00DE6598" w:rsidRPr="001664BA" w:rsidRDefault="0019779B" w:rsidP="22F13677">
            <w:pPr>
              <w:pStyle w:val="TBLText"/>
              <w:jc w:val="right"/>
            </w:pPr>
            <w:r>
              <w:t>40</w:t>
            </w:r>
            <w:bookmarkStart w:id="2" w:name="_GoBack"/>
            <w:bookmarkEnd w:id="2"/>
            <w:r w:rsidR="0253751F">
              <w:t>/</w:t>
            </w:r>
            <w:r w:rsidR="2A2E3AA0">
              <w:t>40</w:t>
            </w:r>
          </w:p>
        </w:tc>
        <w:tc>
          <w:tcPr>
            <w:tcW w:w="1926" w:type="dxa"/>
            <w:shd w:val="clear" w:color="auto" w:fill="E0E8F2" w:themeFill="background2"/>
          </w:tcPr>
          <w:p w14:paraId="6A7ACD83" w14:textId="79768907" w:rsidR="00DE6598" w:rsidRPr="001664BA" w:rsidRDefault="004C1F82" w:rsidP="22F13677">
            <w:pPr>
              <w:pStyle w:val="TBLText"/>
              <w:jc w:val="right"/>
            </w:pPr>
            <w:r>
              <w:t>100</w:t>
            </w:r>
            <w:r w:rsidR="00310202">
              <w:t>%</w:t>
            </w:r>
            <w:r w:rsidR="00916C3E" w:rsidRPr="00916C3E">
              <w:rPr>
                <w:vertAlign w:val="superscript"/>
              </w:rPr>
              <w:t>d</w:t>
            </w:r>
          </w:p>
        </w:tc>
        <w:tc>
          <w:tcPr>
            <w:tcW w:w="2159" w:type="dxa"/>
            <w:shd w:val="clear" w:color="auto" w:fill="E0E8F2" w:themeFill="background2"/>
          </w:tcPr>
          <w:p w14:paraId="5B7690D7" w14:textId="48B6B5DF" w:rsidR="00DE6598" w:rsidRPr="001664BA" w:rsidRDefault="4FC6DF69" w:rsidP="22F13677">
            <w:pPr>
              <w:pStyle w:val="TBLText"/>
              <w:jc w:val="right"/>
            </w:pPr>
            <w:r>
              <w:t>2</w:t>
            </w:r>
            <w:r w:rsidR="61664971">
              <w:t>9</w:t>
            </w:r>
            <w:r w:rsidR="00AB0F87">
              <w:t>/</w:t>
            </w:r>
            <w:r w:rsidR="5921ACE7">
              <w:t>2</w:t>
            </w:r>
            <w:r w:rsidR="39D60A33">
              <w:t>9</w:t>
            </w:r>
          </w:p>
        </w:tc>
        <w:tc>
          <w:tcPr>
            <w:tcW w:w="2035" w:type="dxa"/>
            <w:shd w:val="clear" w:color="auto" w:fill="E0E8F2" w:themeFill="background2"/>
          </w:tcPr>
          <w:p w14:paraId="6E9F72CD" w14:textId="24D30777" w:rsidR="00DE6598" w:rsidRPr="001664BA" w:rsidRDefault="00AB0F87" w:rsidP="22F13677">
            <w:pPr>
              <w:pStyle w:val="TBLText"/>
              <w:jc w:val="right"/>
            </w:pPr>
            <w:r>
              <w:t>100</w:t>
            </w:r>
            <w:r w:rsidR="00310202">
              <w:t>%</w:t>
            </w:r>
          </w:p>
        </w:tc>
      </w:tr>
      <w:tr w:rsidR="00DE6598" w14:paraId="3A82D689" w14:textId="7C5A92E4" w:rsidTr="7717019C">
        <w:trPr>
          <w:cantSplit/>
          <w:trHeight w:val="20"/>
        </w:trPr>
        <w:tc>
          <w:tcPr>
            <w:tcW w:w="1920" w:type="dxa"/>
            <w:shd w:val="clear" w:color="auto" w:fill="auto"/>
          </w:tcPr>
          <w:p w14:paraId="04B84F09" w14:textId="3C1BD0FC" w:rsidR="00DE6598" w:rsidRPr="00C438FB" w:rsidRDefault="00DE6598" w:rsidP="00DE6598">
            <w:pPr>
              <w:pStyle w:val="TBLText"/>
            </w:pPr>
            <w:r w:rsidRPr="004140B0">
              <w:t>Independent Reviews and I</w:t>
            </w:r>
            <w:r>
              <w:t>AEs</w:t>
            </w:r>
            <w:r w:rsidRPr="004140B0">
              <w:rPr>
                <w:vertAlign w:val="superscript"/>
              </w:rPr>
              <w:t>a</w:t>
            </w:r>
          </w:p>
        </w:tc>
        <w:tc>
          <w:tcPr>
            <w:tcW w:w="1928" w:type="dxa"/>
            <w:shd w:val="clear" w:color="auto" w:fill="auto"/>
          </w:tcPr>
          <w:p w14:paraId="3A0F6189" w14:textId="7EC747FD" w:rsidR="00DE6598" w:rsidRPr="001664BA" w:rsidRDefault="36818D3E" w:rsidP="22F13677">
            <w:pPr>
              <w:pStyle w:val="TBLText"/>
              <w:jc w:val="right"/>
            </w:pPr>
            <w:r>
              <w:t>15</w:t>
            </w:r>
          </w:p>
        </w:tc>
        <w:tc>
          <w:tcPr>
            <w:tcW w:w="1926" w:type="dxa"/>
            <w:shd w:val="clear" w:color="auto" w:fill="auto"/>
          </w:tcPr>
          <w:p w14:paraId="7B1D9FA7" w14:textId="7D396A75" w:rsidR="00DE6598" w:rsidRPr="001664BA" w:rsidRDefault="00DE6598" w:rsidP="22F13677">
            <w:pPr>
              <w:pStyle w:val="TBLText"/>
              <w:jc w:val="right"/>
            </w:pPr>
            <w:r>
              <w:t>-</w:t>
            </w:r>
          </w:p>
        </w:tc>
        <w:tc>
          <w:tcPr>
            <w:tcW w:w="2159" w:type="dxa"/>
            <w:shd w:val="clear" w:color="auto" w:fill="auto"/>
          </w:tcPr>
          <w:p w14:paraId="39C2370E" w14:textId="0F1F9207" w:rsidR="00DE6598" w:rsidRPr="001664BA" w:rsidRDefault="003D4C08" w:rsidP="22F13677">
            <w:pPr>
              <w:pStyle w:val="TBLText"/>
              <w:jc w:val="right"/>
            </w:pPr>
            <w:r>
              <w:t>8</w:t>
            </w:r>
          </w:p>
        </w:tc>
        <w:tc>
          <w:tcPr>
            <w:tcW w:w="2035" w:type="dxa"/>
            <w:shd w:val="clear" w:color="auto" w:fill="auto"/>
          </w:tcPr>
          <w:p w14:paraId="6AC6E23C" w14:textId="2A8F9205" w:rsidR="00DE6598" w:rsidRPr="001664BA" w:rsidRDefault="00DE6598" w:rsidP="22F13677">
            <w:pPr>
              <w:pStyle w:val="TBLText"/>
              <w:jc w:val="right"/>
            </w:pPr>
            <w:r>
              <w:t>-</w:t>
            </w:r>
          </w:p>
        </w:tc>
      </w:tr>
      <w:tr w:rsidR="006F3D63" w14:paraId="3E5A7146" w14:textId="09CCE96B" w:rsidTr="7717019C">
        <w:trPr>
          <w:cantSplit/>
          <w:trHeight w:val="20"/>
        </w:trPr>
        <w:tc>
          <w:tcPr>
            <w:tcW w:w="1920" w:type="dxa"/>
            <w:shd w:val="clear" w:color="auto" w:fill="E0E8F2" w:themeFill="background2"/>
          </w:tcPr>
          <w:p w14:paraId="20EFAA38" w14:textId="4BAB7821" w:rsidR="00DE6598" w:rsidRPr="00C438FB" w:rsidRDefault="00DE6598" w:rsidP="00DE6598">
            <w:pPr>
              <w:pStyle w:val="TBLText"/>
            </w:pPr>
            <w:r w:rsidRPr="00C438FB">
              <w:t>Overall compliance</w:t>
            </w:r>
          </w:p>
        </w:tc>
        <w:tc>
          <w:tcPr>
            <w:tcW w:w="1928" w:type="dxa"/>
            <w:shd w:val="clear" w:color="auto" w:fill="E0E8F2" w:themeFill="background2"/>
          </w:tcPr>
          <w:p w14:paraId="41DCEBD4" w14:textId="62510986" w:rsidR="00DE6598" w:rsidRPr="001664BA" w:rsidRDefault="00D22B6F" w:rsidP="22F13677">
            <w:pPr>
              <w:pStyle w:val="TBLText"/>
              <w:jc w:val="right"/>
            </w:pPr>
            <w:r>
              <w:t>5</w:t>
            </w:r>
            <w:r w:rsidR="543C198D">
              <w:t>5</w:t>
            </w:r>
            <w:r w:rsidR="00DE6598">
              <w:t>/</w:t>
            </w:r>
            <w:r>
              <w:t>5</w:t>
            </w:r>
            <w:r w:rsidR="77406629">
              <w:t>5</w:t>
            </w:r>
          </w:p>
        </w:tc>
        <w:tc>
          <w:tcPr>
            <w:tcW w:w="1926" w:type="dxa"/>
            <w:shd w:val="clear" w:color="auto" w:fill="E0E8F2" w:themeFill="background2"/>
          </w:tcPr>
          <w:p w14:paraId="534FFAEE" w14:textId="24CC5693" w:rsidR="00DE6598" w:rsidRPr="001664BA" w:rsidRDefault="004C1F82" w:rsidP="22F13677">
            <w:pPr>
              <w:pStyle w:val="TBLText"/>
              <w:jc w:val="right"/>
            </w:pPr>
            <w:r>
              <w:t>100</w:t>
            </w:r>
            <w:r w:rsidR="00310202">
              <w:t>%</w:t>
            </w:r>
          </w:p>
        </w:tc>
        <w:tc>
          <w:tcPr>
            <w:tcW w:w="2159" w:type="dxa"/>
            <w:shd w:val="clear" w:color="auto" w:fill="E0E8F2" w:themeFill="background2"/>
          </w:tcPr>
          <w:p w14:paraId="15235E5A" w14:textId="1A4DB1D7" w:rsidR="00DE6598" w:rsidRPr="001664BA" w:rsidRDefault="003D4C08" w:rsidP="22F13677">
            <w:pPr>
              <w:pStyle w:val="TBLText"/>
              <w:jc w:val="right"/>
            </w:pPr>
            <w:r>
              <w:t>3</w:t>
            </w:r>
            <w:r w:rsidR="2F4AE8E4">
              <w:t>7</w:t>
            </w:r>
            <w:r w:rsidR="001664BA">
              <w:t>/</w:t>
            </w:r>
            <w:r>
              <w:t>3</w:t>
            </w:r>
            <w:r w:rsidR="0B142550">
              <w:t>7</w:t>
            </w:r>
          </w:p>
        </w:tc>
        <w:tc>
          <w:tcPr>
            <w:tcW w:w="2035" w:type="dxa"/>
            <w:shd w:val="clear" w:color="auto" w:fill="E0E8F2" w:themeFill="background2"/>
          </w:tcPr>
          <w:p w14:paraId="08E76A2E" w14:textId="7AD51A3E" w:rsidR="00DE6598" w:rsidRPr="001664BA" w:rsidRDefault="67286DA7" w:rsidP="22F13677">
            <w:pPr>
              <w:pStyle w:val="TBLText"/>
              <w:jc w:val="right"/>
            </w:pPr>
            <w:r>
              <w:t>100</w:t>
            </w:r>
            <w:r w:rsidR="00310202">
              <w:t>%</w:t>
            </w:r>
          </w:p>
        </w:tc>
      </w:tr>
      <w:tr w:rsidR="00DE6598" w14:paraId="7C2BC933" w14:textId="44DFF099" w:rsidTr="7717019C">
        <w:trPr>
          <w:cantSplit/>
          <w:trHeight w:val="20"/>
        </w:trPr>
        <w:tc>
          <w:tcPr>
            <w:tcW w:w="1920" w:type="dxa"/>
            <w:shd w:val="clear" w:color="auto" w:fill="auto"/>
          </w:tcPr>
          <w:p w14:paraId="486D0BD4" w14:textId="77777777" w:rsidR="00DE6598" w:rsidRPr="00C438FB" w:rsidRDefault="00DE6598" w:rsidP="00DE6598">
            <w:pPr>
              <w:pStyle w:val="TBLText"/>
            </w:pPr>
            <w:r w:rsidRPr="00C438FB">
              <w:t>Exceptional circumstances</w:t>
            </w:r>
            <w:r w:rsidRPr="00C90806">
              <w:rPr>
                <w:vertAlign w:val="superscript"/>
              </w:rPr>
              <w:t>b</w:t>
            </w:r>
          </w:p>
        </w:tc>
        <w:tc>
          <w:tcPr>
            <w:tcW w:w="1928" w:type="dxa"/>
            <w:shd w:val="clear" w:color="auto" w:fill="auto"/>
          </w:tcPr>
          <w:p w14:paraId="77E2041D" w14:textId="71FB1872" w:rsidR="00DE6598" w:rsidRPr="001664BA" w:rsidRDefault="1933EEC6" w:rsidP="22F13677">
            <w:pPr>
              <w:pStyle w:val="TBLText"/>
              <w:jc w:val="right"/>
            </w:pPr>
            <w:r>
              <w:t>0</w:t>
            </w:r>
          </w:p>
        </w:tc>
        <w:tc>
          <w:tcPr>
            <w:tcW w:w="1926" w:type="dxa"/>
            <w:shd w:val="clear" w:color="auto" w:fill="auto"/>
          </w:tcPr>
          <w:p w14:paraId="34C4C7A5" w14:textId="7E6DCBDD" w:rsidR="00DE6598" w:rsidRPr="001664BA" w:rsidRDefault="00DE6598" w:rsidP="22F13677">
            <w:pPr>
              <w:pStyle w:val="TBLText"/>
              <w:jc w:val="right"/>
            </w:pPr>
            <w:r>
              <w:t>-</w:t>
            </w:r>
          </w:p>
        </w:tc>
        <w:tc>
          <w:tcPr>
            <w:tcW w:w="2159" w:type="dxa"/>
            <w:shd w:val="clear" w:color="auto" w:fill="auto"/>
          </w:tcPr>
          <w:p w14:paraId="5E1DFC24" w14:textId="620EB7F0" w:rsidR="00DE6598" w:rsidRPr="001664BA" w:rsidRDefault="001664BA" w:rsidP="22F13677">
            <w:pPr>
              <w:pStyle w:val="TBLText"/>
              <w:jc w:val="right"/>
            </w:pPr>
            <w:r>
              <w:t>0</w:t>
            </w:r>
          </w:p>
        </w:tc>
        <w:tc>
          <w:tcPr>
            <w:tcW w:w="2035" w:type="dxa"/>
            <w:shd w:val="clear" w:color="auto" w:fill="auto"/>
          </w:tcPr>
          <w:p w14:paraId="3F5ED3C2" w14:textId="4A1E2A60" w:rsidR="00DE6598" w:rsidRPr="001664BA" w:rsidRDefault="00DE6598" w:rsidP="22F13677">
            <w:pPr>
              <w:pStyle w:val="TBLText"/>
              <w:jc w:val="right"/>
            </w:pPr>
            <w:r>
              <w:t>-</w:t>
            </w:r>
          </w:p>
        </w:tc>
      </w:tr>
      <w:tr w:rsidR="006F3D63" w14:paraId="23858C0C" w14:textId="6A6CC21D" w:rsidTr="7717019C">
        <w:trPr>
          <w:cantSplit/>
          <w:trHeight w:val="20"/>
        </w:trPr>
        <w:tc>
          <w:tcPr>
            <w:tcW w:w="1920" w:type="dxa"/>
            <w:shd w:val="clear" w:color="auto" w:fill="E0E8F2" w:themeFill="background2"/>
          </w:tcPr>
          <w:p w14:paraId="1E7327C6" w14:textId="77777777" w:rsidR="00DE6598" w:rsidRPr="00C438FB" w:rsidRDefault="00DE6598" w:rsidP="00DE6598">
            <w:pPr>
              <w:pStyle w:val="TBLText"/>
            </w:pPr>
            <w:r w:rsidRPr="00C438FB">
              <w:t>Estimated annual impact on Regulatory Burden</w:t>
            </w:r>
            <w:r w:rsidRPr="00C90806">
              <w:rPr>
                <w:vertAlign w:val="superscript"/>
              </w:rPr>
              <w:t>c</w:t>
            </w:r>
          </w:p>
        </w:tc>
        <w:tc>
          <w:tcPr>
            <w:tcW w:w="1928" w:type="dxa"/>
            <w:shd w:val="clear" w:color="auto" w:fill="E0E8F2" w:themeFill="background2"/>
          </w:tcPr>
          <w:p w14:paraId="44CF2CB2" w14:textId="31AC325D" w:rsidR="00DE6598" w:rsidRPr="004E4AF1" w:rsidRDefault="00DE6598" w:rsidP="22F13677">
            <w:pPr>
              <w:pStyle w:val="TBLText"/>
              <w:jc w:val="right"/>
              <w:rPr>
                <w:vertAlign w:val="superscript"/>
              </w:rPr>
            </w:pPr>
            <w:r>
              <w:t xml:space="preserve"> $</w:t>
            </w:r>
            <w:r w:rsidR="00337AA3">
              <w:t>4</w:t>
            </w:r>
            <w:r w:rsidR="79F10B80">
              <w:t>66</w:t>
            </w:r>
            <w:r>
              <w:t xml:space="preserve"> million</w:t>
            </w:r>
          </w:p>
        </w:tc>
        <w:tc>
          <w:tcPr>
            <w:tcW w:w="1926" w:type="dxa"/>
            <w:shd w:val="clear" w:color="auto" w:fill="E0E8F2" w:themeFill="background2"/>
          </w:tcPr>
          <w:p w14:paraId="5AF27BD5" w14:textId="7342A45E" w:rsidR="00DE6598" w:rsidRPr="004E4AF1" w:rsidRDefault="00DE6598" w:rsidP="22F13677">
            <w:pPr>
              <w:pStyle w:val="TBLText"/>
              <w:jc w:val="right"/>
            </w:pPr>
            <w:r>
              <w:t>-</w:t>
            </w:r>
          </w:p>
        </w:tc>
        <w:tc>
          <w:tcPr>
            <w:tcW w:w="2159" w:type="dxa"/>
            <w:shd w:val="clear" w:color="auto" w:fill="E0E8F2" w:themeFill="background2"/>
          </w:tcPr>
          <w:p w14:paraId="695FCB18" w14:textId="3614E889" w:rsidR="00DE6598" w:rsidRDefault="00DE6598" w:rsidP="00C25B79">
            <w:pPr>
              <w:pStyle w:val="TBLText"/>
              <w:jc w:val="right"/>
              <w:rPr>
                <w:vertAlign w:val="superscript"/>
              </w:rPr>
            </w:pPr>
            <w:r>
              <w:t>$</w:t>
            </w:r>
            <w:r w:rsidR="62DA512A">
              <w:t>2</w:t>
            </w:r>
            <w:r w:rsidR="60029CB1">
              <w:t>,</w:t>
            </w:r>
            <w:r w:rsidR="62DA512A">
              <w:t>282.556</w:t>
            </w:r>
            <w:r w:rsidR="131F6FB7">
              <w:t xml:space="preserve"> </w:t>
            </w:r>
            <w:r>
              <w:t>million</w:t>
            </w:r>
          </w:p>
        </w:tc>
        <w:tc>
          <w:tcPr>
            <w:tcW w:w="2035" w:type="dxa"/>
            <w:shd w:val="clear" w:color="auto" w:fill="E0E8F2" w:themeFill="background2"/>
          </w:tcPr>
          <w:p w14:paraId="1AFF3B87" w14:textId="763BC127" w:rsidR="00DE6598" w:rsidRDefault="00DE6598" w:rsidP="22F13677">
            <w:pPr>
              <w:pStyle w:val="TBLText"/>
              <w:jc w:val="right"/>
            </w:pPr>
            <w:r>
              <w:t>-</w:t>
            </w:r>
          </w:p>
        </w:tc>
      </w:tr>
    </w:tbl>
    <w:p w14:paraId="555A70E4" w14:textId="0FF26B70" w:rsidR="00374D1E" w:rsidRPr="0061690C" w:rsidRDefault="00374D1E" w:rsidP="4BE0FD86">
      <w:pPr>
        <w:pStyle w:val="TBLFootnote"/>
        <w:rPr>
          <w:rStyle w:val="Emphasis"/>
          <w:i w:val="0"/>
          <w:iCs w:val="0"/>
        </w:rPr>
      </w:pPr>
      <w:r w:rsidRPr="0061690C">
        <w:t xml:space="preserve">a Independent reviews </w:t>
      </w:r>
      <w:r w:rsidR="00A326EF">
        <w:t xml:space="preserve">and </w:t>
      </w:r>
      <w:r w:rsidR="00384A6D">
        <w:t>IAEs</w:t>
      </w:r>
      <w:r w:rsidR="00A326EF">
        <w:t xml:space="preserve"> </w:t>
      </w:r>
      <w:r w:rsidRPr="0061690C">
        <w:t>are included in overall compliance.</w:t>
      </w:r>
    </w:p>
    <w:p w14:paraId="09A9AE14" w14:textId="50DD76F3" w:rsidR="00374D1E" w:rsidRPr="0061690C" w:rsidRDefault="00374D1E" w:rsidP="4BE0FD86">
      <w:pPr>
        <w:pStyle w:val="TBLFootnote"/>
        <w:rPr>
          <w:rStyle w:val="Emphasis"/>
          <w:i w:val="0"/>
          <w:iCs w:val="0"/>
        </w:rPr>
      </w:pPr>
      <w:r>
        <w:t>b Exceptional circumstances refer to truly urgent and unforeseen circumstances under which the completion of a</w:t>
      </w:r>
      <w:r w:rsidR="006B3940">
        <w:t>n</w:t>
      </w:r>
      <w:r>
        <w:t xml:space="preserve"> </w:t>
      </w:r>
      <w:r w:rsidR="006B3940">
        <w:t>IA</w:t>
      </w:r>
      <w:r>
        <w:t xml:space="preserve"> would delay essential delivery of policy.</w:t>
      </w:r>
    </w:p>
    <w:p w14:paraId="4970EE13" w14:textId="77777777" w:rsidR="00916C3E" w:rsidRDefault="00AD41B1" w:rsidP="00916C3E">
      <w:pPr>
        <w:pStyle w:val="TBLFootnote"/>
      </w:pPr>
      <w:r>
        <w:t>c</w:t>
      </w:r>
      <w:r w:rsidR="00374D1E">
        <w:t xml:space="preserve"> Positive number represents an increase in regulatory burden. Regulatory burden in </w:t>
      </w:r>
      <w:r w:rsidR="006B3940">
        <w:t>IA</w:t>
      </w:r>
      <w:r w:rsidR="00374D1E">
        <w:t xml:space="preserve">s are estimated using the Commonwealth Regulatory Burden Measurement framework and are assumed to be spread over 10 years. The estimate is based on </w:t>
      </w:r>
      <w:r w:rsidR="006B3940">
        <w:t>IA</w:t>
      </w:r>
      <w:r w:rsidR="00374D1E">
        <w:t>s published at the final decision point. The total estimated annual impact may differ from the other figures in this document due to rounding.</w:t>
      </w:r>
      <w:r w:rsidR="00795122">
        <w:t xml:space="preserve"> Regulatory burden estimates presented as a range are not included in the total </w:t>
      </w:r>
      <w:r w:rsidR="00E50ABE">
        <w:t>estimated</w:t>
      </w:r>
      <w:r w:rsidR="00795122">
        <w:t xml:space="preserve"> annual impact on Regulatory Burden.</w:t>
      </w:r>
    </w:p>
    <w:p w14:paraId="00A6A980" w14:textId="41613667" w:rsidR="00916C3E" w:rsidRDefault="00916C3E" w:rsidP="00916C3E">
      <w:pPr>
        <w:pStyle w:val="TBLFootnote"/>
        <w:rPr>
          <w:rStyle w:val="Emphasis"/>
          <w:i w:val="0"/>
          <w:iCs w:val="0"/>
        </w:rPr>
      </w:pPr>
      <w:r>
        <w:rPr>
          <w:rStyle w:val="Emphasis"/>
          <w:i w:val="0"/>
          <w:iCs w:val="0"/>
        </w:rPr>
        <w:t xml:space="preserve">d </w:t>
      </w:r>
      <w:r w:rsidRPr="1AB33C9F">
        <w:rPr>
          <w:rStyle w:val="Emphasis"/>
          <w:i w:val="0"/>
          <w:iCs w:val="0"/>
        </w:rPr>
        <w:t>Percentages may not total 100 due to rounding</w:t>
      </w:r>
    </w:p>
    <w:p w14:paraId="4D87E12C" w14:textId="7A668898" w:rsidR="00374D1E" w:rsidRPr="0061690C" w:rsidRDefault="00374D1E" w:rsidP="4BE0FD86">
      <w:pPr>
        <w:pStyle w:val="TBLFootnote"/>
        <w:rPr>
          <w:rStyle w:val="Emphasis"/>
          <w:i w:val="0"/>
          <w:iCs w:val="0"/>
        </w:rPr>
      </w:pPr>
    </w:p>
    <w:p w14:paraId="1AC275F6" w14:textId="2B9BAC1F" w:rsidR="00DF0E85" w:rsidRDefault="006B3940" w:rsidP="00DF0E85">
      <w:pPr>
        <w:pStyle w:val="Heading1"/>
        <w:rPr>
          <w:highlight w:val="yellow"/>
        </w:rPr>
      </w:pPr>
      <w:bookmarkStart w:id="3" w:name="_Toc122424399"/>
      <w:bookmarkStart w:id="4" w:name="_Toc193445410"/>
      <w:bookmarkStart w:id="5" w:name="_Toc745227988"/>
      <w:r>
        <w:t>I</w:t>
      </w:r>
      <w:r w:rsidR="004B515A">
        <w:t xml:space="preserve">mpact </w:t>
      </w:r>
      <w:r>
        <w:t>A</w:t>
      </w:r>
      <w:r w:rsidR="004B515A">
        <w:t>nalysis</w:t>
      </w:r>
      <w:r w:rsidR="00C37506">
        <w:t xml:space="preserve"> compliance summary by Department or Agency</w:t>
      </w:r>
      <w:r w:rsidR="008A10D6">
        <w:t>, 20</w:t>
      </w:r>
      <w:r w:rsidR="30A90B3C">
        <w:t>24</w:t>
      </w:r>
      <w:r w:rsidR="70193BC4">
        <w:t>-</w:t>
      </w:r>
      <w:r w:rsidR="08580717">
        <w:t>25</w:t>
      </w:r>
      <w:bookmarkEnd w:id="3"/>
      <w:bookmarkEnd w:id="4"/>
      <w:bookmarkEnd w:id="5"/>
    </w:p>
    <w:p w14:paraId="4BF5406B" w14:textId="369F2846" w:rsidR="00DF0E85" w:rsidRDefault="00DF0E85" w:rsidP="00031D61">
      <w:pPr>
        <w:pStyle w:val="Heading2"/>
      </w:pPr>
      <w:bookmarkStart w:id="6" w:name="_Toc193445411"/>
      <w:bookmarkStart w:id="7" w:name="_Toc941507958"/>
      <w:r>
        <w:t>Attorney-General’s Department</w:t>
      </w:r>
      <w:bookmarkEnd w:id="6"/>
      <w:bookmarkEnd w:id="7"/>
    </w:p>
    <w:p w14:paraId="12D8DDA0" w14:textId="3B75D94D" w:rsidR="00031D61" w:rsidRPr="00031D61" w:rsidRDefault="00CE18F2" w:rsidP="00031D61">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2</w:t>
      </w:r>
      <w:r w:rsidR="0019779B">
        <w:rPr>
          <w:noProof/>
        </w:rPr>
        <w:fldChar w:fldCharType="end"/>
      </w:r>
      <w:r>
        <w:t xml:space="preserve">. </w:t>
      </w:r>
      <w:r w:rsidRPr="000B621B">
        <w:t>Compliance summary: Attorney-General’s Department</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Securities and Investment Commission"/>
        <w:tblDescription w:val="Compliance summary: Australian Securities and Investment Commission"/>
      </w:tblPr>
      <w:tblGrid>
        <w:gridCol w:w="3017"/>
        <w:gridCol w:w="1380"/>
        <w:gridCol w:w="1701"/>
        <w:gridCol w:w="1936"/>
        <w:gridCol w:w="1934"/>
      </w:tblGrid>
      <w:tr w:rsidR="00DF0E85" w14:paraId="5237413D"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6C82C30F" w14:textId="77777777" w:rsidR="00DF0E85" w:rsidRPr="006E170D" w:rsidRDefault="00DF0E85" w:rsidP="004C1F82">
            <w:pPr>
              <w:pStyle w:val="TBLHeading"/>
            </w:pPr>
            <w:r>
              <w:t>Proposal</w:t>
            </w:r>
          </w:p>
        </w:tc>
        <w:tc>
          <w:tcPr>
            <w:tcW w:w="692" w:type="pct"/>
            <w:tcBorders>
              <w:top w:val="none" w:sz="0" w:space="0" w:color="auto"/>
              <w:bottom w:val="none" w:sz="0" w:space="0" w:color="auto"/>
            </w:tcBorders>
          </w:tcPr>
          <w:p w14:paraId="6F820291" w14:textId="77777777" w:rsidR="00DF0E85" w:rsidRPr="006E170D" w:rsidRDefault="00DF0E85" w:rsidP="004C1F82">
            <w:pPr>
              <w:pStyle w:val="TBLHeading"/>
            </w:pPr>
            <w:r>
              <w:t>IA Compliance</w:t>
            </w:r>
          </w:p>
        </w:tc>
        <w:tc>
          <w:tcPr>
            <w:tcW w:w="853" w:type="pct"/>
            <w:tcBorders>
              <w:top w:val="none" w:sz="0" w:space="0" w:color="auto"/>
              <w:bottom w:val="none" w:sz="0" w:space="0" w:color="auto"/>
            </w:tcBorders>
          </w:tcPr>
          <w:p w14:paraId="69A97912" w14:textId="77777777" w:rsidR="00DF0E85" w:rsidRPr="006E170D" w:rsidRDefault="00DF0E85" w:rsidP="004C1F82">
            <w:pPr>
              <w:pStyle w:val="TBLHeading"/>
            </w:pPr>
            <w:r>
              <w:t>Rating</w:t>
            </w:r>
          </w:p>
        </w:tc>
        <w:tc>
          <w:tcPr>
            <w:tcW w:w="971" w:type="pct"/>
            <w:tcBorders>
              <w:top w:val="none" w:sz="0" w:space="0" w:color="auto"/>
              <w:bottom w:val="none" w:sz="0" w:space="0" w:color="auto"/>
            </w:tcBorders>
          </w:tcPr>
          <w:p w14:paraId="2596A63F" w14:textId="77777777" w:rsidR="00DF0E85" w:rsidRPr="006E170D" w:rsidRDefault="00DF0E85" w:rsidP="004C1F82">
            <w:pPr>
              <w:pStyle w:val="TBLHeading"/>
            </w:pPr>
            <w:r>
              <w:t>PIR Required</w:t>
            </w:r>
          </w:p>
        </w:tc>
        <w:tc>
          <w:tcPr>
            <w:tcW w:w="970" w:type="pct"/>
            <w:tcBorders>
              <w:top w:val="none" w:sz="0" w:space="0" w:color="auto"/>
              <w:bottom w:val="none" w:sz="0" w:space="0" w:color="auto"/>
              <w:right w:val="none" w:sz="0" w:space="0" w:color="auto"/>
            </w:tcBorders>
          </w:tcPr>
          <w:p w14:paraId="1F747849" w14:textId="76A0998E" w:rsidR="00DF0E85" w:rsidRPr="006E170D" w:rsidRDefault="60E7CD1D" w:rsidP="004C1F82">
            <w:pPr>
              <w:pStyle w:val="TBLHeading"/>
            </w:pPr>
            <w:r>
              <w:t xml:space="preserve">Annual </w:t>
            </w:r>
            <w:r w:rsidR="00DF0E85">
              <w:t>Regulatory Burden ($m)</w:t>
            </w:r>
          </w:p>
        </w:tc>
      </w:tr>
      <w:tr w:rsidR="00DF0E85" w:rsidRPr="0095299E" w14:paraId="1B1E9EF6" w14:textId="77777777" w:rsidTr="00C45E30">
        <w:trPr>
          <w:cantSplit/>
          <w:trHeight w:val="20"/>
        </w:trPr>
        <w:tc>
          <w:tcPr>
            <w:tcW w:w="1513" w:type="pct"/>
            <w:shd w:val="clear" w:color="auto" w:fill="auto"/>
          </w:tcPr>
          <w:p w14:paraId="2CCEAE42" w14:textId="0FBBC1E4" w:rsidR="00DF0E85" w:rsidRPr="0095299E" w:rsidRDefault="00DF0E85" w:rsidP="004C1F82">
            <w:pPr>
              <w:pStyle w:val="TBLText"/>
            </w:pPr>
            <w:r w:rsidRPr="00DF0E85">
              <w:t xml:space="preserve">Anti-Money Laundering and Counter-Terrorism Financing Regime </w:t>
            </w:r>
            <w:r w:rsidR="00E50ABE">
              <w:br/>
            </w:r>
            <w:r w:rsidRPr="00DF0E85">
              <w:t>(AML-CTF) Reforms</w:t>
            </w:r>
          </w:p>
        </w:tc>
        <w:tc>
          <w:tcPr>
            <w:tcW w:w="692" w:type="pct"/>
            <w:shd w:val="clear" w:color="auto" w:fill="auto"/>
          </w:tcPr>
          <w:p w14:paraId="0FFFDF70" w14:textId="6EDBB665" w:rsidR="00DF0E85" w:rsidRPr="0095299E" w:rsidRDefault="00DF0E85" w:rsidP="004C1F82">
            <w:pPr>
              <w:pStyle w:val="TBLText"/>
              <w:rPr>
                <w:rFonts w:eastAsia="MS Mincho"/>
              </w:rPr>
            </w:pPr>
            <w:r>
              <w:rPr>
                <w:rFonts w:eastAsia="MS Mincho"/>
              </w:rPr>
              <w:t>Compliant</w:t>
            </w:r>
          </w:p>
        </w:tc>
        <w:tc>
          <w:tcPr>
            <w:tcW w:w="853" w:type="pct"/>
            <w:shd w:val="clear" w:color="auto" w:fill="auto"/>
          </w:tcPr>
          <w:p w14:paraId="662B8DC6" w14:textId="41183AB7" w:rsidR="00DF0E85" w:rsidRPr="0095299E" w:rsidRDefault="00DF0E85" w:rsidP="004C1F82">
            <w:pPr>
              <w:pStyle w:val="TBLText"/>
              <w:rPr>
                <w:rFonts w:eastAsia="MS Mincho"/>
              </w:rPr>
            </w:pPr>
            <w:r>
              <w:rPr>
                <w:rFonts w:eastAsia="MS Mincho"/>
              </w:rPr>
              <w:t>Exemplary</w:t>
            </w:r>
          </w:p>
        </w:tc>
        <w:tc>
          <w:tcPr>
            <w:tcW w:w="971" w:type="pct"/>
            <w:shd w:val="clear" w:color="auto" w:fill="auto"/>
          </w:tcPr>
          <w:p w14:paraId="2FEAC6B6" w14:textId="48BFA9ED" w:rsidR="00DF0E85" w:rsidRPr="0095299E" w:rsidRDefault="00DF0E85" w:rsidP="004C1F82">
            <w:pPr>
              <w:pStyle w:val="TBLText"/>
              <w:rPr>
                <w:rFonts w:eastAsia="MS Mincho"/>
              </w:rPr>
            </w:pPr>
            <w:r>
              <w:rPr>
                <w:rFonts w:eastAsia="MS Mincho"/>
              </w:rPr>
              <w:t>No</w:t>
            </w:r>
          </w:p>
        </w:tc>
        <w:tc>
          <w:tcPr>
            <w:tcW w:w="970" w:type="pct"/>
            <w:shd w:val="clear" w:color="auto" w:fill="auto"/>
          </w:tcPr>
          <w:p w14:paraId="5CD60F87" w14:textId="48FB6894" w:rsidR="00DF0E85" w:rsidRPr="0095299E" w:rsidRDefault="00BA4608" w:rsidP="004C1F82">
            <w:pPr>
              <w:pStyle w:val="TBLText"/>
              <w:rPr>
                <w:rFonts w:eastAsia="MS Mincho"/>
              </w:rPr>
            </w:pPr>
            <w:r>
              <w:rPr>
                <w:rFonts w:eastAsia="MS Mincho"/>
              </w:rPr>
              <w:t>$1</w:t>
            </w:r>
            <w:r w:rsidR="001664BA">
              <w:rPr>
                <w:rFonts w:eastAsia="MS Mincho"/>
              </w:rPr>
              <w:t>,</w:t>
            </w:r>
            <w:r>
              <w:rPr>
                <w:rFonts w:eastAsia="MS Mincho"/>
              </w:rPr>
              <w:t>880</w:t>
            </w:r>
            <w:r w:rsidR="00DF0E85">
              <w:rPr>
                <w:rFonts w:eastAsia="MS Mincho"/>
              </w:rPr>
              <w:t>m</w:t>
            </w:r>
          </w:p>
        </w:tc>
      </w:tr>
      <w:tr w:rsidR="00DF0E85" w:rsidRPr="0095299E" w14:paraId="04D10B0B" w14:textId="77777777" w:rsidTr="00C45E30">
        <w:trPr>
          <w:cantSplit/>
          <w:trHeight w:val="20"/>
        </w:trPr>
        <w:tc>
          <w:tcPr>
            <w:tcW w:w="1513" w:type="pct"/>
            <w:shd w:val="clear" w:color="auto" w:fill="DBE6F5" w:themeFill="text2" w:themeFillTint="1A"/>
          </w:tcPr>
          <w:p w14:paraId="00C512F2" w14:textId="77777777" w:rsidR="00DF0E85" w:rsidRPr="0095299E" w:rsidRDefault="00DF0E85" w:rsidP="004C1F82">
            <w:pPr>
              <w:pStyle w:val="TBLText"/>
              <w:rPr>
                <w:b/>
              </w:rPr>
            </w:pPr>
            <w:r w:rsidRPr="0095299E">
              <w:rPr>
                <w:b/>
              </w:rPr>
              <w:t>Total proposals</w:t>
            </w:r>
          </w:p>
        </w:tc>
        <w:tc>
          <w:tcPr>
            <w:tcW w:w="692" w:type="pct"/>
            <w:shd w:val="clear" w:color="auto" w:fill="DBE6F5" w:themeFill="text2" w:themeFillTint="1A"/>
          </w:tcPr>
          <w:p w14:paraId="23747DA5" w14:textId="19F1D253" w:rsidR="00DF0E85" w:rsidRPr="0095299E" w:rsidRDefault="00BA4608" w:rsidP="004C1F82">
            <w:pPr>
              <w:pStyle w:val="TBLText"/>
              <w:rPr>
                <w:b/>
                <w:bCs/>
              </w:rPr>
            </w:pPr>
            <w:r>
              <w:rPr>
                <w:b/>
                <w:bCs/>
              </w:rPr>
              <w:t>1</w:t>
            </w:r>
            <w:r w:rsidR="00DF0E85" w:rsidRPr="1F55995A">
              <w:rPr>
                <w:b/>
                <w:bCs/>
              </w:rPr>
              <w:t>/</w:t>
            </w:r>
            <w:r>
              <w:rPr>
                <w:b/>
                <w:bCs/>
              </w:rPr>
              <w:t>1</w:t>
            </w:r>
          </w:p>
        </w:tc>
        <w:tc>
          <w:tcPr>
            <w:tcW w:w="853" w:type="pct"/>
            <w:shd w:val="clear" w:color="auto" w:fill="DBE6F5" w:themeFill="text2" w:themeFillTint="1A"/>
          </w:tcPr>
          <w:p w14:paraId="4704F178" w14:textId="77777777" w:rsidR="00DF0E85" w:rsidRPr="0095299E" w:rsidRDefault="00DF0E85" w:rsidP="004C1F82">
            <w:pPr>
              <w:pStyle w:val="TBLText"/>
              <w:rPr>
                <w:b/>
              </w:rPr>
            </w:pPr>
            <w:r w:rsidRPr="0095299E">
              <w:rPr>
                <w:b/>
              </w:rPr>
              <w:t>-</w:t>
            </w:r>
          </w:p>
        </w:tc>
        <w:tc>
          <w:tcPr>
            <w:tcW w:w="971" w:type="pct"/>
            <w:shd w:val="clear" w:color="auto" w:fill="DBE6F5" w:themeFill="text2" w:themeFillTint="1A"/>
          </w:tcPr>
          <w:p w14:paraId="23B0555C" w14:textId="39CA7737" w:rsidR="00DF0E85" w:rsidRPr="0095299E" w:rsidRDefault="00BA4608" w:rsidP="004C1F82">
            <w:pPr>
              <w:pStyle w:val="TBLText"/>
              <w:rPr>
                <w:b/>
                <w:bCs/>
              </w:rPr>
            </w:pPr>
            <w:r>
              <w:rPr>
                <w:b/>
                <w:bCs/>
              </w:rPr>
              <w:t>0/1</w:t>
            </w:r>
          </w:p>
        </w:tc>
        <w:tc>
          <w:tcPr>
            <w:tcW w:w="970" w:type="pct"/>
            <w:shd w:val="clear" w:color="auto" w:fill="DBE6F5" w:themeFill="text2" w:themeFillTint="1A"/>
          </w:tcPr>
          <w:p w14:paraId="3EC7749A" w14:textId="67127921" w:rsidR="00DF0E85" w:rsidRPr="008D74F6" w:rsidRDefault="00BA4608" w:rsidP="004C1F82">
            <w:pPr>
              <w:pStyle w:val="TBLText"/>
              <w:rPr>
                <w:b/>
                <w:bCs/>
              </w:rPr>
            </w:pPr>
            <w:r>
              <w:rPr>
                <w:b/>
                <w:bCs/>
              </w:rPr>
              <w:t>$1</w:t>
            </w:r>
            <w:r w:rsidR="001664BA">
              <w:rPr>
                <w:b/>
                <w:bCs/>
              </w:rPr>
              <w:t>,</w:t>
            </w:r>
            <w:r>
              <w:rPr>
                <w:b/>
                <w:bCs/>
              </w:rPr>
              <w:t>880</w:t>
            </w:r>
            <w:r w:rsidR="00DF0E85" w:rsidRPr="0790E64D">
              <w:rPr>
                <w:b/>
                <w:bCs/>
              </w:rPr>
              <w:t>m</w:t>
            </w:r>
          </w:p>
        </w:tc>
      </w:tr>
    </w:tbl>
    <w:p w14:paraId="2525F4FB" w14:textId="7FBD50C1" w:rsidR="00EE3ABA" w:rsidRDefault="00EE3ABA" w:rsidP="00031D61">
      <w:pPr>
        <w:pStyle w:val="Heading2"/>
      </w:pPr>
      <w:bookmarkStart w:id="8" w:name="_Toc193445412"/>
      <w:bookmarkStart w:id="9" w:name="_Toc758008045"/>
      <w:bookmarkStart w:id="10" w:name="_Toc155876546"/>
      <w:r>
        <w:lastRenderedPageBreak/>
        <w:t>Australian Communications and Media Authority</w:t>
      </w:r>
      <w:bookmarkEnd w:id="8"/>
      <w:bookmarkEnd w:id="9"/>
    </w:p>
    <w:p w14:paraId="60E68EBF" w14:textId="18954850" w:rsidR="00EE3ABA" w:rsidRDefault="00CE18F2" w:rsidP="00CE18F2">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3</w:t>
      </w:r>
      <w:r w:rsidR="0019779B">
        <w:rPr>
          <w:noProof/>
        </w:rPr>
        <w:fldChar w:fldCharType="end"/>
      </w:r>
      <w:r>
        <w:t xml:space="preserve">. </w:t>
      </w:r>
      <w:r w:rsidRPr="00134922">
        <w:t>Compliance summary: Australian Communications and Media Authority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Communications and Media Authority"/>
        <w:tblDescription w:val="Compliance summary: Australian Communications and Media Authority"/>
      </w:tblPr>
      <w:tblGrid>
        <w:gridCol w:w="3017"/>
        <w:gridCol w:w="1380"/>
        <w:gridCol w:w="1701"/>
        <w:gridCol w:w="1936"/>
        <w:gridCol w:w="1934"/>
      </w:tblGrid>
      <w:tr w:rsidR="00EE3ABA" w14:paraId="0D1E1459" w14:textId="77777777" w:rsidTr="24D56CEB">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0CC2E21B" w14:textId="77777777" w:rsidR="00EE3ABA" w:rsidRPr="006E170D" w:rsidRDefault="00EE3ABA" w:rsidP="00062946">
            <w:pPr>
              <w:pStyle w:val="TBLHeading"/>
            </w:pPr>
            <w:r>
              <w:t>Proposal</w:t>
            </w:r>
          </w:p>
        </w:tc>
        <w:tc>
          <w:tcPr>
            <w:tcW w:w="692" w:type="pct"/>
            <w:tcBorders>
              <w:top w:val="none" w:sz="0" w:space="0" w:color="auto"/>
              <w:bottom w:val="none" w:sz="0" w:space="0" w:color="auto"/>
            </w:tcBorders>
          </w:tcPr>
          <w:p w14:paraId="2B68DC10" w14:textId="77777777" w:rsidR="00EE3ABA" w:rsidRPr="006E170D" w:rsidRDefault="00EE3ABA" w:rsidP="00062946">
            <w:pPr>
              <w:pStyle w:val="TBLHeading"/>
            </w:pPr>
            <w:r>
              <w:t>IA Compliance</w:t>
            </w:r>
          </w:p>
        </w:tc>
        <w:tc>
          <w:tcPr>
            <w:tcW w:w="853" w:type="pct"/>
            <w:tcBorders>
              <w:top w:val="none" w:sz="0" w:space="0" w:color="auto"/>
              <w:bottom w:val="none" w:sz="0" w:space="0" w:color="auto"/>
            </w:tcBorders>
          </w:tcPr>
          <w:p w14:paraId="70CF0966" w14:textId="77777777" w:rsidR="00EE3ABA" w:rsidRPr="006E170D" w:rsidRDefault="00EE3ABA" w:rsidP="00062946">
            <w:pPr>
              <w:pStyle w:val="TBLHeading"/>
            </w:pPr>
            <w:r>
              <w:t>Rating</w:t>
            </w:r>
          </w:p>
        </w:tc>
        <w:tc>
          <w:tcPr>
            <w:tcW w:w="971" w:type="pct"/>
            <w:tcBorders>
              <w:top w:val="none" w:sz="0" w:space="0" w:color="auto"/>
              <w:bottom w:val="none" w:sz="0" w:space="0" w:color="auto"/>
            </w:tcBorders>
          </w:tcPr>
          <w:p w14:paraId="51A87677" w14:textId="77777777" w:rsidR="00EE3ABA" w:rsidRPr="006E170D" w:rsidRDefault="00EE3ABA" w:rsidP="00062946">
            <w:pPr>
              <w:pStyle w:val="TBLHeading"/>
            </w:pPr>
            <w:r>
              <w:t>PIR Required</w:t>
            </w:r>
          </w:p>
        </w:tc>
        <w:tc>
          <w:tcPr>
            <w:tcW w:w="970" w:type="pct"/>
            <w:tcBorders>
              <w:top w:val="none" w:sz="0" w:space="0" w:color="auto"/>
              <w:bottom w:val="none" w:sz="0" w:space="0" w:color="auto"/>
              <w:right w:val="none" w:sz="0" w:space="0" w:color="auto"/>
            </w:tcBorders>
          </w:tcPr>
          <w:p w14:paraId="46D5A4BF" w14:textId="77777777" w:rsidR="00EE3ABA" w:rsidRPr="006E170D" w:rsidRDefault="00EE3ABA" w:rsidP="00062946">
            <w:pPr>
              <w:pStyle w:val="TBLHeading"/>
            </w:pPr>
            <w:r>
              <w:t xml:space="preserve"> Annual Regulatory Burden ($m)</w:t>
            </w:r>
          </w:p>
        </w:tc>
      </w:tr>
      <w:tr w:rsidR="00EE3ABA" w14:paraId="754D54DB" w14:textId="77777777" w:rsidTr="24D56CEB">
        <w:trPr>
          <w:cantSplit/>
          <w:trHeight w:val="20"/>
        </w:trPr>
        <w:tc>
          <w:tcPr>
            <w:tcW w:w="1513" w:type="pct"/>
            <w:shd w:val="clear" w:color="auto" w:fill="auto"/>
          </w:tcPr>
          <w:p w14:paraId="55FF4F75" w14:textId="6CDFA5B5" w:rsidR="00EE3ABA" w:rsidRPr="006E170D" w:rsidRDefault="00EE3ABA" w:rsidP="00062946">
            <w:pPr>
              <w:pStyle w:val="TBLText"/>
            </w:pPr>
            <w:r w:rsidRPr="00EE3ABA">
              <w:t>Requirements to identify and manage mobile phones unable to access the Triple Zero (000) Emergency Call Service</w:t>
            </w:r>
          </w:p>
        </w:tc>
        <w:tc>
          <w:tcPr>
            <w:tcW w:w="692" w:type="pct"/>
            <w:shd w:val="clear" w:color="auto" w:fill="auto"/>
          </w:tcPr>
          <w:p w14:paraId="3E980D07" w14:textId="77777777" w:rsidR="00EE3ABA" w:rsidRPr="006E170D" w:rsidRDefault="00EE3ABA" w:rsidP="00062946">
            <w:pPr>
              <w:pStyle w:val="TBLText"/>
              <w:rPr>
                <w:rFonts w:eastAsia="MS Mincho"/>
              </w:rPr>
            </w:pPr>
            <w:r>
              <w:rPr>
                <w:rFonts w:eastAsia="MS Mincho"/>
              </w:rPr>
              <w:t>Compliant</w:t>
            </w:r>
          </w:p>
        </w:tc>
        <w:tc>
          <w:tcPr>
            <w:tcW w:w="853" w:type="pct"/>
            <w:shd w:val="clear" w:color="auto" w:fill="auto"/>
          </w:tcPr>
          <w:p w14:paraId="6A3890FE" w14:textId="70E26111" w:rsidR="00EE3ABA" w:rsidRPr="006D708A" w:rsidRDefault="00EE3ABA" w:rsidP="00062946">
            <w:pPr>
              <w:pStyle w:val="TBLText"/>
              <w:rPr>
                <w:rFonts w:eastAsia="MS Mincho"/>
              </w:rPr>
            </w:pPr>
            <w:r>
              <w:rPr>
                <w:rFonts w:eastAsia="MS Mincho"/>
              </w:rPr>
              <w:t>Adequate</w:t>
            </w:r>
          </w:p>
        </w:tc>
        <w:tc>
          <w:tcPr>
            <w:tcW w:w="971" w:type="pct"/>
            <w:shd w:val="clear" w:color="auto" w:fill="auto"/>
          </w:tcPr>
          <w:p w14:paraId="171F5D1B" w14:textId="77777777" w:rsidR="00EE3ABA" w:rsidRPr="006D708A" w:rsidRDefault="00EE3ABA" w:rsidP="00062946">
            <w:pPr>
              <w:pStyle w:val="TBLText"/>
              <w:rPr>
                <w:rFonts w:eastAsia="MS Mincho"/>
              </w:rPr>
            </w:pPr>
            <w:r>
              <w:rPr>
                <w:rFonts w:eastAsia="MS Mincho"/>
              </w:rPr>
              <w:t>No</w:t>
            </w:r>
          </w:p>
        </w:tc>
        <w:tc>
          <w:tcPr>
            <w:tcW w:w="970" w:type="pct"/>
            <w:shd w:val="clear" w:color="auto" w:fill="auto"/>
          </w:tcPr>
          <w:p w14:paraId="2256C196" w14:textId="4A2E13C1" w:rsidR="00EE3ABA" w:rsidRPr="006E170D" w:rsidRDefault="00EE3ABA" w:rsidP="00062946">
            <w:pPr>
              <w:pStyle w:val="TBLText"/>
              <w:rPr>
                <w:rFonts w:eastAsia="MS Mincho"/>
              </w:rPr>
            </w:pPr>
            <w:r>
              <w:rPr>
                <w:rFonts w:eastAsia="MS Mincho"/>
              </w:rPr>
              <w:t>$14.9m</w:t>
            </w:r>
          </w:p>
        </w:tc>
      </w:tr>
      <w:tr w:rsidR="00062946" w14:paraId="27C08490" w14:textId="77777777" w:rsidTr="24D56CEB">
        <w:trPr>
          <w:cantSplit/>
          <w:trHeight w:val="20"/>
        </w:trPr>
        <w:tc>
          <w:tcPr>
            <w:tcW w:w="1513" w:type="pct"/>
            <w:shd w:val="clear" w:color="auto" w:fill="auto"/>
          </w:tcPr>
          <w:p w14:paraId="0D6F3A6D" w14:textId="50E267B0" w:rsidR="00062946" w:rsidRPr="00EE3ABA" w:rsidRDefault="00062946" w:rsidP="00062946">
            <w:pPr>
              <w:pStyle w:val="TBLText"/>
            </w:pPr>
            <w:r w:rsidRPr="00062946">
              <w:t>Improving Telco Communications to Stakeholders During Outages</w:t>
            </w:r>
          </w:p>
        </w:tc>
        <w:tc>
          <w:tcPr>
            <w:tcW w:w="692" w:type="pct"/>
            <w:shd w:val="clear" w:color="auto" w:fill="auto"/>
          </w:tcPr>
          <w:p w14:paraId="7F21203D" w14:textId="6F2817D9" w:rsidR="00062946" w:rsidRDefault="00062946" w:rsidP="00062946">
            <w:pPr>
              <w:pStyle w:val="TBLText"/>
              <w:rPr>
                <w:rFonts w:eastAsia="MS Mincho"/>
              </w:rPr>
            </w:pPr>
            <w:r>
              <w:rPr>
                <w:rFonts w:eastAsia="MS Mincho"/>
              </w:rPr>
              <w:t>Compliant</w:t>
            </w:r>
          </w:p>
        </w:tc>
        <w:tc>
          <w:tcPr>
            <w:tcW w:w="853" w:type="pct"/>
            <w:shd w:val="clear" w:color="auto" w:fill="auto"/>
          </w:tcPr>
          <w:p w14:paraId="34DED0A7" w14:textId="18E4A076" w:rsidR="00062946" w:rsidRDefault="00062946" w:rsidP="00062946">
            <w:pPr>
              <w:pStyle w:val="TBLText"/>
              <w:rPr>
                <w:rFonts w:eastAsia="MS Mincho"/>
              </w:rPr>
            </w:pPr>
            <w:r>
              <w:rPr>
                <w:rFonts w:eastAsia="MS Mincho"/>
              </w:rPr>
              <w:t>Good Practice</w:t>
            </w:r>
          </w:p>
        </w:tc>
        <w:tc>
          <w:tcPr>
            <w:tcW w:w="971" w:type="pct"/>
            <w:shd w:val="clear" w:color="auto" w:fill="auto"/>
          </w:tcPr>
          <w:p w14:paraId="62F76052" w14:textId="2253671B" w:rsidR="00062946" w:rsidRDefault="00062946" w:rsidP="00062946">
            <w:pPr>
              <w:pStyle w:val="TBLText"/>
              <w:rPr>
                <w:rFonts w:eastAsia="MS Mincho"/>
              </w:rPr>
            </w:pPr>
            <w:r>
              <w:rPr>
                <w:rFonts w:eastAsia="MS Mincho"/>
              </w:rPr>
              <w:t>No</w:t>
            </w:r>
          </w:p>
        </w:tc>
        <w:tc>
          <w:tcPr>
            <w:tcW w:w="970" w:type="pct"/>
            <w:shd w:val="clear" w:color="auto" w:fill="auto"/>
          </w:tcPr>
          <w:p w14:paraId="473718D5" w14:textId="24F150F4" w:rsidR="00062946" w:rsidRDefault="00062946" w:rsidP="00062946">
            <w:pPr>
              <w:pStyle w:val="TBLText"/>
              <w:rPr>
                <w:rFonts w:eastAsia="MS Mincho"/>
              </w:rPr>
            </w:pPr>
            <w:r>
              <w:rPr>
                <w:rFonts w:eastAsia="MS Mincho"/>
              </w:rPr>
              <w:t>$14.78m</w:t>
            </w:r>
          </w:p>
        </w:tc>
      </w:tr>
      <w:tr w:rsidR="00062946" w14:paraId="29083259" w14:textId="77777777" w:rsidTr="24D56CEB">
        <w:trPr>
          <w:cantSplit/>
          <w:trHeight w:val="20"/>
        </w:trPr>
        <w:tc>
          <w:tcPr>
            <w:tcW w:w="1513" w:type="pct"/>
            <w:shd w:val="clear" w:color="auto" w:fill="auto"/>
          </w:tcPr>
          <w:p w14:paraId="2B936D14" w14:textId="7B6FFE07" w:rsidR="00062946" w:rsidRDefault="00062946" w:rsidP="00062946">
            <w:pPr>
              <w:pStyle w:val="TBLText"/>
            </w:pPr>
            <w:r w:rsidRPr="00062946">
              <w:t>Future use of the upper 6 GHz band</w:t>
            </w:r>
          </w:p>
        </w:tc>
        <w:tc>
          <w:tcPr>
            <w:tcW w:w="692" w:type="pct"/>
            <w:shd w:val="clear" w:color="auto" w:fill="auto"/>
          </w:tcPr>
          <w:p w14:paraId="51CC612C" w14:textId="392FB73D" w:rsidR="00062946" w:rsidRDefault="00062946" w:rsidP="00062946">
            <w:pPr>
              <w:pStyle w:val="TBLText"/>
              <w:rPr>
                <w:rFonts w:eastAsia="MS Mincho"/>
              </w:rPr>
            </w:pPr>
            <w:r>
              <w:rPr>
                <w:rFonts w:eastAsia="MS Mincho"/>
              </w:rPr>
              <w:t>Compliant</w:t>
            </w:r>
          </w:p>
        </w:tc>
        <w:tc>
          <w:tcPr>
            <w:tcW w:w="853" w:type="pct"/>
            <w:shd w:val="clear" w:color="auto" w:fill="auto"/>
          </w:tcPr>
          <w:p w14:paraId="28B8A4B6" w14:textId="4D440AB9" w:rsidR="00062946" w:rsidRDefault="00062946" w:rsidP="00062946">
            <w:pPr>
              <w:pStyle w:val="TBLText"/>
              <w:rPr>
                <w:rFonts w:eastAsia="MS Mincho"/>
              </w:rPr>
            </w:pPr>
            <w:r>
              <w:rPr>
                <w:rFonts w:eastAsia="MS Mincho"/>
              </w:rPr>
              <w:t>N/A</w:t>
            </w:r>
            <w:r w:rsidRPr="00265E69">
              <w:rPr>
                <w:rFonts w:eastAsia="MS Mincho"/>
                <w:vertAlign w:val="superscript"/>
              </w:rPr>
              <w:t>a</w:t>
            </w:r>
          </w:p>
        </w:tc>
        <w:tc>
          <w:tcPr>
            <w:tcW w:w="971" w:type="pct"/>
            <w:shd w:val="clear" w:color="auto" w:fill="auto"/>
          </w:tcPr>
          <w:p w14:paraId="4E9397C8" w14:textId="37393B65" w:rsidR="00062946" w:rsidRDefault="00062946" w:rsidP="00062946">
            <w:pPr>
              <w:pStyle w:val="TBLText"/>
              <w:rPr>
                <w:rFonts w:eastAsia="MS Mincho"/>
              </w:rPr>
            </w:pPr>
            <w:r>
              <w:rPr>
                <w:rFonts w:eastAsia="MS Mincho"/>
              </w:rPr>
              <w:t>No</w:t>
            </w:r>
          </w:p>
        </w:tc>
        <w:tc>
          <w:tcPr>
            <w:tcW w:w="970" w:type="pct"/>
            <w:shd w:val="clear" w:color="auto" w:fill="auto"/>
          </w:tcPr>
          <w:p w14:paraId="0F32C04E" w14:textId="04FFBC3A" w:rsidR="00062946" w:rsidRDefault="00062946" w:rsidP="00062946">
            <w:pPr>
              <w:pStyle w:val="TBLText"/>
              <w:rPr>
                <w:rFonts w:eastAsia="MS Mincho"/>
              </w:rPr>
            </w:pPr>
            <w:r>
              <w:rPr>
                <w:rFonts w:eastAsia="MS Mincho"/>
              </w:rPr>
              <w:t>$38.0m</w:t>
            </w:r>
          </w:p>
        </w:tc>
      </w:tr>
      <w:tr w:rsidR="00EE3ABA" w14:paraId="04159D98" w14:textId="77777777" w:rsidTr="24D56CEB">
        <w:trPr>
          <w:cantSplit/>
          <w:trHeight w:val="20"/>
        </w:trPr>
        <w:tc>
          <w:tcPr>
            <w:tcW w:w="1513" w:type="pct"/>
            <w:shd w:val="clear" w:color="auto" w:fill="DBE6F5" w:themeFill="text2" w:themeFillTint="1A"/>
          </w:tcPr>
          <w:p w14:paraId="32BD4CB2" w14:textId="77777777" w:rsidR="00EE3ABA" w:rsidRPr="00363240" w:rsidRDefault="00EE3ABA" w:rsidP="00062946">
            <w:pPr>
              <w:pStyle w:val="TBLText"/>
              <w:rPr>
                <w:b/>
              </w:rPr>
            </w:pPr>
            <w:r w:rsidRPr="00363240">
              <w:rPr>
                <w:b/>
              </w:rPr>
              <w:t>Total proposals</w:t>
            </w:r>
          </w:p>
        </w:tc>
        <w:tc>
          <w:tcPr>
            <w:tcW w:w="692" w:type="pct"/>
            <w:shd w:val="clear" w:color="auto" w:fill="DBE6F5" w:themeFill="text2" w:themeFillTint="1A"/>
          </w:tcPr>
          <w:p w14:paraId="23341B50" w14:textId="63057F80" w:rsidR="00EE3ABA" w:rsidRPr="00BA4608" w:rsidRDefault="000D1A93" w:rsidP="00062946">
            <w:pPr>
              <w:pStyle w:val="TBLText"/>
              <w:rPr>
                <w:b/>
                <w:bCs/>
              </w:rPr>
            </w:pPr>
            <w:r>
              <w:rPr>
                <w:b/>
                <w:bCs/>
              </w:rPr>
              <w:t>3/3</w:t>
            </w:r>
          </w:p>
        </w:tc>
        <w:tc>
          <w:tcPr>
            <w:tcW w:w="853" w:type="pct"/>
            <w:shd w:val="clear" w:color="auto" w:fill="DBE6F5" w:themeFill="text2" w:themeFillTint="1A"/>
          </w:tcPr>
          <w:p w14:paraId="21088CF4" w14:textId="3BAAE98F" w:rsidR="00EE3ABA" w:rsidRPr="00BA4608" w:rsidRDefault="000D1A93" w:rsidP="00062946">
            <w:pPr>
              <w:pStyle w:val="TBLText"/>
              <w:rPr>
                <w:b/>
              </w:rPr>
            </w:pPr>
            <w:r>
              <w:rPr>
                <w:b/>
              </w:rPr>
              <w:t>-</w:t>
            </w:r>
          </w:p>
        </w:tc>
        <w:tc>
          <w:tcPr>
            <w:tcW w:w="971" w:type="pct"/>
            <w:shd w:val="clear" w:color="auto" w:fill="DBE6F5" w:themeFill="text2" w:themeFillTint="1A"/>
          </w:tcPr>
          <w:p w14:paraId="60142BA7" w14:textId="708C6379" w:rsidR="00EE3ABA" w:rsidRPr="00BA4608" w:rsidRDefault="000D1A93" w:rsidP="00062946">
            <w:pPr>
              <w:pStyle w:val="TBLText"/>
              <w:rPr>
                <w:b/>
                <w:bCs/>
              </w:rPr>
            </w:pPr>
            <w:r>
              <w:rPr>
                <w:b/>
                <w:bCs/>
              </w:rPr>
              <w:t>0/3</w:t>
            </w:r>
          </w:p>
        </w:tc>
        <w:tc>
          <w:tcPr>
            <w:tcW w:w="970" w:type="pct"/>
            <w:shd w:val="clear" w:color="auto" w:fill="DBE6F5" w:themeFill="text2" w:themeFillTint="1A"/>
          </w:tcPr>
          <w:p w14:paraId="00DB9CA9" w14:textId="386F0CBB" w:rsidR="00EE3ABA" w:rsidRPr="00BA4608" w:rsidRDefault="000D1A93" w:rsidP="00062946">
            <w:pPr>
              <w:pStyle w:val="TBLText"/>
              <w:rPr>
                <w:b/>
                <w:bCs/>
              </w:rPr>
            </w:pPr>
            <w:r>
              <w:rPr>
                <w:b/>
                <w:bCs/>
              </w:rPr>
              <w:t>$67.68m</w:t>
            </w:r>
          </w:p>
        </w:tc>
      </w:tr>
    </w:tbl>
    <w:p w14:paraId="56C96902" w14:textId="25303435" w:rsidR="00C25B79" w:rsidRDefault="00C25B79" w:rsidP="00265E69">
      <w:pPr>
        <w:pStyle w:val="TBLFootnote"/>
      </w:pPr>
      <w:r w:rsidRPr="00265E69">
        <w:t xml:space="preserve">a </w:t>
      </w:r>
      <w:r>
        <w:t>N/A - Proposal was subject to an Impact Analysis Equivalent process.</w:t>
      </w:r>
    </w:p>
    <w:p w14:paraId="7BAD6D0B" w14:textId="5A72C75B" w:rsidR="00DE6598" w:rsidRDefault="00DE6598" w:rsidP="00031D61">
      <w:pPr>
        <w:pStyle w:val="Heading2"/>
      </w:pPr>
      <w:bookmarkStart w:id="11" w:name="_Toc193445413"/>
      <w:bookmarkStart w:id="12" w:name="_Toc1298055871"/>
      <w:r>
        <w:t>Australian Competition and Consumer Commission</w:t>
      </w:r>
      <w:bookmarkEnd w:id="10"/>
      <w:bookmarkEnd w:id="11"/>
      <w:bookmarkEnd w:id="12"/>
    </w:p>
    <w:p w14:paraId="0749CAE5" w14:textId="4BCEC716" w:rsidR="00031D61" w:rsidRPr="00031D61" w:rsidRDefault="00CE18F2" w:rsidP="00031D61">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4</w:t>
      </w:r>
      <w:r w:rsidR="0019779B">
        <w:rPr>
          <w:noProof/>
        </w:rPr>
        <w:fldChar w:fldCharType="end"/>
      </w:r>
      <w:r>
        <w:t xml:space="preserve">. </w:t>
      </w:r>
      <w:r w:rsidRPr="008C24CB">
        <w:t>Compliance summary: Australian Competition and Consumer Commission</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Communications and Media Authority"/>
        <w:tblDescription w:val="Compliance summary: Australian Communications and Media Authority"/>
      </w:tblPr>
      <w:tblGrid>
        <w:gridCol w:w="3017"/>
        <w:gridCol w:w="1380"/>
        <w:gridCol w:w="1701"/>
        <w:gridCol w:w="1936"/>
        <w:gridCol w:w="1934"/>
      </w:tblGrid>
      <w:tr w:rsidR="00DE6598" w14:paraId="0B574081" w14:textId="77777777" w:rsidTr="06B127C8">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473D2ABE" w14:textId="77777777" w:rsidR="00DE6598" w:rsidRPr="006E170D" w:rsidRDefault="00DE6598" w:rsidP="00C47BA6">
            <w:pPr>
              <w:pStyle w:val="TBLHeading"/>
            </w:pPr>
            <w:r>
              <w:t>Proposal</w:t>
            </w:r>
          </w:p>
        </w:tc>
        <w:tc>
          <w:tcPr>
            <w:tcW w:w="692" w:type="pct"/>
            <w:tcBorders>
              <w:top w:val="none" w:sz="0" w:space="0" w:color="auto"/>
              <w:bottom w:val="none" w:sz="0" w:space="0" w:color="auto"/>
            </w:tcBorders>
          </w:tcPr>
          <w:p w14:paraId="109D9CA9"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tcPr>
          <w:p w14:paraId="098FA683" w14:textId="77777777" w:rsidR="00DE6598" w:rsidRPr="006E170D" w:rsidRDefault="00DE6598" w:rsidP="00C47BA6">
            <w:pPr>
              <w:pStyle w:val="TBLHeading"/>
            </w:pPr>
            <w:r>
              <w:t>Rating</w:t>
            </w:r>
          </w:p>
        </w:tc>
        <w:tc>
          <w:tcPr>
            <w:tcW w:w="971" w:type="pct"/>
            <w:tcBorders>
              <w:top w:val="none" w:sz="0" w:space="0" w:color="auto"/>
              <w:bottom w:val="none" w:sz="0" w:space="0" w:color="auto"/>
            </w:tcBorders>
          </w:tcPr>
          <w:p w14:paraId="66F39C05"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tcPr>
          <w:p w14:paraId="2AB56102" w14:textId="5F0A2DAD" w:rsidR="00DE6598" w:rsidRPr="006E170D" w:rsidRDefault="4475E023" w:rsidP="00C47BA6">
            <w:pPr>
              <w:pStyle w:val="TBLHeading"/>
            </w:pPr>
            <w:r>
              <w:t xml:space="preserve"> Annual Regulatory Burden ($m)</w:t>
            </w:r>
          </w:p>
        </w:tc>
      </w:tr>
      <w:tr w:rsidR="00DE6598" w14:paraId="0CA74920" w14:textId="77777777" w:rsidTr="06B127C8">
        <w:trPr>
          <w:cantSplit/>
          <w:trHeight w:val="20"/>
        </w:trPr>
        <w:tc>
          <w:tcPr>
            <w:tcW w:w="1513" w:type="pct"/>
            <w:shd w:val="clear" w:color="auto" w:fill="auto"/>
          </w:tcPr>
          <w:p w14:paraId="2D523FE0" w14:textId="07A97719" w:rsidR="00DE6598" w:rsidRPr="006E170D" w:rsidRDefault="004A17D7" w:rsidP="00C47BA6">
            <w:pPr>
              <w:pStyle w:val="TBLText"/>
            </w:pPr>
            <w:r w:rsidRPr="004A17D7">
              <w:t>ACCC: safety risks posed by infant inclined products</w:t>
            </w:r>
          </w:p>
        </w:tc>
        <w:tc>
          <w:tcPr>
            <w:tcW w:w="692" w:type="pct"/>
            <w:shd w:val="clear" w:color="auto" w:fill="auto"/>
          </w:tcPr>
          <w:p w14:paraId="476931E4" w14:textId="5EDDD399" w:rsidR="00DE6598" w:rsidRPr="006E170D" w:rsidRDefault="004A17D7" w:rsidP="4F0A19C5">
            <w:pPr>
              <w:pStyle w:val="TBLText"/>
              <w:rPr>
                <w:rFonts w:eastAsia="MS Mincho"/>
              </w:rPr>
            </w:pPr>
            <w:r>
              <w:rPr>
                <w:rFonts w:eastAsia="MS Mincho"/>
              </w:rPr>
              <w:t>Compliant</w:t>
            </w:r>
          </w:p>
        </w:tc>
        <w:tc>
          <w:tcPr>
            <w:tcW w:w="853" w:type="pct"/>
            <w:shd w:val="clear" w:color="auto" w:fill="auto"/>
          </w:tcPr>
          <w:p w14:paraId="29ABD68A" w14:textId="1FF6591A" w:rsidR="00DE6598" w:rsidRPr="006D708A" w:rsidRDefault="004A17D7" w:rsidP="4F0A19C5">
            <w:pPr>
              <w:pStyle w:val="TBLText"/>
              <w:rPr>
                <w:rFonts w:eastAsia="MS Mincho"/>
              </w:rPr>
            </w:pPr>
            <w:r>
              <w:rPr>
                <w:rFonts w:eastAsia="MS Mincho"/>
              </w:rPr>
              <w:t>Good Practice</w:t>
            </w:r>
          </w:p>
        </w:tc>
        <w:tc>
          <w:tcPr>
            <w:tcW w:w="971" w:type="pct"/>
            <w:shd w:val="clear" w:color="auto" w:fill="auto"/>
          </w:tcPr>
          <w:p w14:paraId="40523663" w14:textId="6A54FBC4" w:rsidR="00DE6598" w:rsidRPr="006D708A" w:rsidRDefault="004A17D7" w:rsidP="4F0A19C5">
            <w:pPr>
              <w:pStyle w:val="TBLText"/>
              <w:rPr>
                <w:rFonts w:eastAsia="MS Mincho"/>
              </w:rPr>
            </w:pPr>
            <w:r>
              <w:rPr>
                <w:rFonts w:eastAsia="MS Mincho"/>
              </w:rPr>
              <w:t>No</w:t>
            </w:r>
          </w:p>
        </w:tc>
        <w:tc>
          <w:tcPr>
            <w:tcW w:w="970" w:type="pct"/>
            <w:shd w:val="clear" w:color="auto" w:fill="auto"/>
          </w:tcPr>
          <w:p w14:paraId="5611D719" w14:textId="2F45846A" w:rsidR="00DE6598" w:rsidRPr="006E170D" w:rsidRDefault="6951891A" w:rsidP="6AE9EB2D">
            <w:pPr>
              <w:pStyle w:val="TBLText"/>
              <w:rPr>
                <w:rFonts w:eastAsia="MS Mincho"/>
                <w:vertAlign w:val="superscript"/>
              </w:rPr>
            </w:pPr>
            <w:r w:rsidRPr="5142BD78">
              <w:rPr>
                <w:rFonts w:eastAsia="MS Mincho"/>
              </w:rPr>
              <w:t>$</w:t>
            </w:r>
            <w:r w:rsidR="00AB0F87" w:rsidRPr="5142BD78">
              <w:rPr>
                <w:rFonts w:eastAsia="MS Mincho"/>
              </w:rPr>
              <w:t>0.63m</w:t>
            </w:r>
            <w:r w:rsidR="21E34FD0" w:rsidRPr="5142BD78">
              <w:rPr>
                <w:rFonts w:eastAsia="MS Mincho"/>
              </w:rPr>
              <w:t xml:space="preserve"> </w:t>
            </w:r>
            <w:r w:rsidR="00AB0F87" w:rsidRPr="5142BD78">
              <w:rPr>
                <w:rFonts w:eastAsia="MS Mincho"/>
              </w:rPr>
              <w:t>-</w:t>
            </w:r>
            <w:r w:rsidR="21E34FD0" w:rsidRPr="5142BD78">
              <w:rPr>
                <w:rFonts w:eastAsia="MS Mincho"/>
              </w:rPr>
              <w:t xml:space="preserve"> </w:t>
            </w:r>
            <w:r w:rsidR="00AB0F87" w:rsidRPr="5142BD78">
              <w:rPr>
                <w:rFonts w:eastAsia="MS Mincho"/>
              </w:rPr>
              <w:t>$1.35</w:t>
            </w:r>
            <w:r w:rsidRPr="5142BD78">
              <w:rPr>
                <w:rFonts w:eastAsia="MS Mincho"/>
              </w:rPr>
              <w:t>m</w:t>
            </w:r>
            <w:r w:rsidR="305D8740" w:rsidRPr="5142BD78">
              <w:rPr>
                <w:rFonts w:eastAsia="MS Mincho"/>
              </w:rPr>
              <w:t xml:space="preserve"> for the Consumer Goods (Infant Products) Information Standard 2024</w:t>
            </w:r>
            <w:r w:rsidR="03C3B373" w:rsidRPr="5142BD78">
              <w:rPr>
                <w:rFonts w:eastAsia="MS Mincho"/>
                <w:vertAlign w:val="superscript"/>
              </w:rPr>
              <w:t>a</w:t>
            </w:r>
          </w:p>
          <w:p w14:paraId="2CFD4E08" w14:textId="07D607CF" w:rsidR="00DE6598" w:rsidRPr="006E170D" w:rsidRDefault="00AB0F87" w:rsidP="00B342AA">
            <w:pPr>
              <w:pStyle w:val="TBLText"/>
              <w:rPr>
                <w:rFonts w:eastAsia="MS Mincho"/>
              </w:rPr>
            </w:pPr>
            <w:r w:rsidRPr="2EACBE2B">
              <w:rPr>
                <w:rFonts w:eastAsia="MS Mincho"/>
              </w:rPr>
              <w:t>$2.77m</w:t>
            </w:r>
            <w:r w:rsidR="30DBC3F3" w:rsidRPr="2EACBE2B">
              <w:rPr>
                <w:rFonts w:eastAsia="MS Mincho"/>
              </w:rPr>
              <w:t xml:space="preserve"> </w:t>
            </w:r>
            <w:r w:rsidRPr="2EACBE2B">
              <w:rPr>
                <w:rFonts w:eastAsia="MS Mincho"/>
              </w:rPr>
              <w:t>-</w:t>
            </w:r>
            <w:r w:rsidR="30DBC3F3" w:rsidRPr="2EACBE2B">
              <w:rPr>
                <w:rFonts w:eastAsia="MS Mincho"/>
              </w:rPr>
              <w:t xml:space="preserve"> </w:t>
            </w:r>
            <w:r w:rsidR="40121421" w:rsidRPr="2EACBE2B">
              <w:rPr>
                <w:rFonts w:eastAsia="MS Mincho"/>
              </w:rPr>
              <w:t>$161.83m per year for the first two years</w:t>
            </w:r>
            <w:r w:rsidR="4AFD82CF" w:rsidRPr="2EACBE2B">
              <w:rPr>
                <w:rFonts w:eastAsia="MS Mincho"/>
                <w:vertAlign w:val="superscript"/>
              </w:rPr>
              <w:t>a</w:t>
            </w:r>
            <w:r w:rsidR="004A17D7" w:rsidRPr="2EACBE2B">
              <w:rPr>
                <w:rFonts w:eastAsia="MS Mincho"/>
              </w:rPr>
              <w:t xml:space="preserve"> </w:t>
            </w:r>
            <w:r w:rsidR="5673C852" w:rsidRPr="2EACBE2B">
              <w:rPr>
                <w:rFonts w:eastAsia="MS Mincho"/>
              </w:rPr>
              <w:t xml:space="preserve">and </w:t>
            </w:r>
            <w:r w:rsidR="5329F1EA" w:rsidRPr="2EACBE2B">
              <w:rPr>
                <w:rFonts w:eastAsia="MS Mincho"/>
              </w:rPr>
              <w:t>$</w:t>
            </w:r>
            <w:r w:rsidRPr="2EACBE2B">
              <w:rPr>
                <w:rFonts w:eastAsia="MS Mincho"/>
              </w:rPr>
              <w:t>1.20</w:t>
            </w:r>
            <w:r w:rsidR="00EC13D2">
              <w:rPr>
                <w:rFonts w:eastAsia="MS Mincho"/>
              </w:rPr>
              <w:noBreakHyphen/>
            </w:r>
            <w:r w:rsidR="5673C852" w:rsidRPr="2EACBE2B">
              <w:rPr>
                <w:rFonts w:eastAsia="MS Mincho"/>
              </w:rPr>
              <w:t xml:space="preserve">m </w:t>
            </w:r>
            <w:r w:rsidR="6E850D05" w:rsidRPr="2EACBE2B">
              <w:rPr>
                <w:rFonts w:eastAsia="MS Mincho"/>
              </w:rPr>
              <w:t>- $4.33m</w:t>
            </w:r>
            <w:r w:rsidR="7D414EE4" w:rsidRPr="2EACBE2B">
              <w:rPr>
                <w:rFonts w:eastAsia="MS Mincho"/>
              </w:rPr>
              <w:t xml:space="preserve"> </w:t>
            </w:r>
            <w:r w:rsidR="5673C852" w:rsidRPr="2EACBE2B">
              <w:rPr>
                <w:rFonts w:eastAsia="MS Mincho"/>
              </w:rPr>
              <w:t xml:space="preserve">from year three onwards for </w:t>
            </w:r>
            <w:r w:rsidR="004A17D7" w:rsidRPr="2EACBE2B">
              <w:rPr>
                <w:rFonts w:eastAsia="MS Mincho"/>
              </w:rPr>
              <w:t>Consumer Goods (Infant Sleep Products) Safety Standard 2024</w:t>
            </w:r>
            <w:r w:rsidR="00B342AA" w:rsidRPr="2EACBE2B">
              <w:rPr>
                <w:rFonts w:eastAsia="MS Mincho"/>
                <w:vertAlign w:val="superscript"/>
              </w:rPr>
              <w:t>a</w:t>
            </w:r>
          </w:p>
        </w:tc>
      </w:tr>
      <w:tr w:rsidR="00DE6598" w14:paraId="5875FBDB" w14:textId="77777777" w:rsidTr="06B127C8">
        <w:trPr>
          <w:cantSplit/>
          <w:trHeight w:val="20"/>
        </w:trPr>
        <w:tc>
          <w:tcPr>
            <w:tcW w:w="1513" w:type="pct"/>
            <w:shd w:val="clear" w:color="auto" w:fill="DBE6F5" w:themeFill="text2" w:themeFillTint="1A"/>
          </w:tcPr>
          <w:p w14:paraId="08ACF74B"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6E97A13B" w14:textId="6BEE2957" w:rsidR="00DE6598" w:rsidRPr="00BA4608" w:rsidRDefault="00BA4608" w:rsidP="49A26BD7">
            <w:pPr>
              <w:pStyle w:val="TBLText"/>
              <w:rPr>
                <w:b/>
                <w:bCs/>
              </w:rPr>
            </w:pPr>
            <w:r w:rsidRPr="06B127C8">
              <w:rPr>
                <w:b/>
                <w:bCs/>
              </w:rPr>
              <w:t>1/</w:t>
            </w:r>
            <w:r w:rsidR="635F1CE1" w:rsidRPr="06B127C8">
              <w:rPr>
                <w:b/>
                <w:bCs/>
              </w:rPr>
              <w:t>1</w:t>
            </w:r>
          </w:p>
        </w:tc>
        <w:tc>
          <w:tcPr>
            <w:tcW w:w="853" w:type="pct"/>
            <w:shd w:val="clear" w:color="auto" w:fill="DBE6F5" w:themeFill="text2" w:themeFillTint="1A"/>
          </w:tcPr>
          <w:p w14:paraId="4A113BFC" w14:textId="77777777" w:rsidR="00DE6598" w:rsidRPr="00BA4608" w:rsidRDefault="00DE6598" w:rsidP="00C47BA6">
            <w:pPr>
              <w:pStyle w:val="TBLText"/>
              <w:rPr>
                <w:b/>
              </w:rPr>
            </w:pPr>
            <w:r w:rsidRPr="00BA4608">
              <w:rPr>
                <w:b/>
              </w:rPr>
              <w:t>-</w:t>
            </w:r>
          </w:p>
        </w:tc>
        <w:tc>
          <w:tcPr>
            <w:tcW w:w="971" w:type="pct"/>
            <w:shd w:val="clear" w:color="auto" w:fill="DBE6F5" w:themeFill="text2" w:themeFillTint="1A"/>
          </w:tcPr>
          <w:p w14:paraId="12370D96" w14:textId="446F1A81" w:rsidR="00DE6598" w:rsidRPr="00BA4608" w:rsidRDefault="00BA4608" w:rsidP="1F55995A">
            <w:pPr>
              <w:pStyle w:val="TBLText"/>
              <w:rPr>
                <w:b/>
                <w:bCs/>
              </w:rPr>
            </w:pPr>
            <w:r w:rsidRPr="06B127C8">
              <w:rPr>
                <w:b/>
                <w:bCs/>
              </w:rPr>
              <w:t>0/1</w:t>
            </w:r>
          </w:p>
        </w:tc>
        <w:tc>
          <w:tcPr>
            <w:tcW w:w="970" w:type="pct"/>
            <w:shd w:val="clear" w:color="auto" w:fill="DBE6F5" w:themeFill="text2" w:themeFillTint="1A"/>
          </w:tcPr>
          <w:p w14:paraId="65110191" w14:textId="40BBBF32" w:rsidR="00DE6598" w:rsidRPr="00BA4608" w:rsidRDefault="00AB0F87" w:rsidP="2CDCB38B">
            <w:pPr>
              <w:pStyle w:val="TBLText"/>
              <w:rPr>
                <w:b/>
                <w:bCs/>
              </w:rPr>
            </w:pPr>
            <w:r>
              <w:rPr>
                <w:b/>
                <w:bCs/>
              </w:rPr>
              <w:t>-</w:t>
            </w:r>
          </w:p>
        </w:tc>
      </w:tr>
    </w:tbl>
    <w:p w14:paraId="6EA19C55" w14:textId="6C5B62D5" w:rsidR="00E50ABE" w:rsidRDefault="5FDD7609" w:rsidP="733177D3">
      <w:pPr>
        <w:pStyle w:val="TBLFootnote"/>
      </w:pPr>
      <w:r w:rsidRPr="5142BD78">
        <w:rPr>
          <w:rStyle w:val="TBLFootnoteChar"/>
        </w:rPr>
        <w:t xml:space="preserve">a </w:t>
      </w:r>
      <w:r w:rsidR="00AB0F87" w:rsidRPr="5142BD78">
        <w:rPr>
          <w:rStyle w:val="TBLFootnoteChar"/>
        </w:rPr>
        <w:t>R</w:t>
      </w:r>
      <w:r w:rsidR="4EEB3E01" w:rsidRPr="5142BD78">
        <w:rPr>
          <w:rStyle w:val="TBLFootnoteChar"/>
        </w:rPr>
        <w:t>egulatory burden estimates are presented as a range. As such, regulatory burden from this</w:t>
      </w:r>
      <w:r w:rsidR="6562F6B6" w:rsidRPr="5142BD78">
        <w:rPr>
          <w:rStyle w:val="TBLFootnoteChar"/>
        </w:rPr>
        <w:t xml:space="preserve"> proposal</w:t>
      </w:r>
      <w:r w:rsidR="4EEB3E01" w:rsidRPr="5142BD78">
        <w:rPr>
          <w:rStyle w:val="TBLFootnoteChar"/>
        </w:rPr>
        <w:t xml:space="preserve"> is not included in the ‘Estimated annual impact on Regulatory Burden’ in Figure 1 or in the ‘Total proposals’ regulatory burden for this figure</w:t>
      </w:r>
      <w:r w:rsidR="00AB0F87" w:rsidRPr="5142BD78">
        <w:rPr>
          <w:rStyle w:val="TBLFootnoteChar"/>
        </w:rPr>
        <w:t>.</w:t>
      </w:r>
      <w:r w:rsidR="00AB0F87">
        <w:t xml:space="preserve"> </w:t>
      </w:r>
    </w:p>
    <w:p w14:paraId="550EA452" w14:textId="51A027E4" w:rsidR="00E50ABE" w:rsidRDefault="00E50ABE" w:rsidP="389AB7AD">
      <w:pPr>
        <w:pStyle w:val="TBLFootnote"/>
        <w:spacing w:after="200"/>
      </w:pPr>
      <w:r>
        <w:br w:type="page"/>
      </w:r>
    </w:p>
    <w:p w14:paraId="538F7AB2" w14:textId="282CC0A7" w:rsidR="006032E1" w:rsidRPr="00344B88" w:rsidRDefault="006032E1" w:rsidP="006032E1">
      <w:pPr>
        <w:pStyle w:val="Heading2"/>
      </w:pPr>
      <w:bookmarkStart w:id="13" w:name="_Toc193445414"/>
      <w:bookmarkStart w:id="14" w:name="_Toc1159818757"/>
      <w:bookmarkStart w:id="15" w:name="_Toc155876550"/>
      <w:r>
        <w:lastRenderedPageBreak/>
        <w:t>Civil Aviation Safety Authority</w:t>
      </w:r>
      <w:bookmarkEnd w:id="13"/>
      <w:bookmarkEnd w:id="14"/>
    </w:p>
    <w:p w14:paraId="4262E803" w14:textId="057BDDA6" w:rsidR="006032E1" w:rsidRPr="00774646" w:rsidRDefault="00CE18F2" w:rsidP="006032E1">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5</w:t>
      </w:r>
      <w:r w:rsidR="0019779B">
        <w:rPr>
          <w:noProof/>
        </w:rPr>
        <w:fldChar w:fldCharType="end"/>
      </w:r>
      <w:r>
        <w:t xml:space="preserve">. </w:t>
      </w:r>
      <w:r w:rsidRPr="00BD43CF">
        <w:t>Compliance summary: Civil Aviation Safety Authority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6032E1" w14:paraId="442F5CD1" w14:textId="77777777" w:rsidTr="39DE8426">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676BA3C3" w14:textId="77777777" w:rsidR="006032E1" w:rsidRPr="006E170D" w:rsidRDefault="006032E1" w:rsidP="00E50ABE">
            <w:pPr>
              <w:pStyle w:val="TBLHeading"/>
            </w:pPr>
            <w:r>
              <w:t>Proposal</w:t>
            </w:r>
          </w:p>
        </w:tc>
        <w:tc>
          <w:tcPr>
            <w:tcW w:w="692" w:type="pct"/>
            <w:tcBorders>
              <w:top w:val="none" w:sz="0" w:space="0" w:color="auto"/>
              <w:bottom w:val="none" w:sz="0" w:space="0" w:color="auto"/>
            </w:tcBorders>
          </w:tcPr>
          <w:p w14:paraId="27766687" w14:textId="77777777" w:rsidR="006032E1" w:rsidRPr="006E170D" w:rsidRDefault="006032E1" w:rsidP="00E50ABE">
            <w:pPr>
              <w:pStyle w:val="TBLHeading"/>
            </w:pPr>
            <w:r>
              <w:t>IA Compliance</w:t>
            </w:r>
          </w:p>
        </w:tc>
        <w:tc>
          <w:tcPr>
            <w:tcW w:w="853" w:type="pct"/>
            <w:tcBorders>
              <w:top w:val="none" w:sz="0" w:space="0" w:color="auto"/>
              <w:bottom w:val="none" w:sz="0" w:space="0" w:color="auto"/>
            </w:tcBorders>
          </w:tcPr>
          <w:p w14:paraId="04481819" w14:textId="77777777" w:rsidR="006032E1" w:rsidRPr="006E170D" w:rsidRDefault="006032E1" w:rsidP="00E50ABE">
            <w:pPr>
              <w:pStyle w:val="TBLHeading"/>
            </w:pPr>
            <w:r>
              <w:t>Rating</w:t>
            </w:r>
          </w:p>
        </w:tc>
        <w:tc>
          <w:tcPr>
            <w:tcW w:w="971" w:type="pct"/>
            <w:tcBorders>
              <w:top w:val="none" w:sz="0" w:space="0" w:color="auto"/>
              <w:bottom w:val="none" w:sz="0" w:space="0" w:color="auto"/>
            </w:tcBorders>
          </w:tcPr>
          <w:p w14:paraId="5CD11C65" w14:textId="77777777" w:rsidR="006032E1" w:rsidRPr="006E170D" w:rsidRDefault="006032E1" w:rsidP="00E50ABE">
            <w:pPr>
              <w:pStyle w:val="TBLHeading"/>
            </w:pPr>
            <w:r>
              <w:t>PIR Required</w:t>
            </w:r>
          </w:p>
        </w:tc>
        <w:tc>
          <w:tcPr>
            <w:tcW w:w="970" w:type="pct"/>
            <w:tcBorders>
              <w:top w:val="none" w:sz="0" w:space="0" w:color="auto"/>
              <w:bottom w:val="none" w:sz="0" w:space="0" w:color="auto"/>
              <w:right w:val="none" w:sz="0" w:space="0" w:color="auto"/>
            </w:tcBorders>
          </w:tcPr>
          <w:p w14:paraId="5D3B3A10" w14:textId="77777777" w:rsidR="006032E1" w:rsidRPr="006E170D" w:rsidRDefault="006032E1" w:rsidP="00E50ABE">
            <w:pPr>
              <w:pStyle w:val="TBLHeading"/>
            </w:pPr>
            <w:r>
              <w:t xml:space="preserve"> Annual Regulatory Burden ($m)</w:t>
            </w:r>
          </w:p>
        </w:tc>
      </w:tr>
      <w:tr w:rsidR="006032E1" w14:paraId="69A08891" w14:textId="77777777" w:rsidTr="39DE8426">
        <w:trPr>
          <w:cantSplit/>
          <w:trHeight w:val="20"/>
        </w:trPr>
        <w:tc>
          <w:tcPr>
            <w:tcW w:w="1513" w:type="pct"/>
            <w:shd w:val="clear" w:color="auto" w:fill="auto"/>
          </w:tcPr>
          <w:p w14:paraId="68089211" w14:textId="7BDB5EC6" w:rsidR="006032E1" w:rsidRPr="006E170D" w:rsidRDefault="00DA3834" w:rsidP="00E50ABE">
            <w:pPr>
              <w:pStyle w:val="TBLText"/>
            </w:pPr>
            <w:r w:rsidRPr="00DA3834">
              <w:t>Part 43 of the Civil Aviation Safety Regulations (CASR) Maintenance of aircraft in private and aerial work operations</w:t>
            </w:r>
          </w:p>
        </w:tc>
        <w:tc>
          <w:tcPr>
            <w:tcW w:w="692" w:type="pct"/>
            <w:shd w:val="clear" w:color="auto" w:fill="auto"/>
          </w:tcPr>
          <w:p w14:paraId="2BD895B5" w14:textId="77777777" w:rsidR="006032E1" w:rsidRPr="006E170D" w:rsidRDefault="006032E1" w:rsidP="00E50ABE">
            <w:pPr>
              <w:pStyle w:val="TBLText"/>
              <w:rPr>
                <w:rFonts w:eastAsia="MS Mincho"/>
              </w:rPr>
            </w:pPr>
            <w:r w:rsidRPr="5D3D59D8">
              <w:rPr>
                <w:rFonts w:eastAsia="MS Mincho"/>
              </w:rPr>
              <w:t>Compliant</w:t>
            </w:r>
          </w:p>
        </w:tc>
        <w:tc>
          <w:tcPr>
            <w:tcW w:w="853" w:type="pct"/>
            <w:shd w:val="clear" w:color="auto" w:fill="auto"/>
          </w:tcPr>
          <w:p w14:paraId="2EF3FA13" w14:textId="2B5AF142" w:rsidR="006032E1" w:rsidRPr="006E170D" w:rsidRDefault="00DA3834" w:rsidP="00E50ABE">
            <w:pPr>
              <w:pStyle w:val="TBLText"/>
              <w:rPr>
                <w:rFonts w:eastAsia="MS Mincho"/>
              </w:rPr>
            </w:pPr>
            <w:r>
              <w:rPr>
                <w:rFonts w:eastAsia="MS Mincho"/>
              </w:rPr>
              <w:t>Good Practice</w:t>
            </w:r>
          </w:p>
        </w:tc>
        <w:tc>
          <w:tcPr>
            <w:tcW w:w="971" w:type="pct"/>
            <w:shd w:val="clear" w:color="auto" w:fill="auto"/>
          </w:tcPr>
          <w:p w14:paraId="60CD8304" w14:textId="77777777" w:rsidR="006032E1" w:rsidRPr="006D708A" w:rsidRDefault="006032E1" w:rsidP="00E50ABE">
            <w:pPr>
              <w:pStyle w:val="TBLText"/>
              <w:rPr>
                <w:rFonts w:eastAsia="MS Mincho"/>
              </w:rPr>
            </w:pPr>
            <w:r w:rsidRPr="4CC79053">
              <w:rPr>
                <w:rFonts w:eastAsia="MS Mincho"/>
              </w:rPr>
              <w:t>No</w:t>
            </w:r>
          </w:p>
        </w:tc>
        <w:tc>
          <w:tcPr>
            <w:tcW w:w="970" w:type="pct"/>
            <w:shd w:val="clear" w:color="auto" w:fill="auto"/>
          </w:tcPr>
          <w:p w14:paraId="472821AB" w14:textId="17181B59" w:rsidR="006032E1" w:rsidRPr="00344B88" w:rsidRDefault="3056A14B" w:rsidP="00E50ABE">
            <w:pPr>
              <w:pStyle w:val="TBLText"/>
              <w:rPr>
                <w:rFonts w:eastAsia="MS Mincho"/>
              </w:rPr>
            </w:pPr>
            <w:r w:rsidRPr="39DE8426">
              <w:rPr>
                <w:rFonts w:eastAsia="MS Mincho"/>
              </w:rPr>
              <w:t>−</w:t>
            </w:r>
            <w:r w:rsidR="00DA3834" w:rsidRPr="39DE8426">
              <w:rPr>
                <w:rFonts w:eastAsia="MS Mincho"/>
              </w:rPr>
              <w:t>$1.0</w:t>
            </w:r>
            <w:r w:rsidR="006032E1" w:rsidRPr="39DE8426">
              <w:rPr>
                <w:rFonts w:eastAsia="MS Mincho"/>
              </w:rPr>
              <w:t>m</w:t>
            </w:r>
          </w:p>
        </w:tc>
      </w:tr>
      <w:tr w:rsidR="006032E1" w14:paraId="2F00EAA5" w14:textId="77777777" w:rsidTr="39DE8426">
        <w:trPr>
          <w:cantSplit/>
          <w:trHeight w:val="20"/>
        </w:trPr>
        <w:tc>
          <w:tcPr>
            <w:tcW w:w="1513" w:type="pct"/>
            <w:shd w:val="clear" w:color="auto" w:fill="DBE6F5" w:themeFill="text2" w:themeFillTint="1A"/>
          </w:tcPr>
          <w:p w14:paraId="4EA40EA6" w14:textId="77777777" w:rsidR="006032E1" w:rsidRPr="00363240" w:rsidRDefault="006032E1" w:rsidP="00E50ABE">
            <w:pPr>
              <w:pStyle w:val="TBLText"/>
              <w:rPr>
                <w:b/>
              </w:rPr>
            </w:pPr>
            <w:r w:rsidRPr="00363240">
              <w:rPr>
                <w:b/>
              </w:rPr>
              <w:t>Total proposals</w:t>
            </w:r>
          </w:p>
        </w:tc>
        <w:tc>
          <w:tcPr>
            <w:tcW w:w="692" w:type="pct"/>
            <w:shd w:val="clear" w:color="auto" w:fill="DBE6F5" w:themeFill="text2" w:themeFillTint="1A"/>
          </w:tcPr>
          <w:p w14:paraId="06D2C655" w14:textId="77777777" w:rsidR="006032E1" w:rsidRPr="00363240" w:rsidRDefault="006032E1" w:rsidP="00E50ABE">
            <w:pPr>
              <w:pStyle w:val="TBLText"/>
              <w:rPr>
                <w:b/>
                <w:bCs/>
              </w:rPr>
            </w:pPr>
            <w:r>
              <w:rPr>
                <w:b/>
                <w:bCs/>
              </w:rPr>
              <w:t>1</w:t>
            </w:r>
            <w:r w:rsidRPr="523218C3">
              <w:rPr>
                <w:b/>
                <w:bCs/>
              </w:rPr>
              <w:t>/</w:t>
            </w:r>
            <w:r>
              <w:rPr>
                <w:b/>
                <w:bCs/>
              </w:rPr>
              <w:t>1</w:t>
            </w:r>
          </w:p>
        </w:tc>
        <w:tc>
          <w:tcPr>
            <w:tcW w:w="853" w:type="pct"/>
            <w:shd w:val="clear" w:color="auto" w:fill="DBE6F5" w:themeFill="text2" w:themeFillTint="1A"/>
          </w:tcPr>
          <w:p w14:paraId="5F0F5E0E" w14:textId="77777777" w:rsidR="006032E1" w:rsidRPr="00363240" w:rsidRDefault="006032E1" w:rsidP="00E50ABE">
            <w:pPr>
              <w:pStyle w:val="TBLText"/>
              <w:rPr>
                <w:b/>
              </w:rPr>
            </w:pPr>
            <w:r w:rsidRPr="00363240">
              <w:rPr>
                <w:b/>
              </w:rPr>
              <w:t>-</w:t>
            </w:r>
          </w:p>
        </w:tc>
        <w:tc>
          <w:tcPr>
            <w:tcW w:w="971" w:type="pct"/>
            <w:shd w:val="clear" w:color="auto" w:fill="DBE6F5" w:themeFill="text2" w:themeFillTint="1A"/>
          </w:tcPr>
          <w:p w14:paraId="6B981B3F" w14:textId="77777777" w:rsidR="006032E1" w:rsidRPr="006D708A" w:rsidRDefault="006032E1" w:rsidP="00E50ABE">
            <w:pPr>
              <w:pStyle w:val="TBLText"/>
              <w:rPr>
                <w:b/>
                <w:bCs/>
              </w:rPr>
            </w:pPr>
            <w:r>
              <w:rPr>
                <w:b/>
                <w:bCs/>
              </w:rPr>
              <w:t>0</w:t>
            </w:r>
            <w:r w:rsidRPr="523218C3">
              <w:rPr>
                <w:b/>
                <w:bCs/>
              </w:rPr>
              <w:t>/</w:t>
            </w:r>
            <w:r>
              <w:rPr>
                <w:b/>
                <w:bCs/>
              </w:rPr>
              <w:t>1</w:t>
            </w:r>
          </w:p>
        </w:tc>
        <w:tc>
          <w:tcPr>
            <w:tcW w:w="970" w:type="pct"/>
            <w:shd w:val="clear" w:color="auto" w:fill="DBE6F5" w:themeFill="text2" w:themeFillTint="1A"/>
          </w:tcPr>
          <w:p w14:paraId="455A29C3" w14:textId="61B36128" w:rsidR="006032E1" w:rsidRPr="00BB1BEE" w:rsidRDefault="6015DB9E" w:rsidP="00E50ABE">
            <w:pPr>
              <w:pStyle w:val="TBLText"/>
              <w:rPr>
                <w:b/>
                <w:bCs/>
              </w:rPr>
            </w:pPr>
            <w:r w:rsidRPr="39DE8426">
              <w:rPr>
                <w:rFonts w:eastAsia="MS Mincho"/>
              </w:rPr>
              <w:t>−</w:t>
            </w:r>
            <w:r w:rsidR="00DA3834" w:rsidRPr="39DE8426">
              <w:rPr>
                <w:b/>
                <w:bCs/>
              </w:rPr>
              <w:t>$1.0</w:t>
            </w:r>
            <w:r w:rsidR="006032E1" w:rsidRPr="39DE8426">
              <w:rPr>
                <w:b/>
                <w:bCs/>
              </w:rPr>
              <w:t>m</w:t>
            </w:r>
          </w:p>
        </w:tc>
      </w:tr>
    </w:tbl>
    <w:p w14:paraId="08A16B51" w14:textId="547E53BE" w:rsidR="00DE6598" w:rsidRPr="00344B88" w:rsidRDefault="00DE6598" w:rsidP="00DE6598">
      <w:pPr>
        <w:pStyle w:val="Heading2"/>
      </w:pPr>
      <w:bookmarkStart w:id="16" w:name="_Toc193445415"/>
      <w:bookmarkStart w:id="17" w:name="_Toc1500984264"/>
      <w:r>
        <w:t>Department of Climate Change, Energy, the Environment and Water</w:t>
      </w:r>
      <w:bookmarkEnd w:id="15"/>
      <w:bookmarkEnd w:id="16"/>
      <w:bookmarkEnd w:id="17"/>
    </w:p>
    <w:p w14:paraId="339EBCF2" w14:textId="29E1B91C" w:rsidR="00DE6598" w:rsidRPr="00774646" w:rsidRDefault="00CE18F2" w:rsidP="00031D61">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6</w:t>
      </w:r>
      <w:r w:rsidR="0019779B">
        <w:rPr>
          <w:noProof/>
        </w:rPr>
        <w:fldChar w:fldCharType="end"/>
      </w:r>
      <w:r>
        <w:t xml:space="preserve">. </w:t>
      </w:r>
      <w:r w:rsidRPr="00D255C2">
        <w:t>Compliance summary: Department of Climate Change, Energy, the Environment and Water</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DE6598" w14:paraId="740C5A86"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6BC3646E" w14:textId="77777777" w:rsidR="00DE6598" w:rsidRPr="006E170D" w:rsidRDefault="00DE6598" w:rsidP="00C47BA6">
            <w:pPr>
              <w:pStyle w:val="TBLHeading"/>
            </w:pPr>
            <w:r>
              <w:t>Proposal</w:t>
            </w:r>
          </w:p>
        </w:tc>
        <w:tc>
          <w:tcPr>
            <w:tcW w:w="692" w:type="pct"/>
            <w:tcBorders>
              <w:top w:val="none" w:sz="0" w:space="0" w:color="auto"/>
              <w:bottom w:val="none" w:sz="0" w:space="0" w:color="auto"/>
            </w:tcBorders>
          </w:tcPr>
          <w:p w14:paraId="41F0CBF8"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tcPr>
          <w:p w14:paraId="4DCDB43F" w14:textId="77777777" w:rsidR="00DE6598" w:rsidRPr="006E170D" w:rsidRDefault="00DE6598" w:rsidP="00C47BA6">
            <w:pPr>
              <w:pStyle w:val="TBLHeading"/>
            </w:pPr>
            <w:r>
              <w:t>Rating</w:t>
            </w:r>
          </w:p>
        </w:tc>
        <w:tc>
          <w:tcPr>
            <w:tcW w:w="971" w:type="pct"/>
            <w:tcBorders>
              <w:top w:val="none" w:sz="0" w:space="0" w:color="auto"/>
              <w:bottom w:val="none" w:sz="0" w:space="0" w:color="auto"/>
            </w:tcBorders>
          </w:tcPr>
          <w:p w14:paraId="6788B5D8"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tcPr>
          <w:p w14:paraId="02B4FAF6" w14:textId="08838990" w:rsidR="00DE6598" w:rsidRPr="006E170D" w:rsidRDefault="7E3B3EBD" w:rsidP="00C47BA6">
            <w:pPr>
              <w:pStyle w:val="TBLHeading"/>
            </w:pPr>
            <w:r>
              <w:t xml:space="preserve"> Annual Regulatory Burden ($m)</w:t>
            </w:r>
          </w:p>
        </w:tc>
      </w:tr>
      <w:tr w:rsidR="00DE6598" w14:paraId="20760459" w14:textId="77777777" w:rsidTr="00C45E30">
        <w:trPr>
          <w:cantSplit/>
          <w:trHeight w:val="20"/>
        </w:trPr>
        <w:tc>
          <w:tcPr>
            <w:tcW w:w="1513" w:type="pct"/>
            <w:shd w:val="clear" w:color="auto" w:fill="auto"/>
          </w:tcPr>
          <w:p w14:paraId="18F9B880" w14:textId="2F07A113" w:rsidR="00DE6598" w:rsidRPr="006E170D" w:rsidRDefault="2842B0B3" w:rsidP="00C47BA6">
            <w:pPr>
              <w:pStyle w:val="TBLText"/>
            </w:pPr>
            <w:r>
              <w:t>Implementing a Guarantee of Origin Scheme</w:t>
            </w:r>
          </w:p>
        </w:tc>
        <w:tc>
          <w:tcPr>
            <w:tcW w:w="692" w:type="pct"/>
            <w:shd w:val="clear" w:color="auto" w:fill="auto"/>
          </w:tcPr>
          <w:p w14:paraId="3F27CD9B" w14:textId="614651B9" w:rsidR="00DE6598" w:rsidRPr="006E170D" w:rsidRDefault="2842B0B3" w:rsidP="49A26BD7">
            <w:pPr>
              <w:pStyle w:val="TBLText"/>
              <w:rPr>
                <w:rFonts w:eastAsia="MS Mincho"/>
              </w:rPr>
            </w:pPr>
            <w:r w:rsidRPr="5D3D59D8">
              <w:rPr>
                <w:rFonts w:eastAsia="MS Mincho"/>
              </w:rPr>
              <w:t>Compliant</w:t>
            </w:r>
          </w:p>
        </w:tc>
        <w:tc>
          <w:tcPr>
            <w:tcW w:w="853" w:type="pct"/>
            <w:shd w:val="clear" w:color="auto" w:fill="auto"/>
          </w:tcPr>
          <w:p w14:paraId="75079B9B" w14:textId="101D4CFC" w:rsidR="00DE6598" w:rsidRPr="006E170D" w:rsidRDefault="2842B0B3" w:rsidP="49A26BD7">
            <w:pPr>
              <w:pStyle w:val="TBLText"/>
              <w:rPr>
                <w:rFonts w:eastAsia="MS Mincho"/>
              </w:rPr>
            </w:pPr>
            <w:r w:rsidRPr="5D3D59D8">
              <w:rPr>
                <w:rFonts w:eastAsia="MS Mincho"/>
              </w:rPr>
              <w:t>Adequate</w:t>
            </w:r>
          </w:p>
        </w:tc>
        <w:tc>
          <w:tcPr>
            <w:tcW w:w="971" w:type="pct"/>
            <w:shd w:val="clear" w:color="auto" w:fill="auto"/>
          </w:tcPr>
          <w:p w14:paraId="3FE98384" w14:textId="3603068C" w:rsidR="00DE6598" w:rsidRPr="006D708A" w:rsidRDefault="2842B0B3" w:rsidP="49A26BD7">
            <w:pPr>
              <w:pStyle w:val="TBLText"/>
              <w:rPr>
                <w:rFonts w:eastAsia="MS Mincho"/>
              </w:rPr>
            </w:pPr>
            <w:r w:rsidRPr="4CC79053">
              <w:rPr>
                <w:rFonts w:eastAsia="MS Mincho"/>
              </w:rPr>
              <w:t>No</w:t>
            </w:r>
          </w:p>
        </w:tc>
        <w:tc>
          <w:tcPr>
            <w:tcW w:w="970" w:type="pct"/>
            <w:shd w:val="clear" w:color="auto" w:fill="auto"/>
          </w:tcPr>
          <w:p w14:paraId="7C6742AE" w14:textId="2C7E5A02" w:rsidR="00DE6598" w:rsidRPr="00344B88" w:rsidRDefault="2842B0B3" w:rsidP="49A26BD7">
            <w:pPr>
              <w:pStyle w:val="TBLText"/>
              <w:rPr>
                <w:rFonts w:eastAsia="MS Mincho"/>
              </w:rPr>
            </w:pPr>
            <w:r w:rsidRPr="4CC79053">
              <w:rPr>
                <w:rFonts w:eastAsia="MS Mincho"/>
              </w:rPr>
              <w:t>$20.2m</w:t>
            </w:r>
          </w:p>
        </w:tc>
      </w:tr>
      <w:tr w:rsidR="00DE6598" w14:paraId="0496949E" w14:textId="77777777" w:rsidTr="00C45E30">
        <w:trPr>
          <w:cantSplit/>
          <w:trHeight w:val="20"/>
        </w:trPr>
        <w:tc>
          <w:tcPr>
            <w:tcW w:w="1513" w:type="pct"/>
            <w:shd w:val="clear" w:color="auto" w:fill="DBE6F5" w:themeFill="text2" w:themeFillTint="1A"/>
          </w:tcPr>
          <w:p w14:paraId="6A919CFA"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6F400A12" w14:textId="6C8E0656" w:rsidR="00DE6598" w:rsidRPr="00363240" w:rsidRDefault="008E4734" w:rsidP="49A26BD7">
            <w:pPr>
              <w:pStyle w:val="TBLText"/>
              <w:rPr>
                <w:b/>
                <w:bCs/>
              </w:rPr>
            </w:pPr>
            <w:r>
              <w:rPr>
                <w:b/>
                <w:bCs/>
              </w:rPr>
              <w:t>1</w:t>
            </w:r>
            <w:r w:rsidR="4DE21905" w:rsidRPr="523218C3">
              <w:rPr>
                <w:b/>
                <w:bCs/>
              </w:rPr>
              <w:t>/</w:t>
            </w:r>
            <w:r>
              <w:rPr>
                <w:b/>
                <w:bCs/>
              </w:rPr>
              <w:t>1</w:t>
            </w:r>
          </w:p>
        </w:tc>
        <w:tc>
          <w:tcPr>
            <w:tcW w:w="853" w:type="pct"/>
            <w:shd w:val="clear" w:color="auto" w:fill="DBE6F5" w:themeFill="text2" w:themeFillTint="1A"/>
          </w:tcPr>
          <w:p w14:paraId="06CF39E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tcPr>
          <w:p w14:paraId="56EDBD11" w14:textId="20EF059D" w:rsidR="00DE6598" w:rsidRPr="006D708A" w:rsidRDefault="008E4734" w:rsidP="45B39559">
            <w:pPr>
              <w:pStyle w:val="TBLText"/>
              <w:rPr>
                <w:b/>
                <w:bCs/>
              </w:rPr>
            </w:pPr>
            <w:r>
              <w:rPr>
                <w:b/>
                <w:bCs/>
              </w:rPr>
              <w:t>0</w:t>
            </w:r>
            <w:r w:rsidR="13F0C309" w:rsidRPr="523218C3">
              <w:rPr>
                <w:b/>
                <w:bCs/>
              </w:rPr>
              <w:t>/</w:t>
            </w:r>
            <w:r>
              <w:rPr>
                <w:b/>
                <w:bCs/>
              </w:rPr>
              <w:t>1</w:t>
            </w:r>
          </w:p>
        </w:tc>
        <w:tc>
          <w:tcPr>
            <w:tcW w:w="970" w:type="pct"/>
            <w:shd w:val="clear" w:color="auto" w:fill="DBE6F5" w:themeFill="text2" w:themeFillTint="1A"/>
          </w:tcPr>
          <w:p w14:paraId="797B2710" w14:textId="71C34EC1" w:rsidR="00DE6598" w:rsidRPr="00BB1BEE" w:rsidRDefault="1D0245C2" w:rsidP="008E4734">
            <w:pPr>
              <w:pStyle w:val="TBLText"/>
              <w:rPr>
                <w:b/>
                <w:bCs/>
              </w:rPr>
            </w:pPr>
            <w:r w:rsidRPr="0790E64D">
              <w:rPr>
                <w:b/>
                <w:bCs/>
              </w:rPr>
              <w:t>$</w:t>
            </w:r>
            <w:r w:rsidR="008E4734">
              <w:rPr>
                <w:b/>
                <w:bCs/>
              </w:rPr>
              <w:t>20.2</w:t>
            </w:r>
            <w:r w:rsidRPr="0790E64D">
              <w:rPr>
                <w:b/>
                <w:bCs/>
              </w:rPr>
              <w:t>m</w:t>
            </w:r>
          </w:p>
        </w:tc>
      </w:tr>
    </w:tbl>
    <w:p w14:paraId="04C4A7C2" w14:textId="574A414F" w:rsidR="00EE3ABA" w:rsidRDefault="00EE3ABA" w:rsidP="00DE6598">
      <w:pPr>
        <w:pStyle w:val="Heading2"/>
      </w:pPr>
      <w:bookmarkStart w:id="18" w:name="_Toc193445416"/>
      <w:bookmarkStart w:id="19" w:name="_Toc1561601870"/>
      <w:bookmarkStart w:id="20" w:name="_Toc155876554"/>
      <w:r>
        <w:t>Department of Employment and Workplace Relations</w:t>
      </w:r>
      <w:bookmarkEnd w:id="18"/>
      <w:bookmarkEnd w:id="19"/>
    </w:p>
    <w:p w14:paraId="4874501A" w14:textId="1E0B1CB7" w:rsidR="00062946" w:rsidRDefault="00CE18F2" w:rsidP="00CE18F2">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7</w:t>
      </w:r>
      <w:r w:rsidR="0019779B">
        <w:rPr>
          <w:noProof/>
        </w:rPr>
        <w:fldChar w:fldCharType="end"/>
      </w:r>
      <w:r>
        <w:t xml:space="preserve">. </w:t>
      </w:r>
      <w:r w:rsidRPr="00474B86">
        <w:t>Compliance summary: Department of Employment and Workplace Relations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EE3ABA" w14:paraId="78771454"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01F899B5" w14:textId="77777777" w:rsidR="00EE3ABA" w:rsidRPr="006E170D" w:rsidRDefault="00EE3ABA" w:rsidP="00062946">
            <w:pPr>
              <w:pStyle w:val="TBLHeading"/>
            </w:pPr>
            <w:r>
              <w:t>Proposal</w:t>
            </w:r>
          </w:p>
        </w:tc>
        <w:tc>
          <w:tcPr>
            <w:tcW w:w="692" w:type="pct"/>
            <w:tcBorders>
              <w:top w:val="none" w:sz="0" w:space="0" w:color="auto"/>
              <w:bottom w:val="none" w:sz="0" w:space="0" w:color="auto"/>
            </w:tcBorders>
          </w:tcPr>
          <w:p w14:paraId="392D6C80" w14:textId="77777777" w:rsidR="00EE3ABA" w:rsidRPr="006E170D" w:rsidRDefault="00EE3ABA" w:rsidP="00062946">
            <w:pPr>
              <w:pStyle w:val="TBLHeading"/>
            </w:pPr>
            <w:r>
              <w:t>IA Compliance</w:t>
            </w:r>
          </w:p>
        </w:tc>
        <w:tc>
          <w:tcPr>
            <w:tcW w:w="853" w:type="pct"/>
            <w:tcBorders>
              <w:top w:val="none" w:sz="0" w:space="0" w:color="auto"/>
              <w:bottom w:val="none" w:sz="0" w:space="0" w:color="auto"/>
            </w:tcBorders>
          </w:tcPr>
          <w:p w14:paraId="1EA849BD" w14:textId="77777777" w:rsidR="00EE3ABA" w:rsidRPr="006E170D" w:rsidRDefault="00EE3ABA" w:rsidP="00062946">
            <w:pPr>
              <w:pStyle w:val="TBLHeading"/>
            </w:pPr>
            <w:r>
              <w:t>Rating</w:t>
            </w:r>
          </w:p>
        </w:tc>
        <w:tc>
          <w:tcPr>
            <w:tcW w:w="971" w:type="pct"/>
            <w:tcBorders>
              <w:top w:val="none" w:sz="0" w:space="0" w:color="auto"/>
              <w:bottom w:val="none" w:sz="0" w:space="0" w:color="auto"/>
            </w:tcBorders>
          </w:tcPr>
          <w:p w14:paraId="39219CF8" w14:textId="77777777" w:rsidR="00EE3ABA" w:rsidRPr="006E170D" w:rsidRDefault="00EE3ABA" w:rsidP="00062946">
            <w:pPr>
              <w:pStyle w:val="TBLHeading"/>
            </w:pPr>
            <w:r>
              <w:t>PIR Required</w:t>
            </w:r>
          </w:p>
        </w:tc>
        <w:tc>
          <w:tcPr>
            <w:tcW w:w="970" w:type="pct"/>
            <w:tcBorders>
              <w:top w:val="none" w:sz="0" w:space="0" w:color="auto"/>
              <w:bottom w:val="none" w:sz="0" w:space="0" w:color="auto"/>
              <w:right w:val="none" w:sz="0" w:space="0" w:color="auto"/>
            </w:tcBorders>
          </w:tcPr>
          <w:p w14:paraId="598FB09B" w14:textId="77777777" w:rsidR="00EE3ABA" w:rsidRPr="006E170D" w:rsidRDefault="00EE3ABA" w:rsidP="00062946">
            <w:pPr>
              <w:pStyle w:val="TBLHeading"/>
            </w:pPr>
            <w:r>
              <w:t xml:space="preserve"> Annual Regulatory Burden ($m)</w:t>
            </w:r>
          </w:p>
        </w:tc>
      </w:tr>
      <w:tr w:rsidR="00EE3ABA" w14:paraId="7953200E" w14:textId="77777777" w:rsidTr="00C45E30">
        <w:trPr>
          <w:cantSplit/>
          <w:trHeight w:val="20"/>
        </w:trPr>
        <w:tc>
          <w:tcPr>
            <w:tcW w:w="1513" w:type="pct"/>
            <w:shd w:val="clear" w:color="auto" w:fill="auto"/>
          </w:tcPr>
          <w:p w14:paraId="0B53DB8C" w14:textId="4D42EC37" w:rsidR="00EE3ABA" w:rsidRPr="006E170D" w:rsidRDefault="00EE3ABA" w:rsidP="00EE3ABA">
            <w:pPr>
              <w:pStyle w:val="TBLText"/>
            </w:pPr>
            <w:r w:rsidRPr="00EE3ABA">
              <w:t>Import Ban On Engineered Stone</w:t>
            </w:r>
          </w:p>
        </w:tc>
        <w:tc>
          <w:tcPr>
            <w:tcW w:w="692" w:type="pct"/>
            <w:shd w:val="clear" w:color="auto" w:fill="auto"/>
          </w:tcPr>
          <w:p w14:paraId="2B1A353F" w14:textId="77777777" w:rsidR="00EE3ABA" w:rsidRPr="006E170D" w:rsidRDefault="00EE3ABA" w:rsidP="00062946">
            <w:pPr>
              <w:pStyle w:val="TBLText"/>
              <w:rPr>
                <w:rFonts w:eastAsia="MS Mincho"/>
              </w:rPr>
            </w:pPr>
            <w:r w:rsidRPr="5D3D59D8">
              <w:rPr>
                <w:rFonts w:eastAsia="MS Mincho"/>
              </w:rPr>
              <w:t>Compliant</w:t>
            </w:r>
          </w:p>
        </w:tc>
        <w:tc>
          <w:tcPr>
            <w:tcW w:w="853" w:type="pct"/>
            <w:shd w:val="clear" w:color="auto" w:fill="auto"/>
          </w:tcPr>
          <w:p w14:paraId="27796BE2" w14:textId="3AA0B909" w:rsidR="00EE3ABA" w:rsidRPr="006E170D" w:rsidRDefault="00EE3ABA" w:rsidP="00062946">
            <w:pPr>
              <w:pStyle w:val="TBLText"/>
              <w:rPr>
                <w:rFonts w:eastAsia="MS Mincho"/>
              </w:rPr>
            </w:pPr>
            <w:r>
              <w:rPr>
                <w:rFonts w:eastAsia="MS Mincho"/>
              </w:rPr>
              <w:t>N/A</w:t>
            </w:r>
            <w:r w:rsidRPr="003C642C">
              <w:rPr>
                <w:rFonts w:eastAsia="MS Mincho"/>
                <w:vertAlign w:val="superscript"/>
              </w:rPr>
              <w:t>a</w:t>
            </w:r>
          </w:p>
        </w:tc>
        <w:tc>
          <w:tcPr>
            <w:tcW w:w="971" w:type="pct"/>
            <w:shd w:val="clear" w:color="auto" w:fill="auto"/>
          </w:tcPr>
          <w:p w14:paraId="782C8734" w14:textId="77777777" w:rsidR="00EE3ABA" w:rsidRPr="006D708A" w:rsidRDefault="00EE3ABA" w:rsidP="00062946">
            <w:pPr>
              <w:pStyle w:val="TBLText"/>
              <w:rPr>
                <w:rFonts w:eastAsia="MS Mincho"/>
              </w:rPr>
            </w:pPr>
            <w:r w:rsidRPr="4CC79053">
              <w:rPr>
                <w:rFonts w:eastAsia="MS Mincho"/>
              </w:rPr>
              <w:t>No</w:t>
            </w:r>
          </w:p>
        </w:tc>
        <w:tc>
          <w:tcPr>
            <w:tcW w:w="970" w:type="pct"/>
            <w:shd w:val="clear" w:color="auto" w:fill="auto"/>
          </w:tcPr>
          <w:p w14:paraId="5F4BC861" w14:textId="17E29C48" w:rsidR="00EE3ABA" w:rsidRPr="00344B88" w:rsidRDefault="00EE3ABA" w:rsidP="00062946">
            <w:pPr>
              <w:pStyle w:val="TBLText"/>
              <w:rPr>
                <w:rFonts w:eastAsia="MS Mincho"/>
              </w:rPr>
            </w:pPr>
            <w:r>
              <w:rPr>
                <w:rFonts w:eastAsia="MS Mincho"/>
              </w:rPr>
              <w:t>$14.3</w:t>
            </w:r>
            <w:r w:rsidRPr="4CC79053">
              <w:rPr>
                <w:rFonts w:eastAsia="MS Mincho"/>
              </w:rPr>
              <w:t>m</w:t>
            </w:r>
          </w:p>
        </w:tc>
      </w:tr>
      <w:tr w:rsidR="00EE3ABA" w14:paraId="5B47372F" w14:textId="77777777" w:rsidTr="00C45E30">
        <w:trPr>
          <w:cantSplit/>
          <w:trHeight w:val="20"/>
        </w:trPr>
        <w:tc>
          <w:tcPr>
            <w:tcW w:w="1513" w:type="pct"/>
            <w:shd w:val="clear" w:color="auto" w:fill="DBE6F5" w:themeFill="text2" w:themeFillTint="1A"/>
          </w:tcPr>
          <w:p w14:paraId="0501ABBB" w14:textId="77777777" w:rsidR="00EE3ABA" w:rsidRPr="00363240" w:rsidRDefault="00EE3ABA" w:rsidP="00062946">
            <w:pPr>
              <w:pStyle w:val="TBLText"/>
              <w:rPr>
                <w:b/>
              </w:rPr>
            </w:pPr>
            <w:r w:rsidRPr="00363240">
              <w:rPr>
                <w:b/>
              </w:rPr>
              <w:t>Total proposals</w:t>
            </w:r>
          </w:p>
        </w:tc>
        <w:tc>
          <w:tcPr>
            <w:tcW w:w="692" w:type="pct"/>
            <w:shd w:val="clear" w:color="auto" w:fill="DBE6F5" w:themeFill="text2" w:themeFillTint="1A"/>
          </w:tcPr>
          <w:p w14:paraId="2C25D51D" w14:textId="054629B2" w:rsidR="00EE3ABA" w:rsidRPr="00363240" w:rsidRDefault="000D1A93" w:rsidP="00062946">
            <w:pPr>
              <w:pStyle w:val="TBLText"/>
              <w:rPr>
                <w:b/>
                <w:bCs/>
              </w:rPr>
            </w:pPr>
            <w:r>
              <w:rPr>
                <w:b/>
                <w:bCs/>
              </w:rPr>
              <w:t>1/1</w:t>
            </w:r>
          </w:p>
        </w:tc>
        <w:tc>
          <w:tcPr>
            <w:tcW w:w="853" w:type="pct"/>
            <w:shd w:val="clear" w:color="auto" w:fill="DBE6F5" w:themeFill="text2" w:themeFillTint="1A"/>
          </w:tcPr>
          <w:p w14:paraId="426D8B82" w14:textId="37964647" w:rsidR="00EE3ABA" w:rsidRPr="00363240" w:rsidRDefault="00EE3ABA" w:rsidP="00062946">
            <w:pPr>
              <w:pStyle w:val="TBLText"/>
              <w:rPr>
                <w:b/>
              </w:rPr>
            </w:pPr>
            <w:r>
              <w:rPr>
                <w:b/>
              </w:rPr>
              <w:t>-</w:t>
            </w:r>
          </w:p>
        </w:tc>
        <w:tc>
          <w:tcPr>
            <w:tcW w:w="971" w:type="pct"/>
            <w:shd w:val="clear" w:color="auto" w:fill="DBE6F5" w:themeFill="text2" w:themeFillTint="1A"/>
          </w:tcPr>
          <w:p w14:paraId="7F8DC91F" w14:textId="19C33EBB" w:rsidR="00EE3ABA" w:rsidRPr="006D708A" w:rsidRDefault="000D1A93" w:rsidP="00062946">
            <w:pPr>
              <w:pStyle w:val="TBLText"/>
              <w:rPr>
                <w:b/>
                <w:bCs/>
              </w:rPr>
            </w:pPr>
            <w:r>
              <w:rPr>
                <w:b/>
                <w:bCs/>
              </w:rPr>
              <w:t>0/1</w:t>
            </w:r>
          </w:p>
        </w:tc>
        <w:tc>
          <w:tcPr>
            <w:tcW w:w="970" w:type="pct"/>
            <w:shd w:val="clear" w:color="auto" w:fill="DBE6F5" w:themeFill="text2" w:themeFillTint="1A"/>
          </w:tcPr>
          <w:p w14:paraId="7D69B4BA" w14:textId="432468DD" w:rsidR="00EE3ABA" w:rsidRPr="00BB1BEE" w:rsidRDefault="00EE3ABA" w:rsidP="00062946">
            <w:pPr>
              <w:pStyle w:val="TBLText"/>
              <w:rPr>
                <w:b/>
                <w:bCs/>
              </w:rPr>
            </w:pPr>
            <w:r w:rsidRPr="0790E64D">
              <w:rPr>
                <w:b/>
                <w:bCs/>
              </w:rPr>
              <w:t>$</w:t>
            </w:r>
            <w:r w:rsidR="000D1A93">
              <w:rPr>
                <w:b/>
                <w:bCs/>
              </w:rPr>
              <w:t>14.3</w:t>
            </w:r>
            <w:r w:rsidRPr="0790E64D">
              <w:rPr>
                <w:b/>
                <w:bCs/>
              </w:rPr>
              <w:t>m</w:t>
            </w:r>
          </w:p>
        </w:tc>
      </w:tr>
    </w:tbl>
    <w:p w14:paraId="4EB8C69C" w14:textId="77777777" w:rsidR="00EE3ABA" w:rsidRPr="00CE7B06" w:rsidRDefault="00EE3ABA" w:rsidP="00EE3ABA">
      <w:pPr>
        <w:pStyle w:val="TBLFootnote"/>
      </w:pPr>
      <w:r w:rsidRPr="22F13677">
        <w:rPr>
          <w:rStyle w:val="TBLFootnoteChar"/>
        </w:rPr>
        <w:t xml:space="preserve">a </w:t>
      </w:r>
      <w:r>
        <w:t>N/A - Proposal was subject to an Impact Analysis Equivalent process.</w:t>
      </w:r>
    </w:p>
    <w:p w14:paraId="6BD98D07" w14:textId="340A826E" w:rsidR="00062946" w:rsidRDefault="00062946" w:rsidP="00DE6598">
      <w:pPr>
        <w:pStyle w:val="Heading2"/>
      </w:pPr>
      <w:bookmarkStart w:id="21" w:name="_Toc193445417"/>
      <w:bookmarkStart w:id="22" w:name="_Toc987699282"/>
      <w:r>
        <w:t>Department of Finance</w:t>
      </w:r>
      <w:bookmarkEnd w:id="21"/>
      <w:bookmarkEnd w:id="22"/>
    </w:p>
    <w:p w14:paraId="4188D0ED" w14:textId="4AD1F21D" w:rsidR="00062946" w:rsidRDefault="00CE18F2" w:rsidP="00CE18F2">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8</w:t>
      </w:r>
      <w:r w:rsidR="0019779B">
        <w:rPr>
          <w:noProof/>
        </w:rPr>
        <w:fldChar w:fldCharType="end"/>
      </w:r>
      <w:r>
        <w:t xml:space="preserve">. </w:t>
      </w:r>
      <w:r w:rsidRPr="00B5269F">
        <w:t>Compliance summary: Department of Finance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062946" w14:paraId="74720806"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1183B846" w14:textId="77777777" w:rsidR="00062946" w:rsidRPr="006E170D" w:rsidRDefault="00062946" w:rsidP="00062946">
            <w:pPr>
              <w:pStyle w:val="TBLHeading"/>
            </w:pPr>
            <w:r>
              <w:t>Proposal</w:t>
            </w:r>
          </w:p>
        </w:tc>
        <w:tc>
          <w:tcPr>
            <w:tcW w:w="692" w:type="pct"/>
            <w:tcBorders>
              <w:top w:val="none" w:sz="0" w:space="0" w:color="auto"/>
              <w:bottom w:val="none" w:sz="0" w:space="0" w:color="auto"/>
            </w:tcBorders>
          </w:tcPr>
          <w:p w14:paraId="0540FEF2" w14:textId="77777777" w:rsidR="00062946" w:rsidRPr="006E170D" w:rsidRDefault="00062946" w:rsidP="00062946">
            <w:pPr>
              <w:pStyle w:val="TBLHeading"/>
            </w:pPr>
            <w:r>
              <w:t>IA Compliance</w:t>
            </w:r>
          </w:p>
        </w:tc>
        <w:tc>
          <w:tcPr>
            <w:tcW w:w="853" w:type="pct"/>
            <w:tcBorders>
              <w:top w:val="none" w:sz="0" w:space="0" w:color="auto"/>
              <w:bottom w:val="none" w:sz="0" w:space="0" w:color="auto"/>
            </w:tcBorders>
          </w:tcPr>
          <w:p w14:paraId="29812F28" w14:textId="77777777" w:rsidR="00062946" w:rsidRPr="006E170D" w:rsidRDefault="00062946" w:rsidP="00062946">
            <w:pPr>
              <w:pStyle w:val="TBLHeading"/>
            </w:pPr>
            <w:r>
              <w:t>Rating</w:t>
            </w:r>
          </w:p>
        </w:tc>
        <w:tc>
          <w:tcPr>
            <w:tcW w:w="971" w:type="pct"/>
            <w:tcBorders>
              <w:top w:val="none" w:sz="0" w:space="0" w:color="auto"/>
              <w:bottom w:val="none" w:sz="0" w:space="0" w:color="auto"/>
            </w:tcBorders>
          </w:tcPr>
          <w:p w14:paraId="5BFACF92" w14:textId="77777777" w:rsidR="00062946" w:rsidRPr="006E170D" w:rsidRDefault="00062946" w:rsidP="00062946">
            <w:pPr>
              <w:pStyle w:val="TBLHeading"/>
            </w:pPr>
            <w:r>
              <w:t>PIR Required</w:t>
            </w:r>
          </w:p>
        </w:tc>
        <w:tc>
          <w:tcPr>
            <w:tcW w:w="970" w:type="pct"/>
            <w:tcBorders>
              <w:top w:val="none" w:sz="0" w:space="0" w:color="auto"/>
              <w:bottom w:val="none" w:sz="0" w:space="0" w:color="auto"/>
              <w:right w:val="none" w:sz="0" w:space="0" w:color="auto"/>
            </w:tcBorders>
          </w:tcPr>
          <w:p w14:paraId="3FF9FD2A" w14:textId="77777777" w:rsidR="00062946" w:rsidRPr="006E170D" w:rsidRDefault="00062946" w:rsidP="00062946">
            <w:pPr>
              <w:pStyle w:val="TBLHeading"/>
            </w:pPr>
            <w:r>
              <w:t xml:space="preserve"> Annual Regulatory Burden ($m)</w:t>
            </w:r>
          </w:p>
        </w:tc>
      </w:tr>
      <w:tr w:rsidR="00062946" w14:paraId="0A7AA36B" w14:textId="77777777" w:rsidTr="00C45E30">
        <w:trPr>
          <w:cantSplit/>
          <w:trHeight w:val="20"/>
        </w:trPr>
        <w:tc>
          <w:tcPr>
            <w:tcW w:w="1513" w:type="pct"/>
            <w:shd w:val="clear" w:color="auto" w:fill="auto"/>
          </w:tcPr>
          <w:p w14:paraId="55AAD13A" w14:textId="22660463" w:rsidR="00062946" w:rsidRPr="006E170D" w:rsidRDefault="00062946" w:rsidP="00062946">
            <w:pPr>
              <w:pStyle w:val="TBLText"/>
            </w:pPr>
            <w:r w:rsidRPr="00062946">
              <w:t>Electoral Expenditure and Gift Cap Reforms</w:t>
            </w:r>
          </w:p>
        </w:tc>
        <w:tc>
          <w:tcPr>
            <w:tcW w:w="692" w:type="pct"/>
            <w:shd w:val="clear" w:color="auto" w:fill="auto"/>
          </w:tcPr>
          <w:p w14:paraId="15299270" w14:textId="77777777" w:rsidR="00062946" w:rsidRPr="006E170D" w:rsidRDefault="00062946" w:rsidP="00062946">
            <w:pPr>
              <w:pStyle w:val="TBLText"/>
              <w:rPr>
                <w:rFonts w:eastAsia="MS Mincho"/>
              </w:rPr>
            </w:pPr>
            <w:r w:rsidRPr="5D3D59D8">
              <w:rPr>
                <w:rFonts w:eastAsia="MS Mincho"/>
              </w:rPr>
              <w:t>Compliant</w:t>
            </w:r>
          </w:p>
        </w:tc>
        <w:tc>
          <w:tcPr>
            <w:tcW w:w="853" w:type="pct"/>
            <w:shd w:val="clear" w:color="auto" w:fill="auto"/>
          </w:tcPr>
          <w:p w14:paraId="76E38988" w14:textId="77777777" w:rsidR="00062946" w:rsidRPr="006E170D" w:rsidRDefault="00062946" w:rsidP="00062946">
            <w:pPr>
              <w:pStyle w:val="TBLText"/>
              <w:rPr>
                <w:rFonts w:eastAsia="MS Mincho"/>
              </w:rPr>
            </w:pPr>
            <w:r>
              <w:rPr>
                <w:rFonts w:eastAsia="MS Mincho"/>
              </w:rPr>
              <w:t>N/A</w:t>
            </w:r>
            <w:r w:rsidRPr="00BD3D82">
              <w:rPr>
                <w:rFonts w:eastAsia="MS Mincho"/>
                <w:vertAlign w:val="superscript"/>
              </w:rPr>
              <w:t>a</w:t>
            </w:r>
          </w:p>
        </w:tc>
        <w:tc>
          <w:tcPr>
            <w:tcW w:w="971" w:type="pct"/>
            <w:shd w:val="clear" w:color="auto" w:fill="auto"/>
          </w:tcPr>
          <w:p w14:paraId="1220251D" w14:textId="77777777" w:rsidR="00062946" w:rsidRPr="006D708A" w:rsidRDefault="00062946" w:rsidP="00062946">
            <w:pPr>
              <w:pStyle w:val="TBLText"/>
              <w:rPr>
                <w:rFonts w:eastAsia="MS Mincho"/>
              </w:rPr>
            </w:pPr>
            <w:r w:rsidRPr="4CC79053">
              <w:rPr>
                <w:rFonts w:eastAsia="MS Mincho"/>
              </w:rPr>
              <w:t>No</w:t>
            </w:r>
          </w:p>
        </w:tc>
        <w:tc>
          <w:tcPr>
            <w:tcW w:w="970" w:type="pct"/>
            <w:shd w:val="clear" w:color="auto" w:fill="auto"/>
          </w:tcPr>
          <w:p w14:paraId="763C8301" w14:textId="137BC85E" w:rsidR="00062946" w:rsidRPr="00344B88" w:rsidRDefault="00566803" w:rsidP="00566803">
            <w:pPr>
              <w:pStyle w:val="TBLText"/>
              <w:rPr>
                <w:rFonts w:eastAsia="MS Mincho"/>
              </w:rPr>
            </w:pPr>
            <w:r>
              <w:rPr>
                <w:rFonts w:eastAsia="MS Mincho"/>
              </w:rPr>
              <w:t xml:space="preserve">Not </w:t>
            </w:r>
            <w:r w:rsidR="00062946">
              <w:rPr>
                <w:rFonts w:eastAsia="MS Mincho"/>
              </w:rPr>
              <w:t>material relative to current costs</w:t>
            </w:r>
            <w:r w:rsidR="00712810" w:rsidRPr="00307986">
              <w:rPr>
                <w:rFonts w:eastAsia="MS Mincho" w:cstheme="minorHAnsi"/>
                <w:vertAlign w:val="superscript"/>
              </w:rPr>
              <w:t>b</w:t>
            </w:r>
          </w:p>
        </w:tc>
      </w:tr>
      <w:tr w:rsidR="00062946" w14:paraId="39ACEB50" w14:textId="77777777" w:rsidTr="00C45E30">
        <w:trPr>
          <w:cantSplit/>
          <w:trHeight w:val="20"/>
        </w:trPr>
        <w:tc>
          <w:tcPr>
            <w:tcW w:w="1513" w:type="pct"/>
            <w:shd w:val="clear" w:color="auto" w:fill="DBE6F5" w:themeFill="text2" w:themeFillTint="1A"/>
          </w:tcPr>
          <w:p w14:paraId="1DDC02A2" w14:textId="77777777" w:rsidR="00062946" w:rsidRPr="00363240" w:rsidRDefault="00062946" w:rsidP="00062946">
            <w:pPr>
              <w:pStyle w:val="TBLText"/>
              <w:rPr>
                <w:b/>
              </w:rPr>
            </w:pPr>
            <w:r w:rsidRPr="00363240">
              <w:rPr>
                <w:b/>
              </w:rPr>
              <w:t>Total proposals</w:t>
            </w:r>
          </w:p>
        </w:tc>
        <w:tc>
          <w:tcPr>
            <w:tcW w:w="692" w:type="pct"/>
            <w:shd w:val="clear" w:color="auto" w:fill="DBE6F5" w:themeFill="text2" w:themeFillTint="1A"/>
          </w:tcPr>
          <w:p w14:paraId="1C5DD4A0" w14:textId="07BF7F9E" w:rsidR="00062946" w:rsidRPr="00363240" w:rsidRDefault="000D1A93" w:rsidP="00062946">
            <w:pPr>
              <w:pStyle w:val="TBLText"/>
              <w:rPr>
                <w:b/>
                <w:bCs/>
              </w:rPr>
            </w:pPr>
            <w:r>
              <w:rPr>
                <w:b/>
                <w:bCs/>
              </w:rPr>
              <w:t>1/1</w:t>
            </w:r>
          </w:p>
        </w:tc>
        <w:tc>
          <w:tcPr>
            <w:tcW w:w="853" w:type="pct"/>
            <w:shd w:val="clear" w:color="auto" w:fill="DBE6F5" w:themeFill="text2" w:themeFillTint="1A"/>
          </w:tcPr>
          <w:p w14:paraId="56B2B472" w14:textId="77777777" w:rsidR="00062946" w:rsidRPr="00363240" w:rsidRDefault="00062946" w:rsidP="00062946">
            <w:pPr>
              <w:pStyle w:val="TBLText"/>
              <w:rPr>
                <w:b/>
              </w:rPr>
            </w:pPr>
            <w:r>
              <w:rPr>
                <w:b/>
              </w:rPr>
              <w:t>-</w:t>
            </w:r>
          </w:p>
        </w:tc>
        <w:tc>
          <w:tcPr>
            <w:tcW w:w="971" w:type="pct"/>
            <w:shd w:val="clear" w:color="auto" w:fill="DBE6F5" w:themeFill="text2" w:themeFillTint="1A"/>
          </w:tcPr>
          <w:p w14:paraId="20C16DB4" w14:textId="472879A0" w:rsidR="00062946" w:rsidRPr="006D708A" w:rsidRDefault="000D1A93" w:rsidP="00062946">
            <w:pPr>
              <w:pStyle w:val="TBLText"/>
              <w:rPr>
                <w:b/>
                <w:bCs/>
              </w:rPr>
            </w:pPr>
            <w:r>
              <w:rPr>
                <w:b/>
                <w:bCs/>
              </w:rPr>
              <w:t>0/1</w:t>
            </w:r>
          </w:p>
        </w:tc>
        <w:tc>
          <w:tcPr>
            <w:tcW w:w="970" w:type="pct"/>
            <w:shd w:val="clear" w:color="auto" w:fill="DBE6F5" w:themeFill="text2" w:themeFillTint="1A"/>
          </w:tcPr>
          <w:p w14:paraId="379A68A2" w14:textId="6FD19EA7" w:rsidR="00062946" w:rsidRPr="00BB1BEE" w:rsidRDefault="000D1A93" w:rsidP="00062946">
            <w:pPr>
              <w:pStyle w:val="TBLText"/>
              <w:rPr>
                <w:b/>
                <w:bCs/>
              </w:rPr>
            </w:pPr>
            <w:r>
              <w:rPr>
                <w:b/>
                <w:bCs/>
              </w:rPr>
              <w:t>-</w:t>
            </w:r>
          </w:p>
        </w:tc>
      </w:tr>
    </w:tbl>
    <w:p w14:paraId="70AB21A5" w14:textId="5F13E618" w:rsidR="00062946" w:rsidRDefault="00062946" w:rsidP="00062946">
      <w:pPr>
        <w:pStyle w:val="TBLFootnote"/>
      </w:pPr>
      <w:r w:rsidRPr="22F13677">
        <w:rPr>
          <w:rStyle w:val="TBLFootnoteChar"/>
        </w:rPr>
        <w:t xml:space="preserve">a </w:t>
      </w:r>
      <w:r>
        <w:t>N/A - Proposal was subject to an Impact Analysis Equivalent process.</w:t>
      </w:r>
    </w:p>
    <w:p w14:paraId="196F1072" w14:textId="7EB69081" w:rsidR="00712810" w:rsidRPr="00CE7B06" w:rsidRDefault="00712810" w:rsidP="00062946">
      <w:pPr>
        <w:pStyle w:val="TBLFootnote"/>
      </w:pPr>
      <w:r>
        <w:t>b Regulatory burden from this proposal is not included in the ‘Estimated annual impact on Regulatory Burden’ in Figure 1 or in the ‘Total proposals’ regulatory burden for this figure.</w:t>
      </w:r>
    </w:p>
    <w:p w14:paraId="5967B69E" w14:textId="77777777" w:rsidR="00916C3E" w:rsidRDefault="00916C3E">
      <w:pPr>
        <w:spacing w:after="200"/>
        <w:rPr>
          <w:rFonts w:asciiTheme="majorHAnsi" w:eastAsiaTheme="majorEastAsia" w:hAnsiTheme="majorHAnsi" w:cstheme="majorBidi"/>
          <w:color w:val="192D56" w:themeColor="accent1"/>
          <w:sz w:val="32"/>
          <w:szCs w:val="28"/>
        </w:rPr>
      </w:pPr>
      <w:bookmarkStart w:id="23" w:name="_Toc193445418"/>
      <w:r>
        <w:br w:type="page"/>
      </w:r>
    </w:p>
    <w:p w14:paraId="11FF82F3" w14:textId="4DA1F603" w:rsidR="00062946" w:rsidRDefault="00062946" w:rsidP="00DE6598">
      <w:pPr>
        <w:pStyle w:val="Heading2"/>
      </w:pPr>
      <w:bookmarkStart w:id="24" w:name="_Toc1404519062"/>
      <w:r>
        <w:lastRenderedPageBreak/>
        <w:t>Department of Foreign Affairs and Trade</w:t>
      </w:r>
      <w:bookmarkEnd w:id="23"/>
      <w:bookmarkEnd w:id="24"/>
    </w:p>
    <w:p w14:paraId="4B1C278D" w14:textId="3747C546" w:rsidR="00062946" w:rsidRDefault="00CE18F2" w:rsidP="00CE18F2">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9</w:t>
      </w:r>
      <w:r w:rsidR="0019779B">
        <w:rPr>
          <w:noProof/>
        </w:rPr>
        <w:fldChar w:fldCharType="end"/>
      </w:r>
      <w:r>
        <w:t xml:space="preserve">. </w:t>
      </w:r>
      <w:r w:rsidRPr="00B166BC">
        <w:t>Compliance summary: Department of Foreign Affairs and Trade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062946" w14:paraId="7A0BEF68"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1C54CBC3" w14:textId="77777777" w:rsidR="00062946" w:rsidRPr="006E170D" w:rsidRDefault="00062946" w:rsidP="00062946">
            <w:pPr>
              <w:pStyle w:val="TBLHeading"/>
            </w:pPr>
            <w:r>
              <w:t>Proposal</w:t>
            </w:r>
          </w:p>
        </w:tc>
        <w:tc>
          <w:tcPr>
            <w:tcW w:w="692" w:type="pct"/>
            <w:tcBorders>
              <w:top w:val="none" w:sz="0" w:space="0" w:color="auto"/>
              <w:bottom w:val="none" w:sz="0" w:space="0" w:color="auto"/>
            </w:tcBorders>
          </w:tcPr>
          <w:p w14:paraId="7C19BA4C" w14:textId="77777777" w:rsidR="00062946" w:rsidRPr="006E170D" w:rsidRDefault="00062946" w:rsidP="00062946">
            <w:pPr>
              <w:pStyle w:val="TBLHeading"/>
            </w:pPr>
            <w:r>
              <w:t>IA Compliance</w:t>
            </w:r>
          </w:p>
        </w:tc>
        <w:tc>
          <w:tcPr>
            <w:tcW w:w="853" w:type="pct"/>
            <w:tcBorders>
              <w:top w:val="none" w:sz="0" w:space="0" w:color="auto"/>
              <w:bottom w:val="none" w:sz="0" w:space="0" w:color="auto"/>
            </w:tcBorders>
          </w:tcPr>
          <w:p w14:paraId="020CFA3D" w14:textId="77777777" w:rsidR="00062946" w:rsidRPr="006E170D" w:rsidRDefault="00062946" w:rsidP="00062946">
            <w:pPr>
              <w:pStyle w:val="TBLHeading"/>
            </w:pPr>
            <w:r>
              <w:t>Rating</w:t>
            </w:r>
          </w:p>
        </w:tc>
        <w:tc>
          <w:tcPr>
            <w:tcW w:w="971" w:type="pct"/>
            <w:tcBorders>
              <w:top w:val="none" w:sz="0" w:space="0" w:color="auto"/>
              <w:bottom w:val="none" w:sz="0" w:space="0" w:color="auto"/>
            </w:tcBorders>
          </w:tcPr>
          <w:p w14:paraId="46E896C1" w14:textId="77777777" w:rsidR="00062946" w:rsidRPr="006E170D" w:rsidRDefault="00062946" w:rsidP="00062946">
            <w:pPr>
              <w:pStyle w:val="TBLHeading"/>
            </w:pPr>
            <w:r>
              <w:t>PIR Required</w:t>
            </w:r>
          </w:p>
        </w:tc>
        <w:tc>
          <w:tcPr>
            <w:tcW w:w="970" w:type="pct"/>
            <w:tcBorders>
              <w:top w:val="none" w:sz="0" w:space="0" w:color="auto"/>
              <w:bottom w:val="none" w:sz="0" w:space="0" w:color="auto"/>
              <w:right w:val="none" w:sz="0" w:space="0" w:color="auto"/>
            </w:tcBorders>
          </w:tcPr>
          <w:p w14:paraId="63EC447A" w14:textId="77777777" w:rsidR="00062946" w:rsidRPr="006E170D" w:rsidRDefault="00062946" w:rsidP="00062946">
            <w:pPr>
              <w:pStyle w:val="TBLHeading"/>
            </w:pPr>
            <w:r>
              <w:t xml:space="preserve"> Annual Regulatory Burden ($m)</w:t>
            </w:r>
          </w:p>
        </w:tc>
      </w:tr>
      <w:tr w:rsidR="00062946" w14:paraId="313B0DAC" w14:textId="77777777" w:rsidTr="00C45E30">
        <w:trPr>
          <w:cantSplit/>
          <w:trHeight w:val="20"/>
        </w:trPr>
        <w:tc>
          <w:tcPr>
            <w:tcW w:w="1513" w:type="pct"/>
            <w:shd w:val="clear" w:color="auto" w:fill="auto"/>
          </w:tcPr>
          <w:p w14:paraId="36EC68FC" w14:textId="48C33DEB" w:rsidR="00062946" w:rsidRPr="006E170D" w:rsidRDefault="00062946" w:rsidP="00062946">
            <w:pPr>
              <w:pStyle w:val="TBLText"/>
            </w:pPr>
            <w:r w:rsidRPr="00062946">
              <w:t>Australia - United Arab Emirates Comprehensive Economic Partnership Agreement (UAE CEPA)</w:t>
            </w:r>
          </w:p>
        </w:tc>
        <w:tc>
          <w:tcPr>
            <w:tcW w:w="692" w:type="pct"/>
            <w:shd w:val="clear" w:color="auto" w:fill="auto"/>
          </w:tcPr>
          <w:p w14:paraId="26845D4C" w14:textId="77777777" w:rsidR="00062946" w:rsidRPr="006E170D" w:rsidRDefault="00062946" w:rsidP="00062946">
            <w:pPr>
              <w:pStyle w:val="TBLText"/>
              <w:rPr>
                <w:rFonts w:eastAsia="MS Mincho"/>
              </w:rPr>
            </w:pPr>
            <w:r w:rsidRPr="5D3D59D8">
              <w:rPr>
                <w:rFonts w:eastAsia="MS Mincho"/>
              </w:rPr>
              <w:t>Compliant</w:t>
            </w:r>
          </w:p>
        </w:tc>
        <w:tc>
          <w:tcPr>
            <w:tcW w:w="853" w:type="pct"/>
            <w:shd w:val="clear" w:color="auto" w:fill="auto"/>
          </w:tcPr>
          <w:p w14:paraId="3EFBE69B" w14:textId="0BD62728" w:rsidR="00062946" w:rsidRPr="006E170D" w:rsidRDefault="00062946" w:rsidP="00062946">
            <w:pPr>
              <w:pStyle w:val="TBLText"/>
              <w:rPr>
                <w:rFonts w:eastAsia="MS Mincho"/>
              </w:rPr>
            </w:pPr>
            <w:r>
              <w:rPr>
                <w:rFonts w:eastAsia="MS Mincho"/>
              </w:rPr>
              <w:t>Adequate</w:t>
            </w:r>
          </w:p>
        </w:tc>
        <w:tc>
          <w:tcPr>
            <w:tcW w:w="971" w:type="pct"/>
            <w:shd w:val="clear" w:color="auto" w:fill="auto"/>
          </w:tcPr>
          <w:p w14:paraId="60CA9269" w14:textId="77777777" w:rsidR="00062946" w:rsidRPr="006D708A" w:rsidRDefault="00062946" w:rsidP="00062946">
            <w:pPr>
              <w:pStyle w:val="TBLText"/>
              <w:rPr>
                <w:rFonts w:eastAsia="MS Mincho"/>
              </w:rPr>
            </w:pPr>
            <w:r w:rsidRPr="4CC79053">
              <w:rPr>
                <w:rFonts w:eastAsia="MS Mincho"/>
              </w:rPr>
              <w:t>No</w:t>
            </w:r>
          </w:p>
        </w:tc>
        <w:tc>
          <w:tcPr>
            <w:tcW w:w="970" w:type="pct"/>
            <w:shd w:val="clear" w:color="auto" w:fill="auto"/>
          </w:tcPr>
          <w:p w14:paraId="565FB8A2" w14:textId="2B078D7B" w:rsidR="00062946" w:rsidRPr="00344B88" w:rsidRDefault="00062946" w:rsidP="00062946">
            <w:pPr>
              <w:pStyle w:val="TBLText"/>
              <w:rPr>
                <w:rFonts w:eastAsia="MS Mincho"/>
              </w:rPr>
            </w:pPr>
            <w:r>
              <w:rPr>
                <w:rFonts w:eastAsia="MS Mincho"/>
              </w:rPr>
              <w:t>Nil</w:t>
            </w:r>
          </w:p>
        </w:tc>
      </w:tr>
      <w:tr w:rsidR="00062946" w14:paraId="434C4CC7" w14:textId="77777777" w:rsidTr="00C45E30">
        <w:trPr>
          <w:cantSplit/>
          <w:trHeight w:val="20"/>
        </w:trPr>
        <w:tc>
          <w:tcPr>
            <w:tcW w:w="1513" w:type="pct"/>
            <w:shd w:val="clear" w:color="auto" w:fill="DBE6F5" w:themeFill="text2" w:themeFillTint="1A"/>
          </w:tcPr>
          <w:p w14:paraId="41884BC3" w14:textId="77777777" w:rsidR="00062946" w:rsidRPr="00363240" w:rsidRDefault="00062946" w:rsidP="00062946">
            <w:pPr>
              <w:pStyle w:val="TBLText"/>
              <w:rPr>
                <w:b/>
              </w:rPr>
            </w:pPr>
            <w:r w:rsidRPr="00363240">
              <w:rPr>
                <w:b/>
              </w:rPr>
              <w:t>Total proposals</w:t>
            </w:r>
          </w:p>
        </w:tc>
        <w:tc>
          <w:tcPr>
            <w:tcW w:w="692" w:type="pct"/>
            <w:shd w:val="clear" w:color="auto" w:fill="DBE6F5" w:themeFill="text2" w:themeFillTint="1A"/>
          </w:tcPr>
          <w:p w14:paraId="24CF4E3C" w14:textId="40196BB4" w:rsidR="00062946" w:rsidRPr="00363240" w:rsidRDefault="000D1A93" w:rsidP="00062946">
            <w:pPr>
              <w:pStyle w:val="TBLText"/>
              <w:rPr>
                <w:b/>
                <w:bCs/>
              </w:rPr>
            </w:pPr>
            <w:r>
              <w:rPr>
                <w:b/>
                <w:bCs/>
              </w:rPr>
              <w:t>1/1</w:t>
            </w:r>
          </w:p>
        </w:tc>
        <w:tc>
          <w:tcPr>
            <w:tcW w:w="853" w:type="pct"/>
            <w:shd w:val="clear" w:color="auto" w:fill="DBE6F5" w:themeFill="text2" w:themeFillTint="1A"/>
          </w:tcPr>
          <w:p w14:paraId="3FF917D5" w14:textId="77777777" w:rsidR="00062946" w:rsidRPr="00363240" w:rsidRDefault="00062946" w:rsidP="00062946">
            <w:pPr>
              <w:pStyle w:val="TBLText"/>
              <w:rPr>
                <w:b/>
              </w:rPr>
            </w:pPr>
            <w:r>
              <w:rPr>
                <w:b/>
              </w:rPr>
              <w:t>-</w:t>
            </w:r>
          </w:p>
        </w:tc>
        <w:tc>
          <w:tcPr>
            <w:tcW w:w="971" w:type="pct"/>
            <w:shd w:val="clear" w:color="auto" w:fill="DBE6F5" w:themeFill="text2" w:themeFillTint="1A"/>
          </w:tcPr>
          <w:p w14:paraId="52141D85" w14:textId="6A55F5A7" w:rsidR="00062946" w:rsidRPr="006D708A" w:rsidRDefault="000D1A93" w:rsidP="00062946">
            <w:pPr>
              <w:pStyle w:val="TBLText"/>
              <w:rPr>
                <w:b/>
                <w:bCs/>
              </w:rPr>
            </w:pPr>
            <w:r>
              <w:rPr>
                <w:b/>
                <w:bCs/>
              </w:rPr>
              <w:t>0/1</w:t>
            </w:r>
          </w:p>
        </w:tc>
        <w:tc>
          <w:tcPr>
            <w:tcW w:w="970" w:type="pct"/>
            <w:shd w:val="clear" w:color="auto" w:fill="DBE6F5" w:themeFill="text2" w:themeFillTint="1A"/>
          </w:tcPr>
          <w:p w14:paraId="68BD5AAB" w14:textId="610A78AD" w:rsidR="00062946" w:rsidRPr="00BB1BEE" w:rsidRDefault="000D1A93" w:rsidP="00062946">
            <w:pPr>
              <w:pStyle w:val="TBLText"/>
              <w:rPr>
                <w:b/>
                <w:bCs/>
              </w:rPr>
            </w:pPr>
            <w:r>
              <w:rPr>
                <w:b/>
                <w:bCs/>
              </w:rPr>
              <w:t>-</w:t>
            </w:r>
          </w:p>
        </w:tc>
      </w:tr>
    </w:tbl>
    <w:p w14:paraId="0D7E29CB" w14:textId="09FAD4CB" w:rsidR="00DE6598" w:rsidRPr="00CE7B06" w:rsidRDefault="00DE6598" w:rsidP="00DE6598">
      <w:pPr>
        <w:pStyle w:val="Heading2"/>
      </w:pPr>
      <w:bookmarkStart w:id="25" w:name="_Toc193445419"/>
      <w:bookmarkStart w:id="26" w:name="_Toc377092266"/>
      <w:r>
        <w:t>Department of Health and Aged Care</w:t>
      </w:r>
      <w:bookmarkEnd w:id="20"/>
      <w:bookmarkEnd w:id="25"/>
      <w:bookmarkEnd w:id="26"/>
    </w:p>
    <w:p w14:paraId="3C15FC34" w14:textId="168D60BF" w:rsidR="00DE6598" w:rsidRPr="00774646" w:rsidRDefault="00CE18F2" w:rsidP="00031D61">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10</w:t>
      </w:r>
      <w:r w:rsidR="0019779B">
        <w:rPr>
          <w:noProof/>
        </w:rPr>
        <w:fldChar w:fldCharType="end"/>
      </w:r>
      <w:r>
        <w:t xml:space="preserve">. </w:t>
      </w:r>
      <w:r w:rsidRPr="00EE57A8">
        <w:t>Compliance summary: Department of Health and Aged Care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Health and Aged Care"/>
        <w:tblDescription w:val="Compliance summary: Department of Health and Aged Care"/>
      </w:tblPr>
      <w:tblGrid>
        <w:gridCol w:w="3017"/>
        <w:gridCol w:w="1380"/>
        <w:gridCol w:w="1701"/>
        <w:gridCol w:w="1936"/>
        <w:gridCol w:w="1934"/>
      </w:tblGrid>
      <w:tr w:rsidR="00DE6598" w14:paraId="07A1BB0D" w14:textId="77777777" w:rsidTr="08158128">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32793E38" w14:textId="77777777" w:rsidR="00DE6598" w:rsidRPr="006E170D" w:rsidRDefault="00DE6598" w:rsidP="00C47BA6">
            <w:pPr>
              <w:pStyle w:val="TBLHeading"/>
            </w:pPr>
            <w:r>
              <w:t>Proposal</w:t>
            </w:r>
          </w:p>
        </w:tc>
        <w:tc>
          <w:tcPr>
            <w:tcW w:w="692" w:type="pct"/>
            <w:tcBorders>
              <w:top w:val="none" w:sz="0" w:space="0" w:color="auto"/>
              <w:bottom w:val="none" w:sz="0" w:space="0" w:color="auto"/>
            </w:tcBorders>
          </w:tcPr>
          <w:p w14:paraId="7054B053"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tcPr>
          <w:p w14:paraId="7BFD5304" w14:textId="77777777" w:rsidR="00DE6598" w:rsidRPr="006E170D" w:rsidRDefault="00DE6598" w:rsidP="00C47BA6">
            <w:pPr>
              <w:pStyle w:val="TBLHeading"/>
            </w:pPr>
            <w:r>
              <w:t>Rating</w:t>
            </w:r>
          </w:p>
        </w:tc>
        <w:tc>
          <w:tcPr>
            <w:tcW w:w="971" w:type="pct"/>
            <w:tcBorders>
              <w:top w:val="none" w:sz="0" w:space="0" w:color="auto"/>
              <w:bottom w:val="none" w:sz="0" w:space="0" w:color="auto"/>
            </w:tcBorders>
          </w:tcPr>
          <w:p w14:paraId="4066ABD3"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tcPr>
          <w:p w14:paraId="3DDAA2BB" w14:textId="3721916C" w:rsidR="00DE6598" w:rsidRPr="006E170D" w:rsidRDefault="1F772571" w:rsidP="00C47BA6">
            <w:pPr>
              <w:pStyle w:val="TBLHeading"/>
            </w:pPr>
            <w:r>
              <w:t xml:space="preserve">Annual </w:t>
            </w:r>
            <w:r w:rsidR="00DE6598">
              <w:t>Regulatory Burden ($m)</w:t>
            </w:r>
          </w:p>
        </w:tc>
      </w:tr>
      <w:tr w:rsidR="00DE6598" w14:paraId="49CDCF35" w14:textId="77777777" w:rsidTr="08158128">
        <w:trPr>
          <w:cantSplit/>
          <w:trHeight w:val="20"/>
        </w:trPr>
        <w:tc>
          <w:tcPr>
            <w:tcW w:w="1513" w:type="pct"/>
            <w:shd w:val="clear" w:color="auto" w:fill="auto"/>
          </w:tcPr>
          <w:p w14:paraId="62919067" w14:textId="77B7F56F" w:rsidR="00DE6598" w:rsidRPr="006E170D" w:rsidRDefault="3ED83A70" w:rsidP="00C47BA6">
            <w:pPr>
              <w:pStyle w:val="TBLText"/>
            </w:pPr>
            <w:r>
              <w:t>Aged Care Bill 2024</w:t>
            </w:r>
          </w:p>
        </w:tc>
        <w:tc>
          <w:tcPr>
            <w:tcW w:w="692" w:type="pct"/>
            <w:shd w:val="clear" w:color="auto" w:fill="auto"/>
          </w:tcPr>
          <w:p w14:paraId="055D9F7B" w14:textId="5CBEBCB9" w:rsidR="00DE6598" w:rsidRPr="006E170D" w:rsidRDefault="3ED83A70" w:rsidP="2CDCB38B">
            <w:pPr>
              <w:pStyle w:val="TBLText"/>
              <w:rPr>
                <w:rFonts w:eastAsia="MS Mincho"/>
              </w:rPr>
            </w:pPr>
            <w:r w:rsidRPr="27EFE04F">
              <w:rPr>
                <w:rFonts w:eastAsia="MS Mincho"/>
              </w:rPr>
              <w:t>Compliant</w:t>
            </w:r>
          </w:p>
        </w:tc>
        <w:tc>
          <w:tcPr>
            <w:tcW w:w="853" w:type="pct"/>
            <w:shd w:val="clear" w:color="auto" w:fill="auto"/>
          </w:tcPr>
          <w:p w14:paraId="73BBDFE9" w14:textId="330D965D" w:rsidR="00DE6598" w:rsidRPr="006E170D" w:rsidRDefault="3ED83A70" w:rsidP="2CDCB38B">
            <w:pPr>
              <w:pStyle w:val="TBLText"/>
              <w:rPr>
                <w:rFonts w:eastAsia="MS Mincho"/>
              </w:rPr>
            </w:pPr>
            <w:r w:rsidRPr="22F13677">
              <w:rPr>
                <w:rFonts w:eastAsia="MS Mincho"/>
              </w:rPr>
              <w:t>N/A</w:t>
            </w:r>
            <w:r w:rsidR="003A3EBC" w:rsidRPr="22F13677">
              <w:rPr>
                <w:rFonts w:eastAsia="MS Mincho"/>
                <w:vertAlign w:val="superscript"/>
              </w:rPr>
              <w:t>a</w:t>
            </w:r>
          </w:p>
        </w:tc>
        <w:tc>
          <w:tcPr>
            <w:tcW w:w="971" w:type="pct"/>
            <w:shd w:val="clear" w:color="auto" w:fill="auto"/>
          </w:tcPr>
          <w:p w14:paraId="0989F09F" w14:textId="3A69B663" w:rsidR="00DE6598" w:rsidRPr="00D04701" w:rsidRDefault="3ED83A70" w:rsidP="2CDCB38B">
            <w:pPr>
              <w:pStyle w:val="TBLText"/>
              <w:rPr>
                <w:rFonts w:eastAsia="MS Mincho"/>
              </w:rPr>
            </w:pPr>
            <w:r w:rsidRPr="290CBD9E">
              <w:rPr>
                <w:rFonts w:eastAsia="MS Mincho"/>
              </w:rPr>
              <w:t>No</w:t>
            </w:r>
          </w:p>
        </w:tc>
        <w:tc>
          <w:tcPr>
            <w:tcW w:w="970" w:type="pct"/>
            <w:shd w:val="clear" w:color="auto" w:fill="auto"/>
          </w:tcPr>
          <w:p w14:paraId="0BE0CAB9" w14:textId="41536669" w:rsidR="00DE6598" w:rsidRPr="006E170D" w:rsidRDefault="001664BA" w:rsidP="2CDCB38B">
            <w:pPr>
              <w:pStyle w:val="TBLText"/>
              <w:rPr>
                <w:rFonts w:eastAsia="MS Mincho"/>
              </w:rPr>
            </w:pPr>
            <w:r>
              <w:rPr>
                <w:rFonts w:eastAsia="MS Mincho" w:cstheme="minorHAnsi"/>
              </w:rPr>
              <w:t>−</w:t>
            </w:r>
            <w:r w:rsidR="3ED83A70" w:rsidRPr="4463BEDF">
              <w:rPr>
                <w:rFonts w:eastAsia="MS Mincho"/>
              </w:rPr>
              <w:t>$4.8m</w:t>
            </w:r>
          </w:p>
        </w:tc>
      </w:tr>
      <w:tr w:rsidR="00062946" w14:paraId="3A7E0780" w14:textId="77777777" w:rsidTr="08158128">
        <w:trPr>
          <w:cantSplit/>
          <w:trHeight w:val="20"/>
        </w:trPr>
        <w:tc>
          <w:tcPr>
            <w:tcW w:w="1513" w:type="pct"/>
            <w:shd w:val="clear" w:color="auto" w:fill="auto"/>
          </w:tcPr>
          <w:p w14:paraId="2CDF5359" w14:textId="35D7B511" w:rsidR="00062946" w:rsidRDefault="00062946" w:rsidP="00C47BA6">
            <w:pPr>
              <w:pStyle w:val="TBLText"/>
            </w:pPr>
            <w:r w:rsidRPr="00062946">
              <w:t>Health Legislation Amendment (Modernising My Health Record—Sharing by Default) Bill 2024</w:t>
            </w:r>
          </w:p>
        </w:tc>
        <w:tc>
          <w:tcPr>
            <w:tcW w:w="692" w:type="pct"/>
            <w:shd w:val="clear" w:color="auto" w:fill="auto"/>
          </w:tcPr>
          <w:p w14:paraId="0E8D3981" w14:textId="06D87541" w:rsidR="00062946" w:rsidRPr="27EFE04F" w:rsidRDefault="00062946" w:rsidP="2CDCB38B">
            <w:pPr>
              <w:pStyle w:val="TBLText"/>
              <w:rPr>
                <w:rFonts w:eastAsia="MS Mincho"/>
              </w:rPr>
            </w:pPr>
            <w:r>
              <w:rPr>
                <w:rFonts w:eastAsia="MS Mincho"/>
              </w:rPr>
              <w:t>Compliant</w:t>
            </w:r>
          </w:p>
        </w:tc>
        <w:tc>
          <w:tcPr>
            <w:tcW w:w="853" w:type="pct"/>
            <w:shd w:val="clear" w:color="auto" w:fill="auto"/>
          </w:tcPr>
          <w:p w14:paraId="5AE3B7DE" w14:textId="26D4E7EA" w:rsidR="00062946" w:rsidRPr="22F13677" w:rsidRDefault="00062946" w:rsidP="2CDCB38B">
            <w:pPr>
              <w:pStyle w:val="TBLText"/>
              <w:rPr>
                <w:rFonts w:eastAsia="MS Mincho"/>
              </w:rPr>
            </w:pPr>
            <w:r>
              <w:rPr>
                <w:rFonts w:eastAsia="MS Mincho"/>
              </w:rPr>
              <w:t>Good Practice</w:t>
            </w:r>
          </w:p>
        </w:tc>
        <w:tc>
          <w:tcPr>
            <w:tcW w:w="971" w:type="pct"/>
            <w:shd w:val="clear" w:color="auto" w:fill="auto"/>
          </w:tcPr>
          <w:p w14:paraId="6D11ADB7" w14:textId="32828E00" w:rsidR="00062946" w:rsidRPr="290CBD9E" w:rsidRDefault="00062946" w:rsidP="2CDCB38B">
            <w:pPr>
              <w:pStyle w:val="TBLText"/>
              <w:rPr>
                <w:rFonts w:eastAsia="MS Mincho"/>
              </w:rPr>
            </w:pPr>
            <w:r>
              <w:rPr>
                <w:rFonts w:eastAsia="MS Mincho"/>
              </w:rPr>
              <w:t>No</w:t>
            </w:r>
          </w:p>
        </w:tc>
        <w:tc>
          <w:tcPr>
            <w:tcW w:w="970" w:type="pct"/>
            <w:shd w:val="clear" w:color="auto" w:fill="auto"/>
          </w:tcPr>
          <w:p w14:paraId="5A423F2A" w14:textId="61EEE8F6" w:rsidR="00062946" w:rsidRDefault="00062946" w:rsidP="2CDCB38B">
            <w:pPr>
              <w:pStyle w:val="TBLText"/>
              <w:rPr>
                <w:rFonts w:eastAsia="MS Mincho" w:cstheme="minorHAnsi"/>
              </w:rPr>
            </w:pPr>
            <w:r>
              <w:rPr>
                <w:rFonts w:eastAsia="MS Mincho" w:cstheme="minorHAnsi"/>
              </w:rPr>
              <w:t>$10.94m in first year, with ongoing costs to be determined</w:t>
            </w:r>
            <w:r w:rsidR="00576373">
              <w:t xml:space="preserve"> </w:t>
            </w:r>
            <w:r w:rsidR="000D78F2">
              <w:t>f</w:t>
            </w:r>
            <w:r w:rsidR="00576373" w:rsidRPr="00576373">
              <w:rPr>
                <w:rFonts w:eastAsia="MS Mincho" w:cstheme="minorHAnsi"/>
              </w:rPr>
              <w:t>ollowing evaluation and monitoring of mandate outcomes</w:t>
            </w:r>
            <w:r w:rsidR="000D1A93" w:rsidRPr="000C1C47">
              <w:rPr>
                <w:rFonts w:eastAsia="MS Mincho" w:cstheme="minorHAnsi"/>
                <w:vertAlign w:val="superscript"/>
              </w:rPr>
              <w:t>b</w:t>
            </w:r>
          </w:p>
        </w:tc>
      </w:tr>
      <w:tr w:rsidR="003D4C08" w14:paraId="6DE8B6F1" w14:textId="77777777" w:rsidTr="08158128">
        <w:trPr>
          <w:cantSplit/>
          <w:trHeight w:val="20"/>
        </w:trPr>
        <w:tc>
          <w:tcPr>
            <w:tcW w:w="1513" w:type="pct"/>
            <w:shd w:val="clear" w:color="auto" w:fill="auto"/>
          </w:tcPr>
          <w:p w14:paraId="328B9B42" w14:textId="1437AAEC" w:rsidR="003D4C08" w:rsidRPr="00062946" w:rsidRDefault="003D4C08" w:rsidP="00772136">
            <w:pPr>
              <w:pStyle w:val="TBLText"/>
              <w:tabs>
                <w:tab w:val="center" w:pos="1451"/>
                <w:tab w:val="left" w:pos="1855"/>
              </w:tabs>
            </w:pPr>
            <w:r w:rsidRPr="003D4C08">
              <w:t>Proposed Adoption of an Australian Sunscreen Exposure Model</w:t>
            </w:r>
          </w:p>
        </w:tc>
        <w:tc>
          <w:tcPr>
            <w:tcW w:w="692" w:type="pct"/>
            <w:shd w:val="clear" w:color="auto" w:fill="auto"/>
          </w:tcPr>
          <w:p w14:paraId="30CFFD4F" w14:textId="038C5C87" w:rsidR="003D4C08" w:rsidRDefault="003D4C08" w:rsidP="2CDCB38B">
            <w:pPr>
              <w:pStyle w:val="TBLText"/>
              <w:rPr>
                <w:rFonts w:eastAsia="MS Mincho"/>
              </w:rPr>
            </w:pPr>
            <w:r>
              <w:rPr>
                <w:rFonts w:eastAsia="MS Mincho"/>
              </w:rPr>
              <w:t>Compliant</w:t>
            </w:r>
          </w:p>
        </w:tc>
        <w:tc>
          <w:tcPr>
            <w:tcW w:w="853" w:type="pct"/>
            <w:shd w:val="clear" w:color="auto" w:fill="auto"/>
          </w:tcPr>
          <w:p w14:paraId="36357A5E" w14:textId="2D32CBD6" w:rsidR="003D4C08" w:rsidRDefault="003D4C08" w:rsidP="2CDCB38B">
            <w:pPr>
              <w:pStyle w:val="TBLText"/>
              <w:rPr>
                <w:rFonts w:eastAsia="MS Mincho"/>
              </w:rPr>
            </w:pPr>
            <w:r>
              <w:rPr>
                <w:rFonts w:eastAsia="MS Mincho"/>
              </w:rPr>
              <w:t>Good Practice</w:t>
            </w:r>
          </w:p>
        </w:tc>
        <w:tc>
          <w:tcPr>
            <w:tcW w:w="971" w:type="pct"/>
            <w:shd w:val="clear" w:color="auto" w:fill="auto"/>
          </w:tcPr>
          <w:p w14:paraId="3CA44A9B" w14:textId="7701815B" w:rsidR="003D4C08" w:rsidRDefault="003D4C08" w:rsidP="2CDCB38B">
            <w:pPr>
              <w:pStyle w:val="TBLText"/>
              <w:rPr>
                <w:rFonts w:eastAsia="MS Mincho"/>
              </w:rPr>
            </w:pPr>
            <w:r>
              <w:rPr>
                <w:rFonts w:eastAsia="MS Mincho"/>
              </w:rPr>
              <w:t>No</w:t>
            </w:r>
          </w:p>
        </w:tc>
        <w:tc>
          <w:tcPr>
            <w:tcW w:w="970" w:type="pct"/>
            <w:shd w:val="clear" w:color="auto" w:fill="auto"/>
          </w:tcPr>
          <w:p w14:paraId="05CEE9B7" w14:textId="5B0E69E6" w:rsidR="003D4C08" w:rsidRDefault="16E25684" w:rsidP="3D232947">
            <w:pPr>
              <w:pStyle w:val="TBLText"/>
              <w:rPr>
                <w:rFonts w:eastAsia="MS Mincho"/>
              </w:rPr>
            </w:pPr>
            <w:r w:rsidRPr="0EFA6F78">
              <w:rPr>
                <w:rFonts w:eastAsia="MS Mincho"/>
              </w:rPr>
              <w:t>−</w:t>
            </w:r>
            <w:r w:rsidR="003D4C08" w:rsidRPr="0EFA6F78">
              <w:rPr>
                <w:rFonts w:eastAsia="MS Mincho"/>
              </w:rPr>
              <w:t>$0.</w:t>
            </w:r>
            <w:r w:rsidR="785F3F0A" w:rsidRPr="0EFA6F78">
              <w:rPr>
                <w:rFonts w:eastAsia="MS Mincho"/>
              </w:rPr>
              <w:t>0</w:t>
            </w:r>
            <w:r w:rsidR="003D4C08" w:rsidRPr="0EFA6F78">
              <w:rPr>
                <w:rFonts w:eastAsia="MS Mincho"/>
              </w:rPr>
              <w:t>33m</w:t>
            </w:r>
          </w:p>
        </w:tc>
      </w:tr>
      <w:tr w:rsidR="00BA5092" w14:paraId="0E8C0D87" w14:textId="77777777" w:rsidTr="08158128">
        <w:trPr>
          <w:cantSplit/>
          <w:trHeight w:val="20"/>
        </w:trPr>
        <w:tc>
          <w:tcPr>
            <w:tcW w:w="1513" w:type="pct"/>
            <w:shd w:val="clear" w:color="auto" w:fill="auto"/>
          </w:tcPr>
          <w:p w14:paraId="3465EF05" w14:textId="49048C44" w:rsidR="00BA5092" w:rsidRPr="003D4C08" w:rsidRDefault="00BA5092" w:rsidP="00BA5092">
            <w:pPr>
              <w:pStyle w:val="TBLText"/>
              <w:tabs>
                <w:tab w:val="center" w:pos="1451"/>
                <w:tab w:val="left" w:pos="1855"/>
              </w:tabs>
            </w:pPr>
            <w:r w:rsidRPr="00BA5092">
              <w:t>Bulk Billing for all Australians</w:t>
            </w:r>
          </w:p>
        </w:tc>
        <w:tc>
          <w:tcPr>
            <w:tcW w:w="692" w:type="pct"/>
            <w:shd w:val="clear" w:color="auto" w:fill="auto"/>
          </w:tcPr>
          <w:p w14:paraId="458F6A8F" w14:textId="74BE7111" w:rsidR="00BA5092" w:rsidRDefault="00BA5092" w:rsidP="00BA5092">
            <w:pPr>
              <w:pStyle w:val="TBLText"/>
              <w:rPr>
                <w:rFonts w:eastAsia="MS Mincho"/>
              </w:rPr>
            </w:pPr>
            <w:r>
              <w:rPr>
                <w:rFonts w:eastAsia="MS Mincho"/>
              </w:rPr>
              <w:t>Compliant</w:t>
            </w:r>
          </w:p>
        </w:tc>
        <w:tc>
          <w:tcPr>
            <w:tcW w:w="853" w:type="pct"/>
            <w:shd w:val="clear" w:color="auto" w:fill="auto"/>
          </w:tcPr>
          <w:p w14:paraId="29F7BE53" w14:textId="5E37E665" w:rsidR="00BA5092" w:rsidRDefault="00BA5092" w:rsidP="00BA5092">
            <w:pPr>
              <w:pStyle w:val="TBLText"/>
              <w:rPr>
                <w:rFonts w:eastAsia="MS Mincho"/>
              </w:rPr>
            </w:pPr>
            <w:r>
              <w:rPr>
                <w:rFonts w:eastAsia="MS Mincho"/>
              </w:rPr>
              <w:t>Adequate</w:t>
            </w:r>
          </w:p>
        </w:tc>
        <w:tc>
          <w:tcPr>
            <w:tcW w:w="971" w:type="pct"/>
            <w:shd w:val="clear" w:color="auto" w:fill="auto"/>
          </w:tcPr>
          <w:p w14:paraId="204D4FD8" w14:textId="07F97856" w:rsidR="00BA5092" w:rsidRDefault="00BA5092" w:rsidP="00BA5092">
            <w:pPr>
              <w:pStyle w:val="TBLText"/>
              <w:rPr>
                <w:rFonts w:eastAsia="MS Mincho"/>
              </w:rPr>
            </w:pPr>
            <w:r>
              <w:rPr>
                <w:rFonts w:eastAsia="MS Mincho"/>
              </w:rPr>
              <w:t>No</w:t>
            </w:r>
          </w:p>
        </w:tc>
        <w:tc>
          <w:tcPr>
            <w:tcW w:w="970" w:type="pct"/>
            <w:shd w:val="clear" w:color="auto" w:fill="auto"/>
          </w:tcPr>
          <w:p w14:paraId="50FCD534" w14:textId="02D9620D" w:rsidR="00BA5092" w:rsidRDefault="6D91164A" w:rsidP="25C8F355">
            <w:pPr>
              <w:pStyle w:val="TBLText"/>
              <w:rPr>
                <w:rFonts w:eastAsia="MS Mincho"/>
              </w:rPr>
            </w:pPr>
            <w:r w:rsidRPr="25C8F355">
              <w:rPr>
                <w:rFonts w:eastAsia="MS Mincho"/>
              </w:rPr>
              <w:t>−</w:t>
            </w:r>
            <w:r w:rsidR="00BA5092" w:rsidRPr="25C8F355">
              <w:rPr>
                <w:rFonts w:eastAsia="MS Mincho"/>
              </w:rPr>
              <w:t>$12.8m</w:t>
            </w:r>
          </w:p>
        </w:tc>
      </w:tr>
      <w:tr w:rsidR="00BA5092" w14:paraId="20BF49F3" w14:textId="77777777" w:rsidTr="08158128">
        <w:trPr>
          <w:cantSplit/>
          <w:trHeight w:val="20"/>
        </w:trPr>
        <w:tc>
          <w:tcPr>
            <w:tcW w:w="1513" w:type="pct"/>
            <w:shd w:val="clear" w:color="auto" w:fill="auto"/>
          </w:tcPr>
          <w:p w14:paraId="4E027CCA" w14:textId="6E8CC2FC" w:rsidR="00BA5092" w:rsidRDefault="00BA5092" w:rsidP="00BA5092">
            <w:pPr>
              <w:pStyle w:val="TBLText"/>
              <w:tabs>
                <w:tab w:val="center" w:pos="1451"/>
                <w:tab w:val="left" w:pos="1855"/>
              </w:tabs>
            </w:pPr>
            <w:r w:rsidRPr="00BA5092">
              <w:t>Building the General Practice Workforce to Strengthen Medicare</w:t>
            </w:r>
          </w:p>
        </w:tc>
        <w:tc>
          <w:tcPr>
            <w:tcW w:w="692" w:type="pct"/>
            <w:shd w:val="clear" w:color="auto" w:fill="auto"/>
          </w:tcPr>
          <w:p w14:paraId="507A1D96" w14:textId="088A3B16" w:rsidR="00BA5092" w:rsidRDefault="00BA5092" w:rsidP="00BA5092">
            <w:pPr>
              <w:pStyle w:val="TBLText"/>
              <w:rPr>
                <w:rFonts w:eastAsia="MS Mincho"/>
              </w:rPr>
            </w:pPr>
            <w:r>
              <w:rPr>
                <w:rFonts w:eastAsia="MS Mincho"/>
              </w:rPr>
              <w:t>Compliant</w:t>
            </w:r>
          </w:p>
        </w:tc>
        <w:tc>
          <w:tcPr>
            <w:tcW w:w="853" w:type="pct"/>
            <w:shd w:val="clear" w:color="auto" w:fill="auto"/>
          </w:tcPr>
          <w:p w14:paraId="77CDD2EA" w14:textId="138FB58A" w:rsidR="00BA5092" w:rsidRDefault="00BA5092" w:rsidP="00BA5092">
            <w:pPr>
              <w:pStyle w:val="TBLText"/>
              <w:rPr>
                <w:rFonts w:eastAsia="MS Mincho"/>
              </w:rPr>
            </w:pPr>
            <w:r>
              <w:rPr>
                <w:rFonts w:eastAsia="MS Mincho"/>
              </w:rPr>
              <w:t>Adequate</w:t>
            </w:r>
          </w:p>
        </w:tc>
        <w:tc>
          <w:tcPr>
            <w:tcW w:w="971" w:type="pct"/>
            <w:shd w:val="clear" w:color="auto" w:fill="auto"/>
          </w:tcPr>
          <w:p w14:paraId="2E214987" w14:textId="157B534E" w:rsidR="00BA5092" w:rsidRDefault="00BA5092" w:rsidP="00BA5092">
            <w:pPr>
              <w:pStyle w:val="TBLText"/>
              <w:rPr>
                <w:rFonts w:eastAsia="MS Mincho"/>
              </w:rPr>
            </w:pPr>
            <w:r>
              <w:rPr>
                <w:rFonts w:eastAsia="MS Mincho"/>
              </w:rPr>
              <w:t>No</w:t>
            </w:r>
          </w:p>
        </w:tc>
        <w:tc>
          <w:tcPr>
            <w:tcW w:w="970" w:type="pct"/>
            <w:shd w:val="clear" w:color="auto" w:fill="auto"/>
          </w:tcPr>
          <w:p w14:paraId="4E0E96E2" w14:textId="2B4A3DE3" w:rsidR="00BA5092" w:rsidRDefault="00BA5092" w:rsidP="00BA5092">
            <w:pPr>
              <w:pStyle w:val="TBLText"/>
              <w:rPr>
                <w:rFonts w:eastAsia="MS Mincho" w:cstheme="minorHAnsi"/>
              </w:rPr>
            </w:pPr>
            <w:r>
              <w:rPr>
                <w:rFonts w:eastAsia="MS Mincho" w:cstheme="minorHAnsi"/>
              </w:rPr>
              <w:t>$0.33m</w:t>
            </w:r>
          </w:p>
        </w:tc>
      </w:tr>
      <w:tr w:rsidR="1A1A9D00" w14:paraId="5FE519B1" w14:textId="77777777" w:rsidTr="08158128">
        <w:trPr>
          <w:cantSplit/>
          <w:trHeight w:val="20"/>
        </w:trPr>
        <w:tc>
          <w:tcPr>
            <w:tcW w:w="3017" w:type="dxa"/>
            <w:shd w:val="clear" w:color="auto" w:fill="auto"/>
          </w:tcPr>
          <w:p w14:paraId="3B9B6211" w14:textId="2B227B82" w:rsidR="636A7DF3" w:rsidRDefault="636A7DF3" w:rsidP="00E44616">
            <w:pPr>
              <w:pStyle w:val="TBLText"/>
              <w:rPr>
                <w:rFonts w:ascii="Segoe UI Light" w:hAnsi="Segoe UI Light"/>
              </w:rPr>
            </w:pPr>
            <w:r w:rsidRPr="1A1A9D00">
              <w:rPr>
                <w:rFonts w:ascii="Segoe UI Light" w:hAnsi="Segoe UI Light"/>
              </w:rPr>
              <w:t>Mandatory reporting of medical device adverse events by healthcare facilities</w:t>
            </w:r>
          </w:p>
        </w:tc>
        <w:tc>
          <w:tcPr>
            <w:tcW w:w="1380" w:type="dxa"/>
            <w:shd w:val="clear" w:color="auto" w:fill="auto"/>
          </w:tcPr>
          <w:p w14:paraId="5B29018F" w14:textId="523D0D1D" w:rsidR="636A7DF3" w:rsidRDefault="636A7DF3" w:rsidP="00E44616">
            <w:pPr>
              <w:pStyle w:val="TBLText"/>
              <w:rPr>
                <w:rFonts w:eastAsia="MS Mincho"/>
              </w:rPr>
            </w:pPr>
            <w:r w:rsidRPr="1A1A9D00">
              <w:rPr>
                <w:rFonts w:eastAsia="MS Mincho"/>
              </w:rPr>
              <w:t>Compliant</w:t>
            </w:r>
          </w:p>
        </w:tc>
        <w:tc>
          <w:tcPr>
            <w:tcW w:w="1701" w:type="dxa"/>
            <w:shd w:val="clear" w:color="auto" w:fill="auto"/>
          </w:tcPr>
          <w:p w14:paraId="5520F2BB" w14:textId="46CE4C44" w:rsidR="1A1A9D00" w:rsidRDefault="636A7DF3" w:rsidP="00E44616">
            <w:pPr>
              <w:pStyle w:val="TBLText"/>
              <w:rPr>
                <w:rFonts w:eastAsia="MS Mincho"/>
              </w:rPr>
            </w:pPr>
            <w:r w:rsidRPr="7B2C99D9">
              <w:rPr>
                <w:rFonts w:eastAsia="MS Mincho"/>
              </w:rPr>
              <w:t>Good Practice</w:t>
            </w:r>
          </w:p>
        </w:tc>
        <w:tc>
          <w:tcPr>
            <w:tcW w:w="1936" w:type="dxa"/>
            <w:shd w:val="clear" w:color="auto" w:fill="auto"/>
          </w:tcPr>
          <w:p w14:paraId="7AD03C43" w14:textId="47F58CE2" w:rsidR="1A1A9D00" w:rsidRDefault="636A7DF3" w:rsidP="00E44616">
            <w:pPr>
              <w:pStyle w:val="TBLText"/>
              <w:rPr>
                <w:rFonts w:eastAsia="MS Mincho"/>
              </w:rPr>
            </w:pPr>
            <w:r w:rsidRPr="7B2C99D9">
              <w:rPr>
                <w:rFonts w:eastAsia="MS Mincho"/>
              </w:rPr>
              <w:t>No</w:t>
            </w:r>
          </w:p>
        </w:tc>
        <w:tc>
          <w:tcPr>
            <w:tcW w:w="1934" w:type="dxa"/>
            <w:shd w:val="clear" w:color="auto" w:fill="auto"/>
          </w:tcPr>
          <w:p w14:paraId="23488187" w14:textId="1EA7B20C" w:rsidR="1A1A9D00" w:rsidRDefault="09CA6695" w:rsidP="00E44616">
            <w:pPr>
              <w:pStyle w:val="TBLText"/>
              <w:rPr>
                <w:rFonts w:eastAsia="MS Mincho"/>
              </w:rPr>
            </w:pPr>
            <w:r w:rsidRPr="7B2C99D9">
              <w:rPr>
                <w:rFonts w:eastAsia="MS Mincho"/>
              </w:rPr>
              <w:t>$1.62</w:t>
            </w:r>
          </w:p>
        </w:tc>
      </w:tr>
      <w:tr w:rsidR="00DE6598" w14:paraId="4B56A87E" w14:textId="77777777" w:rsidTr="08158128">
        <w:trPr>
          <w:cantSplit/>
          <w:trHeight w:val="20"/>
        </w:trPr>
        <w:tc>
          <w:tcPr>
            <w:tcW w:w="1513" w:type="pct"/>
            <w:shd w:val="clear" w:color="auto" w:fill="DBE6F5" w:themeFill="text2" w:themeFillTint="1A"/>
          </w:tcPr>
          <w:p w14:paraId="77930056"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5D80EC82" w14:textId="2D4C51FA" w:rsidR="00DE6598" w:rsidRPr="00363240" w:rsidRDefault="4E4759FA" w:rsidP="01A1BA16">
            <w:pPr>
              <w:pStyle w:val="TBLText"/>
              <w:rPr>
                <w:b/>
                <w:bCs/>
              </w:rPr>
            </w:pPr>
            <w:r w:rsidRPr="08158128">
              <w:rPr>
                <w:b/>
                <w:bCs/>
              </w:rPr>
              <w:t>6</w:t>
            </w:r>
            <w:r w:rsidR="00DE6598" w:rsidRPr="08158128">
              <w:rPr>
                <w:b/>
                <w:bCs/>
              </w:rPr>
              <w:t>/</w:t>
            </w:r>
            <w:r w:rsidR="1253CB16" w:rsidRPr="08158128">
              <w:rPr>
                <w:b/>
                <w:bCs/>
              </w:rPr>
              <w:t>6</w:t>
            </w:r>
          </w:p>
        </w:tc>
        <w:tc>
          <w:tcPr>
            <w:tcW w:w="853" w:type="pct"/>
            <w:shd w:val="clear" w:color="auto" w:fill="DBE6F5" w:themeFill="text2" w:themeFillTint="1A"/>
          </w:tcPr>
          <w:p w14:paraId="35FE2E70"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tcPr>
          <w:p w14:paraId="73485826" w14:textId="63F1BC02" w:rsidR="00DE6598" w:rsidRPr="00D04701" w:rsidRDefault="008E4734" w:rsidP="01A1BA16">
            <w:pPr>
              <w:pStyle w:val="TBLText"/>
              <w:rPr>
                <w:b/>
                <w:bCs/>
              </w:rPr>
            </w:pPr>
            <w:r w:rsidRPr="7B2C99D9">
              <w:rPr>
                <w:b/>
                <w:bCs/>
              </w:rPr>
              <w:t>0</w:t>
            </w:r>
            <w:r w:rsidR="00D8387B" w:rsidRPr="7B2C99D9">
              <w:rPr>
                <w:b/>
                <w:bCs/>
              </w:rPr>
              <w:t>/</w:t>
            </w:r>
            <w:r w:rsidR="26EDBE2B" w:rsidRPr="7B2C99D9">
              <w:rPr>
                <w:b/>
                <w:bCs/>
              </w:rPr>
              <w:t>6</w:t>
            </w:r>
          </w:p>
        </w:tc>
        <w:tc>
          <w:tcPr>
            <w:tcW w:w="970" w:type="pct"/>
            <w:shd w:val="clear" w:color="auto" w:fill="DBE6F5" w:themeFill="text2" w:themeFillTint="1A"/>
          </w:tcPr>
          <w:p w14:paraId="396AA55D" w14:textId="4BC690E9" w:rsidR="00DE6598" w:rsidRPr="00A36692" w:rsidRDefault="3CD899A9" w:rsidP="01A1BA16">
            <w:pPr>
              <w:pStyle w:val="TBLText"/>
              <w:rPr>
                <w:rFonts w:eastAsia="MS Mincho"/>
                <w:b/>
                <w:bCs/>
                <w:spacing w:val="-3"/>
              </w:rPr>
            </w:pPr>
            <w:r w:rsidRPr="4EBB6F0E">
              <w:rPr>
                <w:rFonts w:eastAsia="MS Mincho"/>
              </w:rPr>
              <w:t>−</w:t>
            </w:r>
            <w:r w:rsidR="008E4734">
              <w:rPr>
                <w:rFonts w:eastAsia="MS Mincho"/>
                <w:b/>
                <w:bCs/>
                <w:spacing w:val="-3"/>
              </w:rPr>
              <w:t>$</w:t>
            </w:r>
            <w:r w:rsidR="034DE4C1" w:rsidRPr="08158128">
              <w:rPr>
                <w:rFonts w:eastAsia="MS Mincho"/>
                <w:b/>
                <w:bCs/>
              </w:rPr>
              <w:t>15.683</w:t>
            </w:r>
            <w:r w:rsidR="50F45A66" w:rsidRPr="01A1BA16">
              <w:rPr>
                <w:rFonts w:eastAsia="MS Mincho"/>
                <w:b/>
                <w:bCs/>
                <w:spacing w:val="-3"/>
              </w:rPr>
              <w:t>m</w:t>
            </w:r>
          </w:p>
        </w:tc>
      </w:tr>
    </w:tbl>
    <w:p w14:paraId="45108EB6" w14:textId="0697432F" w:rsidR="00DE6598" w:rsidRDefault="003A3EBC" w:rsidP="3221E9CB">
      <w:pPr>
        <w:pStyle w:val="TBLFootnote"/>
      </w:pPr>
      <w:r w:rsidRPr="22F13677">
        <w:rPr>
          <w:rStyle w:val="TBLFootnoteChar"/>
        </w:rPr>
        <w:t xml:space="preserve">a </w:t>
      </w:r>
      <w:r w:rsidR="008059D0">
        <w:t>N/A - Proposal was subject to an Impact Analysis Equivalent process.</w:t>
      </w:r>
    </w:p>
    <w:p w14:paraId="0E7EE003" w14:textId="77F72B9D" w:rsidR="00C45E30" w:rsidRDefault="000D1A93" w:rsidP="00C45E30">
      <w:pPr>
        <w:pStyle w:val="TBLFootnote"/>
      </w:pPr>
      <w:r>
        <w:t>b Regulatory burden from this proposal is not included in the ‘Estimated annual impact on Regulatory Burden’ in Figure 1 or in the ‘Total proposals’ regulatory burden for this figure.</w:t>
      </w:r>
      <w:bookmarkStart w:id="27" w:name="_Toc155876555"/>
      <w:r w:rsidR="00C45E30">
        <w:t xml:space="preserve"> </w:t>
      </w:r>
    </w:p>
    <w:p w14:paraId="568ABD18" w14:textId="01BB6E30" w:rsidR="00DE6598" w:rsidRPr="00CE7B06" w:rsidRDefault="00DE6598" w:rsidP="00C45E30">
      <w:pPr>
        <w:pStyle w:val="Heading2"/>
      </w:pPr>
      <w:bookmarkStart w:id="28" w:name="_Toc193445420"/>
      <w:bookmarkStart w:id="29" w:name="_Toc1300770731"/>
      <w:r>
        <w:t>Department of Home Affairs</w:t>
      </w:r>
      <w:bookmarkEnd w:id="27"/>
      <w:bookmarkEnd w:id="28"/>
      <w:bookmarkEnd w:id="29"/>
    </w:p>
    <w:p w14:paraId="23851AF6" w14:textId="5A4A44D4" w:rsidR="00DE6598" w:rsidRPr="00774646" w:rsidRDefault="00CE18F2" w:rsidP="00031D61">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11</w:t>
      </w:r>
      <w:r w:rsidR="0019779B">
        <w:rPr>
          <w:noProof/>
        </w:rPr>
        <w:fldChar w:fldCharType="end"/>
      </w:r>
      <w:r>
        <w:t xml:space="preserve">. </w:t>
      </w:r>
      <w:r w:rsidRPr="0033529D">
        <w:t>Compliance summary: Department of Home Affairs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Health and Aged Care"/>
        <w:tblDescription w:val="Compliance summary: Department of Health and Aged Care"/>
      </w:tblPr>
      <w:tblGrid>
        <w:gridCol w:w="3017"/>
        <w:gridCol w:w="1380"/>
        <w:gridCol w:w="1701"/>
        <w:gridCol w:w="1936"/>
        <w:gridCol w:w="1934"/>
      </w:tblGrid>
      <w:tr w:rsidR="00DE6598" w14:paraId="36DBE7FA" w14:textId="77777777" w:rsidTr="5DCF9C32">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44680FA8" w14:textId="77777777" w:rsidR="00DE6598" w:rsidRPr="006E170D" w:rsidRDefault="00DE6598" w:rsidP="22F13677">
            <w:pPr>
              <w:pStyle w:val="TBLHeading"/>
              <w:keepNext/>
            </w:pPr>
            <w:r>
              <w:t>Proposal</w:t>
            </w:r>
          </w:p>
        </w:tc>
        <w:tc>
          <w:tcPr>
            <w:tcW w:w="692" w:type="pct"/>
            <w:tcBorders>
              <w:top w:val="none" w:sz="0" w:space="0" w:color="auto"/>
              <w:bottom w:val="none" w:sz="0" w:space="0" w:color="auto"/>
            </w:tcBorders>
          </w:tcPr>
          <w:p w14:paraId="672D7406" w14:textId="77777777" w:rsidR="00DE6598" w:rsidRPr="006E170D" w:rsidRDefault="00DE6598" w:rsidP="22F13677">
            <w:pPr>
              <w:pStyle w:val="TBLHeading"/>
              <w:keepNext/>
            </w:pPr>
            <w:r>
              <w:t>IA Compliance</w:t>
            </w:r>
          </w:p>
        </w:tc>
        <w:tc>
          <w:tcPr>
            <w:tcW w:w="853" w:type="pct"/>
            <w:tcBorders>
              <w:top w:val="none" w:sz="0" w:space="0" w:color="auto"/>
              <w:bottom w:val="none" w:sz="0" w:space="0" w:color="auto"/>
            </w:tcBorders>
          </w:tcPr>
          <w:p w14:paraId="55C8FBC5" w14:textId="77777777" w:rsidR="00DE6598" w:rsidRPr="006E170D" w:rsidRDefault="00DE6598" w:rsidP="22F13677">
            <w:pPr>
              <w:pStyle w:val="TBLHeading"/>
              <w:keepNext/>
            </w:pPr>
            <w:r>
              <w:t>Rating</w:t>
            </w:r>
          </w:p>
        </w:tc>
        <w:tc>
          <w:tcPr>
            <w:tcW w:w="971" w:type="pct"/>
            <w:tcBorders>
              <w:top w:val="none" w:sz="0" w:space="0" w:color="auto"/>
              <w:bottom w:val="none" w:sz="0" w:space="0" w:color="auto"/>
            </w:tcBorders>
          </w:tcPr>
          <w:p w14:paraId="1A6F9C7F" w14:textId="77777777" w:rsidR="00DE6598" w:rsidRPr="006E170D" w:rsidRDefault="00DE6598" w:rsidP="22F13677">
            <w:pPr>
              <w:pStyle w:val="TBLHeading"/>
              <w:keepNext/>
            </w:pPr>
            <w:r>
              <w:t>PIR Required</w:t>
            </w:r>
          </w:p>
        </w:tc>
        <w:tc>
          <w:tcPr>
            <w:tcW w:w="970" w:type="pct"/>
            <w:tcBorders>
              <w:top w:val="none" w:sz="0" w:space="0" w:color="auto"/>
              <w:bottom w:val="none" w:sz="0" w:space="0" w:color="auto"/>
              <w:right w:val="none" w:sz="0" w:space="0" w:color="auto"/>
            </w:tcBorders>
          </w:tcPr>
          <w:p w14:paraId="46D36524" w14:textId="0A8D0CD8" w:rsidR="00DE6598" w:rsidRPr="006E170D" w:rsidRDefault="5BA18526" w:rsidP="22F13677">
            <w:pPr>
              <w:pStyle w:val="TBLHeading"/>
              <w:keepNext/>
            </w:pPr>
            <w:r>
              <w:t xml:space="preserve">Annual </w:t>
            </w:r>
            <w:r w:rsidR="00DE6598">
              <w:t>Regulatory Burden ($m)</w:t>
            </w:r>
          </w:p>
        </w:tc>
      </w:tr>
      <w:tr w:rsidR="00DE6598" w14:paraId="2CBBD5D3" w14:textId="77777777" w:rsidTr="5DCF9C32">
        <w:trPr>
          <w:cantSplit/>
          <w:trHeight w:val="20"/>
        </w:trPr>
        <w:tc>
          <w:tcPr>
            <w:tcW w:w="1513" w:type="pct"/>
            <w:shd w:val="clear" w:color="auto" w:fill="auto"/>
          </w:tcPr>
          <w:p w14:paraId="2D5F29C1" w14:textId="783F6D50" w:rsidR="00DE6598" w:rsidRPr="006E170D" w:rsidRDefault="5E1D5BE4" w:rsidP="00C47BA6">
            <w:pPr>
              <w:pStyle w:val="TBLText"/>
            </w:pPr>
            <w:r>
              <w:t>Cyber Security Legislation: Mandatory Ransomware Payment Reporting – Cyber Security Bill 2024</w:t>
            </w:r>
          </w:p>
        </w:tc>
        <w:tc>
          <w:tcPr>
            <w:tcW w:w="692" w:type="pct"/>
            <w:shd w:val="clear" w:color="auto" w:fill="auto"/>
          </w:tcPr>
          <w:p w14:paraId="36D192FA" w14:textId="7F5E1645" w:rsidR="00DE6598" w:rsidRPr="006E170D" w:rsidRDefault="5E1D5BE4" w:rsidP="2EAF0AF0">
            <w:pPr>
              <w:pStyle w:val="TBLText"/>
              <w:rPr>
                <w:rFonts w:eastAsia="MS Mincho"/>
              </w:rPr>
            </w:pPr>
            <w:r w:rsidRPr="5C61D415">
              <w:rPr>
                <w:rFonts w:eastAsia="MS Mincho"/>
              </w:rPr>
              <w:t>Compliant</w:t>
            </w:r>
          </w:p>
        </w:tc>
        <w:tc>
          <w:tcPr>
            <w:tcW w:w="853" w:type="pct"/>
            <w:shd w:val="clear" w:color="auto" w:fill="auto"/>
          </w:tcPr>
          <w:p w14:paraId="21004DB3" w14:textId="798C1801" w:rsidR="00DE6598" w:rsidRPr="006E170D" w:rsidRDefault="5E1D5BE4" w:rsidP="2EAF0AF0">
            <w:pPr>
              <w:pStyle w:val="TBLText"/>
              <w:rPr>
                <w:rFonts w:eastAsia="MS Mincho"/>
              </w:rPr>
            </w:pPr>
            <w:r w:rsidRPr="5C61D415">
              <w:rPr>
                <w:rFonts w:eastAsia="MS Mincho"/>
              </w:rPr>
              <w:t>Good Practice</w:t>
            </w:r>
          </w:p>
        </w:tc>
        <w:tc>
          <w:tcPr>
            <w:tcW w:w="971" w:type="pct"/>
            <w:shd w:val="clear" w:color="auto" w:fill="auto"/>
          </w:tcPr>
          <w:p w14:paraId="23B18D71" w14:textId="58ECFD21" w:rsidR="00DE6598" w:rsidRPr="00D04701" w:rsidRDefault="5E1D5BE4" w:rsidP="2EAF0AF0">
            <w:pPr>
              <w:pStyle w:val="TBLText"/>
              <w:rPr>
                <w:rFonts w:eastAsia="MS Mincho"/>
              </w:rPr>
            </w:pPr>
            <w:r w:rsidRPr="5C61D415">
              <w:rPr>
                <w:rFonts w:eastAsia="MS Mincho"/>
              </w:rPr>
              <w:t>No</w:t>
            </w:r>
          </w:p>
        </w:tc>
        <w:tc>
          <w:tcPr>
            <w:tcW w:w="970" w:type="pct"/>
            <w:shd w:val="clear" w:color="auto" w:fill="auto"/>
          </w:tcPr>
          <w:p w14:paraId="6D8BF17A" w14:textId="3DB91E9E" w:rsidR="00DE6598" w:rsidRPr="006E170D" w:rsidRDefault="27754A29" w:rsidP="2EAF0AF0">
            <w:pPr>
              <w:pStyle w:val="TBLText"/>
              <w:rPr>
                <w:rFonts w:eastAsia="MS Mincho"/>
              </w:rPr>
            </w:pPr>
            <w:r w:rsidRPr="3EC45913">
              <w:rPr>
                <w:rFonts w:eastAsia="MS Mincho"/>
              </w:rPr>
              <w:t>$4.77m</w:t>
            </w:r>
          </w:p>
        </w:tc>
      </w:tr>
      <w:tr w:rsidR="005078D9" w14:paraId="3E70EA3B" w14:textId="77777777" w:rsidTr="5DCF9C32">
        <w:trPr>
          <w:cantSplit/>
          <w:trHeight w:val="20"/>
        </w:trPr>
        <w:tc>
          <w:tcPr>
            <w:tcW w:w="1513" w:type="pct"/>
            <w:shd w:val="clear" w:color="auto" w:fill="auto"/>
          </w:tcPr>
          <w:p w14:paraId="4F02C3BE" w14:textId="3B9CC8C9" w:rsidR="005078D9" w:rsidRPr="00EE1697" w:rsidRDefault="5E1D5BE4" w:rsidP="005078D9">
            <w:pPr>
              <w:pStyle w:val="TBLText"/>
            </w:pPr>
            <w:r>
              <w:lastRenderedPageBreak/>
              <w:t>Cyber Security Legislation: Amendments to the Security of Critical Infrastructure Act 2018</w:t>
            </w:r>
          </w:p>
        </w:tc>
        <w:tc>
          <w:tcPr>
            <w:tcW w:w="692" w:type="pct"/>
            <w:shd w:val="clear" w:color="auto" w:fill="auto"/>
          </w:tcPr>
          <w:p w14:paraId="381C3E65" w14:textId="7D64223F" w:rsidR="005078D9" w:rsidRPr="002B0DDE" w:rsidRDefault="5E1D5BE4" w:rsidP="005078D9">
            <w:pPr>
              <w:pStyle w:val="TBLText"/>
              <w:rPr>
                <w:rFonts w:eastAsia="MS Mincho"/>
                <w:spacing w:val="-3"/>
              </w:rPr>
            </w:pPr>
            <w:r w:rsidRPr="5C61D415">
              <w:rPr>
                <w:rFonts w:eastAsia="MS Mincho"/>
              </w:rPr>
              <w:t>Compliant</w:t>
            </w:r>
          </w:p>
        </w:tc>
        <w:tc>
          <w:tcPr>
            <w:tcW w:w="853" w:type="pct"/>
            <w:shd w:val="clear" w:color="auto" w:fill="auto"/>
          </w:tcPr>
          <w:p w14:paraId="2E927186" w14:textId="00F46837" w:rsidR="005078D9" w:rsidRDefault="5E1D5BE4" w:rsidP="005078D9">
            <w:pPr>
              <w:pStyle w:val="TBLText"/>
              <w:rPr>
                <w:rFonts w:eastAsia="MS Mincho"/>
                <w:spacing w:val="-3"/>
              </w:rPr>
            </w:pPr>
            <w:r w:rsidRPr="1D088B77">
              <w:rPr>
                <w:rFonts w:eastAsia="MS Mincho"/>
              </w:rPr>
              <w:t>Good Practice</w:t>
            </w:r>
          </w:p>
        </w:tc>
        <w:tc>
          <w:tcPr>
            <w:tcW w:w="971" w:type="pct"/>
            <w:shd w:val="clear" w:color="auto" w:fill="auto"/>
          </w:tcPr>
          <w:p w14:paraId="4319EA6F" w14:textId="5620A1D2" w:rsidR="005078D9" w:rsidRPr="00D04701" w:rsidRDefault="5E1D5BE4" w:rsidP="005078D9">
            <w:pPr>
              <w:pStyle w:val="TBLText"/>
              <w:rPr>
                <w:rFonts w:eastAsia="MS Mincho"/>
                <w:spacing w:val="-3"/>
              </w:rPr>
            </w:pPr>
            <w:r w:rsidRPr="1D088B77">
              <w:rPr>
                <w:rFonts w:eastAsia="MS Mincho"/>
              </w:rPr>
              <w:t>No</w:t>
            </w:r>
          </w:p>
        </w:tc>
        <w:tc>
          <w:tcPr>
            <w:tcW w:w="970" w:type="pct"/>
            <w:shd w:val="clear" w:color="auto" w:fill="auto"/>
          </w:tcPr>
          <w:p w14:paraId="54438C79" w14:textId="5D3B0DB9" w:rsidR="005078D9" w:rsidRDefault="05F59819" w:rsidP="005078D9">
            <w:pPr>
              <w:pStyle w:val="TBLText"/>
              <w:rPr>
                <w:rFonts w:eastAsia="MS Mincho"/>
                <w:spacing w:val="-3"/>
              </w:rPr>
            </w:pPr>
            <w:r w:rsidRPr="1B41C28C">
              <w:rPr>
                <w:rFonts w:eastAsia="MS Mincho"/>
              </w:rPr>
              <w:t>$0.1m - $16.7m depending on the frequency and cost of cyber incidents in that year</w:t>
            </w:r>
            <w:r w:rsidR="7A253075" w:rsidRPr="1B41C28C">
              <w:rPr>
                <w:rFonts w:eastAsia="MS Mincho"/>
                <w:vertAlign w:val="superscript"/>
              </w:rPr>
              <w:t>a</w:t>
            </w:r>
          </w:p>
        </w:tc>
      </w:tr>
      <w:tr w:rsidR="00062946" w14:paraId="77B13E8A" w14:textId="77777777" w:rsidTr="5DCF9C32">
        <w:trPr>
          <w:cantSplit/>
          <w:trHeight w:val="20"/>
        </w:trPr>
        <w:tc>
          <w:tcPr>
            <w:tcW w:w="1513" w:type="pct"/>
            <w:shd w:val="clear" w:color="auto" w:fill="auto"/>
          </w:tcPr>
          <w:p w14:paraId="3895E147" w14:textId="16A79121" w:rsidR="00062946" w:rsidRDefault="00062946" w:rsidP="005078D9">
            <w:pPr>
              <w:pStyle w:val="TBLText"/>
            </w:pPr>
            <w:r w:rsidRPr="00062946">
              <w:t>Aviation and Maritime Transport Security Reforms</w:t>
            </w:r>
          </w:p>
        </w:tc>
        <w:tc>
          <w:tcPr>
            <w:tcW w:w="692" w:type="pct"/>
            <w:shd w:val="clear" w:color="auto" w:fill="auto"/>
          </w:tcPr>
          <w:p w14:paraId="68F03B28" w14:textId="28CB2D4A" w:rsidR="00062946" w:rsidRPr="5C61D415" w:rsidRDefault="00062946" w:rsidP="005078D9">
            <w:pPr>
              <w:pStyle w:val="TBLText"/>
              <w:rPr>
                <w:rFonts w:eastAsia="MS Mincho"/>
              </w:rPr>
            </w:pPr>
            <w:r>
              <w:rPr>
                <w:rFonts w:eastAsia="MS Mincho"/>
              </w:rPr>
              <w:t>Compliant</w:t>
            </w:r>
          </w:p>
        </w:tc>
        <w:tc>
          <w:tcPr>
            <w:tcW w:w="853" w:type="pct"/>
            <w:shd w:val="clear" w:color="auto" w:fill="auto"/>
          </w:tcPr>
          <w:p w14:paraId="631A499E" w14:textId="5FAF842D" w:rsidR="00062946" w:rsidRPr="1D088B77" w:rsidRDefault="00062946" w:rsidP="005078D9">
            <w:pPr>
              <w:pStyle w:val="TBLText"/>
              <w:rPr>
                <w:rFonts w:eastAsia="MS Mincho"/>
              </w:rPr>
            </w:pPr>
            <w:r>
              <w:rPr>
                <w:rFonts w:eastAsia="MS Mincho"/>
              </w:rPr>
              <w:t>Good Practice</w:t>
            </w:r>
          </w:p>
        </w:tc>
        <w:tc>
          <w:tcPr>
            <w:tcW w:w="971" w:type="pct"/>
            <w:shd w:val="clear" w:color="auto" w:fill="auto"/>
          </w:tcPr>
          <w:p w14:paraId="0287154F" w14:textId="03D1BB21" w:rsidR="00062946" w:rsidRPr="1D088B77" w:rsidRDefault="00062946" w:rsidP="005078D9">
            <w:pPr>
              <w:pStyle w:val="TBLText"/>
              <w:rPr>
                <w:rFonts w:eastAsia="MS Mincho"/>
              </w:rPr>
            </w:pPr>
            <w:r>
              <w:rPr>
                <w:rFonts w:eastAsia="MS Mincho"/>
              </w:rPr>
              <w:t>No</w:t>
            </w:r>
          </w:p>
        </w:tc>
        <w:tc>
          <w:tcPr>
            <w:tcW w:w="970" w:type="pct"/>
            <w:shd w:val="clear" w:color="auto" w:fill="auto"/>
          </w:tcPr>
          <w:p w14:paraId="13492230" w14:textId="4359E737" w:rsidR="00062946" w:rsidRPr="1B41C28C" w:rsidRDefault="00062946" w:rsidP="00062946">
            <w:pPr>
              <w:pStyle w:val="TBLText"/>
              <w:rPr>
                <w:rFonts w:eastAsia="MS Mincho"/>
              </w:rPr>
            </w:pPr>
            <w:r>
              <w:rPr>
                <w:rFonts w:eastAsia="MS Mincho"/>
              </w:rPr>
              <w:t>One-off cost of $190m</w:t>
            </w:r>
            <w:r w:rsidRPr="00062946">
              <w:rPr>
                <w:rFonts w:eastAsia="MS Mincho"/>
              </w:rPr>
              <w:t xml:space="preserve"> and ongoing </w:t>
            </w:r>
            <w:r w:rsidR="00613549">
              <w:rPr>
                <w:rFonts w:eastAsia="MS Mincho"/>
              </w:rPr>
              <w:t xml:space="preserve">annaul </w:t>
            </w:r>
            <w:r w:rsidRPr="00062946">
              <w:rPr>
                <w:rFonts w:eastAsia="MS Mincho"/>
              </w:rPr>
              <w:t>costs of $115m</w:t>
            </w:r>
            <w:r w:rsidR="000D1A93" w:rsidRPr="00613549">
              <w:rPr>
                <w:rFonts w:eastAsia="MS Mincho"/>
                <w:vertAlign w:val="superscript"/>
              </w:rPr>
              <w:t>b</w:t>
            </w:r>
          </w:p>
        </w:tc>
      </w:tr>
      <w:tr w:rsidR="00BA5092" w14:paraId="2CDD20D9" w14:textId="77777777" w:rsidTr="5DCF9C32">
        <w:trPr>
          <w:cantSplit/>
          <w:trHeight w:val="20"/>
        </w:trPr>
        <w:tc>
          <w:tcPr>
            <w:tcW w:w="1513" w:type="pct"/>
            <w:shd w:val="clear" w:color="auto" w:fill="auto"/>
          </w:tcPr>
          <w:p w14:paraId="6231203D" w14:textId="5B7EBD7D" w:rsidR="00BA5092" w:rsidRPr="00062946" w:rsidRDefault="00BA5092" w:rsidP="005078D9">
            <w:pPr>
              <w:pStyle w:val="TBLText"/>
            </w:pPr>
            <w:r w:rsidRPr="00BA5092">
              <w:t>Critical Telecommunications Assets</w:t>
            </w:r>
          </w:p>
        </w:tc>
        <w:tc>
          <w:tcPr>
            <w:tcW w:w="692" w:type="pct"/>
            <w:shd w:val="clear" w:color="auto" w:fill="auto"/>
          </w:tcPr>
          <w:p w14:paraId="11AEA6FE" w14:textId="3956AC63" w:rsidR="00BA5092" w:rsidRDefault="00BA5092" w:rsidP="005078D9">
            <w:pPr>
              <w:pStyle w:val="TBLText"/>
              <w:rPr>
                <w:rFonts w:eastAsia="MS Mincho"/>
              </w:rPr>
            </w:pPr>
            <w:r>
              <w:rPr>
                <w:rFonts w:eastAsia="MS Mincho"/>
              </w:rPr>
              <w:t>Compliant</w:t>
            </w:r>
          </w:p>
        </w:tc>
        <w:tc>
          <w:tcPr>
            <w:tcW w:w="853" w:type="pct"/>
            <w:shd w:val="clear" w:color="auto" w:fill="auto"/>
          </w:tcPr>
          <w:p w14:paraId="74492826" w14:textId="509819CE" w:rsidR="00BA5092" w:rsidRDefault="00BA5092" w:rsidP="005078D9">
            <w:pPr>
              <w:pStyle w:val="TBLText"/>
              <w:rPr>
                <w:rFonts w:eastAsia="MS Mincho"/>
              </w:rPr>
            </w:pPr>
            <w:r>
              <w:rPr>
                <w:rFonts w:eastAsia="MS Mincho"/>
              </w:rPr>
              <w:t>N/A</w:t>
            </w:r>
            <w:r>
              <w:rPr>
                <w:rFonts w:eastAsia="MS Mincho" w:cstheme="minorHAnsi"/>
                <w:vertAlign w:val="superscript"/>
              </w:rPr>
              <w:t>c</w:t>
            </w:r>
          </w:p>
        </w:tc>
        <w:tc>
          <w:tcPr>
            <w:tcW w:w="971" w:type="pct"/>
            <w:shd w:val="clear" w:color="auto" w:fill="auto"/>
          </w:tcPr>
          <w:p w14:paraId="35963DC1" w14:textId="1166EF7A" w:rsidR="00BA5092" w:rsidRDefault="00BA5092" w:rsidP="005078D9">
            <w:pPr>
              <w:pStyle w:val="TBLText"/>
              <w:rPr>
                <w:rFonts w:eastAsia="MS Mincho"/>
              </w:rPr>
            </w:pPr>
            <w:r>
              <w:rPr>
                <w:rFonts w:eastAsia="MS Mincho"/>
              </w:rPr>
              <w:t>No</w:t>
            </w:r>
          </w:p>
        </w:tc>
        <w:tc>
          <w:tcPr>
            <w:tcW w:w="970" w:type="pct"/>
            <w:shd w:val="clear" w:color="auto" w:fill="auto"/>
          </w:tcPr>
          <w:p w14:paraId="5FCBEA01" w14:textId="716DDCE6" w:rsidR="00BA5092" w:rsidRDefault="005573EC" w:rsidP="00062946">
            <w:pPr>
              <w:pStyle w:val="TBLText"/>
              <w:rPr>
                <w:rFonts w:eastAsia="MS Mincho"/>
              </w:rPr>
            </w:pPr>
            <w:r>
              <w:rPr>
                <w:rFonts w:eastAsia="MS Mincho"/>
              </w:rPr>
              <w:t>-</w:t>
            </w:r>
            <w:r>
              <w:rPr>
                <w:rFonts w:eastAsia="MS Mincho"/>
                <w:vertAlign w:val="superscript"/>
              </w:rPr>
              <w:t>d</w:t>
            </w:r>
          </w:p>
        </w:tc>
      </w:tr>
      <w:tr w:rsidR="00DE6598" w14:paraId="12FF05DC" w14:textId="77777777" w:rsidTr="5DCF9C32">
        <w:trPr>
          <w:cantSplit/>
          <w:trHeight w:val="20"/>
        </w:trPr>
        <w:tc>
          <w:tcPr>
            <w:tcW w:w="1513" w:type="pct"/>
            <w:shd w:val="clear" w:color="auto" w:fill="DBE6F5" w:themeFill="text2" w:themeFillTint="1A"/>
          </w:tcPr>
          <w:p w14:paraId="3D06C6E9"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4809A885" w14:textId="453E241E" w:rsidR="00DE6598" w:rsidRPr="00363240" w:rsidRDefault="00E50ABE" w:rsidP="2EAF0AF0">
            <w:pPr>
              <w:pStyle w:val="TBLText"/>
              <w:rPr>
                <w:b/>
                <w:bCs/>
              </w:rPr>
            </w:pPr>
            <w:r>
              <w:rPr>
                <w:b/>
                <w:bCs/>
              </w:rPr>
              <w:t>4</w:t>
            </w:r>
            <w:r w:rsidR="00DE6598" w:rsidRPr="5DCF9C32">
              <w:rPr>
                <w:b/>
                <w:bCs/>
              </w:rPr>
              <w:t>/</w:t>
            </w:r>
            <w:r w:rsidR="6711B912" w:rsidRPr="5DCF9C32">
              <w:rPr>
                <w:b/>
                <w:bCs/>
              </w:rPr>
              <w:t>4</w:t>
            </w:r>
          </w:p>
        </w:tc>
        <w:tc>
          <w:tcPr>
            <w:tcW w:w="853" w:type="pct"/>
            <w:shd w:val="clear" w:color="auto" w:fill="DBE6F5" w:themeFill="text2" w:themeFillTint="1A"/>
          </w:tcPr>
          <w:p w14:paraId="3592C1E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tcPr>
          <w:p w14:paraId="5A2638C6" w14:textId="0B58A716" w:rsidR="00DE6598" w:rsidRPr="00D04701" w:rsidRDefault="008E4734" w:rsidP="2EAF0AF0">
            <w:pPr>
              <w:pStyle w:val="TBLText"/>
              <w:rPr>
                <w:b/>
                <w:bCs/>
              </w:rPr>
            </w:pPr>
            <w:r w:rsidRPr="5DCF9C32">
              <w:rPr>
                <w:b/>
                <w:bCs/>
              </w:rPr>
              <w:t>0</w:t>
            </w:r>
            <w:r w:rsidR="005078D9" w:rsidRPr="5DCF9C32">
              <w:rPr>
                <w:b/>
                <w:bCs/>
              </w:rPr>
              <w:t>/</w:t>
            </w:r>
            <w:r w:rsidR="3681984C" w:rsidRPr="5DCF9C32">
              <w:rPr>
                <w:b/>
                <w:bCs/>
              </w:rPr>
              <w:t>4</w:t>
            </w:r>
          </w:p>
        </w:tc>
        <w:tc>
          <w:tcPr>
            <w:tcW w:w="970" w:type="pct"/>
            <w:shd w:val="clear" w:color="auto" w:fill="DBE6F5" w:themeFill="text2" w:themeFillTint="1A"/>
          </w:tcPr>
          <w:p w14:paraId="075CED0F" w14:textId="523448E7" w:rsidR="00DE6598" w:rsidRPr="00BB1BEE" w:rsidRDefault="005078D9" w:rsidP="2EAF0AF0">
            <w:pPr>
              <w:pStyle w:val="TBLText"/>
              <w:rPr>
                <w:rFonts w:eastAsia="MS Mincho"/>
                <w:b/>
                <w:bCs/>
              </w:rPr>
            </w:pPr>
            <w:r w:rsidRPr="2EAF0AF0">
              <w:rPr>
                <w:rFonts w:eastAsia="MS Mincho"/>
                <w:b/>
                <w:bCs/>
                <w:spacing w:val="-3"/>
              </w:rPr>
              <w:t>$</w:t>
            </w:r>
            <w:r w:rsidR="34BB976A" w:rsidRPr="2EAF0AF0">
              <w:rPr>
                <w:rFonts w:eastAsia="MS Mincho"/>
                <w:b/>
                <w:bCs/>
                <w:spacing w:val="-3"/>
              </w:rPr>
              <w:t>4.77</w:t>
            </w:r>
            <w:r w:rsidR="0351887C" w:rsidRPr="2EAF0AF0">
              <w:rPr>
                <w:rFonts w:eastAsia="MS Mincho"/>
                <w:b/>
                <w:bCs/>
                <w:spacing w:val="-3"/>
              </w:rPr>
              <w:t>m</w:t>
            </w:r>
          </w:p>
        </w:tc>
      </w:tr>
    </w:tbl>
    <w:p w14:paraId="100867F9" w14:textId="7639863D" w:rsidR="004A17D7" w:rsidRDefault="33267B5B" w:rsidP="6AE9EB2D">
      <w:pPr>
        <w:pStyle w:val="TBLFootnote"/>
      </w:pPr>
      <w:r>
        <w:t>a</w:t>
      </w:r>
      <w:r w:rsidR="4886A61E">
        <w:t xml:space="preserve"> </w:t>
      </w:r>
      <w:r w:rsidR="3FD2570F">
        <w:t>The regulatory burden estimates</w:t>
      </w:r>
      <w:r w:rsidR="66FAB0E6">
        <w:t xml:space="preserve"> are </w:t>
      </w:r>
      <w:r w:rsidR="3FD2570F">
        <w:t xml:space="preserve">presented as a range. As such, regulatory burden from this </w:t>
      </w:r>
      <w:r w:rsidR="053B9981">
        <w:t xml:space="preserve">proposal </w:t>
      </w:r>
      <w:r w:rsidR="3FD2570F">
        <w:t>is not included in the ‘Estimated annual impact on Regulatory Burden’ in Figure 1 or in the ‘Total proposals’ regulatory burden for this figure.</w:t>
      </w:r>
      <w:bookmarkStart w:id="30" w:name="_Toc155876556"/>
    </w:p>
    <w:p w14:paraId="17DFD789" w14:textId="275D1613" w:rsidR="000D1A93" w:rsidRDefault="000D1A93" w:rsidP="6AE9EB2D">
      <w:pPr>
        <w:pStyle w:val="TBLFootnote"/>
      </w:pPr>
      <w:r>
        <w:t>b Regulatory burden from this proposal is not included in the ‘Estimated annual impact on Regulatory Burden’ in Figure 1 or in the ‘Total proposals’ regulatory burden for this figure.</w:t>
      </w:r>
    </w:p>
    <w:p w14:paraId="204F3402" w14:textId="0D10DB7D" w:rsidR="00BA5092" w:rsidRDefault="00BA5092" w:rsidP="6AE9EB2D">
      <w:pPr>
        <w:pStyle w:val="TBLFootnote"/>
      </w:pPr>
      <w:r>
        <w:rPr>
          <w:rStyle w:val="TBLFootnoteChar"/>
        </w:rPr>
        <w:t>c</w:t>
      </w:r>
      <w:r w:rsidRPr="22F13677">
        <w:rPr>
          <w:rStyle w:val="TBLFootnoteChar"/>
        </w:rPr>
        <w:t xml:space="preserve"> </w:t>
      </w:r>
      <w:r>
        <w:t>N/A - Proposal was subject to an Impact Analysis Equivalent process.</w:t>
      </w:r>
    </w:p>
    <w:p w14:paraId="5AC0F1D2" w14:textId="42143C05" w:rsidR="005573EC" w:rsidRPr="004A17D7" w:rsidRDefault="005573EC" w:rsidP="6AE9EB2D">
      <w:pPr>
        <w:pStyle w:val="TBLFootnote"/>
      </w:pPr>
      <w:r>
        <w:t xml:space="preserve">d The Certification letter from the Department of Home Affairs outlines that robust estimates of regulatory burden were unable to be produced due to the absence of quantitative submissions from </w:t>
      </w:r>
      <w:r w:rsidDel="005573EC">
        <w:t>industry</w:t>
      </w:r>
      <w:r w:rsidR="4684EE82">
        <w:t>.</w:t>
      </w:r>
    </w:p>
    <w:p w14:paraId="5C907F3E" w14:textId="465FCCC6" w:rsidR="00DE6598" w:rsidRPr="00CE7B06" w:rsidRDefault="00DE6598" w:rsidP="00DE6598">
      <w:pPr>
        <w:pStyle w:val="Heading2"/>
      </w:pPr>
      <w:bookmarkStart w:id="31" w:name="_Toc193445421"/>
      <w:bookmarkStart w:id="32" w:name="_Toc2106287236"/>
      <w:r>
        <w:t>Department of Infrastructure, Transport, Regional Development, Communications and the Arts</w:t>
      </w:r>
      <w:bookmarkEnd w:id="30"/>
      <w:bookmarkEnd w:id="31"/>
      <w:bookmarkEnd w:id="32"/>
    </w:p>
    <w:p w14:paraId="2E6E61D0" w14:textId="4922D54E" w:rsidR="00DE6598" w:rsidRPr="00774646" w:rsidRDefault="00CE18F2" w:rsidP="00031D61">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12</w:t>
      </w:r>
      <w:r w:rsidR="0019779B">
        <w:rPr>
          <w:noProof/>
        </w:rPr>
        <w:fldChar w:fldCharType="end"/>
      </w:r>
      <w:r>
        <w:t xml:space="preserve">. </w:t>
      </w:r>
      <w:r w:rsidRPr="003B1094">
        <w:t>Compliance summary: Department of Infrastructure, Transport, Regional Development, Communication and the Arts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00DE6598" w14:paraId="358186DA"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5BAB3ECE" w14:textId="77777777" w:rsidR="00DE6598" w:rsidRPr="006E170D" w:rsidRDefault="00DE6598" w:rsidP="00C47BA6">
            <w:pPr>
              <w:pStyle w:val="TBLHeading"/>
            </w:pPr>
            <w:r>
              <w:t>Proposal</w:t>
            </w:r>
          </w:p>
        </w:tc>
        <w:tc>
          <w:tcPr>
            <w:tcW w:w="692" w:type="pct"/>
            <w:tcBorders>
              <w:top w:val="none" w:sz="0" w:space="0" w:color="auto"/>
              <w:bottom w:val="none" w:sz="0" w:space="0" w:color="auto"/>
            </w:tcBorders>
          </w:tcPr>
          <w:p w14:paraId="5395414C"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tcPr>
          <w:p w14:paraId="1FF6DFFF" w14:textId="77777777" w:rsidR="00DE6598" w:rsidRPr="006E170D" w:rsidRDefault="00DE6598" w:rsidP="00C47BA6">
            <w:pPr>
              <w:pStyle w:val="TBLHeading"/>
            </w:pPr>
            <w:r>
              <w:t>Rating</w:t>
            </w:r>
          </w:p>
        </w:tc>
        <w:tc>
          <w:tcPr>
            <w:tcW w:w="971" w:type="pct"/>
            <w:tcBorders>
              <w:top w:val="none" w:sz="0" w:space="0" w:color="auto"/>
              <w:bottom w:val="none" w:sz="0" w:space="0" w:color="auto"/>
            </w:tcBorders>
          </w:tcPr>
          <w:p w14:paraId="5CFBF5E1"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tcPr>
          <w:p w14:paraId="49149413" w14:textId="5163EE5A" w:rsidR="00DE6598" w:rsidRPr="006E170D" w:rsidRDefault="68AFA6E3" w:rsidP="00C47BA6">
            <w:pPr>
              <w:pStyle w:val="TBLHeading"/>
            </w:pPr>
            <w:r>
              <w:t xml:space="preserve">Annual </w:t>
            </w:r>
            <w:r w:rsidR="00DE6598">
              <w:t>Regulatory Burden ($m)</w:t>
            </w:r>
          </w:p>
        </w:tc>
      </w:tr>
      <w:tr w:rsidR="00DE6598" w14:paraId="0D156216" w14:textId="77777777" w:rsidTr="00C45E30">
        <w:trPr>
          <w:cantSplit/>
          <w:trHeight w:val="20"/>
        </w:trPr>
        <w:tc>
          <w:tcPr>
            <w:tcW w:w="1513" w:type="pct"/>
            <w:shd w:val="clear" w:color="auto" w:fill="auto"/>
          </w:tcPr>
          <w:p w14:paraId="451F2CE4" w14:textId="069860AD" w:rsidR="00DE6598" w:rsidRPr="002C6070" w:rsidRDefault="33D037D9" w:rsidP="00C47BA6">
            <w:pPr>
              <w:pStyle w:val="TBLText"/>
            </w:pPr>
            <w:r>
              <w:t>Online Misinformation and Disinformation Reform</w:t>
            </w:r>
          </w:p>
        </w:tc>
        <w:tc>
          <w:tcPr>
            <w:tcW w:w="692" w:type="pct"/>
            <w:shd w:val="clear" w:color="auto" w:fill="auto"/>
          </w:tcPr>
          <w:p w14:paraId="5809FC8C" w14:textId="39618C25" w:rsidR="00DE6598" w:rsidRPr="002B0DDE" w:rsidRDefault="33D037D9" w:rsidP="00C47BA6">
            <w:pPr>
              <w:pStyle w:val="TBLText"/>
              <w:rPr>
                <w:rFonts w:eastAsia="MS Mincho"/>
                <w:spacing w:val="-3"/>
              </w:rPr>
            </w:pPr>
            <w:r w:rsidRPr="76284064">
              <w:rPr>
                <w:rFonts w:eastAsia="MS Mincho"/>
              </w:rPr>
              <w:t>Compliant</w:t>
            </w:r>
          </w:p>
        </w:tc>
        <w:tc>
          <w:tcPr>
            <w:tcW w:w="853" w:type="pct"/>
            <w:shd w:val="clear" w:color="auto" w:fill="auto"/>
          </w:tcPr>
          <w:p w14:paraId="122A58E9" w14:textId="640D55EA" w:rsidR="00DE6598" w:rsidRDefault="33D037D9" w:rsidP="00C47BA6">
            <w:pPr>
              <w:pStyle w:val="TBLText"/>
              <w:rPr>
                <w:rFonts w:eastAsia="MS Mincho"/>
                <w:spacing w:val="-3"/>
              </w:rPr>
            </w:pPr>
            <w:r w:rsidRPr="1B41C28C">
              <w:rPr>
                <w:rFonts w:eastAsia="MS Mincho"/>
              </w:rPr>
              <w:t>Exempl</w:t>
            </w:r>
            <w:r w:rsidR="0BEEACBD" w:rsidRPr="1B41C28C">
              <w:rPr>
                <w:rFonts w:eastAsia="MS Mincho"/>
              </w:rPr>
              <w:t>a</w:t>
            </w:r>
            <w:r w:rsidRPr="1B41C28C">
              <w:rPr>
                <w:rFonts w:eastAsia="MS Mincho"/>
              </w:rPr>
              <w:t>ry</w:t>
            </w:r>
          </w:p>
        </w:tc>
        <w:tc>
          <w:tcPr>
            <w:tcW w:w="971" w:type="pct"/>
            <w:shd w:val="clear" w:color="auto" w:fill="auto"/>
          </w:tcPr>
          <w:p w14:paraId="7DA19225" w14:textId="5C3A9833" w:rsidR="00DE6598" w:rsidRPr="006D708A" w:rsidRDefault="33D037D9" w:rsidP="00C47BA6">
            <w:pPr>
              <w:pStyle w:val="TBLText"/>
              <w:rPr>
                <w:rFonts w:eastAsia="MS Mincho"/>
                <w:spacing w:val="-3"/>
              </w:rPr>
            </w:pPr>
            <w:r w:rsidRPr="76284064">
              <w:rPr>
                <w:rFonts w:eastAsia="MS Mincho"/>
              </w:rPr>
              <w:t>No</w:t>
            </w:r>
          </w:p>
        </w:tc>
        <w:tc>
          <w:tcPr>
            <w:tcW w:w="970" w:type="pct"/>
            <w:shd w:val="clear" w:color="auto" w:fill="auto"/>
          </w:tcPr>
          <w:p w14:paraId="3A709BCA" w14:textId="1C9E59CD" w:rsidR="00DE6598" w:rsidRDefault="33D037D9" w:rsidP="00C47BA6">
            <w:pPr>
              <w:pStyle w:val="TBLText"/>
              <w:rPr>
                <w:rFonts w:eastAsia="MS Mincho"/>
                <w:spacing w:val="-3"/>
              </w:rPr>
            </w:pPr>
            <w:r w:rsidRPr="76284064">
              <w:rPr>
                <w:rFonts w:eastAsia="MS Mincho"/>
              </w:rPr>
              <w:t>$16.3m</w:t>
            </w:r>
          </w:p>
        </w:tc>
      </w:tr>
      <w:tr w:rsidR="00EE3ABA" w14:paraId="4B66AD50" w14:textId="77777777" w:rsidTr="00C45E30">
        <w:trPr>
          <w:cantSplit/>
          <w:trHeight w:val="20"/>
        </w:trPr>
        <w:tc>
          <w:tcPr>
            <w:tcW w:w="1513" w:type="pct"/>
            <w:shd w:val="clear" w:color="auto" w:fill="auto"/>
          </w:tcPr>
          <w:p w14:paraId="1BBE273E" w14:textId="62620581" w:rsidR="00EE3ABA" w:rsidRDefault="00EE3ABA" w:rsidP="00C47BA6">
            <w:pPr>
              <w:pStyle w:val="TBLText"/>
            </w:pPr>
            <w:r w:rsidRPr="00EE3ABA">
              <w:t>Sydney Airport Demand Management</w:t>
            </w:r>
          </w:p>
        </w:tc>
        <w:tc>
          <w:tcPr>
            <w:tcW w:w="692" w:type="pct"/>
            <w:shd w:val="clear" w:color="auto" w:fill="auto"/>
          </w:tcPr>
          <w:p w14:paraId="68F441F3" w14:textId="0FCADB2F" w:rsidR="00EE3ABA" w:rsidRPr="76284064" w:rsidRDefault="00EE3ABA" w:rsidP="00C47BA6">
            <w:pPr>
              <w:pStyle w:val="TBLText"/>
              <w:rPr>
                <w:rFonts w:eastAsia="MS Mincho"/>
              </w:rPr>
            </w:pPr>
            <w:r>
              <w:rPr>
                <w:rFonts w:eastAsia="MS Mincho"/>
              </w:rPr>
              <w:t>Compliant</w:t>
            </w:r>
          </w:p>
        </w:tc>
        <w:tc>
          <w:tcPr>
            <w:tcW w:w="853" w:type="pct"/>
            <w:shd w:val="clear" w:color="auto" w:fill="auto"/>
          </w:tcPr>
          <w:p w14:paraId="7D92EB9A" w14:textId="28DE2BE1" w:rsidR="00EE3ABA" w:rsidRPr="1B41C28C" w:rsidRDefault="00EE3ABA" w:rsidP="00C47BA6">
            <w:pPr>
              <w:pStyle w:val="TBLText"/>
              <w:rPr>
                <w:rFonts w:eastAsia="MS Mincho"/>
              </w:rPr>
            </w:pPr>
            <w:r>
              <w:rPr>
                <w:rFonts w:eastAsia="MS Mincho"/>
              </w:rPr>
              <w:t>N/A</w:t>
            </w:r>
            <w:r w:rsidRPr="00F51FAF">
              <w:rPr>
                <w:rFonts w:eastAsia="MS Mincho"/>
                <w:vertAlign w:val="superscript"/>
              </w:rPr>
              <w:t>a</w:t>
            </w:r>
          </w:p>
        </w:tc>
        <w:tc>
          <w:tcPr>
            <w:tcW w:w="971" w:type="pct"/>
            <w:shd w:val="clear" w:color="auto" w:fill="auto"/>
          </w:tcPr>
          <w:p w14:paraId="08657B78" w14:textId="2088E8BC" w:rsidR="00EE3ABA" w:rsidRPr="76284064" w:rsidRDefault="00EE3ABA" w:rsidP="00C47BA6">
            <w:pPr>
              <w:pStyle w:val="TBLText"/>
              <w:rPr>
                <w:rFonts w:eastAsia="MS Mincho"/>
              </w:rPr>
            </w:pPr>
            <w:r>
              <w:rPr>
                <w:rFonts w:eastAsia="MS Mincho"/>
              </w:rPr>
              <w:t>No</w:t>
            </w:r>
          </w:p>
        </w:tc>
        <w:tc>
          <w:tcPr>
            <w:tcW w:w="970" w:type="pct"/>
            <w:shd w:val="clear" w:color="auto" w:fill="auto"/>
          </w:tcPr>
          <w:p w14:paraId="383E5C46" w14:textId="56154076" w:rsidR="00EE3ABA" w:rsidRPr="76284064" w:rsidRDefault="00062946" w:rsidP="00C25B79">
            <w:pPr>
              <w:pStyle w:val="TBLText"/>
              <w:rPr>
                <w:rFonts w:eastAsia="MS Mincho"/>
              </w:rPr>
            </w:pPr>
            <w:r>
              <w:rPr>
                <w:rFonts w:eastAsia="MS Mincho"/>
              </w:rPr>
              <w:t>$</w:t>
            </w:r>
            <w:r w:rsidR="00EE3ABA">
              <w:rPr>
                <w:rFonts w:eastAsia="MS Mincho"/>
              </w:rPr>
              <w:t>0.01</w:t>
            </w:r>
            <w:r w:rsidR="00C25B79">
              <w:rPr>
                <w:rFonts w:eastAsia="MS Mincho"/>
              </w:rPr>
              <w:t>3</w:t>
            </w:r>
            <w:r w:rsidR="00EE3ABA">
              <w:rPr>
                <w:rFonts w:eastAsia="MS Mincho"/>
              </w:rPr>
              <w:t>m</w:t>
            </w:r>
          </w:p>
        </w:tc>
      </w:tr>
      <w:tr w:rsidR="00062946" w14:paraId="0D697289" w14:textId="77777777" w:rsidTr="00C45E30">
        <w:trPr>
          <w:cantSplit/>
          <w:trHeight w:val="20"/>
        </w:trPr>
        <w:tc>
          <w:tcPr>
            <w:tcW w:w="1513" w:type="pct"/>
            <w:shd w:val="clear" w:color="auto" w:fill="auto"/>
          </w:tcPr>
          <w:p w14:paraId="196AC15A" w14:textId="1D6BC53D" w:rsidR="00062946" w:rsidRPr="00EE3ABA" w:rsidRDefault="00062946" w:rsidP="00C47BA6">
            <w:pPr>
              <w:pStyle w:val="TBLText"/>
            </w:pPr>
            <w:r>
              <w:t>Social Media Age Limit</w:t>
            </w:r>
          </w:p>
        </w:tc>
        <w:tc>
          <w:tcPr>
            <w:tcW w:w="692" w:type="pct"/>
            <w:shd w:val="clear" w:color="auto" w:fill="auto"/>
          </w:tcPr>
          <w:p w14:paraId="2F88641A" w14:textId="3F6C2647" w:rsidR="00062946" w:rsidRDefault="00062946" w:rsidP="00C47BA6">
            <w:pPr>
              <w:pStyle w:val="TBLText"/>
              <w:rPr>
                <w:rFonts w:eastAsia="MS Mincho"/>
              </w:rPr>
            </w:pPr>
            <w:r>
              <w:rPr>
                <w:rFonts w:eastAsia="MS Mincho"/>
              </w:rPr>
              <w:t>Compliant</w:t>
            </w:r>
          </w:p>
        </w:tc>
        <w:tc>
          <w:tcPr>
            <w:tcW w:w="853" w:type="pct"/>
            <w:shd w:val="clear" w:color="auto" w:fill="auto"/>
          </w:tcPr>
          <w:p w14:paraId="1E74FB16" w14:textId="73F17991" w:rsidR="00062946" w:rsidRDefault="00062946" w:rsidP="00C47BA6">
            <w:pPr>
              <w:pStyle w:val="TBLText"/>
              <w:rPr>
                <w:rFonts w:eastAsia="MS Mincho"/>
              </w:rPr>
            </w:pPr>
            <w:r>
              <w:rPr>
                <w:rFonts w:eastAsia="MS Mincho"/>
              </w:rPr>
              <w:t>N/A</w:t>
            </w:r>
            <w:r w:rsidRPr="00F51FAF">
              <w:rPr>
                <w:rFonts w:eastAsia="MS Mincho"/>
                <w:vertAlign w:val="superscript"/>
              </w:rPr>
              <w:t>a</w:t>
            </w:r>
          </w:p>
        </w:tc>
        <w:tc>
          <w:tcPr>
            <w:tcW w:w="971" w:type="pct"/>
            <w:shd w:val="clear" w:color="auto" w:fill="auto"/>
          </w:tcPr>
          <w:p w14:paraId="08D132F8" w14:textId="20766064" w:rsidR="00062946" w:rsidRDefault="00062946" w:rsidP="00C47BA6">
            <w:pPr>
              <w:pStyle w:val="TBLText"/>
              <w:rPr>
                <w:rFonts w:eastAsia="MS Mincho"/>
              </w:rPr>
            </w:pPr>
            <w:r>
              <w:rPr>
                <w:rFonts w:eastAsia="MS Mincho"/>
              </w:rPr>
              <w:t>No</w:t>
            </w:r>
          </w:p>
        </w:tc>
        <w:tc>
          <w:tcPr>
            <w:tcW w:w="970" w:type="pct"/>
            <w:shd w:val="clear" w:color="auto" w:fill="auto"/>
          </w:tcPr>
          <w:p w14:paraId="5C9CFB81" w14:textId="6E3A0EA9" w:rsidR="00062946" w:rsidRDefault="00062946" w:rsidP="00C47BA6">
            <w:pPr>
              <w:pStyle w:val="TBLText"/>
              <w:rPr>
                <w:rFonts w:eastAsia="MS Mincho"/>
              </w:rPr>
            </w:pPr>
            <w:r>
              <w:rPr>
                <w:rFonts w:eastAsia="MS Mincho"/>
              </w:rPr>
              <w:t>$6.69m</w:t>
            </w:r>
          </w:p>
        </w:tc>
      </w:tr>
      <w:tr w:rsidR="00062946" w14:paraId="34019E07" w14:textId="77777777" w:rsidTr="00C45E30">
        <w:trPr>
          <w:cantSplit/>
          <w:trHeight w:val="20"/>
        </w:trPr>
        <w:tc>
          <w:tcPr>
            <w:tcW w:w="1513" w:type="pct"/>
            <w:shd w:val="clear" w:color="auto" w:fill="auto"/>
          </w:tcPr>
          <w:p w14:paraId="20F80B7A" w14:textId="7507327B" w:rsidR="00062946" w:rsidRDefault="00062946" w:rsidP="00C47BA6">
            <w:pPr>
              <w:pStyle w:val="TBLText"/>
            </w:pPr>
            <w:r>
              <w:t>SMS Sender ID Register</w:t>
            </w:r>
          </w:p>
        </w:tc>
        <w:tc>
          <w:tcPr>
            <w:tcW w:w="692" w:type="pct"/>
            <w:shd w:val="clear" w:color="auto" w:fill="auto"/>
          </w:tcPr>
          <w:p w14:paraId="66DD08BB" w14:textId="6FC1CEEF" w:rsidR="00062946" w:rsidRDefault="00062946" w:rsidP="00C47BA6">
            <w:pPr>
              <w:pStyle w:val="TBLText"/>
              <w:rPr>
                <w:rFonts w:eastAsia="MS Mincho"/>
              </w:rPr>
            </w:pPr>
            <w:r>
              <w:rPr>
                <w:rFonts w:eastAsia="MS Mincho"/>
              </w:rPr>
              <w:t>Compliant</w:t>
            </w:r>
          </w:p>
        </w:tc>
        <w:tc>
          <w:tcPr>
            <w:tcW w:w="853" w:type="pct"/>
            <w:shd w:val="clear" w:color="auto" w:fill="auto"/>
          </w:tcPr>
          <w:p w14:paraId="48A4DDBA" w14:textId="1EE3194B" w:rsidR="00062946" w:rsidRDefault="00062946" w:rsidP="00C47BA6">
            <w:pPr>
              <w:pStyle w:val="TBLText"/>
              <w:rPr>
                <w:rFonts w:eastAsia="MS Mincho"/>
              </w:rPr>
            </w:pPr>
            <w:r>
              <w:rPr>
                <w:rFonts w:eastAsia="MS Mincho"/>
              </w:rPr>
              <w:t>Good Practice</w:t>
            </w:r>
          </w:p>
        </w:tc>
        <w:tc>
          <w:tcPr>
            <w:tcW w:w="971" w:type="pct"/>
            <w:shd w:val="clear" w:color="auto" w:fill="auto"/>
          </w:tcPr>
          <w:p w14:paraId="77DB02B5" w14:textId="544114A3" w:rsidR="00062946" w:rsidRDefault="00062946" w:rsidP="00C47BA6">
            <w:pPr>
              <w:pStyle w:val="TBLText"/>
              <w:rPr>
                <w:rFonts w:eastAsia="MS Mincho"/>
              </w:rPr>
            </w:pPr>
            <w:r>
              <w:rPr>
                <w:rFonts w:eastAsia="MS Mincho"/>
              </w:rPr>
              <w:t>No</w:t>
            </w:r>
          </w:p>
        </w:tc>
        <w:tc>
          <w:tcPr>
            <w:tcW w:w="970" w:type="pct"/>
            <w:shd w:val="clear" w:color="auto" w:fill="auto"/>
          </w:tcPr>
          <w:p w14:paraId="2803C74D" w14:textId="4FBC8BF6" w:rsidR="00062946" w:rsidRDefault="00062946" w:rsidP="00C47BA6">
            <w:pPr>
              <w:pStyle w:val="TBLText"/>
              <w:rPr>
                <w:rFonts w:eastAsia="MS Mincho"/>
              </w:rPr>
            </w:pPr>
            <w:r>
              <w:rPr>
                <w:rFonts w:eastAsia="MS Mincho"/>
              </w:rPr>
              <w:t>$21.5m</w:t>
            </w:r>
          </w:p>
        </w:tc>
      </w:tr>
      <w:tr w:rsidR="00DE6598" w14:paraId="6068EE78" w14:textId="77777777" w:rsidTr="00C45E30">
        <w:trPr>
          <w:cantSplit/>
          <w:trHeight w:val="20"/>
        </w:trPr>
        <w:tc>
          <w:tcPr>
            <w:tcW w:w="1513" w:type="pct"/>
            <w:shd w:val="clear" w:color="auto" w:fill="E0E8F2" w:themeFill="background2"/>
          </w:tcPr>
          <w:p w14:paraId="47A088C3" w14:textId="77777777" w:rsidR="00DE6598" w:rsidRPr="00363240" w:rsidRDefault="00DE6598" w:rsidP="00C47BA6">
            <w:pPr>
              <w:pStyle w:val="TBLText"/>
              <w:rPr>
                <w:b/>
              </w:rPr>
            </w:pPr>
            <w:r w:rsidRPr="00363240">
              <w:rPr>
                <w:b/>
              </w:rPr>
              <w:t>Total proposals</w:t>
            </w:r>
          </w:p>
        </w:tc>
        <w:tc>
          <w:tcPr>
            <w:tcW w:w="692" w:type="pct"/>
            <w:shd w:val="clear" w:color="auto" w:fill="E0E8F2" w:themeFill="background2"/>
          </w:tcPr>
          <w:p w14:paraId="74AB6B04" w14:textId="485AC37A" w:rsidR="00DE6598" w:rsidRPr="00363240" w:rsidRDefault="000D1A93" w:rsidP="2D4DAEBD">
            <w:pPr>
              <w:pStyle w:val="TBLText"/>
              <w:rPr>
                <w:b/>
                <w:bCs/>
              </w:rPr>
            </w:pPr>
            <w:r>
              <w:rPr>
                <w:b/>
                <w:bCs/>
              </w:rPr>
              <w:t>4/4</w:t>
            </w:r>
          </w:p>
        </w:tc>
        <w:tc>
          <w:tcPr>
            <w:tcW w:w="853" w:type="pct"/>
            <w:shd w:val="clear" w:color="auto" w:fill="E0E8F2" w:themeFill="background2"/>
          </w:tcPr>
          <w:p w14:paraId="6F3571E9" w14:textId="77777777" w:rsidR="00DE6598" w:rsidRPr="00363240" w:rsidRDefault="00DE6598" w:rsidP="00C47BA6">
            <w:pPr>
              <w:pStyle w:val="TBLText"/>
              <w:rPr>
                <w:b/>
              </w:rPr>
            </w:pPr>
            <w:r w:rsidRPr="00363240">
              <w:rPr>
                <w:b/>
              </w:rPr>
              <w:t>-</w:t>
            </w:r>
          </w:p>
        </w:tc>
        <w:tc>
          <w:tcPr>
            <w:tcW w:w="971" w:type="pct"/>
            <w:shd w:val="clear" w:color="auto" w:fill="E0E8F2" w:themeFill="background2"/>
          </w:tcPr>
          <w:p w14:paraId="705FE26A" w14:textId="5D0A0871" w:rsidR="00DE6598" w:rsidRPr="006D708A" w:rsidRDefault="008E4734" w:rsidP="2D4DAEBD">
            <w:pPr>
              <w:pStyle w:val="TBLText"/>
              <w:rPr>
                <w:b/>
                <w:bCs/>
              </w:rPr>
            </w:pPr>
            <w:r>
              <w:rPr>
                <w:b/>
                <w:bCs/>
              </w:rPr>
              <w:t>0</w:t>
            </w:r>
            <w:r w:rsidR="00DE6598" w:rsidRPr="2D4DAEBD">
              <w:rPr>
                <w:b/>
                <w:bCs/>
              </w:rPr>
              <w:t>/</w:t>
            </w:r>
            <w:r w:rsidR="000D1A93">
              <w:rPr>
                <w:b/>
                <w:bCs/>
              </w:rPr>
              <w:t>4</w:t>
            </w:r>
          </w:p>
        </w:tc>
        <w:tc>
          <w:tcPr>
            <w:tcW w:w="970" w:type="pct"/>
            <w:shd w:val="clear" w:color="auto" w:fill="E0E8F2" w:themeFill="background2"/>
          </w:tcPr>
          <w:p w14:paraId="297DF691" w14:textId="04670B1C" w:rsidR="00DE6598" w:rsidRPr="000C118B" w:rsidRDefault="000D1A93" w:rsidP="00C25B79">
            <w:pPr>
              <w:pStyle w:val="TBLText"/>
              <w:rPr>
                <w:b/>
                <w:bCs/>
              </w:rPr>
            </w:pPr>
            <w:r>
              <w:rPr>
                <w:b/>
                <w:bCs/>
              </w:rPr>
              <w:t>$44.50</w:t>
            </w:r>
            <w:r w:rsidR="00C25B79">
              <w:rPr>
                <w:b/>
                <w:bCs/>
              </w:rPr>
              <w:t>3</w:t>
            </w:r>
            <w:r>
              <w:rPr>
                <w:b/>
                <w:bCs/>
              </w:rPr>
              <w:t>m</w:t>
            </w:r>
          </w:p>
        </w:tc>
      </w:tr>
    </w:tbl>
    <w:p w14:paraId="06A74573" w14:textId="77777777" w:rsidR="00EE3ABA" w:rsidRPr="00CE7B06" w:rsidRDefault="00EE3ABA" w:rsidP="00EE3ABA">
      <w:pPr>
        <w:pStyle w:val="TBLFootnote"/>
      </w:pPr>
      <w:bookmarkStart w:id="33" w:name="_Toc155876557"/>
      <w:r w:rsidRPr="22F13677">
        <w:rPr>
          <w:rStyle w:val="TBLFootnoteChar"/>
        </w:rPr>
        <w:t xml:space="preserve">a </w:t>
      </w:r>
      <w:r>
        <w:t>N/A - Proposal was subject to an Impact Analysis Equivalent process.</w:t>
      </w:r>
    </w:p>
    <w:p w14:paraId="44E8146B" w14:textId="3D127328" w:rsidR="00DE6598" w:rsidRPr="00CE7B06" w:rsidRDefault="00DE6598" w:rsidP="00DE6598">
      <w:pPr>
        <w:pStyle w:val="Heading2"/>
      </w:pPr>
      <w:bookmarkStart w:id="34" w:name="_Toc193445422"/>
      <w:bookmarkStart w:id="35" w:name="_Toc1788219672"/>
      <w:r>
        <w:t>Department of the Treasury</w:t>
      </w:r>
      <w:bookmarkEnd w:id="33"/>
      <w:bookmarkEnd w:id="34"/>
      <w:bookmarkEnd w:id="35"/>
    </w:p>
    <w:p w14:paraId="16642D3B" w14:textId="1BC6F6A7" w:rsidR="00DE6598" w:rsidRPr="00774646" w:rsidRDefault="00CE18F2" w:rsidP="00031D61">
      <w:pPr>
        <w:pStyle w:val="Caption"/>
      </w:pPr>
      <w:r>
        <w:t xml:space="preserve">Figure </w:t>
      </w:r>
      <w:r w:rsidR="0019779B">
        <w:fldChar w:fldCharType="begin"/>
      </w:r>
      <w:r w:rsidR="0019779B">
        <w:instrText xml:space="preserve"> SEQ Figure \* ARABIC </w:instrText>
      </w:r>
      <w:r w:rsidR="0019779B">
        <w:fldChar w:fldCharType="separate"/>
      </w:r>
      <w:r w:rsidR="00711317">
        <w:rPr>
          <w:noProof/>
        </w:rPr>
        <w:t>13</w:t>
      </w:r>
      <w:r w:rsidR="0019779B">
        <w:rPr>
          <w:noProof/>
        </w:rPr>
        <w:fldChar w:fldCharType="end"/>
      </w:r>
      <w:r>
        <w:t xml:space="preserve">. </w:t>
      </w:r>
      <w:r w:rsidRPr="00C47E3F">
        <w:t>Compliance summary: Department of the Treasury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the Treasury"/>
        <w:tblDescription w:val="Compliance summary: Department of the Treasury"/>
      </w:tblPr>
      <w:tblGrid>
        <w:gridCol w:w="3017"/>
        <w:gridCol w:w="1380"/>
        <w:gridCol w:w="1701"/>
        <w:gridCol w:w="1936"/>
        <w:gridCol w:w="1934"/>
      </w:tblGrid>
      <w:tr w:rsidR="00DE6598" w14:paraId="33A9FD75" w14:textId="77777777" w:rsidTr="7B2C99D9">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1C27FA8A" w14:textId="77777777" w:rsidR="00DE6598" w:rsidRPr="006E170D" w:rsidRDefault="00DE6598" w:rsidP="00C47BA6">
            <w:pPr>
              <w:pStyle w:val="TBLHeading"/>
            </w:pPr>
            <w:r>
              <w:t>Proposal</w:t>
            </w:r>
          </w:p>
        </w:tc>
        <w:tc>
          <w:tcPr>
            <w:tcW w:w="692" w:type="pct"/>
            <w:tcBorders>
              <w:top w:val="none" w:sz="0" w:space="0" w:color="auto"/>
              <w:bottom w:val="none" w:sz="0" w:space="0" w:color="auto"/>
            </w:tcBorders>
          </w:tcPr>
          <w:p w14:paraId="44C34C43"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tcPr>
          <w:p w14:paraId="13516ECC" w14:textId="77777777" w:rsidR="00DE6598" w:rsidRPr="006E170D" w:rsidRDefault="00DE6598" w:rsidP="00C47BA6">
            <w:pPr>
              <w:pStyle w:val="TBLHeading"/>
            </w:pPr>
            <w:r>
              <w:t>Rating</w:t>
            </w:r>
          </w:p>
        </w:tc>
        <w:tc>
          <w:tcPr>
            <w:tcW w:w="971" w:type="pct"/>
            <w:tcBorders>
              <w:top w:val="none" w:sz="0" w:space="0" w:color="auto"/>
              <w:bottom w:val="none" w:sz="0" w:space="0" w:color="auto"/>
            </w:tcBorders>
          </w:tcPr>
          <w:p w14:paraId="36145463"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tcPr>
          <w:p w14:paraId="44F6305B" w14:textId="34D63586" w:rsidR="00DE6598" w:rsidRPr="006E170D" w:rsidRDefault="5819330E" w:rsidP="00C47BA6">
            <w:pPr>
              <w:pStyle w:val="TBLHeading"/>
            </w:pPr>
            <w:r>
              <w:t xml:space="preserve">Annual </w:t>
            </w:r>
            <w:r w:rsidR="00DE6598">
              <w:t>Regulatory Burden ($m)</w:t>
            </w:r>
          </w:p>
        </w:tc>
      </w:tr>
      <w:tr w:rsidR="00DE6598" w14:paraId="644DECD7" w14:textId="77777777" w:rsidTr="7B2C99D9">
        <w:trPr>
          <w:cantSplit/>
          <w:trHeight w:val="20"/>
        </w:trPr>
        <w:tc>
          <w:tcPr>
            <w:tcW w:w="1513" w:type="pct"/>
            <w:shd w:val="clear" w:color="auto" w:fill="auto"/>
          </w:tcPr>
          <w:p w14:paraId="1B6D48A6" w14:textId="4D5A6C96" w:rsidR="00DE6598" w:rsidRPr="006E170D" w:rsidRDefault="004A17D7" w:rsidP="00C47BA6">
            <w:pPr>
              <w:pStyle w:val="TBLText"/>
            </w:pPr>
            <w:r w:rsidRPr="004A17D7">
              <w:t>Supporting social and affordable housing under the Housing Australia Future Fund and the National Housing Accord</w:t>
            </w:r>
          </w:p>
        </w:tc>
        <w:tc>
          <w:tcPr>
            <w:tcW w:w="692" w:type="pct"/>
            <w:shd w:val="clear" w:color="auto" w:fill="auto"/>
          </w:tcPr>
          <w:p w14:paraId="4A88C54C" w14:textId="74029B61" w:rsidR="00DE6598" w:rsidRPr="006E170D" w:rsidRDefault="004A17D7" w:rsidP="3127B391">
            <w:pPr>
              <w:pStyle w:val="TBLText"/>
              <w:rPr>
                <w:rFonts w:eastAsia="MS Mincho"/>
              </w:rPr>
            </w:pPr>
            <w:r>
              <w:rPr>
                <w:rFonts w:eastAsia="MS Mincho"/>
              </w:rPr>
              <w:t>Compliant</w:t>
            </w:r>
          </w:p>
        </w:tc>
        <w:tc>
          <w:tcPr>
            <w:tcW w:w="853" w:type="pct"/>
            <w:shd w:val="clear" w:color="auto" w:fill="auto"/>
          </w:tcPr>
          <w:p w14:paraId="7C05C8E6" w14:textId="3D9AC5CE" w:rsidR="00DE6598" w:rsidRPr="006E170D" w:rsidRDefault="004A17D7" w:rsidP="3127B391">
            <w:pPr>
              <w:pStyle w:val="TBLText"/>
              <w:rPr>
                <w:rFonts w:eastAsia="MS Mincho"/>
              </w:rPr>
            </w:pPr>
            <w:r>
              <w:rPr>
                <w:rFonts w:eastAsia="MS Mincho"/>
              </w:rPr>
              <w:t>Adequate</w:t>
            </w:r>
          </w:p>
        </w:tc>
        <w:tc>
          <w:tcPr>
            <w:tcW w:w="971" w:type="pct"/>
            <w:shd w:val="clear" w:color="auto" w:fill="auto"/>
          </w:tcPr>
          <w:p w14:paraId="04F92D06" w14:textId="11896ABF" w:rsidR="00DE6598" w:rsidRPr="00D501A2" w:rsidRDefault="004A17D7" w:rsidP="3127B391">
            <w:pPr>
              <w:pStyle w:val="TBLText"/>
              <w:rPr>
                <w:rFonts w:eastAsia="MS Mincho"/>
              </w:rPr>
            </w:pPr>
            <w:r>
              <w:rPr>
                <w:rFonts w:eastAsia="MS Mincho"/>
              </w:rPr>
              <w:t>No</w:t>
            </w:r>
          </w:p>
        </w:tc>
        <w:tc>
          <w:tcPr>
            <w:tcW w:w="970" w:type="pct"/>
            <w:shd w:val="clear" w:color="auto" w:fill="auto"/>
          </w:tcPr>
          <w:p w14:paraId="6640F041" w14:textId="1871C0B9" w:rsidR="00DE6598" w:rsidRPr="006E170D" w:rsidRDefault="004A17D7" w:rsidP="3127B391">
            <w:pPr>
              <w:pStyle w:val="TBLText"/>
              <w:rPr>
                <w:rFonts w:eastAsia="MS Mincho"/>
              </w:rPr>
            </w:pPr>
            <w:r>
              <w:rPr>
                <w:rFonts w:eastAsia="MS Mincho"/>
              </w:rPr>
              <w:t>$1.5m</w:t>
            </w:r>
          </w:p>
        </w:tc>
      </w:tr>
      <w:tr w:rsidR="00DE6598" w14:paraId="22304FA6" w14:textId="77777777" w:rsidTr="7B2C99D9">
        <w:trPr>
          <w:cantSplit/>
          <w:trHeight w:val="20"/>
        </w:trPr>
        <w:tc>
          <w:tcPr>
            <w:tcW w:w="1513" w:type="pct"/>
            <w:shd w:val="clear" w:color="auto" w:fill="FFFFFF" w:themeFill="background1"/>
          </w:tcPr>
          <w:p w14:paraId="1C83DE48" w14:textId="3D3E787B" w:rsidR="00DE6598" w:rsidRPr="0088267D" w:rsidRDefault="7DF82822" w:rsidP="00C47BA6">
            <w:pPr>
              <w:pStyle w:val="TBLText"/>
            </w:pPr>
            <w:r>
              <w:lastRenderedPageBreak/>
              <w:t>Use of genetic testing information by life insurers</w:t>
            </w:r>
          </w:p>
        </w:tc>
        <w:tc>
          <w:tcPr>
            <w:tcW w:w="692" w:type="pct"/>
            <w:shd w:val="clear" w:color="auto" w:fill="FFFFFF" w:themeFill="background1"/>
          </w:tcPr>
          <w:p w14:paraId="09F33266" w14:textId="15160882" w:rsidR="00DE6598" w:rsidRPr="002B0DDE" w:rsidRDefault="7DF82822" w:rsidP="00C47BA6">
            <w:pPr>
              <w:pStyle w:val="TBLText"/>
              <w:rPr>
                <w:rFonts w:eastAsia="MS Mincho"/>
                <w:spacing w:val="-3"/>
              </w:rPr>
            </w:pPr>
            <w:r w:rsidRPr="6D08485B">
              <w:rPr>
                <w:rFonts w:eastAsia="MS Mincho"/>
              </w:rPr>
              <w:t>Compliant</w:t>
            </w:r>
          </w:p>
        </w:tc>
        <w:tc>
          <w:tcPr>
            <w:tcW w:w="853" w:type="pct"/>
            <w:shd w:val="clear" w:color="auto" w:fill="FFFFFF" w:themeFill="background1"/>
          </w:tcPr>
          <w:p w14:paraId="51E1160C" w14:textId="15C5AFFD" w:rsidR="00DE6598" w:rsidRPr="002B0DDE" w:rsidRDefault="7DF82822" w:rsidP="00C47BA6">
            <w:pPr>
              <w:pStyle w:val="TBLText"/>
              <w:rPr>
                <w:rFonts w:eastAsia="MS Mincho"/>
                <w:spacing w:val="-3"/>
              </w:rPr>
            </w:pPr>
            <w:r w:rsidRPr="6D08485B">
              <w:rPr>
                <w:rFonts w:eastAsia="MS Mincho"/>
              </w:rPr>
              <w:t>Good Practice</w:t>
            </w:r>
          </w:p>
        </w:tc>
        <w:tc>
          <w:tcPr>
            <w:tcW w:w="971" w:type="pct"/>
            <w:shd w:val="clear" w:color="auto" w:fill="FFFFFF" w:themeFill="background1"/>
          </w:tcPr>
          <w:p w14:paraId="43179D88" w14:textId="76B9AB40" w:rsidR="00DE6598" w:rsidRPr="00D501A2" w:rsidRDefault="7DF82822" w:rsidP="00C47BA6">
            <w:pPr>
              <w:pStyle w:val="TBLText"/>
              <w:rPr>
                <w:rFonts w:eastAsia="MS Mincho"/>
                <w:spacing w:val="-3"/>
              </w:rPr>
            </w:pPr>
            <w:r w:rsidRPr="6D08485B">
              <w:rPr>
                <w:rFonts w:eastAsia="MS Mincho"/>
              </w:rPr>
              <w:t>No</w:t>
            </w:r>
          </w:p>
        </w:tc>
        <w:tc>
          <w:tcPr>
            <w:tcW w:w="970" w:type="pct"/>
            <w:shd w:val="clear" w:color="auto" w:fill="FFFFFF" w:themeFill="background1"/>
          </w:tcPr>
          <w:p w14:paraId="7C0335B5" w14:textId="145A385C" w:rsidR="00DE6598" w:rsidRDefault="00C25B79" w:rsidP="00C25B79">
            <w:pPr>
              <w:pStyle w:val="TBLText"/>
              <w:rPr>
                <w:rFonts w:eastAsia="MS Mincho"/>
                <w:spacing w:val="-3"/>
              </w:rPr>
            </w:pPr>
            <w:r>
              <w:rPr>
                <w:rFonts w:eastAsia="MS Mincho"/>
              </w:rPr>
              <w:t xml:space="preserve"> $0.009m</w:t>
            </w:r>
            <w:r w:rsidR="7DF82822" w:rsidRPr="53329AC5">
              <w:rPr>
                <w:rFonts w:eastAsia="MS Mincho"/>
              </w:rPr>
              <w:t xml:space="preserve"> (</w:t>
            </w:r>
            <w:r w:rsidRPr="53329AC5">
              <w:rPr>
                <w:rFonts w:eastAsia="MS Mincho"/>
              </w:rPr>
              <w:t>$9</w:t>
            </w:r>
            <w:r>
              <w:rPr>
                <w:rFonts w:eastAsia="MS Mincho"/>
              </w:rPr>
              <w:t>,000</w:t>
            </w:r>
            <w:r w:rsidR="7DF82822" w:rsidRPr="53329AC5">
              <w:rPr>
                <w:rFonts w:eastAsia="MS Mincho"/>
              </w:rPr>
              <w:t>)</w:t>
            </w:r>
          </w:p>
        </w:tc>
      </w:tr>
      <w:tr w:rsidR="00DE6598" w14:paraId="5CE32C7E" w14:textId="77777777" w:rsidTr="7B2C99D9">
        <w:trPr>
          <w:cantSplit/>
          <w:trHeight w:val="20"/>
        </w:trPr>
        <w:tc>
          <w:tcPr>
            <w:tcW w:w="1513" w:type="pct"/>
            <w:shd w:val="clear" w:color="auto" w:fill="FFFFFF" w:themeFill="background1"/>
          </w:tcPr>
          <w:p w14:paraId="326C668D" w14:textId="77CD4A6E" w:rsidR="00DE6598" w:rsidRPr="00897BE9" w:rsidRDefault="7DF27CD1" w:rsidP="00C47BA6">
            <w:pPr>
              <w:pStyle w:val="TBLText"/>
            </w:pPr>
            <w:r>
              <w:t>Ban on advertising of superannuation funds during onboarding</w:t>
            </w:r>
          </w:p>
        </w:tc>
        <w:tc>
          <w:tcPr>
            <w:tcW w:w="692" w:type="pct"/>
            <w:shd w:val="clear" w:color="auto" w:fill="FFFFFF" w:themeFill="background1"/>
          </w:tcPr>
          <w:p w14:paraId="03A7017F" w14:textId="76AB465F" w:rsidR="00DE6598" w:rsidRPr="002B0DDE" w:rsidRDefault="7DF27CD1" w:rsidP="00C47BA6">
            <w:pPr>
              <w:pStyle w:val="TBLText"/>
              <w:rPr>
                <w:rFonts w:eastAsia="MS Mincho"/>
                <w:spacing w:val="-3"/>
              </w:rPr>
            </w:pPr>
            <w:r w:rsidRPr="4463BEDF">
              <w:rPr>
                <w:rFonts w:eastAsia="MS Mincho"/>
              </w:rPr>
              <w:t>Compliant</w:t>
            </w:r>
          </w:p>
        </w:tc>
        <w:tc>
          <w:tcPr>
            <w:tcW w:w="853" w:type="pct"/>
            <w:shd w:val="clear" w:color="auto" w:fill="FFFFFF" w:themeFill="background1"/>
          </w:tcPr>
          <w:p w14:paraId="38F1298C" w14:textId="1B2B3E7E" w:rsidR="00DE6598" w:rsidRDefault="7DF27CD1" w:rsidP="00C47BA6">
            <w:pPr>
              <w:pStyle w:val="TBLText"/>
              <w:rPr>
                <w:rFonts w:eastAsia="MS Mincho"/>
                <w:spacing w:val="-3"/>
              </w:rPr>
            </w:pPr>
            <w:r w:rsidRPr="4463BEDF">
              <w:rPr>
                <w:rFonts w:eastAsia="MS Mincho"/>
              </w:rPr>
              <w:t>Adequate</w:t>
            </w:r>
          </w:p>
        </w:tc>
        <w:tc>
          <w:tcPr>
            <w:tcW w:w="971" w:type="pct"/>
            <w:shd w:val="clear" w:color="auto" w:fill="FFFFFF" w:themeFill="background1"/>
          </w:tcPr>
          <w:p w14:paraId="16D3B37B" w14:textId="5B4955B4" w:rsidR="00DE6598" w:rsidRPr="00D501A2" w:rsidRDefault="7DF27CD1" w:rsidP="00C47BA6">
            <w:pPr>
              <w:pStyle w:val="TBLText"/>
              <w:rPr>
                <w:rFonts w:eastAsia="MS Mincho"/>
                <w:spacing w:val="-3"/>
              </w:rPr>
            </w:pPr>
            <w:r w:rsidRPr="4463BEDF">
              <w:rPr>
                <w:rFonts w:eastAsia="MS Mincho"/>
              </w:rPr>
              <w:t>No</w:t>
            </w:r>
          </w:p>
        </w:tc>
        <w:tc>
          <w:tcPr>
            <w:tcW w:w="970" w:type="pct"/>
            <w:shd w:val="clear" w:color="auto" w:fill="FFFFFF" w:themeFill="background1"/>
          </w:tcPr>
          <w:p w14:paraId="5299446F" w14:textId="6FF444FD" w:rsidR="00DE6598" w:rsidRPr="00AB0F87" w:rsidRDefault="1BBB885A" w:rsidP="32AEB9FA">
            <w:pPr>
              <w:pStyle w:val="TBLText"/>
              <w:rPr>
                <w:rFonts w:eastAsia="MS Mincho"/>
              </w:rPr>
            </w:pPr>
            <w:r w:rsidRPr="46794B09">
              <w:rPr>
                <w:rFonts w:eastAsia="MS Mincho"/>
                <w:vertAlign w:val="superscript"/>
              </w:rPr>
              <w:t xml:space="preserve"> </w:t>
            </w:r>
            <w:r w:rsidR="383E4D38" w:rsidRPr="00B60057">
              <w:rPr>
                <w:rFonts w:eastAsia="MS Mincho"/>
              </w:rPr>
              <w:t>$</w:t>
            </w:r>
            <w:r w:rsidR="136B28A8" w:rsidRPr="46794B09">
              <w:rPr>
                <w:rFonts w:eastAsia="MS Mincho"/>
              </w:rPr>
              <w:t>0.48</w:t>
            </w:r>
            <w:r w:rsidR="14859EA0" w:rsidRPr="46794B09">
              <w:rPr>
                <w:rFonts w:eastAsia="MS Mincho"/>
              </w:rPr>
              <w:t>m</w:t>
            </w:r>
            <w:r w:rsidR="136B28A8" w:rsidRPr="46794B09">
              <w:rPr>
                <w:rFonts w:eastAsia="MS Mincho"/>
              </w:rPr>
              <w:t xml:space="preserve"> -</w:t>
            </w:r>
            <w:r w:rsidR="383E4D38" w:rsidRPr="00B60057">
              <w:rPr>
                <w:rFonts w:eastAsia="MS Mincho"/>
              </w:rPr>
              <w:t xml:space="preserve"> $2.8m in one off costs, and </w:t>
            </w:r>
            <w:r w:rsidR="00B60057">
              <w:rPr>
                <w:rFonts w:eastAsia="MS Mincho"/>
              </w:rPr>
              <w:br/>
            </w:r>
            <w:r w:rsidR="09D4CD81" w:rsidRPr="46794B09">
              <w:rPr>
                <w:rFonts w:eastAsia="MS Mincho"/>
              </w:rPr>
              <w:t>$0.44</w:t>
            </w:r>
            <w:r w:rsidR="58451E98" w:rsidRPr="46794B09">
              <w:rPr>
                <w:rFonts w:eastAsia="MS Mincho"/>
              </w:rPr>
              <w:t>m</w:t>
            </w:r>
            <w:r w:rsidR="09D4CD81" w:rsidRPr="46794B09">
              <w:rPr>
                <w:rFonts w:eastAsia="MS Mincho"/>
              </w:rPr>
              <w:t xml:space="preserve"> - $0.88m in </w:t>
            </w:r>
            <w:r w:rsidR="383E4D38" w:rsidRPr="00B60057">
              <w:rPr>
                <w:rFonts w:eastAsia="MS Mincho"/>
              </w:rPr>
              <w:t>ongoing costs</w:t>
            </w:r>
            <w:r w:rsidR="1FD64D88" w:rsidRPr="00B60057">
              <w:rPr>
                <w:rFonts w:eastAsia="MS Mincho"/>
                <w:vertAlign w:val="superscript"/>
              </w:rPr>
              <w:t>a</w:t>
            </w:r>
          </w:p>
        </w:tc>
      </w:tr>
      <w:tr w:rsidR="00DE6598" w14:paraId="43FE14C7" w14:textId="77777777" w:rsidTr="7B2C99D9">
        <w:trPr>
          <w:cantSplit/>
          <w:trHeight w:val="20"/>
        </w:trPr>
        <w:tc>
          <w:tcPr>
            <w:tcW w:w="1513" w:type="pct"/>
            <w:shd w:val="clear" w:color="auto" w:fill="auto"/>
          </w:tcPr>
          <w:p w14:paraId="122EB345" w14:textId="4172E965" w:rsidR="00DE6598" w:rsidRPr="001418FA" w:rsidRDefault="4CDAC978" w:rsidP="00C47BA6">
            <w:pPr>
              <w:pStyle w:val="TBLText"/>
            </w:pPr>
            <w:r>
              <w:t>Merger Reform: A Faster, Stronger and Simpler System for a More Competitive Economy</w:t>
            </w:r>
          </w:p>
        </w:tc>
        <w:tc>
          <w:tcPr>
            <w:tcW w:w="692" w:type="pct"/>
            <w:shd w:val="clear" w:color="auto" w:fill="auto"/>
          </w:tcPr>
          <w:p w14:paraId="24A01B36" w14:textId="41F6E1FA" w:rsidR="00DE6598" w:rsidRPr="002B0DDE" w:rsidRDefault="4CDAC978" w:rsidP="00C47BA6">
            <w:pPr>
              <w:pStyle w:val="TBLText"/>
              <w:rPr>
                <w:rFonts w:eastAsia="MS Mincho"/>
                <w:spacing w:val="-3"/>
              </w:rPr>
            </w:pPr>
            <w:r w:rsidRPr="1F074D72">
              <w:rPr>
                <w:rFonts w:eastAsia="MS Mincho"/>
              </w:rPr>
              <w:t>Compliant</w:t>
            </w:r>
          </w:p>
        </w:tc>
        <w:tc>
          <w:tcPr>
            <w:tcW w:w="853" w:type="pct"/>
            <w:shd w:val="clear" w:color="auto" w:fill="auto"/>
          </w:tcPr>
          <w:p w14:paraId="2D40A27D" w14:textId="295D84A2" w:rsidR="00DE6598" w:rsidRPr="002B0DDE" w:rsidRDefault="4CDAC978" w:rsidP="00C47BA6">
            <w:pPr>
              <w:pStyle w:val="TBLText"/>
              <w:rPr>
                <w:rFonts w:eastAsia="MS Mincho"/>
                <w:spacing w:val="-3"/>
              </w:rPr>
            </w:pPr>
            <w:r w:rsidRPr="1F074D72">
              <w:rPr>
                <w:rFonts w:eastAsia="MS Mincho"/>
              </w:rPr>
              <w:t>Good Practice</w:t>
            </w:r>
          </w:p>
        </w:tc>
        <w:tc>
          <w:tcPr>
            <w:tcW w:w="971" w:type="pct"/>
            <w:shd w:val="clear" w:color="auto" w:fill="auto"/>
          </w:tcPr>
          <w:p w14:paraId="23A64DE8" w14:textId="76D006B8" w:rsidR="00DE6598" w:rsidRPr="00D501A2" w:rsidRDefault="4CDAC978" w:rsidP="00C47BA6">
            <w:pPr>
              <w:pStyle w:val="TBLText"/>
              <w:rPr>
                <w:rFonts w:eastAsia="MS Mincho"/>
                <w:spacing w:val="-3"/>
              </w:rPr>
            </w:pPr>
            <w:r w:rsidRPr="1F074D72">
              <w:rPr>
                <w:rFonts w:eastAsia="MS Mincho"/>
              </w:rPr>
              <w:t>No</w:t>
            </w:r>
          </w:p>
        </w:tc>
        <w:tc>
          <w:tcPr>
            <w:tcW w:w="970" w:type="pct"/>
            <w:shd w:val="clear" w:color="auto" w:fill="auto"/>
          </w:tcPr>
          <w:p w14:paraId="3E079579" w14:textId="6EC4DAE9" w:rsidR="00DE6598" w:rsidRDefault="4CDAC978" w:rsidP="00C47BA6">
            <w:pPr>
              <w:pStyle w:val="TBLText"/>
              <w:rPr>
                <w:rFonts w:eastAsia="MS Mincho"/>
                <w:spacing w:val="-3"/>
              </w:rPr>
            </w:pPr>
            <w:r w:rsidRPr="1F074D72">
              <w:rPr>
                <w:rFonts w:eastAsia="MS Mincho"/>
              </w:rPr>
              <w:t>$10.8m</w:t>
            </w:r>
          </w:p>
        </w:tc>
      </w:tr>
      <w:tr w:rsidR="00062946" w14:paraId="77EDC80B" w14:textId="77777777" w:rsidTr="7B2C99D9">
        <w:trPr>
          <w:cantSplit/>
          <w:trHeight w:val="20"/>
        </w:trPr>
        <w:tc>
          <w:tcPr>
            <w:tcW w:w="1513" w:type="pct"/>
            <w:shd w:val="clear" w:color="auto" w:fill="auto"/>
          </w:tcPr>
          <w:p w14:paraId="1854C627" w14:textId="1FD7BCC4" w:rsidR="00062946" w:rsidRDefault="00062946" w:rsidP="00C47BA6">
            <w:pPr>
              <w:pStyle w:val="TBLText"/>
            </w:pPr>
            <w:r w:rsidRPr="00062946">
              <w:t>Scams Prevention Framework</w:t>
            </w:r>
          </w:p>
        </w:tc>
        <w:tc>
          <w:tcPr>
            <w:tcW w:w="692" w:type="pct"/>
            <w:shd w:val="clear" w:color="auto" w:fill="auto"/>
          </w:tcPr>
          <w:p w14:paraId="074287F6" w14:textId="6F119E10" w:rsidR="00062946" w:rsidRPr="1F074D72" w:rsidRDefault="00062946" w:rsidP="00C47BA6">
            <w:pPr>
              <w:pStyle w:val="TBLText"/>
              <w:rPr>
                <w:rFonts w:eastAsia="MS Mincho"/>
              </w:rPr>
            </w:pPr>
            <w:r>
              <w:rPr>
                <w:rFonts w:eastAsia="MS Mincho"/>
              </w:rPr>
              <w:t>Compliant</w:t>
            </w:r>
          </w:p>
        </w:tc>
        <w:tc>
          <w:tcPr>
            <w:tcW w:w="853" w:type="pct"/>
            <w:shd w:val="clear" w:color="auto" w:fill="auto"/>
          </w:tcPr>
          <w:p w14:paraId="1E66936A" w14:textId="42FDCD7D" w:rsidR="00062946" w:rsidRPr="1F074D72" w:rsidRDefault="00062946" w:rsidP="00C47BA6">
            <w:pPr>
              <w:pStyle w:val="TBLText"/>
              <w:rPr>
                <w:rFonts w:eastAsia="MS Mincho"/>
              </w:rPr>
            </w:pPr>
            <w:r>
              <w:rPr>
                <w:rFonts w:eastAsia="MS Mincho"/>
              </w:rPr>
              <w:t>Good Practice</w:t>
            </w:r>
          </w:p>
        </w:tc>
        <w:tc>
          <w:tcPr>
            <w:tcW w:w="971" w:type="pct"/>
            <w:shd w:val="clear" w:color="auto" w:fill="auto"/>
          </w:tcPr>
          <w:p w14:paraId="60321DB0" w14:textId="524565D1" w:rsidR="00062946" w:rsidRPr="1F074D72" w:rsidRDefault="00062946" w:rsidP="00C47BA6">
            <w:pPr>
              <w:pStyle w:val="TBLText"/>
              <w:rPr>
                <w:rFonts w:eastAsia="MS Mincho"/>
              </w:rPr>
            </w:pPr>
            <w:r>
              <w:rPr>
                <w:rFonts w:eastAsia="MS Mincho"/>
              </w:rPr>
              <w:t>No</w:t>
            </w:r>
          </w:p>
        </w:tc>
        <w:tc>
          <w:tcPr>
            <w:tcW w:w="970" w:type="pct"/>
            <w:shd w:val="clear" w:color="auto" w:fill="auto"/>
          </w:tcPr>
          <w:p w14:paraId="7DA9D8C4" w14:textId="046C8973" w:rsidR="00062946" w:rsidRPr="1F074D72" w:rsidRDefault="00062946" w:rsidP="00C47BA6">
            <w:pPr>
              <w:pStyle w:val="TBLText"/>
              <w:rPr>
                <w:rFonts w:eastAsia="MS Mincho"/>
              </w:rPr>
            </w:pPr>
            <w:r>
              <w:rPr>
                <w:rFonts w:eastAsia="MS Mincho"/>
              </w:rPr>
              <w:t>$102.1m</w:t>
            </w:r>
          </w:p>
        </w:tc>
      </w:tr>
      <w:tr w:rsidR="003D4C08" w14:paraId="54042049" w14:textId="77777777" w:rsidTr="7B2C99D9">
        <w:trPr>
          <w:cantSplit/>
          <w:trHeight w:val="20"/>
        </w:trPr>
        <w:tc>
          <w:tcPr>
            <w:tcW w:w="1513" w:type="pct"/>
            <w:shd w:val="clear" w:color="auto" w:fill="auto"/>
          </w:tcPr>
          <w:p w14:paraId="530D3ED3" w14:textId="3269B35F" w:rsidR="003D4C08" w:rsidRPr="00062946" w:rsidRDefault="003D4C08" w:rsidP="00C47BA6">
            <w:pPr>
              <w:pStyle w:val="TBLText"/>
            </w:pPr>
            <w:r w:rsidRPr="003D4C08">
              <w:t>Hydrogen Production Tax Incentive</w:t>
            </w:r>
          </w:p>
        </w:tc>
        <w:tc>
          <w:tcPr>
            <w:tcW w:w="692" w:type="pct"/>
            <w:shd w:val="clear" w:color="auto" w:fill="auto"/>
          </w:tcPr>
          <w:p w14:paraId="3E3017D1" w14:textId="5AC7CE2B" w:rsidR="003D4C08" w:rsidRDefault="003D4C08" w:rsidP="00C47BA6">
            <w:pPr>
              <w:pStyle w:val="TBLText"/>
              <w:rPr>
                <w:rFonts w:eastAsia="MS Mincho"/>
              </w:rPr>
            </w:pPr>
            <w:r>
              <w:rPr>
                <w:rFonts w:eastAsia="MS Mincho"/>
              </w:rPr>
              <w:t>Compliant</w:t>
            </w:r>
          </w:p>
        </w:tc>
        <w:tc>
          <w:tcPr>
            <w:tcW w:w="853" w:type="pct"/>
            <w:shd w:val="clear" w:color="auto" w:fill="auto"/>
          </w:tcPr>
          <w:p w14:paraId="560E8DBB" w14:textId="3C14DE6F" w:rsidR="003D4C08" w:rsidRDefault="003D4C08" w:rsidP="00C47BA6">
            <w:pPr>
              <w:pStyle w:val="TBLText"/>
              <w:rPr>
                <w:rFonts w:eastAsia="MS Mincho"/>
              </w:rPr>
            </w:pPr>
            <w:r>
              <w:rPr>
                <w:rFonts w:eastAsia="MS Mincho"/>
              </w:rPr>
              <w:t>Adequate</w:t>
            </w:r>
          </w:p>
        </w:tc>
        <w:tc>
          <w:tcPr>
            <w:tcW w:w="971" w:type="pct"/>
            <w:shd w:val="clear" w:color="auto" w:fill="auto"/>
          </w:tcPr>
          <w:p w14:paraId="076032DA" w14:textId="2E5DFF75" w:rsidR="003D4C08" w:rsidRDefault="00B70248" w:rsidP="00C47BA6">
            <w:pPr>
              <w:pStyle w:val="TBLText"/>
              <w:rPr>
                <w:rFonts w:eastAsia="MS Mincho"/>
              </w:rPr>
            </w:pPr>
            <w:r>
              <w:rPr>
                <w:rFonts w:eastAsia="MS Mincho"/>
              </w:rPr>
              <w:t>Yes</w:t>
            </w:r>
          </w:p>
        </w:tc>
        <w:tc>
          <w:tcPr>
            <w:tcW w:w="970" w:type="pct"/>
            <w:shd w:val="clear" w:color="auto" w:fill="auto"/>
          </w:tcPr>
          <w:p w14:paraId="108B8899" w14:textId="207D1D1A" w:rsidR="003D4C08" w:rsidRDefault="003D4C08" w:rsidP="00C47BA6">
            <w:pPr>
              <w:pStyle w:val="TBLText"/>
              <w:rPr>
                <w:rFonts w:eastAsia="MS Mincho"/>
              </w:rPr>
            </w:pPr>
            <w:r w:rsidRPr="6940C7ED">
              <w:rPr>
                <w:rFonts w:eastAsia="MS Mincho"/>
              </w:rPr>
              <w:t>$0.</w:t>
            </w:r>
            <w:r w:rsidR="044473B1" w:rsidRPr="6940C7ED">
              <w:rPr>
                <w:rFonts w:eastAsia="MS Mincho"/>
              </w:rPr>
              <w:t>0</w:t>
            </w:r>
            <w:r w:rsidRPr="6940C7ED">
              <w:rPr>
                <w:rFonts w:eastAsia="MS Mincho"/>
              </w:rPr>
              <w:t>22m</w:t>
            </w:r>
          </w:p>
        </w:tc>
      </w:tr>
      <w:tr w:rsidR="003D4C08" w14:paraId="3DD9EADD" w14:textId="77777777" w:rsidTr="7B2C99D9">
        <w:trPr>
          <w:cantSplit/>
          <w:trHeight w:val="20"/>
        </w:trPr>
        <w:tc>
          <w:tcPr>
            <w:tcW w:w="1513" w:type="pct"/>
            <w:shd w:val="clear" w:color="auto" w:fill="auto"/>
          </w:tcPr>
          <w:p w14:paraId="062DCF0C" w14:textId="51CB3BF3" w:rsidR="003D4C08" w:rsidRDefault="003D4C08" w:rsidP="003D4C08">
            <w:pPr>
              <w:pStyle w:val="TBLText"/>
            </w:pPr>
            <w:r w:rsidRPr="003D4C08">
              <w:t>Critical Minerals Production Tax Incentive</w:t>
            </w:r>
          </w:p>
        </w:tc>
        <w:tc>
          <w:tcPr>
            <w:tcW w:w="692" w:type="pct"/>
            <w:shd w:val="clear" w:color="auto" w:fill="auto"/>
          </w:tcPr>
          <w:p w14:paraId="266CA653" w14:textId="17B2A554" w:rsidR="003D4C08" w:rsidRDefault="003D4C08" w:rsidP="003D4C08">
            <w:pPr>
              <w:pStyle w:val="TBLText"/>
              <w:rPr>
                <w:rFonts w:eastAsia="MS Mincho"/>
              </w:rPr>
            </w:pPr>
            <w:r>
              <w:rPr>
                <w:rFonts w:eastAsia="MS Mincho"/>
              </w:rPr>
              <w:t>Compliant</w:t>
            </w:r>
          </w:p>
        </w:tc>
        <w:tc>
          <w:tcPr>
            <w:tcW w:w="853" w:type="pct"/>
            <w:shd w:val="clear" w:color="auto" w:fill="auto"/>
          </w:tcPr>
          <w:p w14:paraId="31358303" w14:textId="3B7D3EAA" w:rsidR="003D4C08" w:rsidRDefault="003D4C08" w:rsidP="003D4C08">
            <w:pPr>
              <w:pStyle w:val="TBLText"/>
              <w:rPr>
                <w:rFonts w:eastAsia="MS Mincho"/>
              </w:rPr>
            </w:pPr>
            <w:r>
              <w:rPr>
                <w:rFonts w:eastAsia="MS Mincho"/>
              </w:rPr>
              <w:t>Adequate</w:t>
            </w:r>
          </w:p>
        </w:tc>
        <w:tc>
          <w:tcPr>
            <w:tcW w:w="971" w:type="pct"/>
            <w:shd w:val="clear" w:color="auto" w:fill="auto"/>
          </w:tcPr>
          <w:p w14:paraId="6CEFE127" w14:textId="0250A987" w:rsidR="003D4C08" w:rsidRDefault="00B70248" w:rsidP="003D4C08">
            <w:pPr>
              <w:pStyle w:val="TBLText"/>
              <w:rPr>
                <w:rFonts w:eastAsia="MS Mincho"/>
              </w:rPr>
            </w:pPr>
            <w:r>
              <w:rPr>
                <w:rFonts w:eastAsia="MS Mincho"/>
              </w:rPr>
              <w:t>Yes</w:t>
            </w:r>
          </w:p>
        </w:tc>
        <w:tc>
          <w:tcPr>
            <w:tcW w:w="970" w:type="pct"/>
            <w:shd w:val="clear" w:color="auto" w:fill="auto"/>
          </w:tcPr>
          <w:p w14:paraId="499D97EB" w14:textId="5D0D99C7" w:rsidR="003D4C08" w:rsidRDefault="003D4C08" w:rsidP="003D4C08">
            <w:pPr>
              <w:pStyle w:val="TBLText"/>
              <w:rPr>
                <w:rFonts w:eastAsia="MS Mincho"/>
              </w:rPr>
            </w:pPr>
            <w:r w:rsidRPr="6940C7ED">
              <w:rPr>
                <w:rFonts w:eastAsia="MS Mincho"/>
              </w:rPr>
              <w:t>$0.</w:t>
            </w:r>
            <w:r w:rsidR="245A8506" w:rsidRPr="6940C7ED">
              <w:rPr>
                <w:rFonts w:eastAsia="MS Mincho"/>
              </w:rPr>
              <w:t>0</w:t>
            </w:r>
            <w:r w:rsidRPr="6940C7ED">
              <w:rPr>
                <w:rFonts w:eastAsia="MS Mincho"/>
              </w:rPr>
              <w:t>22m</w:t>
            </w:r>
          </w:p>
        </w:tc>
      </w:tr>
      <w:tr w:rsidR="4EBB6F0E" w14:paraId="4A843188" w14:textId="77777777" w:rsidTr="7B2C99D9">
        <w:trPr>
          <w:cantSplit/>
          <w:trHeight w:val="300"/>
        </w:trPr>
        <w:tc>
          <w:tcPr>
            <w:tcW w:w="3017" w:type="dxa"/>
            <w:shd w:val="clear" w:color="auto" w:fill="auto"/>
          </w:tcPr>
          <w:p w14:paraId="0D82EF92" w14:textId="7CB36EE1" w:rsidR="4EBB6F0E" w:rsidRDefault="4EBB6F0E" w:rsidP="4EBB6F0E">
            <w:pPr>
              <w:pStyle w:val="TBLText"/>
            </w:pPr>
            <w:r>
              <w:t>Closing the ATO’s Small Business Superannuation Clearing House</w:t>
            </w:r>
          </w:p>
        </w:tc>
        <w:tc>
          <w:tcPr>
            <w:tcW w:w="1380" w:type="dxa"/>
            <w:shd w:val="clear" w:color="auto" w:fill="auto"/>
          </w:tcPr>
          <w:p w14:paraId="2166D134" w14:textId="595A3BA1" w:rsidR="4EBB6F0E" w:rsidRDefault="4EBB6F0E" w:rsidP="4EBB6F0E">
            <w:pPr>
              <w:pStyle w:val="TBLText"/>
              <w:rPr>
                <w:rFonts w:eastAsia="MS Mincho"/>
              </w:rPr>
            </w:pPr>
            <w:r w:rsidRPr="4EBB6F0E">
              <w:rPr>
                <w:rFonts w:eastAsia="MS Mincho"/>
              </w:rPr>
              <w:t>Compliant</w:t>
            </w:r>
          </w:p>
        </w:tc>
        <w:tc>
          <w:tcPr>
            <w:tcW w:w="1701" w:type="dxa"/>
            <w:shd w:val="clear" w:color="auto" w:fill="auto"/>
          </w:tcPr>
          <w:p w14:paraId="72024CD7" w14:textId="60CBA2F1" w:rsidR="4EBB6F0E" w:rsidRDefault="4EBB6F0E" w:rsidP="00436E9C">
            <w:pPr>
              <w:pStyle w:val="TBLText"/>
              <w:rPr>
                <w:rFonts w:eastAsia="MS Mincho"/>
              </w:rPr>
            </w:pPr>
            <w:r w:rsidRPr="6F6C95C5">
              <w:rPr>
                <w:rFonts w:eastAsia="MS Mincho"/>
              </w:rPr>
              <w:t>N/A</w:t>
            </w:r>
            <w:r w:rsidR="6CE1CF47" w:rsidRPr="6F6C95C5">
              <w:rPr>
                <w:rFonts w:eastAsia="MS Mincho"/>
                <w:vertAlign w:val="superscript"/>
              </w:rPr>
              <w:t>b</w:t>
            </w:r>
          </w:p>
        </w:tc>
        <w:tc>
          <w:tcPr>
            <w:tcW w:w="1936" w:type="dxa"/>
            <w:shd w:val="clear" w:color="auto" w:fill="auto"/>
          </w:tcPr>
          <w:p w14:paraId="242E6D6F" w14:textId="3F5C0991" w:rsidR="4EBB6F0E" w:rsidRDefault="4EBB6F0E" w:rsidP="4EBB6F0E">
            <w:pPr>
              <w:pStyle w:val="TBLText"/>
              <w:rPr>
                <w:rFonts w:eastAsia="MS Mincho"/>
              </w:rPr>
            </w:pPr>
            <w:r w:rsidRPr="4EBB6F0E">
              <w:rPr>
                <w:rFonts w:eastAsia="MS Mincho"/>
              </w:rPr>
              <w:t>No</w:t>
            </w:r>
          </w:p>
        </w:tc>
        <w:tc>
          <w:tcPr>
            <w:tcW w:w="1934" w:type="dxa"/>
            <w:shd w:val="clear" w:color="auto" w:fill="auto"/>
          </w:tcPr>
          <w:p w14:paraId="3C92CE87" w14:textId="0781DED8" w:rsidR="4EBB6F0E" w:rsidRDefault="4EBB6F0E" w:rsidP="4EBB6F0E">
            <w:pPr>
              <w:pStyle w:val="TBLText"/>
              <w:rPr>
                <w:rFonts w:eastAsia="MS Mincho"/>
              </w:rPr>
            </w:pPr>
            <w:r w:rsidRPr="4EBB6F0E">
              <w:rPr>
                <w:rFonts w:eastAsia="MS Mincho"/>
              </w:rPr>
              <w:t>$136.8m</w:t>
            </w:r>
          </w:p>
        </w:tc>
      </w:tr>
      <w:tr w:rsidR="60D76FDC" w14:paraId="7269F80F" w14:textId="77777777" w:rsidTr="7B2C99D9">
        <w:trPr>
          <w:cantSplit/>
          <w:trHeight w:val="300"/>
        </w:trPr>
        <w:tc>
          <w:tcPr>
            <w:tcW w:w="3017" w:type="dxa"/>
            <w:shd w:val="clear" w:color="auto" w:fill="auto"/>
          </w:tcPr>
          <w:p w14:paraId="6E5B8CDE" w14:textId="4A2D82D5" w:rsidR="02A2E2A1" w:rsidRDefault="02A2E2A1" w:rsidP="00E44616">
            <w:pPr>
              <w:pStyle w:val="TBLText"/>
            </w:pPr>
            <w:r>
              <w:t>Help to Buy Shared Equity Scheme</w:t>
            </w:r>
          </w:p>
        </w:tc>
        <w:tc>
          <w:tcPr>
            <w:tcW w:w="1380" w:type="dxa"/>
            <w:shd w:val="clear" w:color="auto" w:fill="auto"/>
          </w:tcPr>
          <w:p w14:paraId="102A8B9C" w14:textId="6AD9A642" w:rsidR="02A2E2A1" w:rsidRDefault="02A2E2A1" w:rsidP="00E44616">
            <w:pPr>
              <w:pStyle w:val="TBLText"/>
              <w:rPr>
                <w:rFonts w:eastAsia="MS Mincho"/>
              </w:rPr>
            </w:pPr>
            <w:r w:rsidRPr="60D76FDC">
              <w:rPr>
                <w:rFonts w:eastAsia="MS Mincho"/>
              </w:rPr>
              <w:t>Complaint</w:t>
            </w:r>
          </w:p>
        </w:tc>
        <w:tc>
          <w:tcPr>
            <w:tcW w:w="1701" w:type="dxa"/>
            <w:shd w:val="clear" w:color="auto" w:fill="auto"/>
          </w:tcPr>
          <w:p w14:paraId="200BA3C2" w14:textId="00E61027" w:rsidR="02A2E2A1" w:rsidRDefault="02A2E2A1" w:rsidP="00E44616">
            <w:pPr>
              <w:pStyle w:val="TBLText"/>
              <w:rPr>
                <w:rFonts w:eastAsia="MS Mincho"/>
              </w:rPr>
            </w:pPr>
            <w:r w:rsidRPr="60D76FDC">
              <w:rPr>
                <w:rFonts w:eastAsia="MS Mincho"/>
              </w:rPr>
              <w:t>Adequate</w:t>
            </w:r>
          </w:p>
        </w:tc>
        <w:tc>
          <w:tcPr>
            <w:tcW w:w="1936" w:type="dxa"/>
            <w:shd w:val="clear" w:color="auto" w:fill="auto"/>
          </w:tcPr>
          <w:p w14:paraId="1E12C5C9" w14:textId="505CCEC2" w:rsidR="02A2E2A1" w:rsidRDefault="02A2E2A1" w:rsidP="00E44616">
            <w:pPr>
              <w:pStyle w:val="TBLText"/>
              <w:rPr>
                <w:rFonts w:eastAsia="MS Mincho"/>
              </w:rPr>
            </w:pPr>
            <w:r w:rsidRPr="60D76FDC">
              <w:rPr>
                <w:rFonts w:eastAsia="MS Mincho"/>
              </w:rPr>
              <w:t>No</w:t>
            </w:r>
          </w:p>
        </w:tc>
        <w:tc>
          <w:tcPr>
            <w:tcW w:w="1934" w:type="dxa"/>
            <w:shd w:val="clear" w:color="auto" w:fill="auto"/>
          </w:tcPr>
          <w:p w14:paraId="3E67DA15" w14:textId="27179355" w:rsidR="02A2E2A1" w:rsidRDefault="02A2E2A1" w:rsidP="00E44616">
            <w:pPr>
              <w:pStyle w:val="TBLText"/>
              <w:rPr>
                <w:rFonts w:eastAsia="MS Mincho"/>
              </w:rPr>
            </w:pPr>
            <w:r w:rsidRPr="160477CF">
              <w:rPr>
                <w:rFonts w:eastAsia="MS Mincho"/>
              </w:rPr>
              <w:t>$5.88m</w:t>
            </w:r>
          </w:p>
        </w:tc>
      </w:tr>
      <w:tr w:rsidR="00DE6598" w14:paraId="5B5947A4" w14:textId="77777777" w:rsidTr="7B2C99D9">
        <w:trPr>
          <w:cantSplit/>
          <w:trHeight w:val="20"/>
        </w:trPr>
        <w:tc>
          <w:tcPr>
            <w:tcW w:w="1513" w:type="pct"/>
            <w:shd w:val="clear" w:color="auto" w:fill="DBE6F5" w:themeFill="text2" w:themeFillTint="1A"/>
          </w:tcPr>
          <w:p w14:paraId="056FFD9F"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346182BF" w14:textId="798C5A59" w:rsidR="00DE6598" w:rsidRPr="00363240" w:rsidRDefault="009E17FB" w:rsidP="3127B391">
            <w:pPr>
              <w:pStyle w:val="TBLText"/>
              <w:rPr>
                <w:b/>
                <w:bCs/>
              </w:rPr>
            </w:pPr>
            <w:r>
              <w:rPr>
                <w:b/>
                <w:bCs/>
              </w:rPr>
              <w:t>9</w:t>
            </w:r>
            <w:r w:rsidR="00DE6598" w:rsidRPr="7B2C99D9">
              <w:rPr>
                <w:b/>
                <w:bCs/>
              </w:rPr>
              <w:t>/</w:t>
            </w:r>
            <w:r w:rsidR="1D962B85" w:rsidRPr="7B2C99D9">
              <w:rPr>
                <w:b/>
                <w:bCs/>
              </w:rPr>
              <w:t>9</w:t>
            </w:r>
          </w:p>
        </w:tc>
        <w:tc>
          <w:tcPr>
            <w:tcW w:w="853" w:type="pct"/>
            <w:shd w:val="clear" w:color="auto" w:fill="DBE6F5" w:themeFill="text2" w:themeFillTint="1A"/>
          </w:tcPr>
          <w:p w14:paraId="1BE1A5E4" w14:textId="77777777" w:rsidR="00DE6598" w:rsidRPr="00E8277E" w:rsidRDefault="00DE6598" w:rsidP="00C47BA6">
            <w:pPr>
              <w:pStyle w:val="TBLText"/>
              <w:rPr>
                <w:b/>
              </w:rPr>
            </w:pPr>
            <w:r w:rsidRPr="00E8277E">
              <w:rPr>
                <w:b/>
              </w:rPr>
              <w:t>-</w:t>
            </w:r>
          </w:p>
        </w:tc>
        <w:tc>
          <w:tcPr>
            <w:tcW w:w="971" w:type="pct"/>
            <w:shd w:val="clear" w:color="auto" w:fill="DBE6F5" w:themeFill="text2" w:themeFillTint="1A"/>
          </w:tcPr>
          <w:p w14:paraId="3AA5E0C3" w14:textId="187306F7" w:rsidR="00DE6598" w:rsidRPr="00D501A2" w:rsidRDefault="008E4734" w:rsidP="3127B391">
            <w:pPr>
              <w:pStyle w:val="TBLText"/>
              <w:rPr>
                <w:b/>
                <w:bCs/>
              </w:rPr>
            </w:pPr>
            <w:r w:rsidRPr="7B2C99D9">
              <w:rPr>
                <w:b/>
                <w:bCs/>
              </w:rPr>
              <w:t>0</w:t>
            </w:r>
            <w:r w:rsidR="00DE6598" w:rsidRPr="7B2C99D9">
              <w:rPr>
                <w:b/>
                <w:bCs/>
              </w:rPr>
              <w:t>/</w:t>
            </w:r>
            <w:r w:rsidR="061336F0" w:rsidRPr="7B2C99D9">
              <w:rPr>
                <w:b/>
                <w:bCs/>
              </w:rPr>
              <w:t>9</w:t>
            </w:r>
          </w:p>
        </w:tc>
        <w:tc>
          <w:tcPr>
            <w:tcW w:w="970" w:type="pct"/>
            <w:shd w:val="clear" w:color="auto" w:fill="DBE6F5" w:themeFill="text2" w:themeFillTint="1A"/>
          </w:tcPr>
          <w:p w14:paraId="08AC76E1" w14:textId="0FDEE44F" w:rsidR="00DE6598" w:rsidRPr="00254BDF" w:rsidRDefault="00DE6598" w:rsidP="3127B391">
            <w:pPr>
              <w:pStyle w:val="TBLText"/>
              <w:rPr>
                <w:b/>
                <w:bCs/>
              </w:rPr>
            </w:pPr>
            <w:r w:rsidRPr="160477CF">
              <w:rPr>
                <w:b/>
                <w:bCs/>
              </w:rPr>
              <w:t>$</w:t>
            </w:r>
            <w:r w:rsidR="0667025E" w:rsidRPr="160477CF">
              <w:rPr>
                <w:b/>
                <w:bCs/>
              </w:rPr>
              <w:t>257.133</w:t>
            </w:r>
            <w:r w:rsidRPr="160477CF">
              <w:rPr>
                <w:b/>
                <w:bCs/>
              </w:rPr>
              <w:t>m</w:t>
            </w:r>
          </w:p>
        </w:tc>
      </w:tr>
    </w:tbl>
    <w:p w14:paraId="74D5A96C" w14:textId="075FC2F6" w:rsidR="004A17D7" w:rsidRPr="004C1F82" w:rsidRDefault="7E357B2F" w:rsidP="6F6C95C5">
      <w:pPr>
        <w:pStyle w:val="TBLFootnote"/>
        <w:rPr>
          <w:rStyle w:val="Heading2Char"/>
        </w:rPr>
      </w:pPr>
      <w:r>
        <w:t>a</w:t>
      </w:r>
      <w:r w:rsidR="7F5909AD">
        <w:t xml:space="preserve"> </w:t>
      </w:r>
      <w:r w:rsidR="004C1F82">
        <w:t xml:space="preserve">Regulatory </w:t>
      </w:r>
      <w:r w:rsidR="00AB0F87">
        <w:t>burden estimates are presented as a range. As such, regulatory burden from this</w:t>
      </w:r>
      <w:r w:rsidR="5EE4BA03">
        <w:t xml:space="preserve"> proposal</w:t>
      </w:r>
      <w:r w:rsidR="00AB0F87">
        <w:t xml:space="preserve"> is not included in the ‘Estimated annual impact on Regulatory Burden’ in Figure 1 or in the ‘Total proposals’ regulatory burden for this figure. </w:t>
      </w:r>
    </w:p>
    <w:p w14:paraId="7A42420B" w14:textId="79ED46A2" w:rsidR="004A17D7" w:rsidRPr="004C1F82" w:rsidRDefault="68C1C2AD" w:rsidP="25A92EDB">
      <w:pPr>
        <w:pStyle w:val="TBLFootnote"/>
        <w:rPr>
          <w:rStyle w:val="Heading2Char"/>
        </w:rPr>
      </w:pPr>
      <w:r w:rsidRPr="6F6C95C5">
        <w:rPr>
          <w:rStyle w:val="TBLFootnoteChar"/>
        </w:rPr>
        <w:t>b N/A - Proposal was subject to an Impact Analysis Equivalent process.</w:t>
      </w:r>
      <w:r w:rsidR="7E357B2F">
        <w:br/>
      </w:r>
      <w:r w:rsidR="7E357B2F">
        <w:br/>
      </w:r>
      <w:r w:rsidR="004A17D7" w:rsidRPr="6F6C95C5">
        <w:rPr>
          <w:rStyle w:val="Heading2Char"/>
        </w:rPr>
        <w:t>Department of Veterans</w:t>
      </w:r>
      <w:r w:rsidR="007316E7" w:rsidRPr="6F6C95C5">
        <w:rPr>
          <w:rStyle w:val="Heading2Char"/>
        </w:rPr>
        <w:t>’</w:t>
      </w:r>
      <w:r w:rsidR="004A17D7" w:rsidRPr="6F6C95C5">
        <w:rPr>
          <w:rStyle w:val="Heading2Char"/>
        </w:rPr>
        <w:t xml:space="preserve"> Affairs</w:t>
      </w:r>
    </w:p>
    <w:p w14:paraId="6A141D90" w14:textId="2AEBDECB" w:rsidR="00711317" w:rsidRPr="00711317" w:rsidRDefault="00711317" w:rsidP="00711317">
      <w:pPr>
        <w:pStyle w:val="Caption"/>
      </w:pPr>
      <w:r>
        <w:t xml:space="preserve">Figure </w:t>
      </w:r>
      <w:r w:rsidR="0019779B">
        <w:fldChar w:fldCharType="begin"/>
      </w:r>
      <w:r w:rsidR="0019779B">
        <w:instrText xml:space="preserve"> SEQ Figure \* ARABIC </w:instrText>
      </w:r>
      <w:r w:rsidR="0019779B">
        <w:fldChar w:fldCharType="separate"/>
      </w:r>
      <w:r>
        <w:rPr>
          <w:noProof/>
        </w:rPr>
        <w:t>14</w:t>
      </w:r>
      <w:r w:rsidR="0019779B">
        <w:rPr>
          <w:noProof/>
        </w:rPr>
        <w:fldChar w:fldCharType="end"/>
      </w:r>
      <w:r>
        <w:t xml:space="preserve">. </w:t>
      </w:r>
      <w:r w:rsidRPr="00A51636">
        <w:t>Compliance summary: Department of Veterans’ Affairs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004A17D7" w14:paraId="09AD897F"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5C5AF076" w14:textId="77777777" w:rsidR="004A17D7" w:rsidRPr="006E170D" w:rsidRDefault="004A17D7" w:rsidP="004C1F82">
            <w:pPr>
              <w:pStyle w:val="TBLHeading"/>
            </w:pPr>
            <w:r>
              <w:t>Proposal</w:t>
            </w:r>
          </w:p>
        </w:tc>
        <w:tc>
          <w:tcPr>
            <w:tcW w:w="692" w:type="pct"/>
            <w:tcBorders>
              <w:top w:val="none" w:sz="0" w:space="0" w:color="auto"/>
              <w:bottom w:val="none" w:sz="0" w:space="0" w:color="auto"/>
            </w:tcBorders>
          </w:tcPr>
          <w:p w14:paraId="27C7D794" w14:textId="77777777" w:rsidR="004A17D7" w:rsidRPr="006E170D" w:rsidRDefault="004A17D7" w:rsidP="004C1F82">
            <w:pPr>
              <w:pStyle w:val="TBLHeading"/>
            </w:pPr>
            <w:r>
              <w:t>IA Compliance</w:t>
            </w:r>
          </w:p>
        </w:tc>
        <w:tc>
          <w:tcPr>
            <w:tcW w:w="853" w:type="pct"/>
            <w:tcBorders>
              <w:top w:val="none" w:sz="0" w:space="0" w:color="auto"/>
              <w:bottom w:val="none" w:sz="0" w:space="0" w:color="auto"/>
            </w:tcBorders>
          </w:tcPr>
          <w:p w14:paraId="38A61425" w14:textId="77777777" w:rsidR="004A17D7" w:rsidRPr="006E170D" w:rsidRDefault="004A17D7" w:rsidP="004C1F82">
            <w:pPr>
              <w:pStyle w:val="TBLHeading"/>
            </w:pPr>
            <w:r>
              <w:t>Rating</w:t>
            </w:r>
          </w:p>
        </w:tc>
        <w:tc>
          <w:tcPr>
            <w:tcW w:w="971" w:type="pct"/>
            <w:tcBorders>
              <w:top w:val="none" w:sz="0" w:space="0" w:color="auto"/>
              <w:bottom w:val="none" w:sz="0" w:space="0" w:color="auto"/>
            </w:tcBorders>
          </w:tcPr>
          <w:p w14:paraId="565F9EF0" w14:textId="77777777" w:rsidR="004A17D7" w:rsidRPr="006E170D" w:rsidRDefault="004A17D7" w:rsidP="004C1F82">
            <w:pPr>
              <w:pStyle w:val="TBLHeading"/>
            </w:pPr>
            <w:r>
              <w:t>PIR Required</w:t>
            </w:r>
          </w:p>
        </w:tc>
        <w:tc>
          <w:tcPr>
            <w:tcW w:w="970" w:type="pct"/>
            <w:tcBorders>
              <w:top w:val="none" w:sz="0" w:space="0" w:color="auto"/>
              <w:bottom w:val="none" w:sz="0" w:space="0" w:color="auto"/>
              <w:right w:val="none" w:sz="0" w:space="0" w:color="auto"/>
            </w:tcBorders>
          </w:tcPr>
          <w:p w14:paraId="2D6152AD" w14:textId="5444AD43" w:rsidR="004A17D7" w:rsidRPr="006E170D" w:rsidRDefault="77465279" w:rsidP="004C1F82">
            <w:pPr>
              <w:pStyle w:val="TBLHeading"/>
            </w:pPr>
            <w:r>
              <w:t xml:space="preserve">Annual </w:t>
            </w:r>
            <w:r w:rsidR="004A17D7">
              <w:t>Regulatory Burden ($m)</w:t>
            </w:r>
          </w:p>
        </w:tc>
      </w:tr>
      <w:tr w:rsidR="004A17D7" w14:paraId="66FD1A9A" w14:textId="77777777" w:rsidTr="00C45E30">
        <w:trPr>
          <w:cantSplit/>
          <w:trHeight w:val="20"/>
        </w:trPr>
        <w:tc>
          <w:tcPr>
            <w:tcW w:w="1513" w:type="pct"/>
            <w:shd w:val="clear" w:color="auto" w:fill="auto"/>
          </w:tcPr>
          <w:p w14:paraId="61808E06" w14:textId="1056BC28" w:rsidR="004A17D7" w:rsidRPr="002C6070" w:rsidRDefault="004A17D7" w:rsidP="004C1F82">
            <w:pPr>
              <w:pStyle w:val="TBLText"/>
            </w:pPr>
            <w:r w:rsidRPr="004A17D7">
              <w:t>Veterans’ Compensation and Rehabilitation Legislation Reform</w:t>
            </w:r>
          </w:p>
        </w:tc>
        <w:tc>
          <w:tcPr>
            <w:tcW w:w="692" w:type="pct"/>
            <w:shd w:val="clear" w:color="auto" w:fill="auto"/>
          </w:tcPr>
          <w:p w14:paraId="1BD5618F" w14:textId="3A2CF2C5" w:rsidR="004A17D7" w:rsidRPr="002B0DDE" w:rsidRDefault="004A17D7" w:rsidP="004C1F82">
            <w:pPr>
              <w:pStyle w:val="TBLText"/>
              <w:rPr>
                <w:rFonts w:eastAsia="MS Mincho"/>
                <w:spacing w:val="-3"/>
              </w:rPr>
            </w:pPr>
            <w:r>
              <w:rPr>
                <w:rFonts w:eastAsia="MS Mincho"/>
                <w:spacing w:val="-3"/>
              </w:rPr>
              <w:t>Compliant</w:t>
            </w:r>
          </w:p>
        </w:tc>
        <w:tc>
          <w:tcPr>
            <w:tcW w:w="853" w:type="pct"/>
            <w:shd w:val="clear" w:color="auto" w:fill="auto"/>
          </w:tcPr>
          <w:p w14:paraId="640C7B92" w14:textId="7B213A1A" w:rsidR="004A17D7" w:rsidRDefault="004A17D7" w:rsidP="004C1F82">
            <w:pPr>
              <w:pStyle w:val="TBLText"/>
              <w:rPr>
                <w:rFonts w:eastAsia="MS Mincho"/>
                <w:spacing w:val="-3"/>
              </w:rPr>
            </w:pPr>
            <w:r>
              <w:rPr>
                <w:rFonts w:eastAsia="MS Mincho"/>
                <w:spacing w:val="-3"/>
              </w:rPr>
              <w:t>Good Practice</w:t>
            </w:r>
          </w:p>
        </w:tc>
        <w:tc>
          <w:tcPr>
            <w:tcW w:w="971" w:type="pct"/>
            <w:shd w:val="clear" w:color="auto" w:fill="auto"/>
          </w:tcPr>
          <w:p w14:paraId="4DED7AF6" w14:textId="7C6049AE" w:rsidR="004A17D7" w:rsidRPr="006D708A" w:rsidRDefault="004A17D7" w:rsidP="004C1F82">
            <w:pPr>
              <w:pStyle w:val="TBLText"/>
              <w:rPr>
                <w:rFonts w:eastAsia="MS Mincho"/>
                <w:spacing w:val="-3"/>
              </w:rPr>
            </w:pPr>
            <w:r>
              <w:rPr>
                <w:rFonts w:eastAsia="MS Mincho"/>
                <w:spacing w:val="-3"/>
              </w:rPr>
              <w:t>No</w:t>
            </w:r>
          </w:p>
        </w:tc>
        <w:tc>
          <w:tcPr>
            <w:tcW w:w="970" w:type="pct"/>
            <w:shd w:val="clear" w:color="auto" w:fill="auto"/>
          </w:tcPr>
          <w:p w14:paraId="2A9310ED" w14:textId="07A0F1A0" w:rsidR="004A17D7" w:rsidRDefault="008E4734" w:rsidP="004C1F82">
            <w:pPr>
              <w:pStyle w:val="TBLText"/>
              <w:rPr>
                <w:rFonts w:eastAsia="MS Mincho"/>
                <w:spacing w:val="-3"/>
              </w:rPr>
            </w:pPr>
            <w:r w:rsidRPr="3A680449">
              <w:rPr>
                <w:b/>
                <w:bCs/>
              </w:rPr>
              <w:t>−</w:t>
            </w:r>
            <w:r w:rsidR="004A17D7">
              <w:rPr>
                <w:rFonts w:eastAsia="MS Mincho"/>
                <w:spacing w:val="-3"/>
              </w:rPr>
              <w:t>$5.5m</w:t>
            </w:r>
          </w:p>
        </w:tc>
      </w:tr>
      <w:tr w:rsidR="004A17D7" w14:paraId="688EFDFD" w14:textId="77777777" w:rsidTr="00C45E30">
        <w:trPr>
          <w:cantSplit/>
          <w:trHeight w:val="20"/>
        </w:trPr>
        <w:tc>
          <w:tcPr>
            <w:tcW w:w="1513" w:type="pct"/>
            <w:shd w:val="clear" w:color="auto" w:fill="DBE6F5" w:themeFill="text2" w:themeFillTint="1A"/>
          </w:tcPr>
          <w:p w14:paraId="24F4C63B" w14:textId="77777777" w:rsidR="004A17D7" w:rsidRPr="00363240" w:rsidRDefault="004A17D7" w:rsidP="004C1F82">
            <w:pPr>
              <w:pStyle w:val="TBLText"/>
              <w:rPr>
                <w:b/>
              </w:rPr>
            </w:pPr>
            <w:r w:rsidRPr="00363240">
              <w:rPr>
                <w:b/>
              </w:rPr>
              <w:t>Total proposals</w:t>
            </w:r>
          </w:p>
        </w:tc>
        <w:tc>
          <w:tcPr>
            <w:tcW w:w="692" w:type="pct"/>
            <w:shd w:val="clear" w:color="auto" w:fill="DBE6F5" w:themeFill="text2" w:themeFillTint="1A"/>
          </w:tcPr>
          <w:p w14:paraId="5D658F76" w14:textId="3349D561" w:rsidR="004A17D7" w:rsidRPr="00363240" w:rsidRDefault="008E4734" w:rsidP="004C1F82">
            <w:pPr>
              <w:pStyle w:val="TBLText"/>
              <w:rPr>
                <w:b/>
                <w:bCs/>
              </w:rPr>
            </w:pPr>
            <w:r>
              <w:rPr>
                <w:b/>
                <w:bCs/>
              </w:rPr>
              <w:t>1</w:t>
            </w:r>
            <w:r w:rsidR="004A17D7" w:rsidRPr="11EF5523">
              <w:rPr>
                <w:b/>
                <w:bCs/>
              </w:rPr>
              <w:t>/</w:t>
            </w:r>
            <w:r>
              <w:rPr>
                <w:b/>
                <w:bCs/>
              </w:rPr>
              <w:t>1</w:t>
            </w:r>
          </w:p>
        </w:tc>
        <w:tc>
          <w:tcPr>
            <w:tcW w:w="853" w:type="pct"/>
            <w:shd w:val="clear" w:color="auto" w:fill="DBE6F5" w:themeFill="text2" w:themeFillTint="1A"/>
          </w:tcPr>
          <w:p w14:paraId="1C3D8D64" w14:textId="77777777" w:rsidR="004A17D7" w:rsidRPr="00363240" w:rsidRDefault="004A17D7" w:rsidP="004C1F82">
            <w:pPr>
              <w:pStyle w:val="TBLText"/>
              <w:rPr>
                <w:b/>
              </w:rPr>
            </w:pPr>
            <w:r w:rsidRPr="00363240">
              <w:rPr>
                <w:b/>
              </w:rPr>
              <w:t>-</w:t>
            </w:r>
          </w:p>
        </w:tc>
        <w:tc>
          <w:tcPr>
            <w:tcW w:w="971" w:type="pct"/>
            <w:shd w:val="clear" w:color="auto" w:fill="DBE6F5" w:themeFill="text2" w:themeFillTint="1A"/>
          </w:tcPr>
          <w:p w14:paraId="006601E9" w14:textId="5BF987AF" w:rsidR="004A17D7" w:rsidRPr="006D708A" w:rsidRDefault="008E4734" w:rsidP="004C1F82">
            <w:pPr>
              <w:pStyle w:val="TBLText"/>
              <w:rPr>
                <w:b/>
                <w:bCs/>
              </w:rPr>
            </w:pPr>
            <w:r>
              <w:rPr>
                <w:b/>
                <w:bCs/>
              </w:rPr>
              <w:t>0</w:t>
            </w:r>
            <w:r w:rsidR="004A17D7" w:rsidRPr="11EF5523">
              <w:rPr>
                <w:b/>
                <w:bCs/>
              </w:rPr>
              <w:t>/</w:t>
            </w:r>
            <w:r>
              <w:rPr>
                <w:b/>
                <w:bCs/>
              </w:rPr>
              <w:t>1</w:t>
            </w:r>
          </w:p>
        </w:tc>
        <w:tc>
          <w:tcPr>
            <w:tcW w:w="970" w:type="pct"/>
            <w:shd w:val="clear" w:color="auto" w:fill="DBE6F5" w:themeFill="text2" w:themeFillTint="1A"/>
          </w:tcPr>
          <w:p w14:paraId="6463ED2F" w14:textId="5A943352" w:rsidR="004A17D7" w:rsidRPr="000C118B" w:rsidRDefault="008E4734" w:rsidP="008E4734">
            <w:pPr>
              <w:pStyle w:val="TBLText"/>
              <w:rPr>
                <w:b/>
                <w:bCs/>
              </w:rPr>
            </w:pPr>
            <w:r w:rsidRPr="008E4734">
              <w:rPr>
                <w:rFonts w:cstheme="minorHAnsi"/>
                <w:b/>
                <w:bCs/>
              </w:rPr>
              <w:t>−</w:t>
            </w:r>
            <w:r w:rsidR="004A17D7" w:rsidRPr="11EF5523">
              <w:rPr>
                <w:b/>
                <w:bCs/>
              </w:rPr>
              <w:t>$</w:t>
            </w:r>
            <w:r>
              <w:rPr>
                <w:b/>
                <w:bCs/>
              </w:rPr>
              <w:t>5.5</w:t>
            </w:r>
            <w:r w:rsidR="004A17D7" w:rsidRPr="11EF5523">
              <w:rPr>
                <w:b/>
                <w:bCs/>
              </w:rPr>
              <w:t>m</w:t>
            </w:r>
          </w:p>
        </w:tc>
      </w:tr>
    </w:tbl>
    <w:p w14:paraId="3ED3367A" w14:textId="5A5431C2" w:rsidR="13FA94B7" w:rsidRDefault="13FA94B7" w:rsidP="5EAFE3D3">
      <w:pPr>
        <w:pStyle w:val="Heading2"/>
      </w:pPr>
      <w:bookmarkStart w:id="36" w:name="_Toc193445423"/>
      <w:bookmarkStart w:id="37" w:name="_Toc847477851"/>
      <w:r>
        <w:t>National Indigenous Australians Agency</w:t>
      </w:r>
      <w:bookmarkEnd w:id="36"/>
      <w:bookmarkEnd w:id="37"/>
    </w:p>
    <w:p w14:paraId="1590F073" w14:textId="1B5DF183" w:rsidR="009F7780" w:rsidRPr="009F7780" w:rsidRDefault="00711317" w:rsidP="00031D61">
      <w:pPr>
        <w:pStyle w:val="Caption"/>
      </w:pPr>
      <w:r>
        <w:t xml:space="preserve">Figure </w:t>
      </w:r>
      <w:r>
        <w:fldChar w:fldCharType="begin"/>
      </w:r>
      <w:r>
        <w:instrText>SEQ Figure \* ARABIC</w:instrText>
      </w:r>
      <w:r>
        <w:fldChar w:fldCharType="separate"/>
      </w:r>
      <w:r>
        <w:rPr>
          <w:noProof/>
        </w:rPr>
        <w:t>15</w:t>
      </w:r>
      <w:r>
        <w:fldChar w:fldCharType="end"/>
      </w:r>
      <w:r>
        <w:t xml:space="preserve">. </w:t>
      </w:r>
      <w:r w:rsidRPr="00834D08">
        <w:t>Compliance summary: National Indigenous Australians Agency</w:t>
      </w:r>
    </w:p>
    <w:tbl>
      <w:tblPr>
        <w:tblStyle w:val="List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5EAFE3D3" w14:paraId="7396E7A7" w14:textId="77777777" w:rsidTr="00DD12C2">
        <w:trPr>
          <w:cnfStyle w:val="100000000000" w:firstRow="1" w:lastRow="0" w:firstColumn="0" w:lastColumn="0" w:oddVBand="0" w:evenVBand="0" w:oddHBand="0" w:evenHBand="0" w:firstRowFirstColumn="0" w:firstRowLastColumn="0" w:lastRowFirstColumn="0" w:lastRowLastColumn="0"/>
          <w:cantSplit/>
          <w:trHeight w:val="300"/>
          <w:tblHeader/>
        </w:trPr>
        <w:tc>
          <w:tcPr>
            <w:tcW w:w="3017" w:type="dxa"/>
            <w:tcBorders>
              <w:top w:val="none" w:sz="0" w:space="0" w:color="auto"/>
              <w:left w:val="none" w:sz="0" w:space="0" w:color="auto"/>
              <w:bottom w:val="none" w:sz="0" w:space="0" w:color="auto"/>
            </w:tcBorders>
          </w:tcPr>
          <w:p w14:paraId="28738BF0" w14:textId="77777777" w:rsidR="5EAFE3D3" w:rsidRDefault="5EAFE3D3" w:rsidP="5EAFE3D3">
            <w:pPr>
              <w:pStyle w:val="TBLHeading"/>
            </w:pPr>
            <w:r>
              <w:t>Proposal</w:t>
            </w:r>
          </w:p>
        </w:tc>
        <w:tc>
          <w:tcPr>
            <w:tcW w:w="1380" w:type="dxa"/>
            <w:tcBorders>
              <w:top w:val="none" w:sz="0" w:space="0" w:color="auto"/>
              <w:bottom w:val="none" w:sz="0" w:space="0" w:color="auto"/>
            </w:tcBorders>
          </w:tcPr>
          <w:p w14:paraId="1E7B1CD6" w14:textId="77777777" w:rsidR="5EAFE3D3" w:rsidRDefault="5EAFE3D3" w:rsidP="5EAFE3D3">
            <w:pPr>
              <w:pStyle w:val="TBLHeading"/>
            </w:pPr>
            <w:r>
              <w:t>IA Compliance</w:t>
            </w:r>
          </w:p>
        </w:tc>
        <w:tc>
          <w:tcPr>
            <w:tcW w:w="1701" w:type="dxa"/>
            <w:tcBorders>
              <w:top w:val="none" w:sz="0" w:space="0" w:color="auto"/>
              <w:bottom w:val="none" w:sz="0" w:space="0" w:color="auto"/>
            </w:tcBorders>
          </w:tcPr>
          <w:p w14:paraId="2690E1B5" w14:textId="77777777" w:rsidR="5EAFE3D3" w:rsidRDefault="5EAFE3D3" w:rsidP="5EAFE3D3">
            <w:pPr>
              <w:pStyle w:val="TBLHeading"/>
            </w:pPr>
            <w:r>
              <w:t>Rating</w:t>
            </w:r>
          </w:p>
        </w:tc>
        <w:tc>
          <w:tcPr>
            <w:tcW w:w="1936" w:type="dxa"/>
            <w:tcBorders>
              <w:top w:val="none" w:sz="0" w:space="0" w:color="auto"/>
              <w:bottom w:val="none" w:sz="0" w:space="0" w:color="auto"/>
            </w:tcBorders>
          </w:tcPr>
          <w:p w14:paraId="2F16B694" w14:textId="77777777" w:rsidR="5EAFE3D3" w:rsidRDefault="5EAFE3D3" w:rsidP="5EAFE3D3">
            <w:pPr>
              <w:pStyle w:val="TBLHeading"/>
            </w:pPr>
            <w:r>
              <w:t>PIR Required</w:t>
            </w:r>
          </w:p>
        </w:tc>
        <w:tc>
          <w:tcPr>
            <w:tcW w:w="1934" w:type="dxa"/>
            <w:tcBorders>
              <w:top w:val="none" w:sz="0" w:space="0" w:color="auto"/>
              <w:bottom w:val="none" w:sz="0" w:space="0" w:color="auto"/>
              <w:right w:val="none" w:sz="0" w:space="0" w:color="auto"/>
            </w:tcBorders>
          </w:tcPr>
          <w:p w14:paraId="6392270A" w14:textId="51B19E66" w:rsidR="5EAFE3D3" w:rsidRDefault="7B693C6C" w:rsidP="5EAFE3D3">
            <w:pPr>
              <w:pStyle w:val="TBLHeading"/>
            </w:pPr>
            <w:r>
              <w:t xml:space="preserve">Annual </w:t>
            </w:r>
            <w:r w:rsidR="5EAFE3D3">
              <w:t>Regulatory Burden ($m)</w:t>
            </w:r>
          </w:p>
        </w:tc>
      </w:tr>
      <w:tr w:rsidR="5EAFE3D3" w14:paraId="68EA159E" w14:textId="77777777" w:rsidTr="00C45E30">
        <w:trPr>
          <w:cantSplit/>
          <w:trHeight w:val="300"/>
        </w:trPr>
        <w:tc>
          <w:tcPr>
            <w:tcW w:w="3017" w:type="dxa"/>
            <w:shd w:val="clear" w:color="auto" w:fill="auto"/>
          </w:tcPr>
          <w:p w14:paraId="2913D079" w14:textId="6C6021FB" w:rsidR="5EAFE3D3" w:rsidRDefault="004A17D7" w:rsidP="5EAFE3D3">
            <w:pPr>
              <w:pStyle w:val="TBLText"/>
            </w:pPr>
            <w:r>
              <w:t>Resolution to the collapse of the Youpla group</w:t>
            </w:r>
          </w:p>
        </w:tc>
        <w:tc>
          <w:tcPr>
            <w:tcW w:w="1380" w:type="dxa"/>
            <w:shd w:val="clear" w:color="auto" w:fill="auto"/>
          </w:tcPr>
          <w:p w14:paraId="5C0746BB" w14:textId="6EE55ABA" w:rsidR="5EAFE3D3" w:rsidRDefault="004A17D7" w:rsidP="5EAFE3D3">
            <w:pPr>
              <w:pStyle w:val="TBLText"/>
              <w:rPr>
                <w:rFonts w:eastAsia="MS Mincho"/>
              </w:rPr>
            </w:pPr>
            <w:r>
              <w:rPr>
                <w:rFonts w:eastAsia="MS Mincho"/>
              </w:rPr>
              <w:t>Compliant</w:t>
            </w:r>
          </w:p>
        </w:tc>
        <w:tc>
          <w:tcPr>
            <w:tcW w:w="1701" w:type="dxa"/>
            <w:shd w:val="clear" w:color="auto" w:fill="auto"/>
          </w:tcPr>
          <w:p w14:paraId="00EEBA23" w14:textId="30795A4C" w:rsidR="5EAFE3D3" w:rsidRDefault="004A17D7" w:rsidP="5EAFE3D3">
            <w:pPr>
              <w:pStyle w:val="TBLText"/>
              <w:rPr>
                <w:rFonts w:eastAsia="MS Mincho"/>
              </w:rPr>
            </w:pPr>
            <w:r>
              <w:rPr>
                <w:rFonts w:eastAsia="MS Mincho"/>
              </w:rPr>
              <w:t>Adequate</w:t>
            </w:r>
          </w:p>
        </w:tc>
        <w:tc>
          <w:tcPr>
            <w:tcW w:w="1936" w:type="dxa"/>
            <w:shd w:val="clear" w:color="auto" w:fill="auto"/>
          </w:tcPr>
          <w:p w14:paraId="34330356" w14:textId="580FB059" w:rsidR="5EAFE3D3" w:rsidRDefault="004A17D7" w:rsidP="5EAFE3D3">
            <w:pPr>
              <w:pStyle w:val="TBLText"/>
              <w:rPr>
                <w:rFonts w:eastAsia="MS Mincho"/>
              </w:rPr>
            </w:pPr>
            <w:r>
              <w:rPr>
                <w:rFonts w:eastAsia="MS Mincho"/>
              </w:rPr>
              <w:t>No</w:t>
            </w:r>
          </w:p>
        </w:tc>
        <w:tc>
          <w:tcPr>
            <w:tcW w:w="1934" w:type="dxa"/>
            <w:shd w:val="clear" w:color="auto" w:fill="auto"/>
          </w:tcPr>
          <w:p w14:paraId="3012A080" w14:textId="74B97777" w:rsidR="5EAFE3D3" w:rsidRDefault="004A17D7" w:rsidP="5EAFE3D3">
            <w:pPr>
              <w:pStyle w:val="TBLText"/>
              <w:rPr>
                <w:rFonts w:eastAsia="MS Mincho"/>
              </w:rPr>
            </w:pPr>
            <w:r w:rsidRPr="3A680449">
              <w:rPr>
                <w:rFonts w:eastAsia="MS Mincho"/>
              </w:rPr>
              <w:t>$1.276m</w:t>
            </w:r>
          </w:p>
        </w:tc>
      </w:tr>
      <w:tr w:rsidR="00062946" w14:paraId="11694A5A" w14:textId="77777777" w:rsidTr="00C45E30">
        <w:trPr>
          <w:cantSplit/>
          <w:trHeight w:val="300"/>
        </w:trPr>
        <w:tc>
          <w:tcPr>
            <w:tcW w:w="3017" w:type="dxa"/>
            <w:shd w:val="clear" w:color="auto" w:fill="auto"/>
          </w:tcPr>
          <w:p w14:paraId="44C78A23" w14:textId="76731501" w:rsidR="00062946" w:rsidRDefault="00062946" w:rsidP="5EAFE3D3">
            <w:pPr>
              <w:pStyle w:val="TBLText"/>
            </w:pPr>
            <w:r w:rsidRPr="00062946">
              <w:t>Replacing the Community Development Program</w:t>
            </w:r>
          </w:p>
        </w:tc>
        <w:tc>
          <w:tcPr>
            <w:tcW w:w="1380" w:type="dxa"/>
            <w:shd w:val="clear" w:color="auto" w:fill="auto"/>
          </w:tcPr>
          <w:p w14:paraId="360B3190" w14:textId="786DEF05" w:rsidR="00062946" w:rsidRDefault="00062946" w:rsidP="5EAFE3D3">
            <w:pPr>
              <w:pStyle w:val="TBLText"/>
              <w:rPr>
                <w:rFonts w:eastAsia="MS Mincho"/>
              </w:rPr>
            </w:pPr>
            <w:r>
              <w:rPr>
                <w:rFonts w:eastAsia="MS Mincho"/>
              </w:rPr>
              <w:t>Compliant</w:t>
            </w:r>
          </w:p>
        </w:tc>
        <w:tc>
          <w:tcPr>
            <w:tcW w:w="1701" w:type="dxa"/>
            <w:shd w:val="clear" w:color="auto" w:fill="auto"/>
          </w:tcPr>
          <w:p w14:paraId="66793AC6" w14:textId="59784DF7" w:rsidR="00062946" w:rsidRDefault="00062946" w:rsidP="5EAFE3D3">
            <w:pPr>
              <w:pStyle w:val="TBLText"/>
              <w:rPr>
                <w:rFonts w:eastAsia="MS Mincho"/>
              </w:rPr>
            </w:pPr>
            <w:r>
              <w:rPr>
                <w:rFonts w:eastAsia="MS Mincho"/>
              </w:rPr>
              <w:t>Good Practice</w:t>
            </w:r>
          </w:p>
        </w:tc>
        <w:tc>
          <w:tcPr>
            <w:tcW w:w="1936" w:type="dxa"/>
            <w:shd w:val="clear" w:color="auto" w:fill="auto"/>
          </w:tcPr>
          <w:p w14:paraId="53D0B97C" w14:textId="26814E1F" w:rsidR="00062946" w:rsidRDefault="00062946" w:rsidP="5EAFE3D3">
            <w:pPr>
              <w:pStyle w:val="TBLText"/>
              <w:rPr>
                <w:rFonts w:eastAsia="MS Mincho"/>
              </w:rPr>
            </w:pPr>
            <w:r>
              <w:rPr>
                <w:rFonts w:eastAsia="MS Mincho"/>
              </w:rPr>
              <w:t>No</w:t>
            </w:r>
          </w:p>
        </w:tc>
        <w:tc>
          <w:tcPr>
            <w:tcW w:w="1934" w:type="dxa"/>
            <w:shd w:val="clear" w:color="auto" w:fill="auto"/>
          </w:tcPr>
          <w:p w14:paraId="0968B80C" w14:textId="2C01684F" w:rsidR="00062946" w:rsidRPr="3A680449" w:rsidRDefault="00062946" w:rsidP="5EAFE3D3">
            <w:pPr>
              <w:pStyle w:val="TBLText"/>
              <w:rPr>
                <w:rFonts w:eastAsia="MS Mincho"/>
              </w:rPr>
            </w:pPr>
            <w:r w:rsidRPr="646FA89F">
              <w:rPr>
                <w:rFonts w:eastAsia="MS Mincho"/>
              </w:rPr>
              <w:t>$9.7</w:t>
            </w:r>
            <w:r w:rsidR="42BA5EC1" w:rsidRPr="646FA89F">
              <w:rPr>
                <w:rFonts w:eastAsia="MS Mincho"/>
              </w:rPr>
              <w:t>6</w:t>
            </w:r>
            <w:r w:rsidRPr="646FA89F">
              <w:rPr>
                <w:rFonts w:eastAsia="MS Mincho"/>
              </w:rPr>
              <w:t>4m</w:t>
            </w:r>
          </w:p>
        </w:tc>
      </w:tr>
      <w:tr w:rsidR="00DA3834" w14:paraId="007DFCE7" w14:textId="77777777" w:rsidTr="00C45E30">
        <w:trPr>
          <w:cantSplit/>
          <w:trHeight w:val="300"/>
        </w:trPr>
        <w:tc>
          <w:tcPr>
            <w:tcW w:w="3017" w:type="dxa"/>
            <w:shd w:val="clear" w:color="auto" w:fill="auto"/>
          </w:tcPr>
          <w:p w14:paraId="608F1F93" w14:textId="602112B4" w:rsidR="00DA3834" w:rsidRPr="00062946" w:rsidRDefault="00DA3834" w:rsidP="5EAFE3D3">
            <w:pPr>
              <w:pStyle w:val="TBLText"/>
            </w:pPr>
            <w:r w:rsidRPr="00DA3834">
              <w:t>Supporting Remote Cost-of-Living and Food Security</w:t>
            </w:r>
          </w:p>
        </w:tc>
        <w:tc>
          <w:tcPr>
            <w:tcW w:w="1380" w:type="dxa"/>
            <w:shd w:val="clear" w:color="auto" w:fill="auto"/>
          </w:tcPr>
          <w:p w14:paraId="6DBB3300" w14:textId="57606086" w:rsidR="00DA3834" w:rsidRDefault="00DA3834" w:rsidP="5EAFE3D3">
            <w:pPr>
              <w:pStyle w:val="TBLText"/>
              <w:rPr>
                <w:rFonts w:eastAsia="MS Mincho"/>
              </w:rPr>
            </w:pPr>
            <w:r>
              <w:rPr>
                <w:rFonts w:eastAsia="MS Mincho"/>
              </w:rPr>
              <w:t>Compliant</w:t>
            </w:r>
          </w:p>
        </w:tc>
        <w:tc>
          <w:tcPr>
            <w:tcW w:w="1701" w:type="dxa"/>
            <w:shd w:val="clear" w:color="auto" w:fill="auto"/>
          </w:tcPr>
          <w:p w14:paraId="41A076B8" w14:textId="49BA9362" w:rsidR="00DA3834" w:rsidRDefault="00DA3834" w:rsidP="5EAFE3D3">
            <w:pPr>
              <w:pStyle w:val="TBLText"/>
              <w:rPr>
                <w:rFonts w:eastAsia="MS Mincho"/>
              </w:rPr>
            </w:pPr>
            <w:r>
              <w:rPr>
                <w:rFonts w:eastAsia="MS Mincho"/>
              </w:rPr>
              <w:t>Adequate</w:t>
            </w:r>
          </w:p>
        </w:tc>
        <w:tc>
          <w:tcPr>
            <w:tcW w:w="1936" w:type="dxa"/>
            <w:shd w:val="clear" w:color="auto" w:fill="auto"/>
          </w:tcPr>
          <w:p w14:paraId="43F74417" w14:textId="59D14CBD" w:rsidR="00DA3834" w:rsidRDefault="00DA3834" w:rsidP="5EAFE3D3">
            <w:pPr>
              <w:pStyle w:val="TBLText"/>
              <w:rPr>
                <w:rFonts w:eastAsia="MS Mincho"/>
              </w:rPr>
            </w:pPr>
            <w:r>
              <w:rPr>
                <w:rFonts w:eastAsia="MS Mincho"/>
              </w:rPr>
              <w:t>No</w:t>
            </w:r>
          </w:p>
        </w:tc>
        <w:tc>
          <w:tcPr>
            <w:tcW w:w="1934" w:type="dxa"/>
            <w:shd w:val="clear" w:color="auto" w:fill="auto"/>
          </w:tcPr>
          <w:p w14:paraId="7FFBF8A0" w14:textId="17B1AAAA" w:rsidR="00DA3834" w:rsidRPr="646FA89F" w:rsidRDefault="00DA3834" w:rsidP="5EAFE3D3">
            <w:pPr>
              <w:pStyle w:val="TBLText"/>
              <w:rPr>
                <w:rFonts w:eastAsia="MS Mincho"/>
              </w:rPr>
            </w:pPr>
            <w:r>
              <w:rPr>
                <w:rFonts w:eastAsia="MS Mincho"/>
              </w:rPr>
              <w:t>$5.113m</w:t>
            </w:r>
          </w:p>
        </w:tc>
      </w:tr>
      <w:tr w:rsidR="5EAFE3D3" w14:paraId="4103DBDF" w14:textId="77777777" w:rsidTr="00C45E30">
        <w:trPr>
          <w:cantSplit/>
          <w:trHeight w:val="300"/>
        </w:trPr>
        <w:tc>
          <w:tcPr>
            <w:tcW w:w="3017" w:type="dxa"/>
            <w:shd w:val="clear" w:color="auto" w:fill="DBE6F5" w:themeFill="text2" w:themeFillTint="1A"/>
          </w:tcPr>
          <w:p w14:paraId="51F320E2" w14:textId="77777777" w:rsidR="5EAFE3D3" w:rsidRDefault="5EAFE3D3" w:rsidP="5EAFE3D3">
            <w:pPr>
              <w:pStyle w:val="TBLText"/>
              <w:rPr>
                <w:b/>
                <w:bCs/>
              </w:rPr>
            </w:pPr>
            <w:r w:rsidRPr="5EAFE3D3">
              <w:rPr>
                <w:b/>
                <w:bCs/>
              </w:rPr>
              <w:lastRenderedPageBreak/>
              <w:t>Total proposals</w:t>
            </w:r>
          </w:p>
        </w:tc>
        <w:tc>
          <w:tcPr>
            <w:tcW w:w="1380" w:type="dxa"/>
            <w:shd w:val="clear" w:color="auto" w:fill="DBE6F5" w:themeFill="text2" w:themeFillTint="1A"/>
          </w:tcPr>
          <w:p w14:paraId="60F5C989" w14:textId="10573B2E" w:rsidR="5EAFE3D3" w:rsidRDefault="00DA3834" w:rsidP="5EAFE3D3">
            <w:pPr>
              <w:pStyle w:val="TBLText"/>
              <w:rPr>
                <w:b/>
                <w:bCs/>
              </w:rPr>
            </w:pPr>
            <w:r>
              <w:rPr>
                <w:b/>
                <w:bCs/>
              </w:rPr>
              <w:t>3</w:t>
            </w:r>
            <w:r w:rsidR="5EAFE3D3" w:rsidRPr="5EAFE3D3">
              <w:rPr>
                <w:b/>
                <w:bCs/>
              </w:rPr>
              <w:t>/</w:t>
            </w:r>
            <w:r>
              <w:rPr>
                <w:b/>
                <w:bCs/>
              </w:rPr>
              <w:t>3</w:t>
            </w:r>
          </w:p>
        </w:tc>
        <w:tc>
          <w:tcPr>
            <w:tcW w:w="1701" w:type="dxa"/>
            <w:shd w:val="clear" w:color="auto" w:fill="DBE6F5" w:themeFill="text2" w:themeFillTint="1A"/>
          </w:tcPr>
          <w:p w14:paraId="7E4FBFF3" w14:textId="77777777" w:rsidR="5EAFE3D3" w:rsidRDefault="5EAFE3D3" w:rsidP="5EAFE3D3">
            <w:pPr>
              <w:pStyle w:val="TBLText"/>
              <w:rPr>
                <w:b/>
                <w:bCs/>
              </w:rPr>
            </w:pPr>
            <w:r w:rsidRPr="5EAFE3D3">
              <w:rPr>
                <w:b/>
                <w:bCs/>
              </w:rPr>
              <w:t>-</w:t>
            </w:r>
          </w:p>
        </w:tc>
        <w:tc>
          <w:tcPr>
            <w:tcW w:w="1936" w:type="dxa"/>
            <w:shd w:val="clear" w:color="auto" w:fill="DBE6F5" w:themeFill="text2" w:themeFillTint="1A"/>
          </w:tcPr>
          <w:p w14:paraId="2FA80A42" w14:textId="77FA1F22" w:rsidR="5EAFE3D3" w:rsidRDefault="008E4734" w:rsidP="5EAFE3D3">
            <w:pPr>
              <w:pStyle w:val="TBLText"/>
              <w:rPr>
                <w:b/>
                <w:bCs/>
              </w:rPr>
            </w:pPr>
            <w:r>
              <w:rPr>
                <w:b/>
                <w:bCs/>
              </w:rPr>
              <w:t>0</w:t>
            </w:r>
            <w:r w:rsidR="5EAFE3D3" w:rsidRPr="5EAFE3D3">
              <w:rPr>
                <w:b/>
                <w:bCs/>
              </w:rPr>
              <w:t>/</w:t>
            </w:r>
            <w:r w:rsidR="00DA3834">
              <w:rPr>
                <w:b/>
                <w:bCs/>
              </w:rPr>
              <w:t>3</w:t>
            </w:r>
          </w:p>
        </w:tc>
        <w:tc>
          <w:tcPr>
            <w:tcW w:w="1934" w:type="dxa"/>
            <w:shd w:val="clear" w:color="auto" w:fill="DBE6F5" w:themeFill="text2" w:themeFillTint="1A"/>
          </w:tcPr>
          <w:p w14:paraId="15BA69E4" w14:textId="77D78295" w:rsidR="5EAFE3D3" w:rsidRDefault="5EAFE3D3" w:rsidP="00C25B79">
            <w:pPr>
              <w:pStyle w:val="TBLText"/>
              <w:rPr>
                <w:b/>
                <w:bCs/>
              </w:rPr>
            </w:pPr>
            <w:r w:rsidRPr="0CC1BCDF">
              <w:rPr>
                <w:b/>
                <w:bCs/>
              </w:rPr>
              <w:t>$</w:t>
            </w:r>
            <w:r w:rsidR="008E4734" w:rsidRPr="0CC1BCDF">
              <w:rPr>
                <w:b/>
                <w:bCs/>
              </w:rPr>
              <w:t>1</w:t>
            </w:r>
            <w:r w:rsidR="00DA3834">
              <w:rPr>
                <w:b/>
                <w:bCs/>
              </w:rPr>
              <w:t>6.153</w:t>
            </w:r>
            <w:r w:rsidRPr="0CC1BCDF">
              <w:rPr>
                <w:b/>
                <w:bCs/>
              </w:rPr>
              <w:t>m</w:t>
            </w:r>
          </w:p>
        </w:tc>
      </w:tr>
    </w:tbl>
    <w:p w14:paraId="0B1E375F" w14:textId="6F289F13" w:rsidR="00DE6598" w:rsidRDefault="00DE6598" w:rsidP="068C8A0F">
      <w:pPr>
        <w:pStyle w:val="Heading1"/>
        <w:rPr>
          <w:highlight w:val="yellow"/>
        </w:rPr>
      </w:pPr>
      <w:bookmarkStart w:id="38" w:name="_Toc155876558"/>
      <w:bookmarkStart w:id="39" w:name="_Toc193445424"/>
      <w:bookmarkStart w:id="40" w:name="_Toc1742321844"/>
      <w:r>
        <w:t>Detailed information on proposals requiring Impact Analysis, 20</w:t>
      </w:r>
      <w:r w:rsidR="7B955789">
        <w:t>25</w:t>
      </w:r>
      <w:r w:rsidR="2F794297">
        <w:t>-</w:t>
      </w:r>
      <w:r w:rsidR="189E373F">
        <w:t>25</w:t>
      </w:r>
      <w:bookmarkEnd w:id="38"/>
      <w:bookmarkEnd w:id="39"/>
      <w:bookmarkEnd w:id="40"/>
    </w:p>
    <w:p w14:paraId="10F45F17" w14:textId="7A06CA19" w:rsidR="1030E897" w:rsidRDefault="1030E897" w:rsidP="34FD77AB">
      <w:pPr>
        <w:pStyle w:val="Heading2"/>
      </w:pPr>
      <w:bookmarkStart w:id="41" w:name="_Toc193445425"/>
      <w:bookmarkStart w:id="42" w:name="_Toc960676183"/>
      <w:r>
        <w:t>Attorney-General's Department</w:t>
      </w:r>
      <w:bookmarkEnd w:id="41"/>
      <w:bookmarkEnd w:id="42"/>
    </w:p>
    <w:p w14:paraId="34A121E8" w14:textId="0812A747" w:rsidR="33288243" w:rsidRDefault="00474C86" w:rsidP="00474C86">
      <w:pPr>
        <w:pStyle w:val="Heading3"/>
      </w:pPr>
      <w:bookmarkStart w:id="43" w:name="_Toc193445426"/>
      <w:bookmarkStart w:id="44" w:name="_Toc1518399072"/>
      <w:r>
        <w:t>Anti-Money Laundering and Counter-Terrorism Financing Regime (AML-CTF) Reforms</w:t>
      </w:r>
      <w:bookmarkEnd w:id="43"/>
      <w:bookmarkEnd w:id="44"/>
    </w:p>
    <w:p w14:paraId="538573EB" w14:textId="131CC2E9" w:rsidR="00474C86" w:rsidRPr="00474C86" w:rsidRDefault="00474C86" w:rsidP="00474C86">
      <w:pPr>
        <w:rPr>
          <w:rFonts w:eastAsia="MS Mincho"/>
        </w:rPr>
      </w:pPr>
      <w:r w:rsidRPr="00474C86">
        <w:t xml:space="preserve">IA Status: </w:t>
      </w:r>
      <w:r w:rsidRPr="00474C86">
        <w:rPr>
          <w:rFonts w:eastAsia="MS Mincho"/>
          <w:w w:val="105"/>
        </w:rPr>
        <w:t>Compliant</w:t>
      </w:r>
    </w:p>
    <w:p w14:paraId="41BCD8CF" w14:textId="45CE0733" w:rsidR="00474C86" w:rsidRPr="00474C86" w:rsidRDefault="00474C86" w:rsidP="00474C86">
      <w:r w:rsidRPr="00474C86">
        <w:t>Assessment Rating: E</w:t>
      </w:r>
      <w:r w:rsidRPr="00474C86">
        <w:rPr>
          <w:w w:val="105"/>
        </w:rPr>
        <w:t>xemplary</w:t>
      </w:r>
    </w:p>
    <w:p w14:paraId="04D66042" w14:textId="652D1CE5" w:rsidR="00474C86" w:rsidRPr="00474C86" w:rsidRDefault="00474C86" w:rsidP="00474C86">
      <w:r w:rsidRPr="00474C86">
        <w:t>PIR Required: No</w:t>
      </w:r>
    </w:p>
    <w:p w14:paraId="2F377C66" w14:textId="6066BB38" w:rsidR="00474C86" w:rsidRPr="00474C86" w:rsidRDefault="00474C86" w:rsidP="00474C86">
      <w:pPr>
        <w:rPr>
          <w:rFonts w:eastAsia="MS Mincho"/>
          <w:spacing w:val="-3"/>
        </w:rPr>
      </w:pPr>
      <w:r w:rsidRPr="00474C86">
        <w:t xml:space="preserve">Regulatory Burden: </w:t>
      </w:r>
      <w:r w:rsidR="00144E06" w:rsidRPr="00144E06">
        <w:rPr>
          <w:rFonts w:eastAsia="MS Mincho"/>
          <w:spacing w:val="-3"/>
        </w:rPr>
        <w:t>In terms of annual average costs, implementation of Option 4 is estimated to result in $1.851</w:t>
      </w:r>
      <w:r w:rsidR="00144E06">
        <w:rPr>
          <w:rFonts w:eastAsia="MS Mincho"/>
          <w:spacing w:val="-3"/>
        </w:rPr>
        <w:t> </w:t>
      </w:r>
      <w:r w:rsidR="4D34068B">
        <w:rPr>
          <w:rFonts w:eastAsia="MS Mincho"/>
          <w:spacing w:val="-3"/>
        </w:rPr>
        <w:t xml:space="preserve"> </w:t>
      </w:r>
      <w:r w:rsidR="00144E06" w:rsidRPr="00144E06">
        <w:rPr>
          <w:rFonts w:eastAsia="MS Mincho"/>
          <w:spacing w:val="-3"/>
        </w:rPr>
        <w:t>billion in regulatory costs to businesses and $29 million to individuals each year over th</w:t>
      </w:r>
      <w:r w:rsidR="00A80066">
        <w:rPr>
          <w:rFonts w:eastAsia="MS Mincho"/>
          <w:spacing w:val="-3"/>
        </w:rPr>
        <w:t>e next 10 </w:t>
      </w:r>
      <w:r w:rsidR="00144E06" w:rsidRPr="00144E06">
        <w:rPr>
          <w:rFonts w:eastAsia="MS Mincho"/>
          <w:spacing w:val="-3"/>
        </w:rPr>
        <w:t>years.</w:t>
      </w:r>
    </w:p>
    <w:p w14:paraId="4A4EF788" w14:textId="4F81617B" w:rsidR="00474C86" w:rsidRPr="00474C86" w:rsidRDefault="00474C86" w:rsidP="00474C86">
      <w:pPr>
        <w:rPr>
          <w:rFonts w:eastAsia="Times New Roman"/>
          <w:lang w:eastAsia="en-AU"/>
        </w:rPr>
      </w:pPr>
      <w:r w:rsidRPr="00474C86">
        <w:rPr>
          <w:rFonts w:eastAsia="Times New Roman"/>
          <w:lang w:eastAsia="en-AU"/>
        </w:rPr>
        <w:t>Australia’s Anti-Money Laundering and Counter-Terrorism Financing (AML/CTF) regime establishes a regulatory framework for combatting money laundering, terrorism financing and other serious financial crimes. The intent of Australia’s AML/CTF regime is to impleme</w:t>
      </w:r>
      <w:r>
        <w:rPr>
          <w:rFonts w:eastAsia="Times New Roman"/>
          <w:lang w:eastAsia="en-AU"/>
        </w:rPr>
        <w:t>nt a regulatory framework that:</w:t>
      </w:r>
    </w:p>
    <w:p w14:paraId="527B04C8" w14:textId="50C30ED1" w:rsidR="00474C86" w:rsidRPr="00474C86" w:rsidRDefault="00474C86" w:rsidP="00845013">
      <w:pPr>
        <w:pStyle w:val="ListParagraph"/>
        <w:numPr>
          <w:ilvl w:val="0"/>
          <w:numId w:val="22"/>
        </w:numPr>
        <w:rPr>
          <w:rFonts w:eastAsia="Times New Roman"/>
          <w:lang w:eastAsia="en-AU"/>
        </w:rPr>
      </w:pPr>
      <w:r w:rsidRPr="0C4B8A2C">
        <w:rPr>
          <w:rFonts w:eastAsia="Times New Roman"/>
          <w:lang w:eastAsia="en-AU"/>
        </w:rPr>
        <w:t>minimises the risks and impacts of illicit financing on the Australian economy</w:t>
      </w:r>
    </w:p>
    <w:p w14:paraId="54734778" w14:textId="48A724C5" w:rsidR="00474C86" w:rsidRPr="00474C86" w:rsidRDefault="00474C86" w:rsidP="00845013">
      <w:pPr>
        <w:pStyle w:val="ListParagraph"/>
        <w:numPr>
          <w:ilvl w:val="0"/>
          <w:numId w:val="22"/>
        </w:numPr>
        <w:rPr>
          <w:rFonts w:eastAsia="Times New Roman"/>
          <w:lang w:eastAsia="en-AU"/>
        </w:rPr>
      </w:pPr>
      <w:r w:rsidRPr="0C4B8A2C">
        <w:rPr>
          <w:rFonts w:eastAsia="Times New Roman"/>
          <w:lang w:eastAsia="en-AU"/>
        </w:rPr>
        <w:t>supports domestic and international efforts to combat serious and organised crime, terrorism financing and proliferation financing</w:t>
      </w:r>
    </w:p>
    <w:p w14:paraId="6589A620" w14:textId="4CA0654A" w:rsidR="00474C86" w:rsidRPr="00474C86" w:rsidRDefault="00474C86" w:rsidP="00845013">
      <w:pPr>
        <w:pStyle w:val="ListParagraph"/>
        <w:numPr>
          <w:ilvl w:val="0"/>
          <w:numId w:val="22"/>
        </w:numPr>
        <w:rPr>
          <w:rFonts w:eastAsia="Times New Roman"/>
          <w:lang w:eastAsia="en-AU"/>
        </w:rPr>
      </w:pPr>
      <w:r w:rsidRPr="0C4B8A2C">
        <w:rPr>
          <w:rFonts w:eastAsia="Times New Roman"/>
          <w:lang w:eastAsia="en-AU"/>
        </w:rPr>
        <w:t>does not impose unnecessary burden on Australian business</w:t>
      </w:r>
      <w:r w:rsidR="007F0FDA" w:rsidRPr="0C4B8A2C">
        <w:rPr>
          <w:rFonts w:eastAsia="Times New Roman"/>
          <w:lang w:eastAsia="en-AU"/>
        </w:rPr>
        <w:t xml:space="preserve"> </w:t>
      </w:r>
      <w:r w:rsidRPr="0C4B8A2C">
        <w:rPr>
          <w:rFonts w:eastAsia="Times New Roman"/>
          <w:lang w:eastAsia="en-AU"/>
        </w:rPr>
        <w:t>and</w:t>
      </w:r>
    </w:p>
    <w:p w14:paraId="6CB70A2A" w14:textId="77777777" w:rsidR="00474C86" w:rsidRPr="00474C86" w:rsidRDefault="00474C86" w:rsidP="00845013">
      <w:pPr>
        <w:pStyle w:val="ListParagraph"/>
        <w:numPr>
          <w:ilvl w:val="0"/>
          <w:numId w:val="22"/>
        </w:numPr>
        <w:rPr>
          <w:rFonts w:eastAsia="Times New Roman"/>
          <w:lang w:eastAsia="en-AU"/>
        </w:rPr>
      </w:pPr>
      <w:r w:rsidRPr="00474C86">
        <w:rPr>
          <w:rFonts w:eastAsia="Times New Roman"/>
          <w:lang w:eastAsia="en-AU"/>
        </w:rPr>
        <w:t xml:space="preserve">is consistent with international best practice in combating money laundering and terrorism financing. </w:t>
      </w:r>
    </w:p>
    <w:p w14:paraId="4158E541" w14:textId="06A59B03" w:rsidR="00474C86" w:rsidRPr="00474C86" w:rsidRDefault="00474C86" w:rsidP="00474C86">
      <w:pPr>
        <w:rPr>
          <w:rFonts w:eastAsia="Times New Roman"/>
          <w:lang w:eastAsia="en-AU"/>
        </w:rPr>
      </w:pPr>
      <w:r w:rsidRPr="00474C86">
        <w:rPr>
          <w:rFonts w:eastAsia="Times New Roman"/>
          <w:lang w:eastAsia="en-AU"/>
        </w:rPr>
        <w:t xml:space="preserve">However, there are a number of inefficiencies throughout Australia’s AML/CTF regime that limit the effectiveness of Australia’s response to transnational crime at large, impacting law enforcement operations and national security, and inflating </w:t>
      </w:r>
      <w:r>
        <w:rPr>
          <w:rFonts w:eastAsia="Times New Roman"/>
          <w:lang w:eastAsia="en-AU"/>
        </w:rPr>
        <w:t>regulatory burden for industry.</w:t>
      </w:r>
    </w:p>
    <w:p w14:paraId="16AB468D" w14:textId="2439827D" w:rsidR="00474C86" w:rsidRPr="00474C86" w:rsidRDefault="00474C86" w:rsidP="00474C86">
      <w:pPr>
        <w:rPr>
          <w:rFonts w:eastAsia="Times New Roman"/>
          <w:lang w:eastAsia="en-AU"/>
        </w:rPr>
      </w:pPr>
      <w:r w:rsidRPr="00474C86">
        <w:rPr>
          <w:rFonts w:eastAsia="Times New Roman"/>
          <w:lang w:eastAsia="en-AU"/>
        </w:rPr>
        <w:t>Complexity — The regime is widely considered to be unduly complex and often poorly understood, leading to poor prevention practices and lower quality financial intelligence. The regime spans over 700 pages of legislation, plus published Australian Transaction Reports and Analysis Centre (AUSTRAC) guidance, with many detailed procedural requirements rather than a clear focus on the outcome of mitigating risk. Operational experience and stakeholder consultation have highlighted systemic problems that are largely</w:t>
      </w:r>
      <w:r>
        <w:rPr>
          <w:rFonts w:eastAsia="Times New Roman"/>
          <w:lang w:eastAsia="en-AU"/>
        </w:rPr>
        <w:t xml:space="preserve"> attributed to this complexity.</w:t>
      </w:r>
    </w:p>
    <w:p w14:paraId="61A5E949" w14:textId="193162C6" w:rsidR="00474C86" w:rsidRDefault="00474C86" w:rsidP="00474C86">
      <w:pPr>
        <w:rPr>
          <w:rFonts w:eastAsia="Times New Roman"/>
          <w:lang w:eastAsia="en-AU"/>
        </w:rPr>
      </w:pPr>
      <w:r w:rsidRPr="00474C86">
        <w:rPr>
          <w:rFonts w:eastAsia="Times New Roman"/>
          <w:lang w:eastAsia="en-AU"/>
        </w:rPr>
        <w:t xml:space="preserve">Gaps in regulation — The regime does not extend to sectors internationally recognised as being at high risk of money laundering and terrorism financing, such as certain services provided by lawyers, accountants and </w:t>
      </w:r>
      <w:r w:rsidRPr="00474C86">
        <w:rPr>
          <w:rFonts w:eastAsia="Times New Roman"/>
          <w:lang w:eastAsia="en-AU"/>
        </w:rPr>
        <w:lastRenderedPageBreak/>
        <w:t>real estate professionals. Additionally, regulation of digital currency exchange services, a key vector for illicit financing, has also not kept pace with international standards.</w:t>
      </w:r>
    </w:p>
    <w:p w14:paraId="29C8754D" w14:textId="7AC54768" w:rsidR="00474C86" w:rsidRPr="00474C86" w:rsidRDefault="00474C86" w:rsidP="00474C86">
      <w:pPr>
        <w:rPr>
          <w:rFonts w:eastAsia="Times New Roman"/>
          <w:lang w:eastAsia="en-AU"/>
        </w:rPr>
      </w:pPr>
      <w:r w:rsidRPr="00474C86">
        <w:rPr>
          <w:rFonts w:eastAsia="Times New Roman"/>
          <w:lang w:eastAsia="en-AU"/>
        </w:rPr>
        <w:t>Four viable policy options to respond to the problems identified were c</w:t>
      </w:r>
      <w:r>
        <w:rPr>
          <w:rFonts w:eastAsia="Times New Roman"/>
          <w:lang w:eastAsia="en-AU"/>
        </w:rPr>
        <w:t>onsidered in the IA, including:</w:t>
      </w:r>
    </w:p>
    <w:p w14:paraId="0A48C319" w14:textId="77777777" w:rsidR="00474C86" w:rsidRPr="00474C86" w:rsidRDefault="00474C86" w:rsidP="00845013">
      <w:pPr>
        <w:pStyle w:val="ListParagraph"/>
        <w:numPr>
          <w:ilvl w:val="0"/>
          <w:numId w:val="23"/>
        </w:numPr>
        <w:rPr>
          <w:rFonts w:eastAsia="Times New Roman"/>
          <w:lang w:eastAsia="en-AU"/>
        </w:rPr>
      </w:pPr>
      <w:r w:rsidRPr="00474C86">
        <w:rPr>
          <w:rFonts w:eastAsia="Times New Roman"/>
          <w:lang w:eastAsia="en-AU"/>
        </w:rPr>
        <w:t>Option 1: maintain the status quo</w:t>
      </w:r>
    </w:p>
    <w:p w14:paraId="24714B6F" w14:textId="77777777" w:rsidR="00474C86" w:rsidRPr="00474C86" w:rsidRDefault="00474C86" w:rsidP="00845013">
      <w:pPr>
        <w:pStyle w:val="ListParagraph"/>
        <w:numPr>
          <w:ilvl w:val="0"/>
          <w:numId w:val="23"/>
        </w:numPr>
        <w:rPr>
          <w:rFonts w:eastAsia="Times New Roman"/>
          <w:lang w:eastAsia="en-AU"/>
        </w:rPr>
      </w:pPr>
      <w:r w:rsidRPr="00474C86">
        <w:rPr>
          <w:rFonts w:eastAsia="Times New Roman"/>
          <w:lang w:eastAsia="en-AU"/>
        </w:rPr>
        <w:t>Option 2: simplify, clarify and modernise existing legislation</w:t>
      </w:r>
    </w:p>
    <w:p w14:paraId="2967A164" w14:textId="77777777" w:rsidR="00474C86" w:rsidRPr="00474C86" w:rsidRDefault="00474C86" w:rsidP="00845013">
      <w:pPr>
        <w:pStyle w:val="ListParagraph"/>
        <w:numPr>
          <w:ilvl w:val="0"/>
          <w:numId w:val="23"/>
        </w:numPr>
        <w:rPr>
          <w:rFonts w:eastAsia="Times New Roman"/>
          <w:lang w:eastAsia="en-AU"/>
        </w:rPr>
      </w:pPr>
      <w:r w:rsidRPr="00474C86">
        <w:rPr>
          <w:rFonts w:eastAsia="Times New Roman"/>
          <w:lang w:eastAsia="en-AU"/>
        </w:rPr>
        <w:t>Option 3: expand the reporting population to designated non-financial businesses and professions (DNFPBs)</w:t>
      </w:r>
    </w:p>
    <w:p w14:paraId="07A7386C" w14:textId="77777777" w:rsidR="00474C86" w:rsidRPr="00474C86" w:rsidRDefault="00474C86" w:rsidP="00845013">
      <w:pPr>
        <w:pStyle w:val="ListParagraph"/>
        <w:numPr>
          <w:ilvl w:val="0"/>
          <w:numId w:val="23"/>
        </w:numPr>
        <w:rPr>
          <w:rFonts w:eastAsia="Times New Roman"/>
          <w:lang w:eastAsia="en-AU"/>
        </w:rPr>
      </w:pPr>
      <w:r w:rsidRPr="00474C86">
        <w:rPr>
          <w:rFonts w:eastAsia="Times New Roman"/>
          <w:lang w:eastAsia="en-AU"/>
        </w:rPr>
        <w:t>Option 4: both simplify, clarify and modernise legislation, and expand reporting population to DNFBPs.</w:t>
      </w:r>
    </w:p>
    <w:p w14:paraId="352C3877" w14:textId="77777777" w:rsidR="00474C86" w:rsidRPr="00474C86" w:rsidRDefault="00474C86" w:rsidP="00474C86">
      <w:pPr>
        <w:rPr>
          <w:rFonts w:eastAsia="Times New Roman"/>
          <w:lang w:eastAsia="en-AU"/>
        </w:rPr>
      </w:pPr>
      <w:r w:rsidRPr="00474C86">
        <w:rPr>
          <w:rFonts w:eastAsia="Times New Roman"/>
          <w:lang w:eastAsia="en-AU"/>
        </w:rPr>
        <w:t>The IA presents Option 4 as the preferred option. This option is expected to deliver the significant law enforcement benefits from the expansion of the AML/CTF regime to DNFBPs (or ‘tranche two’ entities in the Australian context), with the additional benefit of improved compliance across regulated entities and tranche two entities due to the reforms to simplify the regime, including AML/CTF program and Customer Due Diligence (CDD) requirements.</w:t>
      </w:r>
    </w:p>
    <w:p w14:paraId="2C709B0E" w14:textId="77777777" w:rsidR="00474C86" w:rsidRPr="00474C86" w:rsidRDefault="00474C86" w:rsidP="00474C86">
      <w:pPr>
        <w:rPr>
          <w:rFonts w:eastAsia="Times New Roman"/>
          <w:lang w:eastAsia="en-AU"/>
        </w:rPr>
      </w:pPr>
      <w:r w:rsidRPr="00474C86">
        <w:rPr>
          <w:rFonts w:eastAsia="Times New Roman"/>
          <w:lang w:eastAsia="en-AU"/>
        </w:rPr>
        <w:t>These benefits will harden Australia's financial ecosystem against criminal exploitation and likely increase the identification, restraint and confiscation of criminal assets and reduce opportunities for criminals to reinvest illicit funds into further criminal activities. Option 4 will also provide the greatest benefit for improving Australia’s Financial Action Taskforce (FATF) compliance and minimising the likelihood of grey-listing and any associated economic and reputational damage to Australia.</w:t>
      </w:r>
    </w:p>
    <w:p w14:paraId="7E3C4067" w14:textId="463D833B" w:rsidR="33288243" w:rsidRPr="00474C86" w:rsidRDefault="00474C86" w:rsidP="33288243">
      <w:pPr>
        <w:rPr>
          <w:rFonts w:eastAsia="Times New Roman"/>
          <w:lang w:eastAsia="en-AU"/>
        </w:rPr>
      </w:pPr>
      <w:r w:rsidRPr="00474C86">
        <w:rPr>
          <w:rFonts w:eastAsia="Times New Roman"/>
          <w:lang w:eastAsia="en-AU"/>
        </w:rPr>
        <w:t>The costs of Option 4 are estimated to be up to $13.9 billion for businesses and $209 million for consumers over 10 years (in net present value terms). The total quantifiable benefits are estimated at up to $13.1 billion over 10 years (in net present value terms), with the full range of anticipated benefits, including those that cannot be quantified, expected to represent a much higher value.</w:t>
      </w:r>
    </w:p>
    <w:p w14:paraId="3816AAC1" w14:textId="010667D7" w:rsidR="00F5210C" w:rsidRDefault="00F5210C">
      <w:pPr>
        <w:pStyle w:val="Heading2"/>
      </w:pPr>
      <w:bookmarkStart w:id="45" w:name="_Toc193445427"/>
      <w:bookmarkStart w:id="46" w:name="_Toc976157314"/>
      <w:bookmarkStart w:id="47" w:name="_Toc155876559"/>
      <w:bookmarkStart w:id="48" w:name="_Toc122424422"/>
      <w:r>
        <w:t>Australian Communications and Media Authority</w:t>
      </w:r>
      <w:bookmarkEnd w:id="45"/>
      <w:bookmarkEnd w:id="46"/>
    </w:p>
    <w:p w14:paraId="6CE9642F" w14:textId="157C5350" w:rsidR="00F5210C" w:rsidRDefault="00F5210C" w:rsidP="004D0B63">
      <w:pPr>
        <w:pStyle w:val="Heading3"/>
        <w:rPr>
          <w:rStyle w:val="field"/>
          <w:sz w:val="32"/>
          <w:szCs w:val="32"/>
        </w:rPr>
      </w:pPr>
      <w:bookmarkStart w:id="49" w:name="_Toc193445428"/>
      <w:bookmarkStart w:id="50" w:name="_Toc1178835722"/>
      <w:r w:rsidRPr="15A450E2">
        <w:rPr>
          <w:rStyle w:val="field"/>
        </w:rPr>
        <w:t>Requirements to identify and manage mobile phones unable to access the Triple Zero (000) Emergency Call Service</w:t>
      </w:r>
      <w:bookmarkEnd w:id="49"/>
      <w:bookmarkEnd w:id="50"/>
    </w:p>
    <w:p w14:paraId="3C48117F" w14:textId="77777777" w:rsidR="00F5210C" w:rsidRPr="00581DBE" w:rsidRDefault="00F5210C" w:rsidP="00F5210C">
      <w:pPr>
        <w:rPr>
          <w:rFonts w:eastAsia="MS Mincho"/>
        </w:rPr>
      </w:pPr>
      <w:r w:rsidRPr="00B25486">
        <w:t xml:space="preserve">IA Status: </w:t>
      </w:r>
      <w:r w:rsidRPr="00581DBE">
        <w:rPr>
          <w:rFonts w:eastAsia="MS Mincho"/>
          <w:w w:val="105"/>
        </w:rPr>
        <w:t>Compliant</w:t>
      </w:r>
    </w:p>
    <w:p w14:paraId="33D3FDF8" w14:textId="0CF131C2" w:rsidR="00F5210C" w:rsidRPr="00581DBE" w:rsidRDefault="00F5210C" w:rsidP="00F5210C">
      <w:r w:rsidRPr="00581DBE">
        <w:t xml:space="preserve">Assessment Rating: </w:t>
      </w:r>
      <w:r>
        <w:rPr>
          <w:w w:val="105"/>
        </w:rPr>
        <w:t>Adequate</w:t>
      </w:r>
    </w:p>
    <w:p w14:paraId="66C2DBD9" w14:textId="77777777" w:rsidR="00F5210C" w:rsidRPr="001A7674" w:rsidRDefault="00F5210C" w:rsidP="00F5210C">
      <w:r w:rsidRPr="00581DBE">
        <w:t>PIR Required: No</w:t>
      </w:r>
    </w:p>
    <w:p w14:paraId="5D94D763" w14:textId="3FAF4F10" w:rsidR="00F5210C" w:rsidRDefault="00F5210C" w:rsidP="004D0B63">
      <w:r w:rsidRPr="001A7674">
        <w:t>Regulatory Burden:</w:t>
      </w:r>
      <w:r>
        <w:t xml:space="preserve"> </w:t>
      </w:r>
      <w:r w:rsidR="00712810" w:rsidRPr="00712810">
        <w:t>Australian Communications and Media Authority</w:t>
      </w:r>
      <w:r w:rsidR="00712810">
        <w:t xml:space="preserve"> (</w:t>
      </w:r>
      <w:r w:rsidRPr="00F5210C">
        <w:t>ACMA</w:t>
      </w:r>
      <w:r w:rsidR="00712810">
        <w:t>)</w:t>
      </w:r>
      <w:r w:rsidRPr="00F5210C">
        <w:t xml:space="preserve"> estimates the average annual regulatory costs of option 2 (additional to business as usual) result in an increase of $14.9 million per year, over ten years.</w:t>
      </w:r>
    </w:p>
    <w:p w14:paraId="7AB7013B" w14:textId="36BFA4DD" w:rsidR="00F5210C" w:rsidRDefault="00F5210C" w:rsidP="00F5210C">
      <w:r>
        <w:lastRenderedPageBreak/>
        <w:t>The problem examined in this IA is that on 28 October 2024, once Australia’s remaining 3G mobile networks operated by Optus and Telstra are shut down, some customers with affected mobile phones will not be able to make calls to Triple Zero. This not only includes 3G-only handsets but 4G handsets that cannot support calls to eme</w:t>
      </w:r>
      <w:r w:rsidR="00693726">
        <w:t>rgency services except over 3G.</w:t>
      </w:r>
    </w:p>
    <w:p w14:paraId="63A1EC03" w14:textId="5D910EF1" w:rsidR="00F5210C" w:rsidRDefault="00F5210C" w:rsidP="00F5210C">
      <w:r>
        <w:t xml:space="preserve">There are no mandatory requirements on carriers or carriage service providers for customers to be notified of this or to provide assistance on how to obtain a mobile phone that is capable of making </w:t>
      </w:r>
      <w:r w:rsidR="00693726">
        <w:t>emergency calls.</w:t>
      </w:r>
    </w:p>
    <w:p w14:paraId="45A2167B" w14:textId="185702E1" w:rsidR="00F5210C" w:rsidRDefault="00F5210C" w:rsidP="00F5210C">
      <w:r>
        <w:t>Without action, a subset of the population will be unaware their mobile phone will not be able to make an emergency call with the risk that this could lead to loss of lif</w:t>
      </w:r>
      <w:r w:rsidR="00693726">
        <w:t>e or property.</w:t>
      </w:r>
    </w:p>
    <w:p w14:paraId="5B13EFD3" w14:textId="42057490" w:rsidR="00F5210C" w:rsidRDefault="00F5210C" w:rsidP="00F5210C">
      <w:r>
        <w:t>Those most likely to be impacted are elderly customers who use older devices, customers who are not confident with technology and prefer to use older, less-complex devices, customers from lower socio-economic backgrounds that are less likely to have updated their mobile phones, and customers experiencing financial hardship unable</w:t>
      </w:r>
      <w:r w:rsidR="00693726">
        <w:t xml:space="preserve"> to afford newer mobile phones.</w:t>
      </w:r>
    </w:p>
    <w:p w14:paraId="0846A7E8" w14:textId="78FAE69E" w:rsidR="00F5210C" w:rsidRDefault="00F5210C" w:rsidP="00F5210C">
      <w:r>
        <w:t xml:space="preserve">On 21 August 2024, the Minister for Communications directed the Australian Communications and Media Authority (ACMA) to amend the </w:t>
      </w:r>
      <w:r w:rsidRPr="5435D2E9">
        <w:rPr>
          <w:i/>
          <w:iCs/>
        </w:rPr>
        <w:t>Telecommunications (Emergency Call Service) Determination 2019</w:t>
      </w:r>
      <w:r>
        <w:t xml:space="preserve"> </w:t>
      </w:r>
      <w:r>
        <w:br/>
        <w:t>(ECS Determination) (the Direction) to includ</w:t>
      </w:r>
      <w:r w:rsidR="00693726">
        <w:t>e requirements for carriers to:</w:t>
      </w:r>
    </w:p>
    <w:p w14:paraId="47F8E81B" w14:textId="0FFE98EE" w:rsidR="00F5210C" w:rsidRDefault="00F5210C" w:rsidP="004D0B63">
      <w:pPr>
        <w:pStyle w:val="ListParagraph"/>
        <w:numPr>
          <w:ilvl w:val="0"/>
          <w:numId w:val="33"/>
        </w:numPr>
      </w:pPr>
      <w:r>
        <w:t>Identify mobile phon</w:t>
      </w:r>
      <w:r w:rsidR="00693726">
        <w:t>es unable to access Triple Zero</w:t>
      </w:r>
    </w:p>
    <w:p w14:paraId="32ED379D" w14:textId="70344B79" w:rsidR="00F5210C" w:rsidRDefault="00F5210C" w:rsidP="004D0B63">
      <w:pPr>
        <w:pStyle w:val="ListParagraph"/>
        <w:numPr>
          <w:ilvl w:val="0"/>
          <w:numId w:val="33"/>
        </w:numPr>
      </w:pPr>
      <w:r>
        <w:t>Notify customers about the limitations with mobile devices unable to acce</w:t>
      </w:r>
      <w:r w:rsidR="00693726">
        <w:t>ss the emergency call service.</w:t>
      </w:r>
    </w:p>
    <w:p w14:paraId="517B59C7" w14:textId="3C381EEC" w:rsidR="00F5210C" w:rsidRDefault="00F5210C" w:rsidP="004D0B63">
      <w:pPr>
        <w:pStyle w:val="ListParagraph"/>
        <w:numPr>
          <w:ilvl w:val="0"/>
          <w:numId w:val="33"/>
        </w:numPr>
      </w:pPr>
      <w:r>
        <w:t>Not supply carriage services to mobile devices unable to access</w:t>
      </w:r>
      <w:r w:rsidR="00693726">
        <w:t xml:space="preserve"> the emergency call service.</w:t>
      </w:r>
    </w:p>
    <w:p w14:paraId="042FF5AC" w14:textId="625767E6" w:rsidR="00F5210C" w:rsidRDefault="00F5210C" w:rsidP="00F5210C">
      <w:r>
        <w:t xml:space="preserve">On 24 September 2024, the ACMA published proposed amendments for consultation in line with the Direction inviting feedback from </w:t>
      </w:r>
      <w:r w:rsidR="00693726">
        <w:t>stakeholders by 8 October 2024.</w:t>
      </w:r>
    </w:p>
    <w:p w14:paraId="2AA4414D" w14:textId="3E202050" w:rsidR="00F5210C" w:rsidRDefault="00F5210C" w:rsidP="00F5210C">
      <w:r>
        <w:t>The IA considers options available to the ACMA to provide protections for affected customers, within existing powers, and enable them to continue to access Triple Zero services after the network shut</w:t>
      </w:r>
      <w:r w:rsidR="00693726">
        <w:t>down.  These include:</w:t>
      </w:r>
    </w:p>
    <w:p w14:paraId="4B193200" w14:textId="0673E972" w:rsidR="00F5210C" w:rsidRDefault="00F5210C" w:rsidP="004D0B63">
      <w:pPr>
        <w:pStyle w:val="ListParagraph"/>
        <w:numPr>
          <w:ilvl w:val="0"/>
          <w:numId w:val="34"/>
        </w:numPr>
      </w:pPr>
      <w:r>
        <w:t>Option 1:  Status quo – Under this option the government retains the status quo, refraining from amending the current Emergency Cal</w:t>
      </w:r>
      <w:r w:rsidR="00693726">
        <w:t>l Service (ECS) Determination.</w:t>
      </w:r>
    </w:p>
    <w:p w14:paraId="209FFCF3" w14:textId="7BDCC5B8" w:rsidR="00F5210C" w:rsidRDefault="00F5210C" w:rsidP="004D0B63">
      <w:pPr>
        <w:pStyle w:val="ListParagraph"/>
        <w:numPr>
          <w:ilvl w:val="0"/>
          <w:numId w:val="34"/>
        </w:numPr>
      </w:pPr>
      <w:r>
        <w:t>Option 2 (Preferred):  Direct Regulation – Implementing the Direction (amend the Emergenc</w:t>
      </w:r>
      <w:r w:rsidR="00693726">
        <w:t xml:space="preserve">y Call Service Determination). </w:t>
      </w:r>
      <w:r>
        <w:t xml:space="preserve">Option 2 is to amend the ECS Determination to include necessary obligations on carriers and </w:t>
      </w:r>
      <w:r w:rsidR="00C25B79">
        <w:t xml:space="preserve">carriage service providers </w:t>
      </w:r>
      <w:r>
        <w:t>to better facilitate end-user mobile phones to make emergency calls.</w:t>
      </w:r>
    </w:p>
    <w:p w14:paraId="1B63F402" w14:textId="31AA3D3B" w:rsidR="00F5210C" w:rsidRPr="004D0B63" w:rsidRDefault="00F5210C" w:rsidP="004D0B63">
      <w:pPr>
        <w:pStyle w:val="ListParagraph"/>
        <w:numPr>
          <w:ilvl w:val="0"/>
          <w:numId w:val="34"/>
        </w:numPr>
      </w:pPr>
      <w:r>
        <w:t>Option 3: Industry self- or co-regulation, i.e. voluntary actions by providers, supported by an industry guideline or registered code. Under this option, government would rely on providers to voluntarily take active steps to identify and assist customers with mobile phones unable to make an emergency call after all 3G mobile networks are shutdown.</w:t>
      </w:r>
    </w:p>
    <w:p w14:paraId="0F0733B0" w14:textId="77777777" w:rsidR="00076E69" w:rsidRPr="004D0B63" w:rsidRDefault="00076E69" w:rsidP="1A053974">
      <w:pPr>
        <w:pStyle w:val="Heading3"/>
        <w:rPr>
          <w:rStyle w:val="field"/>
        </w:rPr>
      </w:pPr>
      <w:bookmarkStart w:id="51" w:name="_Toc193445429"/>
      <w:bookmarkStart w:id="52" w:name="_Toc1066753292"/>
      <w:r w:rsidRPr="15A450E2">
        <w:rPr>
          <w:rStyle w:val="field"/>
        </w:rPr>
        <w:lastRenderedPageBreak/>
        <w:t>Improving Telco Communications to Stakeholders During Outages</w:t>
      </w:r>
      <w:bookmarkEnd w:id="51"/>
      <w:bookmarkEnd w:id="52"/>
    </w:p>
    <w:p w14:paraId="18C0B860" w14:textId="77777777" w:rsidR="00076E69" w:rsidRPr="00581DBE" w:rsidRDefault="00076E69" w:rsidP="00076E69">
      <w:pPr>
        <w:rPr>
          <w:rFonts w:eastAsia="MS Mincho"/>
        </w:rPr>
      </w:pPr>
      <w:r w:rsidRPr="00B25486">
        <w:t xml:space="preserve">IA Status: </w:t>
      </w:r>
      <w:r w:rsidRPr="00581DBE">
        <w:rPr>
          <w:rFonts w:eastAsia="MS Mincho"/>
          <w:w w:val="105"/>
        </w:rPr>
        <w:t>Compliant</w:t>
      </w:r>
    </w:p>
    <w:p w14:paraId="346E0521" w14:textId="77777777" w:rsidR="00076E69" w:rsidRPr="00581DBE" w:rsidRDefault="00076E69" w:rsidP="00076E69">
      <w:r w:rsidRPr="00581DBE">
        <w:t xml:space="preserve">Assessment Rating: </w:t>
      </w:r>
      <w:r w:rsidRPr="00581DBE">
        <w:rPr>
          <w:w w:val="105"/>
        </w:rPr>
        <w:t>Good Practice</w:t>
      </w:r>
    </w:p>
    <w:p w14:paraId="7BC79D0C" w14:textId="77777777" w:rsidR="00076E69" w:rsidRPr="001A7674" w:rsidRDefault="00076E69" w:rsidP="00076E69">
      <w:r w:rsidRPr="00581DBE">
        <w:t>PIR Required: No</w:t>
      </w:r>
    </w:p>
    <w:p w14:paraId="5CF95A5D" w14:textId="77777777" w:rsidR="00076E69" w:rsidRDefault="00076E69" w:rsidP="004D0B63">
      <w:r w:rsidRPr="001A7674">
        <w:t>Regulatory Burden:</w:t>
      </w:r>
      <w:r>
        <w:t xml:space="preserve"> </w:t>
      </w:r>
      <w:r w:rsidRPr="00076E69">
        <w:t>The ACMA estimates regulatory costs for Option 2 is in the order of $14.78 million per year over the next 10 years for substantive compliance costs that fall to carriers and</w:t>
      </w:r>
      <w:r>
        <w:t xml:space="preserve"> </w:t>
      </w:r>
      <w:r w:rsidRPr="00076E69">
        <w:t xml:space="preserve">carriage service providers </w:t>
      </w:r>
      <w:r>
        <w:t>(</w:t>
      </w:r>
      <w:r w:rsidRPr="00076E69">
        <w:t>CSPs</w:t>
      </w:r>
      <w:r>
        <w:t>)</w:t>
      </w:r>
      <w:r w:rsidRPr="00076E69">
        <w:t>.</w:t>
      </w:r>
    </w:p>
    <w:p w14:paraId="37C9D2C2" w14:textId="68C84E8C" w:rsidR="00076E69" w:rsidRPr="00076E69" w:rsidRDefault="00076E69" w:rsidP="004D0B63">
      <w:pPr>
        <w:rPr>
          <w:rFonts w:eastAsia="Times New Roman"/>
          <w:lang w:eastAsia="en-AU"/>
        </w:rPr>
      </w:pPr>
      <w:r w:rsidRPr="00076E69">
        <w:rPr>
          <w:rFonts w:eastAsia="Times New Roman"/>
          <w:lang w:eastAsia="en-AU"/>
        </w:rPr>
        <w:t>The Optus outage of 8 November 2023 exposed the importance of customer communication during and in relation to outages. The outage had a significant impact on a wide range of Australians, affecting emergency services, government services, businesses and vulnerable people. Customers experienced delays in receiving advice or a detailed explanation about the cause and impact of the outage, o</w:t>
      </w:r>
      <w:r w:rsidR="00693726">
        <w:rPr>
          <w:rFonts w:eastAsia="Times New Roman"/>
          <w:lang w:eastAsia="en-AU"/>
        </w:rPr>
        <w:t>r timeframes for rectification.</w:t>
      </w:r>
    </w:p>
    <w:p w14:paraId="17EEDB0A" w14:textId="77777777" w:rsidR="00693726" w:rsidRDefault="00076E69" w:rsidP="004D0B63">
      <w:r w:rsidRPr="00076E69">
        <w:rPr>
          <w:rFonts w:eastAsia="Times New Roman"/>
          <w:lang w:eastAsia="en-AU"/>
        </w:rPr>
        <w:t>There are currently no mandatory requirements for the way in which telecommunications providers communicate with customers in relation to outages. In August 2024, the Minister for Communications, the Hon Michelle Rowland MP,  directed ACMA to determine a standard under subsection 125AA(1) of the </w:t>
      </w:r>
      <w:r w:rsidRPr="00076E69">
        <w:rPr>
          <w:rFonts w:eastAsia="Times New Roman"/>
          <w:i/>
          <w:iCs/>
          <w:lang w:eastAsia="en-AU"/>
        </w:rPr>
        <w:t>Telecommunications Act 1997</w:t>
      </w:r>
      <w:r w:rsidRPr="00076E69">
        <w:rPr>
          <w:rFonts w:eastAsia="Times New Roman"/>
          <w:lang w:eastAsia="en-AU"/>
        </w:rPr>
        <w:t xml:space="preserve"> that deals with information to be provided or made available by carriers and </w:t>
      </w:r>
      <w:r>
        <w:rPr>
          <w:rFonts w:eastAsia="Times New Roman"/>
          <w:lang w:eastAsia="en-AU"/>
        </w:rPr>
        <w:t>CSPs</w:t>
      </w:r>
      <w:r w:rsidRPr="00076E69">
        <w:rPr>
          <w:rFonts w:eastAsia="Times New Roman"/>
          <w:lang w:eastAsia="en-AU"/>
        </w:rPr>
        <w:t xml:space="preserve"> relating to major outages that impact a telecommunications network used to supply c</w:t>
      </w:r>
      <w:r>
        <w:rPr>
          <w:rFonts w:eastAsia="Times New Roman"/>
          <w:lang w:eastAsia="en-AU"/>
        </w:rPr>
        <w:t xml:space="preserve">arriage </w:t>
      </w:r>
      <w:r w:rsidRPr="004D0B63">
        <w:t>services to end-users.</w:t>
      </w:r>
    </w:p>
    <w:p w14:paraId="2D689846" w14:textId="650B80F9" w:rsidR="00076E69" w:rsidRPr="004D0B63" w:rsidRDefault="00076E69" w:rsidP="004D0B63">
      <w:r w:rsidRPr="004D0B63">
        <w:t xml:space="preserve">The </w:t>
      </w:r>
      <w:r w:rsidR="006F4BE6">
        <w:t>I</w:t>
      </w:r>
      <w:r w:rsidRPr="004D0B63">
        <w:t>A considers the following four options.</w:t>
      </w:r>
    </w:p>
    <w:p w14:paraId="20A673D9" w14:textId="0BCDA436" w:rsidR="00076E69" w:rsidRPr="00076E69" w:rsidRDefault="00076E69" w:rsidP="004D0B63">
      <w:pPr>
        <w:pStyle w:val="ListParagraph"/>
        <w:numPr>
          <w:ilvl w:val="0"/>
          <w:numId w:val="39"/>
        </w:numPr>
        <w:rPr>
          <w:rFonts w:eastAsia="Times New Roman"/>
          <w:lang w:eastAsia="en-AU"/>
        </w:rPr>
      </w:pPr>
      <w:r w:rsidRPr="00076E69">
        <w:rPr>
          <w:rFonts w:eastAsia="Times New Roman"/>
          <w:lang w:eastAsia="en-AU"/>
        </w:rPr>
        <w:t>Option 1: Status quo. Under this option the government retains the status quo, refraining from introducing new regulation and relying on the current Industry Guideline.</w:t>
      </w:r>
    </w:p>
    <w:p w14:paraId="2CB70B13" w14:textId="01BD69E2" w:rsidR="00076E69" w:rsidRPr="00076E69" w:rsidRDefault="00076E69" w:rsidP="004D0B63">
      <w:pPr>
        <w:pStyle w:val="ListParagraph"/>
        <w:numPr>
          <w:ilvl w:val="0"/>
          <w:numId w:val="39"/>
        </w:numPr>
        <w:rPr>
          <w:rFonts w:eastAsia="Times New Roman"/>
          <w:lang w:eastAsia="en-AU"/>
        </w:rPr>
      </w:pPr>
      <w:r w:rsidRPr="00076E69">
        <w:rPr>
          <w:rFonts w:eastAsia="Times New Roman"/>
          <w:lang w:eastAsia="en-AU"/>
        </w:rPr>
        <w:t>Option 2: Direct regulation (Industry Standard). The Minister’s Direction provides the legal authority for ACMA to make a new industry standard under section 125AA of the </w:t>
      </w:r>
      <w:r w:rsidRPr="00076E69">
        <w:rPr>
          <w:rFonts w:eastAsia="Times New Roman"/>
          <w:i/>
          <w:iCs/>
          <w:lang w:eastAsia="en-AU"/>
        </w:rPr>
        <w:t>Telecommunications Act 1997</w:t>
      </w:r>
      <w:r w:rsidRPr="00076E69">
        <w:rPr>
          <w:rFonts w:eastAsia="Times New Roman"/>
          <w:lang w:eastAsia="en-AU"/>
        </w:rPr>
        <w:t>. Under the Direction, the Standard must require carriers and CSPs to ensure that communications with end-users during or in relation to a major outage will be timely, up-to-date, and accessible through a mix of public and direct communication channels</w:t>
      </w:r>
      <w:r>
        <w:rPr>
          <w:rFonts w:eastAsia="Times New Roman"/>
          <w:lang w:eastAsia="en-AU"/>
        </w:rPr>
        <w:t>.</w:t>
      </w:r>
    </w:p>
    <w:p w14:paraId="05309712" w14:textId="1544E2DB" w:rsidR="00076E69" w:rsidRPr="00076E69" w:rsidRDefault="00076E69" w:rsidP="004D0B63">
      <w:pPr>
        <w:pStyle w:val="ListParagraph"/>
        <w:numPr>
          <w:ilvl w:val="0"/>
          <w:numId w:val="39"/>
        </w:numPr>
        <w:rPr>
          <w:rFonts w:eastAsia="Times New Roman"/>
          <w:lang w:eastAsia="en-AU"/>
        </w:rPr>
      </w:pPr>
      <w:r w:rsidRPr="00076E69">
        <w:rPr>
          <w:rFonts w:eastAsia="Times New Roman"/>
          <w:lang w:eastAsia="en-AU"/>
        </w:rPr>
        <w:t xml:space="preserve">Option 3: Direct regulation (amend the </w:t>
      </w:r>
      <w:r w:rsidRPr="00CD264E">
        <w:rPr>
          <w:rFonts w:eastAsia="Times New Roman"/>
          <w:lang w:eastAsia="en-AU"/>
        </w:rPr>
        <w:t>Telecommunications (Emergency Call Service) Determination 2019</w:t>
      </w:r>
      <w:r w:rsidRPr="00076E69">
        <w:rPr>
          <w:rFonts w:eastAsia="Times New Roman"/>
          <w:lang w:eastAsia="en-AU"/>
        </w:rPr>
        <w:t>. Under this option instead of an Industry Standard (Option 2), ACMA could develop a determination requiring carriers to communicate specific information to customers during and about outages.</w:t>
      </w:r>
    </w:p>
    <w:p w14:paraId="342045BD" w14:textId="32732C2B" w:rsidR="00076E69" w:rsidRPr="00076E69" w:rsidRDefault="00076E69" w:rsidP="004D0B63">
      <w:pPr>
        <w:pStyle w:val="ListParagraph"/>
        <w:numPr>
          <w:ilvl w:val="0"/>
          <w:numId w:val="39"/>
        </w:numPr>
        <w:rPr>
          <w:rFonts w:eastAsia="Times New Roman"/>
          <w:lang w:eastAsia="en-AU"/>
        </w:rPr>
      </w:pPr>
      <w:r w:rsidRPr="00076E69">
        <w:rPr>
          <w:rFonts w:eastAsia="Times New Roman"/>
          <w:lang w:eastAsia="en-AU"/>
        </w:rPr>
        <w:t>Option 4: Co-regulation (Industry Code). Under this option, the ACMA could request the Communications Alliance to develop a code that places obligations on carriers and CSPs in relation to customer communications during major outages.</w:t>
      </w:r>
    </w:p>
    <w:p w14:paraId="5EAD6811" w14:textId="03B26B13" w:rsidR="00076E69" w:rsidRDefault="00076E69" w:rsidP="004D0B63">
      <w:pPr>
        <w:rPr>
          <w:rFonts w:eastAsia="Times New Roman"/>
          <w:lang w:eastAsia="en-AU"/>
        </w:rPr>
      </w:pPr>
      <w:r w:rsidRPr="00076E69">
        <w:rPr>
          <w:rFonts w:eastAsia="Times New Roman"/>
          <w:lang w:eastAsia="en-AU"/>
        </w:rPr>
        <w:t>Based on the analysis outlined in the IA, Option 2 has the highest overall net benefit and is in line with the Minister’s Direction.</w:t>
      </w:r>
    </w:p>
    <w:p w14:paraId="6EC2726B" w14:textId="39382E2F" w:rsidR="009627AE" w:rsidRDefault="009627AE" w:rsidP="004D0B63">
      <w:pPr>
        <w:pStyle w:val="Heading3"/>
        <w:rPr>
          <w:rFonts w:eastAsia="Times New Roman"/>
          <w:lang w:eastAsia="en-AU"/>
        </w:rPr>
      </w:pPr>
      <w:bookmarkStart w:id="53" w:name="_Toc193445430"/>
      <w:bookmarkStart w:id="54" w:name="_Toc73298967"/>
      <w:r w:rsidRPr="15A450E2">
        <w:rPr>
          <w:rFonts w:eastAsia="Times New Roman"/>
          <w:lang w:eastAsia="en-AU"/>
        </w:rPr>
        <w:lastRenderedPageBreak/>
        <w:t>Future use of the upper 6 GHz band</w:t>
      </w:r>
      <w:bookmarkEnd w:id="53"/>
      <w:bookmarkEnd w:id="54"/>
    </w:p>
    <w:p w14:paraId="203CDEE9" w14:textId="77777777" w:rsidR="009627AE" w:rsidRPr="00581DBE" w:rsidRDefault="009627AE" w:rsidP="009627AE">
      <w:pPr>
        <w:rPr>
          <w:rFonts w:eastAsia="MS Mincho"/>
        </w:rPr>
      </w:pPr>
      <w:r w:rsidRPr="00B25486">
        <w:t xml:space="preserve">IA Status: </w:t>
      </w:r>
      <w:r w:rsidRPr="00581DBE">
        <w:rPr>
          <w:rFonts w:eastAsia="MS Mincho"/>
          <w:w w:val="105"/>
        </w:rPr>
        <w:t>Compliant</w:t>
      </w:r>
    </w:p>
    <w:p w14:paraId="5A405700" w14:textId="39620906" w:rsidR="009627AE" w:rsidRPr="00581DBE" w:rsidRDefault="009627AE" w:rsidP="009627AE">
      <w:r w:rsidRPr="00581DBE">
        <w:t xml:space="preserve">Assessment Rating: </w:t>
      </w:r>
      <w:r>
        <w:rPr>
          <w:w w:val="105"/>
        </w:rPr>
        <w:t>N/A (Impact Analysis Equivalent)</w:t>
      </w:r>
    </w:p>
    <w:p w14:paraId="71568A57" w14:textId="77777777" w:rsidR="009627AE" w:rsidRPr="001A7674" w:rsidRDefault="009627AE" w:rsidP="009627AE">
      <w:r w:rsidRPr="00581DBE">
        <w:t>PIR Required: No</w:t>
      </w:r>
    </w:p>
    <w:p w14:paraId="3B50961E" w14:textId="7D2D4AAA" w:rsidR="009627AE" w:rsidRDefault="009627AE" w:rsidP="004D0B63">
      <w:r w:rsidRPr="001A7674">
        <w:t>Regulatory Burden:</w:t>
      </w:r>
      <w:r>
        <w:t xml:space="preserve"> </w:t>
      </w:r>
      <w:r w:rsidRPr="009627AE">
        <w:t>The ACMA estimates implementation of Option 4 will result in an increase in average regulatory costs of around $38 million per year, over ten years – reflecting the estimated relocation costs for affected incumbent services.</w:t>
      </w:r>
    </w:p>
    <w:p w14:paraId="1D6D96E5" w14:textId="7B6E0358" w:rsidR="009627AE" w:rsidRDefault="009627AE" w:rsidP="009627AE">
      <w:pPr>
        <w:rPr>
          <w:lang w:eastAsia="en-AU"/>
        </w:rPr>
      </w:pPr>
      <w:r>
        <w:rPr>
          <w:lang w:eastAsia="en-AU"/>
        </w:rPr>
        <w:t>The upper 6 GHz band (6425-7125 MHz) has received significant interest, both domestically and internationally, for the potential introduction of Radio Local Area Network (RLAN) and/or wide-area wireles</w:t>
      </w:r>
      <w:r w:rsidR="00CD264E">
        <w:rPr>
          <w:lang w:eastAsia="en-AU"/>
        </w:rPr>
        <w:t>s broadband (WA WBB) services.</w:t>
      </w:r>
    </w:p>
    <w:p w14:paraId="646A76F8" w14:textId="0BC4333A" w:rsidR="009627AE" w:rsidRDefault="009627AE" w:rsidP="009627AE">
      <w:pPr>
        <w:rPr>
          <w:lang w:eastAsia="en-AU"/>
        </w:rPr>
      </w:pPr>
      <w:r>
        <w:rPr>
          <w:lang w:eastAsia="en-AU"/>
        </w:rPr>
        <w:t xml:space="preserve">In Australia, the upper 6 GHz band is currently used by fixed satellite services, point-to-point fixed links and television outside broadcast services. However, current planning arrangements do not support the widespread introduction of RLAN or WA WBB services in the upper 6 GHz without intervention by the </w:t>
      </w:r>
      <w:r w:rsidR="00CD264E">
        <w:rPr>
          <w:lang w:eastAsia="en-AU"/>
        </w:rPr>
        <w:t>ACMA.</w:t>
      </w:r>
    </w:p>
    <w:p w14:paraId="073B3BB7" w14:textId="5317EAB0" w:rsidR="009627AE" w:rsidRDefault="009627AE" w:rsidP="009627AE">
      <w:pPr>
        <w:rPr>
          <w:lang w:eastAsia="en-AU"/>
        </w:rPr>
      </w:pPr>
      <w:r>
        <w:rPr>
          <w:lang w:eastAsia="en-AU"/>
        </w:rPr>
        <w:t xml:space="preserve">Four policy options were explored in the </w:t>
      </w:r>
      <w:r w:rsidRPr="004D0B63">
        <w:rPr>
          <w:i/>
          <w:lang w:eastAsia="en-AU"/>
        </w:rPr>
        <w:t>Options paper: Future use of the upper 6 GHz band</w:t>
      </w:r>
      <w:r>
        <w:rPr>
          <w:lang w:eastAsia="en-AU"/>
        </w:rPr>
        <w:t xml:space="preserve"> and the </w:t>
      </w:r>
      <w:r w:rsidRPr="004D0B63">
        <w:rPr>
          <w:i/>
          <w:lang w:eastAsia="en-AU"/>
        </w:rPr>
        <w:t>Outcomes paper: Future use of the upper 6 GHz band</w:t>
      </w:r>
      <w:r>
        <w:rPr>
          <w:lang w:eastAsia="en-AU"/>
        </w:rPr>
        <w:t>:</w:t>
      </w:r>
    </w:p>
    <w:p w14:paraId="5B6093D0" w14:textId="2A7A79B9" w:rsidR="009627AE" w:rsidRDefault="009627AE" w:rsidP="004D0B63">
      <w:pPr>
        <w:pStyle w:val="ListParagraph"/>
        <w:numPr>
          <w:ilvl w:val="0"/>
          <w:numId w:val="43"/>
        </w:numPr>
        <w:rPr>
          <w:lang w:eastAsia="en-AU"/>
        </w:rPr>
      </w:pPr>
      <w:r>
        <w:rPr>
          <w:lang w:eastAsia="en-AU"/>
        </w:rPr>
        <w:t>Option 1: Maintain existing arrangements, with potential re</w:t>
      </w:r>
      <w:r w:rsidR="00CD264E">
        <w:rPr>
          <w:lang w:eastAsia="en-AU"/>
        </w:rPr>
        <w:t>consideration at a later date.</w:t>
      </w:r>
    </w:p>
    <w:p w14:paraId="3AFEBF6B" w14:textId="5F844A60" w:rsidR="009627AE" w:rsidRDefault="009627AE" w:rsidP="004D0B63">
      <w:pPr>
        <w:pStyle w:val="ListParagraph"/>
        <w:numPr>
          <w:ilvl w:val="0"/>
          <w:numId w:val="43"/>
        </w:numPr>
        <w:rPr>
          <w:lang w:eastAsia="en-AU"/>
        </w:rPr>
      </w:pPr>
      <w:r>
        <w:rPr>
          <w:lang w:eastAsia="en-AU"/>
        </w:rPr>
        <w:t>Option 2: Introduce arrangements to enable RLAN access to some or all of the upper 6 GHz band, via a variation to the Low Interference Potential Devices (LIPD) class licence. There would be no arran</w:t>
      </w:r>
      <w:r w:rsidR="00CD264E">
        <w:rPr>
          <w:lang w:eastAsia="en-AU"/>
        </w:rPr>
        <w:t>gements introduced for WA WBB.</w:t>
      </w:r>
    </w:p>
    <w:p w14:paraId="23C62DF7" w14:textId="1CC27AE8" w:rsidR="009627AE" w:rsidRDefault="009627AE" w:rsidP="004D0B63">
      <w:pPr>
        <w:pStyle w:val="ListParagraph"/>
        <w:numPr>
          <w:ilvl w:val="0"/>
          <w:numId w:val="43"/>
        </w:numPr>
        <w:rPr>
          <w:lang w:eastAsia="en-AU"/>
        </w:rPr>
      </w:pPr>
      <w:r>
        <w:rPr>
          <w:lang w:eastAsia="en-AU"/>
        </w:rPr>
        <w:t>Option 3: Introduce arrangements to enable WA WBB access to some or all of the upper 6 GHz band, under apparatus and/or spectrum licensing. There would be no arrangements introduced for RLANs.</w:t>
      </w:r>
    </w:p>
    <w:p w14:paraId="57C4400B" w14:textId="279AE70A" w:rsidR="009627AE" w:rsidRDefault="009627AE" w:rsidP="004D0B63">
      <w:pPr>
        <w:pStyle w:val="ListParagraph"/>
        <w:numPr>
          <w:ilvl w:val="0"/>
          <w:numId w:val="43"/>
        </w:numPr>
        <w:rPr>
          <w:lang w:eastAsia="en-AU"/>
        </w:rPr>
      </w:pPr>
      <w:r>
        <w:rPr>
          <w:lang w:eastAsia="en-AU"/>
        </w:rPr>
        <w:t>Option 4: Introduce arrangements to enable both RLAN and WA WBB access to different frequency segments within the upper 6 GHz band, using the respective authorisation arrangements in options</w:t>
      </w:r>
      <w:r w:rsidR="006231F4">
        <w:rPr>
          <w:lang w:eastAsia="en-AU"/>
        </w:rPr>
        <w:t> </w:t>
      </w:r>
      <w:r>
        <w:rPr>
          <w:lang w:eastAsia="en-AU"/>
        </w:rPr>
        <w:t>2 and 3.</w:t>
      </w:r>
    </w:p>
    <w:p w14:paraId="4D964B7A" w14:textId="1ED9CB87" w:rsidR="009627AE" w:rsidRPr="004D0B63" w:rsidRDefault="009627AE" w:rsidP="004D0B63">
      <w:pPr>
        <w:rPr>
          <w:lang w:eastAsia="en-AU"/>
        </w:rPr>
      </w:pPr>
      <w:r>
        <w:rPr>
          <w:lang w:eastAsia="en-AU"/>
        </w:rPr>
        <w:t>The preferred option was Option 4 as it represents the optimal use and greatest public net benefit that can be derived from the use of the upper 6 GHz band.</w:t>
      </w:r>
    </w:p>
    <w:p w14:paraId="213EF45B" w14:textId="5083785D" w:rsidR="00DE6598" w:rsidRDefault="00DE6598" w:rsidP="00DE6598">
      <w:pPr>
        <w:pStyle w:val="Heading2"/>
      </w:pPr>
      <w:bookmarkStart w:id="55" w:name="_Toc193445431"/>
      <w:bookmarkStart w:id="56" w:name="_Toc962375726"/>
      <w:r>
        <w:t>Australian Competition and Consumer Commission</w:t>
      </w:r>
      <w:bookmarkEnd w:id="47"/>
      <w:bookmarkEnd w:id="55"/>
      <w:bookmarkEnd w:id="56"/>
    </w:p>
    <w:p w14:paraId="738B5271" w14:textId="77777777" w:rsidR="00581DBE" w:rsidRPr="009A0C64" w:rsidRDefault="00581DBE" w:rsidP="009A0C64">
      <w:pPr>
        <w:pStyle w:val="Heading3"/>
        <w:rPr>
          <w:rFonts w:eastAsia="Times New Roman"/>
          <w:lang w:eastAsia="en-AU"/>
        </w:rPr>
      </w:pPr>
      <w:bookmarkStart w:id="57" w:name="_Toc193445432"/>
      <w:bookmarkStart w:id="58" w:name="_Toc1904799401"/>
      <w:r w:rsidRPr="15A450E2">
        <w:rPr>
          <w:rFonts w:eastAsia="Times New Roman"/>
          <w:lang w:eastAsia="en-AU"/>
        </w:rPr>
        <w:t>ACCC: safety risks posed by infant inclined products</w:t>
      </w:r>
      <w:bookmarkEnd w:id="57"/>
      <w:bookmarkEnd w:id="58"/>
    </w:p>
    <w:p w14:paraId="7FDC8AD9" w14:textId="4ED167B9" w:rsidR="00DE6598" w:rsidRPr="00581DBE" w:rsidRDefault="00DE6598" w:rsidP="73644DF4">
      <w:pPr>
        <w:rPr>
          <w:rFonts w:eastAsia="MS Mincho"/>
        </w:rPr>
      </w:pPr>
      <w:r w:rsidRPr="00B25486">
        <w:t xml:space="preserve">IA Status: </w:t>
      </w:r>
      <w:r w:rsidRPr="00581DBE">
        <w:rPr>
          <w:rFonts w:eastAsia="MS Mincho"/>
          <w:w w:val="105"/>
        </w:rPr>
        <w:t>Compliant</w:t>
      </w:r>
    </w:p>
    <w:p w14:paraId="4AC7A3E3" w14:textId="4D358A62" w:rsidR="00DE6598" w:rsidRPr="00581DBE" w:rsidRDefault="00DE6598" w:rsidP="3E89633C">
      <w:r w:rsidRPr="00581DBE">
        <w:t xml:space="preserve">Assessment Rating: </w:t>
      </w:r>
      <w:r w:rsidRPr="00581DBE">
        <w:rPr>
          <w:w w:val="105"/>
        </w:rPr>
        <w:t>Good Practice</w:t>
      </w:r>
    </w:p>
    <w:p w14:paraId="67E71B72" w14:textId="4DA197EB" w:rsidR="00DE6598" w:rsidRPr="001A7674" w:rsidRDefault="00DE6598" w:rsidP="0EE19523">
      <w:r w:rsidRPr="00581DBE">
        <w:t xml:space="preserve">PIR Required: </w:t>
      </w:r>
      <w:r w:rsidR="00581DBE" w:rsidRPr="00581DBE">
        <w:t>No</w:t>
      </w:r>
    </w:p>
    <w:p w14:paraId="48CB57BE" w14:textId="5E7B3CE6" w:rsidR="00581DBE" w:rsidRPr="00581DBE" w:rsidRDefault="00DE6598" w:rsidP="00581DBE">
      <w:pPr>
        <w:rPr>
          <w:rFonts w:eastAsia="MS Mincho"/>
          <w:spacing w:val="-3"/>
        </w:rPr>
      </w:pPr>
      <w:r w:rsidRPr="001A7674">
        <w:lastRenderedPageBreak/>
        <w:t xml:space="preserve">Regulatory Burden: </w:t>
      </w:r>
      <w:r w:rsidR="00581DBE" w:rsidRPr="00581DBE">
        <w:rPr>
          <w:rFonts w:eastAsia="MS Mincho"/>
          <w:spacing w:val="-3"/>
        </w:rPr>
        <w:t xml:space="preserve">The ACCC estimates the </w:t>
      </w:r>
      <w:r w:rsidR="00581DBE" w:rsidRPr="0C4B8A2C">
        <w:rPr>
          <w:rFonts w:eastAsia="MS Mincho"/>
          <w:i/>
          <w:iCs/>
          <w:spacing w:val="-3"/>
        </w:rPr>
        <w:t xml:space="preserve">Consumer Goods (Infant Products) Information Standard 2024 </w:t>
      </w:r>
      <w:r w:rsidR="00581DBE" w:rsidRPr="00581DBE">
        <w:rPr>
          <w:rFonts w:eastAsia="MS Mincho"/>
          <w:spacing w:val="-3"/>
        </w:rPr>
        <w:t xml:space="preserve">will result in an increase in average regulatory costs of between $0.63 and $1.35 </w:t>
      </w:r>
      <w:r w:rsidR="00581DBE">
        <w:rPr>
          <w:rFonts w:eastAsia="MS Mincho"/>
          <w:spacing w:val="-3"/>
        </w:rPr>
        <w:t>million over the next 10 years.</w:t>
      </w:r>
    </w:p>
    <w:p w14:paraId="2814D868" w14:textId="3BF1E0AD" w:rsidR="00DE6598" w:rsidRDefault="00581DBE" w:rsidP="00581DBE">
      <w:pPr>
        <w:rPr>
          <w:rFonts w:eastAsia="MS Mincho"/>
          <w:spacing w:val="-3"/>
        </w:rPr>
      </w:pPr>
      <w:r w:rsidRPr="00581DBE">
        <w:rPr>
          <w:rFonts w:eastAsia="MS Mincho"/>
          <w:spacing w:val="-3"/>
        </w:rPr>
        <w:t xml:space="preserve">The ACCC estimates the </w:t>
      </w:r>
      <w:r w:rsidRPr="0C4B8A2C">
        <w:rPr>
          <w:rFonts w:eastAsia="MS Mincho"/>
          <w:i/>
          <w:iCs/>
          <w:spacing w:val="-3"/>
        </w:rPr>
        <w:t>Consumer Goods (Infant Sleep Products) Safety Standard 2024</w:t>
      </w:r>
      <w:r w:rsidRPr="00581DBE">
        <w:rPr>
          <w:rFonts w:eastAsia="MS Mincho"/>
          <w:spacing w:val="-3"/>
        </w:rPr>
        <w:t xml:space="preserve"> will result in an increase in average regulatory costs of between $2.77 and $161.83 million per year for the first two years, and between $1.20 and $4.33 million from year three onwards.</w:t>
      </w:r>
    </w:p>
    <w:p w14:paraId="34D9D79E" w14:textId="77777777" w:rsidR="00581DBE" w:rsidRPr="00581DBE" w:rsidRDefault="00581DBE" w:rsidP="00317A04">
      <w:pPr>
        <w:rPr>
          <w:szCs w:val="22"/>
        </w:rPr>
      </w:pPr>
      <w:bookmarkStart w:id="59" w:name="_Toc155876561"/>
      <w:r w:rsidRPr="27EF9D9E">
        <w:rPr>
          <w:szCs w:val="22"/>
        </w:rPr>
        <w:t xml:space="preserve">Australia's product safety regime does not have a general safety provision that prohibits unsafe goods being supplied or any mandatory standards which specifically capture all Infant Sleep Products. There is currently no single Australian or international standard that can be adopted to address all risks identified for Infant Sleep Products. </w:t>
      </w:r>
    </w:p>
    <w:p w14:paraId="423DB0D5" w14:textId="77777777" w:rsidR="00581DBE" w:rsidRDefault="00581DBE" w:rsidP="00317A04">
      <w:pPr>
        <w:rPr>
          <w:szCs w:val="22"/>
        </w:rPr>
      </w:pPr>
      <w:r w:rsidRPr="27EF9D9E">
        <w:rPr>
          <w:szCs w:val="22"/>
        </w:rPr>
        <w:t xml:space="preserve">Fatalities associated with Infant Sleep Products and Inclined Sleep Products and Inclined Non-Sleep Products will continue to occur if no government action is taken. The ACCC considers the risk to infants posed by unsafe Infant Sleep Products is significant and likely to become more prominent in the future. </w:t>
      </w:r>
    </w:p>
    <w:p w14:paraId="65D1F142" w14:textId="35959A68" w:rsidR="00581DBE" w:rsidRPr="00581DBE" w:rsidRDefault="00581DBE" w:rsidP="00317A04">
      <w:pPr>
        <w:rPr>
          <w:szCs w:val="22"/>
        </w:rPr>
      </w:pPr>
      <w:r w:rsidRPr="27EF9D9E">
        <w:rPr>
          <w:szCs w:val="22"/>
        </w:rPr>
        <w:t xml:space="preserve">The proposal is to make a mandatory safety standard, mandatory information standard for Infant Sleep Products and Inclined Non-Sleep Products and revoke the household and folding cots mandatory standards, plus an education campaign. </w:t>
      </w:r>
    </w:p>
    <w:p w14:paraId="5BC27E3F" w14:textId="1943B8AC" w:rsidR="00790907" w:rsidRDefault="00581DBE" w:rsidP="330A5322">
      <w:pPr>
        <w:pStyle w:val="ListParagraph"/>
        <w:numPr>
          <w:ilvl w:val="0"/>
          <w:numId w:val="1"/>
        </w:numPr>
        <w:rPr>
          <w:szCs w:val="22"/>
        </w:rPr>
      </w:pPr>
      <w:r>
        <w:t>The ACCC considers this will best improve safety and address the risks associated with Infant Sleep Products and Inclined Non-Sleep Products.</w:t>
      </w:r>
    </w:p>
    <w:p w14:paraId="3AAE99BD" w14:textId="7F582E40" w:rsidR="008B2BB9" w:rsidRDefault="008B2BB9" w:rsidP="008B2BB9">
      <w:pPr>
        <w:pStyle w:val="Heading2"/>
      </w:pPr>
      <w:bookmarkStart w:id="60" w:name="_Toc193445434"/>
      <w:bookmarkStart w:id="61" w:name="_Toc1424957941"/>
      <w:bookmarkStart w:id="62" w:name="_Toc155876567"/>
      <w:bookmarkEnd w:id="48"/>
      <w:bookmarkEnd w:id="59"/>
      <w:r>
        <w:t>Civil Aviation Safety Authority</w:t>
      </w:r>
      <w:bookmarkEnd w:id="60"/>
      <w:bookmarkEnd w:id="61"/>
      <w:r>
        <w:t xml:space="preserve"> </w:t>
      </w:r>
    </w:p>
    <w:p w14:paraId="574CBF66" w14:textId="345B7FAB" w:rsidR="008B2BB9" w:rsidRDefault="008B2BB9" w:rsidP="008B2BB9">
      <w:pPr>
        <w:pStyle w:val="Heading3"/>
      </w:pPr>
      <w:bookmarkStart w:id="63" w:name="_Toc193445435"/>
      <w:bookmarkStart w:id="64" w:name="_Toc1492504399"/>
      <w:r>
        <w:t>Part 43 of the Civil Aviation Safety Regulations (CASR) Maintenance of aircraft in private and aerial work operations</w:t>
      </w:r>
      <w:bookmarkEnd w:id="63"/>
      <w:bookmarkEnd w:id="64"/>
    </w:p>
    <w:p w14:paraId="3657A0CB" w14:textId="77777777" w:rsidR="008B2BB9" w:rsidRPr="00D2267D" w:rsidRDefault="008B2BB9" w:rsidP="008B2BB9">
      <w:pPr>
        <w:rPr>
          <w:rFonts w:eastAsia="MS Mincho"/>
        </w:rPr>
      </w:pPr>
      <w:r w:rsidRPr="00B25486">
        <w:t xml:space="preserve">IA </w:t>
      </w:r>
      <w:r w:rsidRPr="00D2267D">
        <w:t xml:space="preserve">Status: </w:t>
      </w:r>
      <w:r w:rsidRPr="00D2267D">
        <w:rPr>
          <w:rFonts w:eastAsia="MS Mincho"/>
          <w:w w:val="105"/>
        </w:rPr>
        <w:t>Compliant</w:t>
      </w:r>
    </w:p>
    <w:p w14:paraId="5AC0656F" w14:textId="2963A2AA" w:rsidR="008B2BB9" w:rsidRPr="00D2267D" w:rsidRDefault="008B2BB9" w:rsidP="008B2BB9">
      <w:r w:rsidRPr="00D2267D">
        <w:t xml:space="preserve">Assessment Rating: </w:t>
      </w:r>
      <w:r w:rsidR="008C43E6">
        <w:t>Good Practice</w:t>
      </w:r>
    </w:p>
    <w:p w14:paraId="22003D6D" w14:textId="77777777" w:rsidR="008B2BB9" w:rsidRPr="001A7674" w:rsidRDefault="008B2BB9" w:rsidP="008B2BB9">
      <w:r w:rsidRPr="00D2267D">
        <w:t>PIR Required: No</w:t>
      </w:r>
    </w:p>
    <w:p w14:paraId="081D3C38" w14:textId="62DF933A" w:rsidR="008B2BB9" w:rsidRDefault="008B2BB9" w:rsidP="00772136">
      <w:r w:rsidRPr="001A7674">
        <w:t>Regulatory Burden</w:t>
      </w:r>
      <w:r>
        <w:t>:</w:t>
      </w:r>
      <w:r w:rsidR="008C43E6">
        <w:t xml:space="preserve"> </w:t>
      </w:r>
      <w:r w:rsidR="00833E8B" w:rsidRPr="00833E8B">
        <w:t xml:space="preserve">Civil Aviation Safety Authority </w:t>
      </w:r>
      <w:r w:rsidR="00833E8B">
        <w:t>(</w:t>
      </w:r>
      <w:r w:rsidR="008C43E6" w:rsidRPr="008C43E6">
        <w:t>CASA</w:t>
      </w:r>
      <w:r w:rsidR="00833E8B">
        <w:t>)</w:t>
      </w:r>
      <w:r w:rsidR="008C43E6" w:rsidRPr="008C43E6">
        <w:t xml:space="preserve"> estimates Option 2 would reduce the annual regulatory burden by $1.0 million, representing less than 1 per cent of the total annual general aviation maintenance cost of $147 million in the private and aerial work operations sector.</w:t>
      </w:r>
    </w:p>
    <w:p w14:paraId="2CC38F03" w14:textId="77777777" w:rsidR="008C43E6" w:rsidRPr="008C43E6" w:rsidRDefault="008C43E6" w:rsidP="008C43E6">
      <w:r w:rsidRPr="008C43E6">
        <w:t>Maintenance requirements for general aviation aircraft (private and aerial work operations) were first developed in 1947 and last reviewed over 30 years ago as part of the development of the </w:t>
      </w:r>
      <w:r w:rsidRPr="008C43E6">
        <w:rPr>
          <w:i/>
          <w:iCs/>
        </w:rPr>
        <w:t>Civil Aviation Safety Regulations 1988 </w:t>
      </w:r>
      <w:r w:rsidRPr="008C43E6">
        <w:t>(CASR 1988)</w:t>
      </w:r>
      <w:r w:rsidRPr="008C43E6">
        <w:rPr>
          <w:i/>
          <w:iCs/>
        </w:rPr>
        <w:t>.</w:t>
      </w:r>
    </w:p>
    <w:p w14:paraId="65524446" w14:textId="2E4DB16C" w:rsidR="008C43E6" w:rsidRPr="008C43E6" w:rsidRDefault="008C43E6" w:rsidP="008C43E6">
      <w:r>
        <w:t xml:space="preserve">CASA has recently reviewed the maintenance requirements applying to aircraft operating in the general aviation sector to ensure an appropriate and efficient regulatory environment that facilitates the lowest possible maintenance costs of aircraft while preserving appropriate levels of safety. The review was undertaken against the background of significant industry feedback that the existing regulatory requirements </w:t>
      </w:r>
      <w:r>
        <w:lastRenderedPageBreak/>
        <w:t>apply an unnecessary burden given the safety risks involved in private and aerial work operations and many argued for Australia to adopt the US Federal Aviation Administration (US FAA) maintenance requirements.</w:t>
      </w:r>
    </w:p>
    <w:p w14:paraId="71217266" w14:textId="77777777" w:rsidR="008C43E6" w:rsidRPr="008C43E6" w:rsidRDefault="008C43E6" w:rsidP="008C43E6">
      <w:r w:rsidRPr="008C43E6">
        <w:t>Analysis of the accident data by CASA indicates that the primary causes of incidents and accidents for general aviation aircraft in Australia are related to aircraft operation, not maintenance or technical issues. Feedback from CASA audits of maintenance organisations and audits of aircraft maintenance also supported the view that there are no significant problems with the quality of maintenance carried out on general aviation aircraft. There are no widespread adverse safety findings, or major regulatory/safety breaches. </w:t>
      </w:r>
    </w:p>
    <w:p w14:paraId="2B2E9703" w14:textId="77777777" w:rsidR="008C43E6" w:rsidRPr="008C43E6" w:rsidRDefault="008C43E6" w:rsidP="008C43E6">
      <w:r w:rsidRPr="008C43E6">
        <w:t>The Impact Analysis (IA) therefore considers two options.</w:t>
      </w:r>
    </w:p>
    <w:p w14:paraId="35640D8E" w14:textId="4E526F0D" w:rsidR="008C43E6" w:rsidRPr="008C43E6" w:rsidRDefault="008C43E6" w:rsidP="008C43E6">
      <w:pPr>
        <w:numPr>
          <w:ilvl w:val="0"/>
          <w:numId w:val="50"/>
        </w:numPr>
      </w:pPr>
      <w:r>
        <w:t>Option 1: Status quo (no regulatory change)</w:t>
      </w:r>
    </w:p>
    <w:p w14:paraId="5A68D4A7" w14:textId="4B7B27F4" w:rsidR="008C43E6" w:rsidRPr="008C43E6" w:rsidRDefault="008C43E6" w:rsidP="008C43E6">
      <w:pPr>
        <w:numPr>
          <w:ilvl w:val="0"/>
          <w:numId w:val="50"/>
        </w:numPr>
      </w:pPr>
      <w:r>
        <w:t>Option 2: Implementing a new CASR Part 43 based on the US FAA maintenance regulations (with some minor amendments) and selected other changes to reduce regulatory burden</w:t>
      </w:r>
    </w:p>
    <w:p w14:paraId="6D3FEB18" w14:textId="76AB0901" w:rsidR="008C43E6" w:rsidRDefault="008C43E6" w:rsidP="00772136">
      <w:r>
        <w:t>The IA considers that Option 2 would meet the regulatory objectiv</w:t>
      </w:r>
      <w:r w:rsidR="50803A29">
        <w:t>e</w:t>
      </w:r>
      <w:r>
        <w:t>s in that the safety record of general aviation in the US over a number of years is comparable, or slightly better, than the Australian safety record and the option would reduce certain administrative requirements for industry.  </w:t>
      </w:r>
    </w:p>
    <w:p w14:paraId="5EC9AED9" w14:textId="6338913E" w:rsidR="00DE6598" w:rsidRDefault="00DE6598" w:rsidP="00DE6598">
      <w:pPr>
        <w:pStyle w:val="Heading2"/>
      </w:pPr>
      <w:bookmarkStart w:id="65" w:name="_Toc193445436"/>
      <w:bookmarkStart w:id="66" w:name="_Toc575150445"/>
      <w:r>
        <w:t>Department of Climate Change, Energy, the Environment and Water</w:t>
      </w:r>
      <w:bookmarkEnd w:id="62"/>
      <w:bookmarkEnd w:id="65"/>
      <w:bookmarkEnd w:id="66"/>
    </w:p>
    <w:p w14:paraId="50BC5AB3" w14:textId="32D235D5" w:rsidR="00581DBE" w:rsidRDefault="00581DBE" w:rsidP="00581DBE">
      <w:pPr>
        <w:pStyle w:val="Heading3"/>
      </w:pPr>
      <w:bookmarkStart w:id="67" w:name="_Toc193445437"/>
      <w:bookmarkStart w:id="68" w:name="_Toc1669871312"/>
      <w:r>
        <w:t>Implementing a Guarantee of Origin Scheme</w:t>
      </w:r>
      <w:bookmarkEnd w:id="67"/>
      <w:bookmarkEnd w:id="68"/>
    </w:p>
    <w:p w14:paraId="414CA067" w14:textId="77777777" w:rsidR="00581DBE" w:rsidRPr="00D2267D" w:rsidRDefault="00581DBE" w:rsidP="00581DBE">
      <w:pPr>
        <w:rPr>
          <w:rFonts w:eastAsia="MS Mincho"/>
        </w:rPr>
      </w:pPr>
      <w:r w:rsidRPr="00B25486">
        <w:t xml:space="preserve">IA </w:t>
      </w:r>
      <w:r w:rsidRPr="00D2267D">
        <w:t xml:space="preserve">Status: </w:t>
      </w:r>
      <w:r w:rsidRPr="00D2267D">
        <w:rPr>
          <w:rFonts w:eastAsia="MS Mincho"/>
          <w:w w:val="105"/>
        </w:rPr>
        <w:t>Compliant</w:t>
      </w:r>
    </w:p>
    <w:p w14:paraId="33B27266" w14:textId="44B12686" w:rsidR="00581DBE" w:rsidRPr="00D2267D" w:rsidRDefault="00581DBE" w:rsidP="00581DBE">
      <w:r w:rsidRPr="00D2267D">
        <w:t xml:space="preserve">Assessment Rating: </w:t>
      </w:r>
      <w:r w:rsidR="00845013">
        <w:t>Adequate</w:t>
      </w:r>
    </w:p>
    <w:p w14:paraId="5FDB8ADE" w14:textId="77777777" w:rsidR="00581DBE" w:rsidRPr="001A7674" w:rsidRDefault="00581DBE" w:rsidP="00581DBE">
      <w:r w:rsidRPr="00D2267D">
        <w:t>PIR Required: No</w:t>
      </w:r>
    </w:p>
    <w:p w14:paraId="046B625C" w14:textId="2B4953CB" w:rsidR="00581DBE" w:rsidRDefault="00581DBE" w:rsidP="00581DBE">
      <w:pPr>
        <w:rPr>
          <w:rFonts w:eastAsia="MS Mincho"/>
          <w:spacing w:val="-3"/>
        </w:rPr>
      </w:pPr>
      <w:r w:rsidRPr="001A7674">
        <w:t xml:space="preserve">Regulatory Burden: </w:t>
      </w:r>
      <w:r w:rsidR="004B18E1" w:rsidRPr="0C4B8A2C">
        <w:rPr>
          <w:rFonts w:eastAsia="MS Mincho"/>
        </w:rPr>
        <w:t xml:space="preserve">The Department of Climate Change, Energy, the Environment and Water estimates the Guarantee of Origin (GO) scheme option would increase annual regulatory costs by approximately </w:t>
      </w:r>
      <w:r w:rsidR="005C39AA">
        <w:rPr>
          <w:rFonts w:eastAsia="MS Mincho"/>
        </w:rPr>
        <w:br/>
      </w:r>
      <w:r w:rsidR="004B18E1" w:rsidRPr="0C4B8A2C">
        <w:rPr>
          <w:rFonts w:eastAsia="MS Mincho"/>
        </w:rPr>
        <w:t>$20.2 million, on average over 10 years. This represents</w:t>
      </w:r>
      <w:r w:rsidR="004B18E1" w:rsidRPr="004B18E1">
        <w:rPr>
          <w:rFonts w:eastAsia="MS Mincho"/>
          <w:spacing w:val="-3"/>
        </w:rPr>
        <w:t xml:space="preserve"> an average annual cost of $16.9 million to the renewable electricity sector (including participants transitioning from the Renewable Energy Target Scheme </w:t>
      </w:r>
      <w:r w:rsidR="004B18E1">
        <w:rPr>
          <w:rFonts w:eastAsia="MS Mincho"/>
          <w:spacing w:val="-3"/>
        </w:rPr>
        <w:t>from 2030) and $3.3 </w:t>
      </w:r>
      <w:r w:rsidR="004B18E1" w:rsidRPr="004B18E1">
        <w:rPr>
          <w:rFonts w:eastAsia="MS Mincho"/>
          <w:spacing w:val="-3"/>
        </w:rPr>
        <w:t>million to the hydrogen and other sectors.</w:t>
      </w:r>
    </w:p>
    <w:p w14:paraId="7FD15FB5" w14:textId="45A1E093" w:rsidR="00845013" w:rsidRDefault="00845013" w:rsidP="00845013">
      <w:r>
        <w:t>Within Australia there is a lack of transparent, consistent, and trusted, consistent, information on low-emission and clean Australian-made products, and no enduring mechanism to provide certification on renewable electricity.</w:t>
      </w:r>
    </w:p>
    <w:p w14:paraId="3E5831FE" w14:textId="7A6A8B07" w:rsidR="00845013" w:rsidRDefault="00845013" w:rsidP="00845013">
      <w:r>
        <w:t xml:space="preserve">The deficiency of product information restricts the capacity for consumers to ascertain the difference between carbon-intensive and low-emission goods that are physically identical. Without this information, buyers and sellers of these kind of products are unable to efficiently transact and co-ordinate their activities, inhibiting the development of markets for low-emission goods. Consumers may not be willing to pay a premium for a good described as ‘low emission’, ‘green’, or ‘renewable’ without robust evidence that the low emissions attributes of the product are correct. Additionally, the absence of product information could limit </w:t>
      </w:r>
      <w:r>
        <w:lastRenderedPageBreak/>
        <w:t xml:space="preserve">the ability of government incentive programs to discriminate and target support towards low emissions or renewable products. </w:t>
      </w:r>
    </w:p>
    <w:p w14:paraId="4567F1D6" w14:textId="61C943CE" w:rsidR="00581DBE" w:rsidRDefault="00845013" w:rsidP="00845013">
      <w:r>
        <w:t>Renewable electricity certification exists in Australia under the Renewable Energy Target (RET) scheme. However, the RET scheme, including the ability to certify renewable electricity, is legislated to end in 2030 and only applies to a subset of total renewable electricity generation in Australia.</w:t>
      </w:r>
    </w:p>
    <w:p w14:paraId="45EE1B9F" w14:textId="7768CAB5" w:rsidR="00845013" w:rsidRDefault="00FD68F0" w:rsidP="00845013">
      <w:r>
        <w:t>The IA</w:t>
      </w:r>
      <w:r w:rsidR="00845013">
        <w:t xml:space="preserve"> considers three policy options:</w:t>
      </w:r>
    </w:p>
    <w:p w14:paraId="5AA66EAA" w14:textId="765AED55" w:rsidR="00845013" w:rsidRDefault="00845013" w:rsidP="00845013">
      <w:pPr>
        <w:pStyle w:val="ListParagraph"/>
        <w:numPr>
          <w:ilvl w:val="0"/>
          <w:numId w:val="27"/>
        </w:numPr>
      </w:pPr>
      <w:r>
        <w:t xml:space="preserve">Option 1: Status-quo (non-regulatory) – Australian industry would develop emissions accounting and certification frameworks as required without Australian Government involvement </w:t>
      </w:r>
    </w:p>
    <w:p w14:paraId="3DF049AC" w14:textId="223190CC" w:rsidR="00845013" w:rsidRDefault="00845013" w:rsidP="00845013">
      <w:pPr>
        <w:pStyle w:val="ListParagraph"/>
        <w:numPr>
          <w:ilvl w:val="0"/>
          <w:numId w:val="27"/>
        </w:numPr>
      </w:pPr>
      <w:r>
        <w:t>Option 2: Publish framework with no government administration (quasi-regulatory) – The Australian Government would develop an emissions accounting framework for hydrogen that industry could voluntarily choose to adopt and apply to their certification schemes for clean products for both domestic and export. This option would not apply to renewable electricity</w:t>
      </w:r>
    </w:p>
    <w:p w14:paraId="46472420" w14:textId="1BE28E4A" w:rsidR="00845013" w:rsidRDefault="00845013" w:rsidP="00845013">
      <w:pPr>
        <w:pStyle w:val="ListParagraph"/>
        <w:numPr>
          <w:ilvl w:val="0"/>
          <w:numId w:val="27"/>
        </w:numPr>
      </w:pPr>
      <w:r>
        <w:t>Option 3: Australian Government administered Guarantee of Origin Scheme (regulatory) – The Australian Government would implement and administer a voluntary scheme, the Guarantee of Origin or ‘GO’ scheme, to measure, track and verify emissions information related to products, and provide an enduring certification mechanism for renewable electricity.</w:t>
      </w:r>
    </w:p>
    <w:p w14:paraId="013B319F" w14:textId="325E1543" w:rsidR="00845013" w:rsidRDefault="00845013" w:rsidP="00845013">
      <w:r>
        <w:t>The preferred policy option is Option 3, the Guarantee of Origin (GO) scheme, as this option would provide the necessary investment certainty, achieve greater integrity and unlock greater economic opportunities over the medium-to-long term.</w:t>
      </w:r>
    </w:p>
    <w:p w14:paraId="5E62816E" w14:textId="67897519" w:rsidR="00F32FDD" w:rsidRDefault="00F32FDD" w:rsidP="004D0B63">
      <w:pPr>
        <w:pStyle w:val="Heading2"/>
      </w:pPr>
      <w:bookmarkStart w:id="69" w:name="_Toc193445438"/>
      <w:bookmarkStart w:id="70" w:name="_Toc298252118"/>
      <w:r>
        <w:t>Department of Employment and Workplace Relations</w:t>
      </w:r>
      <w:bookmarkEnd w:id="69"/>
      <w:bookmarkEnd w:id="70"/>
    </w:p>
    <w:p w14:paraId="59B5B73C" w14:textId="77777777" w:rsidR="00F32FDD" w:rsidRPr="004D0B63" w:rsidRDefault="00F32FDD" w:rsidP="1A053974">
      <w:pPr>
        <w:pStyle w:val="Heading3"/>
        <w:rPr>
          <w:rStyle w:val="field"/>
        </w:rPr>
      </w:pPr>
      <w:bookmarkStart w:id="71" w:name="_Toc193445439"/>
      <w:bookmarkStart w:id="72" w:name="_Toc750080834"/>
      <w:r w:rsidRPr="15A450E2">
        <w:rPr>
          <w:rStyle w:val="field"/>
        </w:rPr>
        <w:t>Import Ban On Engineered Stone</w:t>
      </w:r>
      <w:bookmarkEnd w:id="71"/>
      <w:bookmarkEnd w:id="72"/>
    </w:p>
    <w:p w14:paraId="73F89206" w14:textId="77777777" w:rsidR="00F32FDD" w:rsidRPr="00D2267D" w:rsidRDefault="00F32FDD" w:rsidP="00F32FDD">
      <w:pPr>
        <w:rPr>
          <w:rFonts w:eastAsia="MS Mincho"/>
        </w:rPr>
      </w:pPr>
      <w:r w:rsidRPr="00B25486">
        <w:t xml:space="preserve">IA </w:t>
      </w:r>
      <w:r w:rsidRPr="00D2267D">
        <w:t xml:space="preserve">Status: </w:t>
      </w:r>
      <w:r w:rsidRPr="00D2267D">
        <w:rPr>
          <w:rFonts w:eastAsia="MS Mincho"/>
          <w:w w:val="105"/>
        </w:rPr>
        <w:t>Compliant</w:t>
      </w:r>
    </w:p>
    <w:p w14:paraId="2206F794" w14:textId="77777777" w:rsidR="00F32FDD" w:rsidRPr="00D2267D" w:rsidRDefault="00F32FDD" w:rsidP="00F32FDD">
      <w:r w:rsidRPr="00D2267D">
        <w:t xml:space="preserve">Assessment Rating: </w:t>
      </w:r>
      <w:r>
        <w:t>N/A (Impact Analysis Equivalent)</w:t>
      </w:r>
    </w:p>
    <w:p w14:paraId="0054A4F0" w14:textId="77777777" w:rsidR="00F32FDD" w:rsidRPr="001A7674" w:rsidRDefault="00F32FDD" w:rsidP="00F32FDD">
      <w:r w:rsidRPr="00D2267D">
        <w:t>PIR Required: No</w:t>
      </w:r>
    </w:p>
    <w:p w14:paraId="1F5E3A84" w14:textId="72075721" w:rsidR="00F32FDD" w:rsidRDefault="00F32FDD" w:rsidP="00F32FDD">
      <w:r w:rsidRPr="001A7674">
        <w:t>Regulatory Burden:</w:t>
      </w:r>
      <w:r>
        <w:t xml:space="preserve"> </w:t>
      </w:r>
      <w:r w:rsidRPr="00F32FDD">
        <w:t>The Department of Employment and Workplace Relations estimates implementing this proposal to ban the import of engineered stone will result in an increase in regulatory costs of $14.3 million per year, averaged over ten years.</w:t>
      </w:r>
    </w:p>
    <w:p w14:paraId="0085FB18" w14:textId="2D8F059A" w:rsidR="00F32FDD" w:rsidRDefault="00F32FDD" w:rsidP="00F32FDD">
      <w:r>
        <w:t>There has been a dramatic increase in cases of silicosis and silica-related disease in Australia in recent years, particularly in workers exposed to silica dust emissions produced during the processing of engineered stone, which is predominantly sourced from overseas. Engineered stone workers are over-represented amongst people diagnosed with silicosis.</w:t>
      </w:r>
    </w:p>
    <w:p w14:paraId="5D72106A" w14:textId="087B93A6" w:rsidR="00F32FDD" w:rsidRDefault="00F32FDD" w:rsidP="00F32FDD">
      <w:r>
        <w:t xml:space="preserve">This </w:t>
      </w:r>
      <w:r w:rsidR="006F4BE6">
        <w:t>IAE</w:t>
      </w:r>
      <w:r>
        <w:t xml:space="preserve"> considers enforcement and deterrence measures at the Australian border to complement previous efforts of state and territory work health and safety regulators to introduce model work health and safety </w:t>
      </w:r>
      <w:r>
        <w:lastRenderedPageBreak/>
        <w:t xml:space="preserve">laws to prohibit the use of engineered stone. These model work health and safety laws have been supported by previous Decision Regulatory Impact Statements </w:t>
      </w:r>
      <w:r w:rsidR="00E46749">
        <w:t>(D</w:t>
      </w:r>
      <w:r>
        <w:t>RISs) prepared by Safe Work Australia:</w:t>
      </w:r>
    </w:p>
    <w:p w14:paraId="7BEC903D" w14:textId="77777777" w:rsidR="00F32FDD" w:rsidRDefault="00F32FDD" w:rsidP="004D0B63">
      <w:pPr>
        <w:pStyle w:val="ListParagraph"/>
        <w:numPr>
          <w:ilvl w:val="0"/>
          <w:numId w:val="35"/>
        </w:numPr>
      </w:pPr>
      <w:r>
        <w:t xml:space="preserve">Managing the risks of respirable crystalline silica at work; and </w:t>
      </w:r>
    </w:p>
    <w:p w14:paraId="1EA6761D" w14:textId="1A16C7F8" w:rsidR="00F32FDD" w:rsidRDefault="00F32FDD" w:rsidP="004D0B63">
      <w:pPr>
        <w:pStyle w:val="ListParagraph"/>
        <w:numPr>
          <w:ilvl w:val="0"/>
          <w:numId w:val="35"/>
        </w:numPr>
      </w:pPr>
      <w:r>
        <w:t>Prohibition on the use of engineered stone.</w:t>
      </w:r>
    </w:p>
    <w:p w14:paraId="2A9FF5DB" w14:textId="2AA33E71" w:rsidR="00076E69" w:rsidRDefault="00076E69" w:rsidP="004D0B63">
      <w:pPr>
        <w:pStyle w:val="Heading2"/>
      </w:pPr>
      <w:bookmarkStart w:id="73" w:name="_Toc193445440"/>
      <w:bookmarkStart w:id="74" w:name="_Toc2062349218"/>
      <w:r>
        <w:t>Department of Finance</w:t>
      </w:r>
      <w:bookmarkEnd w:id="73"/>
      <w:bookmarkEnd w:id="74"/>
    </w:p>
    <w:p w14:paraId="539F34F7" w14:textId="55459673" w:rsidR="00076E69" w:rsidRDefault="00076E69" w:rsidP="004D0B63">
      <w:pPr>
        <w:pStyle w:val="Heading3"/>
      </w:pPr>
      <w:bookmarkStart w:id="75" w:name="_Toc193445441"/>
      <w:bookmarkStart w:id="76" w:name="_Toc2073927777"/>
      <w:r>
        <w:t>Electoral Expenditure and Gift Cap Reforms</w:t>
      </w:r>
      <w:bookmarkEnd w:id="75"/>
      <w:bookmarkEnd w:id="76"/>
    </w:p>
    <w:p w14:paraId="1326D62F" w14:textId="77777777" w:rsidR="00076E69" w:rsidRPr="00D2267D" w:rsidRDefault="00076E69" w:rsidP="00076E69">
      <w:pPr>
        <w:rPr>
          <w:rFonts w:eastAsia="MS Mincho"/>
        </w:rPr>
      </w:pPr>
      <w:r w:rsidRPr="00B25486">
        <w:t xml:space="preserve">IA </w:t>
      </w:r>
      <w:r w:rsidRPr="00D2267D">
        <w:t xml:space="preserve">Status: </w:t>
      </w:r>
      <w:r w:rsidRPr="00D2267D">
        <w:rPr>
          <w:rFonts w:eastAsia="MS Mincho"/>
          <w:w w:val="105"/>
        </w:rPr>
        <w:t>Compliant</w:t>
      </w:r>
    </w:p>
    <w:p w14:paraId="53F38757" w14:textId="20C35F03" w:rsidR="00076E69" w:rsidRPr="00D2267D" w:rsidRDefault="00076E69" w:rsidP="00076E69">
      <w:r w:rsidRPr="00D2267D">
        <w:t xml:space="preserve">Assessment Rating: </w:t>
      </w:r>
      <w:r>
        <w:t>N/A (Impact Analysis Equivalent)</w:t>
      </w:r>
    </w:p>
    <w:p w14:paraId="409BEC46" w14:textId="77777777" w:rsidR="00076E69" w:rsidRPr="001A7674" w:rsidRDefault="00076E69" w:rsidP="00076E69">
      <w:r w:rsidRPr="00D2267D">
        <w:t>PIR Required: No</w:t>
      </w:r>
    </w:p>
    <w:p w14:paraId="69A9AE4A" w14:textId="375458A1" w:rsidR="00076E69" w:rsidRDefault="00076E69" w:rsidP="00076E69">
      <w:r w:rsidRPr="001A7674">
        <w:t>Regulatory Burden:</w:t>
      </w:r>
      <w:r>
        <w:t xml:space="preserve"> </w:t>
      </w:r>
      <w:r w:rsidRPr="00076E69">
        <w:t>The Department of Finance expects the additional regulatory burden to business, community organisations or individuals in relation to electoral expenditure and gift cap reforms will not be material relative to current regulatory costs.</w:t>
      </w:r>
    </w:p>
    <w:p w14:paraId="230A790E" w14:textId="6AEADC3F" w:rsidR="00076E69" w:rsidRDefault="00076E69" w:rsidP="00076E69">
      <w:r>
        <w:t>In August 2022 the Joint Standing Committee on Electoral Matters (JSCEM) was asked to inquire into and report on all aspects of the 2022 federal election and related matters, including consideration of reforms to political donations laws, the applicability of ‘real time’ disclosure, reduction of the disclosure threshold, reforms to funding of elections, electoral expenditure caps and public funding of parties and can</w:t>
      </w:r>
      <w:r w:rsidR="00CD264E">
        <w:t>didates.</w:t>
      </w:r>
    </w:p>
    <w:p w14:paraId="279AA003" w14:textId="5D980118" w:rsidR="00076E69" w:rsidRDefault="00076E69" w:rsidP="00076E69">
      <w:r>
        <w:t>The JSCEM Final Report identified a need for reforms to the Commonwealth system of political donations and electoral expenditure, noting “Australia’s electoral system is strong, however there are areas which are clearly in need of strengthening to improve transparency and integrity, reduce the potentially corrosive influence of big money and level the playing field, while allowing for continued participation in our elections from members of the public, political parties, civil society and business.”</w:t>
      </w:r>
    </w:p>
    <w:p w14:paraId="2EB1CA0A" w14:textId="03DB2CB4" w:rsidR="00076E69" w:rsidRDefault="00076E69" w:rsidP="00076E69">
      <w:r>
        <w:t xml:space="preserve">Electoral reform was both an election commitment as well as a commitment made as part of the Australian Government’s </w:t>
      </w:r>
      <w:r w:rsidRPr="004D0B63">
        <w:rPr>
          <w:i/>
        </w:rPr>
        <w:t>Third Open Government Partnership National Action Plan 2024-25</w:t>
      </w:r>
      <w:r>
        <w:t>.</w:t>
      </w:r>
    </w:p>
    <w:p w14:paraId="2DB01765" w14:textId="626D6420" w:rsidR="00076E69" w:rsidRDefault="00076E69" w:rsidP="00076E69">
      <w:r>
        <w:t>The JSCEM in its Interim and Final Reports recommended reforms to improve transparency and accountability acros</w:t>
      </w:r>
      <w:r w:rsidR="00CD264E">
        <w:t>s Australia’s electoral system.</w:t>
      </w:r>
    </w:p>
    <w:p w14:paraId="39D8F9D2" w14:textId="577E50A3" w:rsidR="00076E69" w:rsidRPr="00076E69" w:rsidRDefault="00076E69" w:rsidP="00076E69">
      <w:r>
        <w:t>The Electoral Legislation Amendment (Electoral Reform) Bill 2024 proposes to implement gift caps, expedited disclosure of gifts, and a reduction in the disclosure threshold to $1,000 (indexed). The Bill also proposes amendments to introduce electoral expenditure caps, increase public funding of parties and candidates, as well as streamline and modernise administrative processes to support the Australian Electoral Commission’s delivery of electoral events.</w:t>
      </w:r>
    </w:p>
    <w:p w14:paraId="770222CC" w14:textId="00DC9DD7" w:rsidR="00F32FDD" w:rsidRDefault="00F32FDD" w:rsidP="004D0B63">
      <w:pPr>
        <w:pStyle w:val="Heading2"/>
      </w:pPr>
      <w:bookmarkStart w:id="77" w:name="_Toc193445442"/>
      <w:bookmarkStart w:id="78" w:name="_Toc2077424556"/>
      <w:r>
        <w:lastRenderedPageBreak/>
        <w:t>Department of Foreign Affairs and Trade</w:t>
      </w:r>
      <w:bookmarkEnd w:id="77"/>
      <w:bookmarkEnd w:id="78"/>
    </w:p>
    <w:p w14:paraId="2C09610A" w14:textId="2F74D26F" w:rsidR="00F32FDD" w:rsidRDefault="00F32FDD" w:rsidP="004D0B63">
      <w:pPr>
        <w:pStyle w:val="Heading3"/>
      </w:pPr>
      <w:bookmarkStart w:id="79" w:name="_Toc193445443"/>
      <w:bookmarkStart w:id="80" w:name="_Toc745863088"/>
      <w:r>
        <w:t>Australia - United Arab Emirates Comprehensive Economic Partnership Agreement (UAE CEPA)</w:t>
      </w:r>
      <w:bookmarkEnd w:id="79"/>
      <w:bookmarkEnd w:id="80"/>
    </w:p>
    <w:p w14:paraId="5F1C9A6B" w14:textId="77777777" w:rsidR="00F32FDD" w:rsidRPr="00D2267D" w:rsidRDefault="00F32FDD" w:rsidP="00F32FDD">
      <w:pPr>
        <w:rPr>
          <w:rFonts w:eastAsia="MS Mincho"/>
        </w:rPr>
      </w:pPr>
      <w:r w:rsidRPr="00B25486">
        <w:t xml:space="preserve">IA </w:t>
      </w:r>
      <w:r w:rsidRPr="00D2267D">
        <w:t xml:space="preserve">Status: </w:t>
      </w:r>
      <w:r w:rsidRPr="00D2267D">
        <w:rPr>
          <w:rFonts w:eastAsia="MS Mincho"/>
          <w:w w:val="105"/>
        </w:rPr>
        <w:t>Compliant</w:t>
      </w:r>
    </w:p>
    <w:p w14:paraId="675CF5D4" w14:textId="07BCB629" w:rsidR="00F32FDD" w:rsidRPr="00D2267D" w:rsidRDefault="00F32FDD" w:rsidP="00F32FDD">
      <w:r w:rsidRPr="00D2267D">
        <w:t xml:space="preserve">Assessment Rating: </w:t>
      </w:r>
      <w:r>
        <w:t>Adequate</w:t>
      </w:r>
    </w:p>
    <w:p w14:paraId="744FA2A0" w14:textId="77777777" w:rsidR="00F32FDD" w:rsidRPr="001A7674" w:rsidRDefault="00F32FDD" w:rsidP="00F32FDD">
      <w:r w:rsidRPr="00D2267D">
        <w:t>PIR Required: No</w:t>
      </w:r>
    </w:p>
    <w:p w14:paraId="2FB9C245" w14:textId="55D45FDE" w:rsidR="00F32FDD" w:rsidRDefault="00F32FDD" w:rsidP="00F32FDD">
      <w:r w:rsidRPr="001A7674">
        <w:t>Regulatory Burden:</w:t>
      </w:r>
      <w:r>
        <w:t xml:space="preserve"> </w:t>
      </w:r>
      <w:r w:rsidRPr="00F32FDD">
        <w:t>The Department of Foreign Affairs and Trade estimates that the CEPA will not impose any regulatory burden on Australian businesses, communities or individuals.</w:t>
      </w:r>
    </w:p>
    <w:p w14:paraId="1BC97698" w14:textId="2D5BC0AF" w:rsidR="00F32FDD" w:rsidRDefault="00F32FDD" w:rsidP="00F32FDD">
      <w:r>
        <w:t xml:space="preserve">Australia needs to strengthen and diversify its exports to support its prosperity and build national economic resilience. Australia also needs to attract investment in order to address key national priorities, such </w:t>
      </w:r>
      <w:r w:rsidR="00CD264E">
        <w:t>as the clean energy transition.</w:t>
      </w:r>
    </w:p>
    <w:p w14:paraId="53EB0565" w14:textId="54E7DFA0" w:rsidR="00F32FDD" w:rsidRDefault="00CD264E" w:rsidP="00F32FDD">
      <w:r>
        <w:t>Australia and the UAE</w:t>
      </w:r>
      <w:r w:rsidR="00F32FDD">
        <w:t xml:space="preserve"> currently have a positive economic relationship. However, our competitiveness and attractiveness as a trade and investment partner will not reach its full potential, and may even erode, partic</w:t>
      </w:r>
      <w:r>
        <w:t>ularly as the UAE implements free trade agreement</w:t>
      </w:r>
      <w:r w:rsidR="00F32FDD">
        <w:t>s</w:t>
      </w:r>
      <w:r>
        <w:t xml:space="preserve"> (FTAs)</w:t>
      </w:r>
      <w:r w:rsidR="00F32FDD">
        <w:t xml:space="preserve"> with other countries. If other countries negotiate preferential trade agreements with the UAE, particularly those countries who provide similar goods and services to Australia, it is likely that the UAE will buy the goods and services from those countries with lower tariff rates and fewer barriers.</w:t>
      </w:r>
    </w:p>
    <w:p w14:paraId="32618B6F" w14:textId="5688BCFC" w:rsidR="00F32FDD" w:rsidRDefault="00F32FDD" w:rsidP="00F32FDD">
      <w:r>
        <w:t xml:space="preserve">The </w:t>
      </w:r>
      <w:r w:rsidR="006F4BE6">
        <w:t>IA</w:t>
      </w:r>
      <w:r>
        <w:t xml:space="preserve"> considers the following two options:</w:t>
      </w:r>
    </w:p>
    <w:p w14:paraId="3299C593" w14:textId="67A4FBAD" w:rsidR="00076E69" w:rsidRDefault="00F32FDD" w:rsidP="004D0B63">
      <w:pPr>
        <w:pStyle w:val="ListParagraph"/>
        <w:numPr>
          <w:ilvl w:val="0"/>
          <w:numId w:val="36"/>
        </w:numPr>
      </w:pPr>
      <w:r>
        <w:t>Option 1: Do n</w:t>
      </w:r>
      <w:r w:rsidR="00076E69">
        <w:t>ot sign the CEPA (status quo)</w:t>
      </w:r>
      <w:r w:rsidR="0008739B">
        <w:t>:</w:t>
      </w:r>
    </w:p>
    <w:p w14:paraId="494B2F23" w14:textId="4FD86250" w:rsidR="00F32FDD" w:rsidRDefault="00F32FDD" w:rsidP="004D0B63">
      <w:pPr>
        <w:pStyle w:val="ListParagraph"/>
        <w:numPr>
          <w:ilvl w:val="1"/>
          <w:numId w:val="36"/>
        </w:numPr>
      </w:pPr>
      <w:r>
        <w:t>This option would involve continuing the status quo and relying on any further trade liberalisation with the UAE to proceed under the auspices of the World Trade Organisation rules, which is slower and not guaranteed of progress. This option would also mean relying on a unilateral decision by the UAE to reform domestic regulatory settings appl</w:t>
      </w:r>
      <w:r w:rsidR="00CD264E">
        <w:t>icable to all trading partners.</w:t>
      </w:r>
    </w:p>
    <w:p w14:paraId="7256C2EB" w14:textId="267009FF" w:rsidR="00076E69" w:rsidRDefault="00F32FDD" w:rsidP="004D0B63">
      <w:pPr>
        <w:pStyle w:val="ListParagraph"/>
        <w:numPr>
          <w:ilvl w:val="0"/>
          <w:numId w:val="36"/>
        </w:numPr>
      </w:pPr>
      <w:r>
        <w:t>Option 2</w:t>
      </w:r>
      <w:r w:rsidR="00076E69">
        <w:t>: Sign and implement the CEPA</w:t>
      </w:r>
      <w:r w:rsidR="0008739B">
        <w:t>:</w:t>
      </w:r>
    </w:p>
    <w:p w14:paraId="067B5C80" w14:textId="5D97FFD9" w:rsidR="00076E69" w:rsidRDefault="00F32FDD" w:rsidP="004D0B63">
      <w:pPr>
        <w:pStyle w:val="ListParagraph"/>
        <w:numPr>
          <w:ilvl w:val="1"/>
          <w:numId w:val="36"/>
        </w:numPr>
      </w:pPr>
      <w:r>
        <w:t>For goods, the UAE will fully eliminate tariffs on 98.2 per cent of its schedule, covering 99.9</w:t>
      </w:r>
      <w:r w:rsidR="00C25B79">
        <w:t> </w:t>
      </w:r>
      <w:r>
        <w:t>per cent of Australia’s exports to the UAE market by value. Tariff elimination by the UAE will be either immediate on entry into force or phased over three or five stages.</w:t>
      </w:r>
    </w:p>
    <w:p w14:paraId="1392DA67" w14:textId="435F67E8" w:rsidR="00076E69" w:rsidRDefault="00F32FDD" w:rsidP="004D0B63">
      <w:pPr>
        <w:pStyle w:val="ListParagraph"/>
        <w:numPr>
          <w:ilvl w:val="1"/>
          <w:numId w:val="36"/>
        </w:numPr>
      </w:pPr>
      <w:r>
        <w:t>For services, the CEPA will include a comprehensive set of rules to provide Australian service suppliers with greater certainty and predictability to support their operations in the UAE. These rules will address restrictions and discrimination when accessing the UAE services market, as well as behind-the-border procedural and related domestic regulation barriers that have a negative impact on two-way trade and investment in services</w:t>
      </w:r>
      <w:r w:rsidR="00076E69">
        <w:t>.</w:t>
      </w:r>
    </w:p>
    <w:p w14:paraId="50B70DBE" w14:textId="77777777" w:rsidR="00076E69" w:rsidRDefault="00F32FDD" w:rsidP="004D0B63">
      <w:pPr>
        <w:pStyle w:val="ListParagraph"/>
        <w:numPr>
          <w:ilvl w:val="1"/>
          <w:numId w:val="36"/>
        </w:numPr>
      </w:pPr>
      <w:r>
        <w:t xml:space="preserve">For investment, the CEPA package will include an Investment Agreement which will include investment protections that provide certainty to Australian and UAE investors. A Council on </w:t>
      </w:r>
      <w:r>
        <w:lastRenderedPageBreak/>
        <w:t>Investment will also be established to facilitate continued political level exchanges on the investment relationship. Five Investment Cooperation Memorandum of Understandings (MOUs) will also form part of the CEPA package in sectors of national priority including Green and Renewable Energy, Data Centres and Artificial Intelligence Projects, Food and Agriculture, Minerals and Infrastructure.</w:t>
      </w:r>
    </w:p>
    <w:p w14:paraId="388757B5" w14:textId="61D9D01D" w:rsidR="00076E69" w:rsidRDefault="00F32FDD" w:rsidP="004D0B63">
      <w:pPr>
        <w:pStyle w:val="ListParagraph"/>
        <w:numPr>
          <w:ilvl w:val="1"/>
          <w:numId w:val="36"/>
        </w:numPr>
      </w:pPr>
      <w:r>
        <w:t>For skilled labour mobility, the CEPA will support the flow of skilled personal and business visitors. The CEPA will guarantee temporary entry for service providers, investor</w:t>
      </w:r>
      <w:r w:rsidR="00CD264E">
        <w:t>s, and other business visitors.</w:t>
      </w:r>
    </w:p>
    <w:p w14:paraId="7D9783D6" w14:textId="60BBA799" w:rsidR="00F32FDD" w:rsidRDefault="00F32FDD" w:rsidP="004D0B63">
      <w:pPr>
        <w:pStyle w:val="ListParagraph"/>
        <w:numPr>
          <w:ilvl w:val="1"/>
          <w:numId w:val="36"/>
        </w:numPr>
      </w:pPr>
      <w:r>
        <w:t xml:space="preserve">As a modern trade agreement, the CEPA includes commitments on inclusive and sustainable trade through promoting internationally recognised labour standards; supporting women’s access to the full benefits and opportunities that flow from trade and investment; and ensuring high levels of environmental protection. The CEPA will also be Australia’s first trade agreement to establish a framework for cooperation to promote First Nations </w:t>
      </w:r>
      <w:r w:rsidR="00CD264E">
        <w:t>trade and investment interests.</w:t>
      </w:r>
    </w:p>
    <w:p w14:paraId="4F6E9ECA" w14:textId="2841C0B1" w:rsidR="00F32FDD" w:rsidRPr="00F32FDD" w:rsidRDefault="00F32FDD" w:rsidP="00F32FDD">
      <w:r>
        <w:t>The preferred policy option is Option 2. Signing CEPA would open opportunities for trade and investment outcomes with a dynamic and growing globally focused strategic partner. The CEPA is expected to diversify trade and investment opportunities and strengthen Australia’s strategic engagement with an important partner in the Middle East Region. Estimated potential financial benefits could be as high as $678 million per year. This equates to a 16 per cent increase in annual Australian exports to the UAE. The main cost associated with the CEPA is likely to be a lowering of tariff revenue for UAE imports, estimated to be $16 million in 2025-26 and increasing to $23 million per year by 2029-30, when all tariff reductions are fully implemented. The broader economy-wide benefits of the agreement will far exceed this revenue cost</w:t>
      </w:r>
      <w:r w:rsidR="00076E69">
        <w:t>.</w:t>
      </w:r>
    </w:p>
    <w:p w14:paraId="5335EFD8" w14:textId="1A0196D1" w:rsidR="00DE6598" w:rsidRDefault="00DE6598" w:rsidP="00DE6598">
      <w:pPr>
        <w:pStyle w:val="Heading2"/>
      </w:pPr>
      <w:bookmarkStart w:id="81" w:name="_Toc155876577"/>
      <w:bookmarkStart w:id="82" w:name="_Toc193445444"/>
      <w:bookmarkStart w:id="83" w:name="_Toc465992497"/>
      <w:r>
        <w:t>Department of Health and Aged Care</w:t>
      </w:r>
      <w:bookmarkEnd w:id="81"/>
      <w:bookmarkEnd w:id="82"/>
      <w:bookmarkEnd w:id="83"/>
    </w:p>
    <w:p w14:paraId="4A03A053" w14:textId="35F7ED2A" w:rsidR="00845013" w:rsidRDefault="00845013" w:rsidP="00845013">
      <w:pPr>
        <w:pStyle w:val="Heading3"/>
      </w:pPr>
      <w:bookmarkStart w:id="84" w:name="_Toc193445445"/>
      <w:bookmarkStart w:id="85" w:name="_Toc222416184"/>
      <w:r>
        <w:t>Aged Care Bill 2024</w:t>
      </w:r>
      <w:bookmarkEnd w:id="84"/>
      <w:bookmarkEnd w:id="85"/>
    </w:p>
    <w:p w14:paraId="11141AC5"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4B53BA2D" w14:textId="192B0AE0" w:rsidR="00845013" w:rsidRPr="00D2267D" w:rsidRDefault="00845013" w:rsidP="00845013">
      <w:r w:rsidRPr="00D2267D">
        <w:t xml:space="preserve">Assessment Rating: </w:t>
      </w:r>
      <w:r>
        <w:t>N/A (Impact Analysis Equivalent)</w:t>
      </w:r>
    </w:p>
    <w:p w14:paraId="661A3C8B" w14:textId="77777777" w:rsidR="00845013" w:rsidRPr="001A7674" w:rsidRDefault="00845013" w:rsidP="00845013">
      <w:r w:rsidRPr="00D2267D">
        <w:t>PIR Required: No</w:t>
      </w:r>
    </w:p>
    <w:p w14:paraId="1791856D" w14:textId="584704AD" w:rsidR="00845013" w:rsidRDefault="00845013" w:rsidP="00845013">
      <w:pPr>
        <w:rPr>
          <w:rFonts w:eastAsia="MS Mincho"/>
          <w:spacing w:val="-3"/>
        </w:rPr>
      </w:pPr>
      <w:r w:rsidRPr="001A7674">
        <w:t xml:space="preserve">Regulatory Burden: </w:t>
      </w:r>
      <w:r w:rsidR="004D2017" w:rsidRPr="0C4B8A2C">
        <w:t>The Department of Health and Aged Care estimates these measures will result in a decrease in regulatory costs of around $4.8 million per year, averaged over ten years.</w:t>
      </w:r>
    </w:p>
    <w:p w14:paraId="71CEE9C1" w14:textId="60DC6464" w:rsidR="00845013" w:rsidRPr="00845013" w:rsidRDefault="00845013" w:rsidP="00845013">
      <w:pPr>
        <w:rPr>
          <w:rFonts w:eastAsia="MS Mincho"/>
          <w:spacing w:val="-3"/>
        </w:rPr>
      </w:pPr>
      <w:r w:rsidRPr="00845013">
        <w:rPr>
          <w:rFonts w:eastAsia="MS Mincho"/>
          <w:spacing w:val="-3"/>
        </w:rPr>
        <w:t>The Royal Commission into Aged Care Quality and Safety (the Royal Commission) found that at least 1 in 3 people accessing residential aged care and home services have experienced substandard care, and that the objectives, regulation and funding of the Australian aged care sy</w:t>
      </w:r>
      <w:r>
        <w:rPr>
          <w:rFonts w:eastAsia="MS Mincho"/>
          <w:spacing w:val="-3"/>
        </w:rPr>
        <w:t xml:space="preserve">stem is complex and piecemeal. </w:t>
      </w:r>
    </w:p>
    <w:p w14:paraId="53FAF2BA" w14:textId="34F531CB" w:rsidR="00845013" w:rsidRPr="00845013" w:rsidRDefault="00845013" w:rsidP="00845013">
      <w:pPr>
        <w:rPr>
          <w:rFonts w:eastAsia="MS Mincho"/>
          <w:spacing w:val="-3"/>
        </w:rPr>
      </w:pPr>
      <w:r w:rsidRPr="00845013">
        <w:rPr>
          <w:rFonts w:eastAsia="MS Mincho"/>
          <w:spacing w:val="-3"/>
        </w:rPr>
        <w:t xml:space="preserve">These issues are expected to compound over the coming years due to Australia’s changing demographics, patterns of disease and dependency, and community expectations for quality care of older people – placing </w:t>
      </w:r>
      <w:r w:rsidRPr="00845013">
        <w:rPr>
          <w:rFonts w:eastAsia="MS Mincho"/>
          <w:spacing w:val="-3"/>
        </w:rPr>
        <w:lastRenderedPageBreak/>
        <w:t xml:space="preserve">pressure on the aged care workforce and funding to support growing demand for aged care services. For example, the Royal Commission identified that the number of Australians aged 85 years and over is projected to increase from 515,700 in 2018–19 (around 2.0% of the Australian population) to more than 1.5 million by 2058 (around 3.7% of the population). Further, over this time the number of working age people (15-64 years) for every Australian aged 65 years+ is projected to decrease from 4.2 in 2019 to 3.1 in 2058. </w:t>
      </w:r>
    </w:p>
    <w:p w14:paraId="03522A2C" w14:textId="22481602" w:rsidR="00845013" w:rsidRDefault="00845013" w:rsidP="00845013">
      <w:pPr>
        <w:rPr>
          <w:rFonts w:eastAsia="MS Mincho"/>
          <w:spacing w:val="-3"/>
        </w:rPr>
      </w:pPr>
      <w:r w:rsidRPr="00845013">
        <w:rPr>
          <w:rFonts w:eastAsia="MS Mincho"/>
          <w:spacing w:val="-3"/>
        </w:rPr>
        <w:t>The Aged Care Bill 2024 intends to give effect to the Government’s election commitments to deliver improved transparency and accountability, and protect the safety, dignity and wellbeing of people accessing aged care services. The Bill delivers on a number of Royal Commission recommendations, including additional regulatory requirements on aged care providers, a new Support at Home program, and a new funding models for specialist programs. The Bill also seeks to clarify obligations on aged care providers and workers with a focus on continuous improvement in delivery of high quality care and services, and ensure the sustainability of the aged care system.</w:t>
      </w:r>
    </w:p>
    <w:p w14:paraId="428118BA" w14:textId="40AEDBB2" w:rsidR="00076E69" w:rsidRDefault="00076E69" w:rsidP="004D0B63">
      <w:pPr>
        <w:pStyle w:val="Heading3"/>
        <w:rPr>
          <w:rFonts w:eastAsia="MS Mincho"/>
        </w:rPr>
      </w:pPr>
      <w:bookmarkStart w:id="86" w:name="_Toc193445446"/>
      <w:bookmarkStart w:id="87" w:name="_Toc420737347"/>
      <w:r w:rsidRPr="15A450E2">
        <w:rPr>
          <w:rFonts w:eastAsia="MS Mincho"/>
        </w:rPr>
        <w:t>Health Legislation Amendment (Modernising My Health Record—Sharing by Default) Bill 2024</w:t>
      </w:r>
      <w:bookmarkEnd w:id="86"/>
      <w:bookmarkEnd w:id="87"/>
    </w:p>
    <w:p w14:paraId="3514019B" w14:textId="77777777" w:rsidR="00076E69" w:rsidRPr="00D2267D" w:rsidRDefault="00076E69" w:rsidP="00076E69">
      <w:pPr>
        <w:rPr>
          <w:rFonts w:eastAsia="MS Mincho"/>
        </w:rPr>
      </w:pPr>
      <w:r w:rsidRPr="00B25486">
        <w:t xml:space="preserve">IA </w:t>
      </w:r>
      <w:r w:rsidRPr="00D2267D">
        <w:t xml:space="preserve">Status: </w:t>
      </w:r>
      <w:r w:rsidRPr="00D2267D">
        <w:rPr>
          <w:rFonts w:eastAsia="MS Mincho"/>
          <w:w w:val="105"/>
        </w:rPr>
        <w:t>Compliant</w:t>
      </w:r>
    </w:p>
    <w:p w14:paraId="5B8E55DF" w14:textId="77777777" w:rsidR="00076E69" w:rsidRPr="00D2267D" w:rsidRDefault="00076E69" w:rsidP="00076E69">
      <w:r w:rsidRPr="00D2267D">
        <w:t xml:space="preserve">Assessment Rating: </w:t>
      </w:r>
      <w:r>
        <w:t>Good Practice</w:t>
      </w:r>
    </w:p>
    <w:p w14:paraId="7E813F8C" w14:textId="77777777" w:rsidR="00076E69" w:rsidRPr="001A7674" w:rsidRDefault="00076E69" w:rsidP="00076E69">
      <w:r w:rsidRPr="00D2267D">
        <w:t>PIR Required: No</w:t>
      </w:r>
    </w:p>
    <w:p w14:paraId="0F2F0878" w14:textId="271441FC" w:rsidR="00076E69" w:rsidRDefault="00076E69" w:rsidP="00076E69">
      <w:r w:rsidRPr="001A7674">
        <w:t>Regulatory Burden:</w:t>
      </w:r>
      <w:r>
        <w:t xml:space="preserve"> </w:t>
      </w:r>
      <w:r w:rsidRPr="00076E69">
        <w:t>The Department of Health and Aged Care estimates these measures will result in an increase in average regulatory costs of $10.94 million in the first year. Costs for ongoing years will be determined following evaluation and monitoring of mandate outcomes.</w:t>
      </w:r>
    </w:p>
    <w:p w14:paraId="7B9C36AA" w14:textId="2E1995FC" w:rsidR="00076E69" w:rsidRDefault="00076E69" w:rsidP="00076E69">
      <w:r>
        <w:t>Pathology and diagnostic imaging reports are not reliably available to consumers and their healthcare providers. Consumers expect a more connected experience where their health information follows them so they can fully participate and be partners in their own healthcare. Further, there are fragmented patient outcomes and experiences of care</w:t>
      </w:r>
      <w:r w:rsidR="00CD264E">
        <w:t>.</w:t>
      </w:r>
    </w:p>
    <w:p w14:paraId="2CA107D9" w14:textId="5ABE1EE7" w:rsidR="00076E69" w:rsidRDefault="00076E69" w:rsidP="00076E69">
      <w:r>
        <w:t>Option 1 would create a legislative requirement on prescribed healthcare providers to share key health information to consumers’ My He</w:t>
      </w:r>
      <w:r w:rsidR="00CD264E">
        <w:t>alth Record (preferred option).</w:t>
      </w:r>
    </w:p>
    <w:p w14:paraId="5AA28F00" w14:textId="61A90AF9" w:rsidR="00076E69" w:rsidRDefault="00076E69" w:rsidP="00076E69">
      <w:r>
        <w:t>Option 2 would see the maintenance of the current status quo where it would remain voluntary for pathology and diagnostic imaging providers to uplo</w:t>
      </w:r>
      <w:r w:rsidR="00CD264E">
        <w:t>ad reports to My Health Record.</w:t>
      </w:r>
    </w:p>
    <w:p w14:paraId="64B8AAC4" w14:textId="69693EB3" w:rsidR="00076E69" w:rsidRDefault="00076E69" w:rsidP="00076E69">
      <w:r>
        <w:t>Option 1 would see benefits in the reduction of duplicate/ unnecessary pathology and diagnostic imaging tests. This would in turn benefit consumers in reducing unnecessary follow up appointments. Healthcare providers would also benefit from workflow efficiencies. Pathology and diagnostic imaging providers would have some costs in the first year to uplift their workforce and for some providers to connect to My Hea</w:t>
      </w:r>
      <w:r w:rsidR="00CD264E">
        <w:t>lth Record conformant software.</w:t>
      </w:r>
    </w:p>
    <w:p w14:paraId="79305378" w14:textId="257DDDCE" w:rsidR="00A37A4B" w:rsidRDefault="00A37A4B" w:rsidP="00A37A4B">
      <w:pPr>
        <w:pStyle w:val="Heading3"/>
      </w:pPr>
      <w:bookmarkStart w:id="88" w:name="_Toc193445447"/>
      <w:bookmarkStart w:id="89" w:name="_Toc45641045"/>
      <w:r>
        <w:lastRenderedPageBreak/>
        <w:t>Proposed Adoption of an Australian Sunscreen Exposure Model</w:t>
      </w:r>
      <w:bookmarkEnd w:id="88"/>
      <w:bookmarkEnd w:id="89"/>
    </w:p>
    <w:p w14:paraId="4DFF227F" w14:textId="77777777" w:rsidR="00A37A4B" w:rsidRPr="00D2267D" w:rsidRDefault="00A37A4B" w:rsidP="00A37A4B">
      <w:pPr>
        <w:rPr>
          <w:rFonts w:eastAsia="MS Mincho"/>
        </w:rPr>
      </w:pPr>
      <w:r w:rsidRPr="00B25486">
        <w:t xml:space="preserve">IA </w:t>
      </w:r>
      <w:r w:rsidRPr="00D2267D">
        <w:t xml:space="preserve">Status: </w:t>
      </w:r>
      <w:r w:rsidRPr="00D2267D">
        <w:rPr>
          <w:rFonts w:eastAsia="MS Mincho"/>
          <w:w w:val="105"/>
        </w:rPr>
        <w:t>Compliant</w:t>
      </w:r>
    </w:p>
    <w:p w14:paraId="4FDB3E5F" w14:textId="56BBA0D4" w:rsidR="00A37A4B" w:rsidRPr="00D2267D" w:rsidRDefault="00A37A4B" w:rsidP="00A37A4B">
      <w:r w:rsidRPr="00D2267D">
        <w:t xml:space="preserve">Assessment Rating: </w:t>
      </w:r>
      <w:r>
        <w:t>Good Practice</w:t>
      </w:r>
    </w:p>
    <w:p w14:paraId="28F4B35B" w14:textId="77777777" w:rsidR="00A37A4B" w:rsidRPr="001A7674" w:rsidRDefault="00A37A4B" w:rsidP="00A37A4B">
      <w:r w:rsidRPr="00D2267D">
        <w:t>PIR Required: No</w:t>
      </w:r>
    </w:p>
    <w:p w14:paraId="4E9172AA" w14:textId="51309B7C" w:rsidR="00A37A4B" w:rsidRDefault="00A37A4B" w:rsidP="00A37A4B">
      <w:pPr>
        <w:rPr>
          <w:rFonts w:eastAsia="MS Mincho"/>
          <w:spacing w:val="-3"/>
        </w:rPr>
      </w:pPr>
      <w:r>
        <w:t xml:space="preserve">Regulatory Burden: The </w:t>
      </w:r>
      <w:r w:rsidR="2E1ACD60">
        <w:t>Therapeutic</w:t>
      </w:r>
      <w:r>
        <w:t xml:space="preserve"> Goods Administration (TGA) estimates the preferred option will result in a decrease to industry in average regulatory costs of $32,817 per year, over ten years. </w:t>
      </w:r>
    </w:p>
    <w:p w14:paraId="65D6D732" w14:textId="77777777" w:rsidR="00A37A4B" w:rsidRPr="00A37A4B" w:rsidRDefault="00A37A4B" w:rsidP="00A37A4B">
      <w:r w:rsidRPr="00A37A4B">
        <w:t>Before a therapeutic sunscreen product can be marketed and supplied to consumers in Australia, the TGA must have approved the ingredients used in the product and established their maximum safe concentration. Determining the systemic exposure, and consequently, the safe concentration of the sunscreen ingredient, is based on how much sunscreen is applied to the skin on a daily basis (i.e. the sunscreen exposure amount). There is little contemporary data on how much sunscreen Australians apply to their skin and the amount used is variable and difficult to estimate. Further, individual sunscreen application varies based on factors such as daily habits, occupational exposure and recreational activities. </w:t>
      </w:r>
    </w:p>
    <w:p w14:paraId="7E0A8E46" w14:textId="77777777" w:rsidR="00A37A4B" w:rsidRPr="00A37A4B" w:rsidRDefault="00A37A4B" w:rsidP="00A37A4B">
      <w:r w:rsidRPr="00A37A4B">
        <w:t>To date, TGA assessment for sunscreen ingredients has been through a variety of risk-based methodologies that may use different estimates of daily sunscreen exposure, on a case-by-case basis. The European Scientific Committee on Consumer Safety’s (SCCS) estimating exposure model is the main approach utilised by applicants in Australia. However, this model is based on data from research conducted in countries outside Australia. It is unlikely this approach is appropriate for the Australian context, given we have the highest rates of skin cancer in the world, a focus on public health messaging on the importance of using sunscreens, a thinner ozone layer and an outdoor lifestyle.  </w:t>
      </w:r>
    </w:p>
    <w:p w14:paraId="76010FF5" w14:textId="77777777" w:rsidR="00A37A4B" w:rsidRPr="00A37A4B" w:rsidRDefault="00A37A4B" w:rsidP="00A37A4B">
      <w:r w:rsidRPr="00A37A4B">
        <w:t>The absence of an agreed estimated daily sunscreen exposure value and assessment methodology means there is no standardised method for evaluating sunscreen ingredients, potentially leading to discrepancies in risk assessments. There are also increasing scientific concerns, both domestically and internationally, over long-term use of some current sunscreen ingredients. In combination, these issues have the potential to decrease consumer confidence in the use of sunscreens and cause regulatory uncertainty for industry. </w:t>
      </w:r>
    </w:p>
    <w:p w14:paraId="7C950C3D" w14:textId="77777777" w:rsidR="00A37A4B" w:rsidRPr="00A37A4B" w:rsidRDefault="00A37A4B" w:rsidP="00A37A4B">
      <w:r w:rsidRPr="00A37A4B">
        <w:t>Three options are proposed for a method to calculate safe levels of new ingredients for use in Australian sunscreens: </w:t>
      </w:r>
    </w:p>
    <w:p w14:paraId="7D03877A" w14:textId="77777777" w:rsidR="00A37A4B" w:rsidRPr="00A37A4B" w:rsidRDefault="00A37A4B" w:rsidP="00A37A4B">
      <w:pPr>
        <w:numPr>
          <w:ilvl w:val="0"/>
          <w:numId w:val="46"/>
        </w:numPr>
      </w:pPr>
      <w:r w:rsidRPr="00A37A4B">
        <w:t>Option 1: Adopt the Australian Sunscreen Exposure Model (ASEM). This model calculates the estimated average daily sunscreen exposure based on the varied needs of Australians and integrates the expected sunscreen application practices that align with current Australian recommendations. </w:t>
      </w:r>
    </w:p>
    <w:p w14:paraId="0B715553" w14:textId="77777777" w:rsidR="00A37A4B" w:rsidRPr="00A37A4B" w:rsidRDefault="00A37A4B" w:rsidP="00A37A4B">
      <w:pPr>
        <w:numPr>
          <w:ilvl w:val="0"/>
          <w:numId w:val="46"/>
        </w:numPr>
      </w:pPr>
      <w:r w:rsidRPr="00A37A4B">
        <w:t>Option 2: Adopt the Scientific Committee on Consumer Safety (SCCS) sunscreen exposure model which is a well-established approach that describes default estimated daily sunscreen exposure. This model is recognised in some international regions where sunscreens are regulated as cosmetics, such as Europe, and has been employed in previous sunscreen ingredient applications, and TGA assessments. </w:t>
      </w:r>
    </w:p>
    <w:p w14:paraId="15E30A53" w14:textId="77777777" w:rsidR="00A37A4B" w:rsidRPr="00A37A4B" w:rsidRDefault="00A37A4B" w:rsidP="00A37A4B">
      <w:pPr>
        <w:numPr>
          <w:ilvl w:val="0"/>
          <w:numId w:val="46"/>
        </w:numPr>
      </w:pPr>
      <w:r w:rsidRPr="00A37A4B">
        <w:lastRenderedPageBreak/>
        <w:t>Option 3: Do not adopt a specific estimated daily sunscreen exposure model, and continue to conduct evaluation of sunscreen ingredients on a case-by-case basis (that is, retain status quo). </w:t>
      </w:r>
    </w:p>
    <w:p w14:paraId="7CE72180" w14:textId="77777777" w:rsidR="00481471" w:rsidRDefault="00A37A4B" w:rsidP="00A37A4B">
      <w:r w:rsidRPr="00A37A4B">
        <w:t>Based on broad in-principle stakeholder support and the extent to which it is proposed to achieve the stated objectives, Option 1 is considered to be the option with the highest net benefit. The model underpinning Option 1 uses the most contemporary, evidence-based and realistic information and use cases, and is expected to uphold sunscreen safety and trust by consumers and provide regulatory certainty for industry.</w:t>
      </w:r>
    </w:p>
    <w:p w14:paraId="0B433039" w14:textId="5DCD0D1B" w:rsidR="00481471" w:rsidRDefault="00481471" w:rsidP="00772136">
      <w:pPr>
        <w:pStyle w:val="Heading3"/>
      </w:pPr>
      <w:bookmarkStart w:id="90" w:name="_Toc193445448"/>
      <w:bookmarkStart w:id="91" w:name="_Toc859712120"/>
      <w:r>
        <w:t>Bulk Billing for all Australians</w:t>
      </w:r>
      <w:bookmarkEnd w:id="90"/>
      <w:bookmarkEnd w:id="91"/>
    </w:p>
    <w:p w14:paraId="5B5DB4BD" w14:textId="4DFD58C4" w:rsidR="00481471" w:rsidRPr="00D2267D" w:rsidRDefault="00481471" w:rsidP="00481471">
      <w:pPr>
        <w:rPr>
          <w:rFonts w:eastAsia="MS Mincho"/>
        </w:rPr>
      </w:pPr>
      <w:r w:rsidRPr="00B25486">
        <w:t xml:space="preserve">IA </w:t>
      </w:r>
      <w:r w:rsidRPr="00D2267D">
        <w:t xml:space="preserve">Status: </w:t>
      </w:r>
      <w:r w:rsidRPr="00D2267D">
        <w:rPr>
          <w:rFonts w:eastAsia="MS Mincho"/>
          <w:w w:val="105"/>
        </w:rPr>
        <w:t>Compliant</w:t>
      </w:r>
    </w:p>
    <w:p w14:paraId="34EBA94D" w14:textId="76B0BB73" w:rsidR="00481471" w:rsidRPr="00D2267D" w:rsidRDefault="00481471" w:rsidP="00481471">
      <w:r w:rsidRPr="00D2267D">
        <w:t xml:space="preserve">Assessment Rating: </w:t>
      </w:r>
      <w:r>
        <w:t>Adequate</w:t>
      </w:r>
    </w:p>
    <w:p w14:paraId="4FCAC55D" w14:textId="77777777" w:rsidR="00481471" w:rsidRPr="001A7674" w:rsidRDefault="00481471" w:rsidP="00481471">
      <w:r w:rsidRPr="00D2267D">
        <w:t>PIR Required: No</w:t>
      </w:r>
    </w:p>
    <w:p w14:paraId="059753B0" w14:textId="5C88C7CD" w:rsidR="00A37A4B" w:rsidRDefault="00481471" w:rsidP="00481471">
      <w:r w:rsidRPr="001A7674">
        <w:t>Regulatory Burden:</w:t>
      </w:r>
      <w:r>
        <w:t> </w:t>
      </w:r>
      <w:r w:rsidRPr="00481471">
        <w:t>The Department of Health and Aged Care estimates Option 2 will decrease average regulatory costs by $12.8 million per year, over four years.</w:t>
      </w:r>
    </w:p>
    <w:p w14:paraId="075A03F7" w14:textId="77777777" w:rsidR="00481471" w:rsidRPr="00481471" w:rsidRDefault="00481471" w:rsidP="00481471">
      <w:r w:rsidRPr="00481471">
        <w:t>Medicare plays a crucial role in enabling inclusive, equitable and cost-effective primary care services which set the foundation for supporting universal, integrated access to health care. Through its oversight mechanism in setting Medicare Benefit Schedule (MBS) fees and funding services, the Government plays a role in ensuring that access to bulk billed primary care remains widely available to Australians as part of our universal healthcare system.</w:t>
      </w:r>
    </w:p>
    <w:p w14:paraId="2356D600" w14:textId="652D2690" w:rsidR="00481471" w:rsidRPr="00481471" w:rsidRDefault="00481471" w:rsidP="00481471">
      <w:r>
        <w:t xml:space="preserve">After hitting a high-point during the COVID-19 pandemic due to the impacts of mandated requirements to bulk bill certain services, the bulk billing rate for general practitioner (GP) Non-referred Attendances </w:t>
      </w:r>
      <w:r>
        <w:br/>
        <w:t>(GP NRA) fell from 88.8% to 77.3% over the three financial years 2021-22 to 2023-24. Over the same period, total patient out-of-pocket costs more than doubled (from $780 million to $1.66 billion), as has the proportion of people delaying or deferring GP care due to cost (from 3.5% to 8.8%). This coincided with a 4% decline in GP NRA service volumes, which has been most acutely felt by working-aged people and those living in areas of highest socioeconomic disadvantage.</w:t>
      </w:r>
    </w:p>
    <w:p w14:paraId="5A5F9A1D" w14:textId="6EDB80D1" w:rsidR="00481471" w:rsidRPr="00481471" w:rsidRDefault="00481471" w:rsidP="00481471">
      <w:r w:rsidRPr="00481471">
        <w:t xml:space="preserve">The </w:t>
      </w:r>
      <w:r>
        <w:t>IA</w:t>
      </w:r>
      <w:r w:rsidRPr="00481471">
        <w:t xml:space="preserve"> notes that the policy objectives are to: support GPs and GP Practices to provide bulk billed care; reinforce primary care as the first point of contact within the health system; and make it easier for patients to access affordable care. In line with these objectives, the IA considers maintaining the status quo (Option 1) or expanding bulk billing incentive eligibility to all Australians and implementing the Bulk Billing Practice Incentive Program (considered together as Option 2 rather than as standalone options).</w:t>
      </w:r>
    </w:p>
    <w:p w14:paraId="20A83FBA" w14:textId="77777777" w:rsidR="00481471" w:rsidRPr="00481471" w:rsidRDefault="00481471" w:rsidP="00481471">
      <w:pPr>
        <w:numPr>
          <w:ilvl w:val="0"/>
          <w:numId w:val="47"/>
        </w:numPr>
      </w:pPr>
      <w:r w:rsidRPr="00481471">
        <w:t>Under Option 1, patients currently eligible for bulk billing incentives (children under the age of 16 and those who hold a Commonwealth concession card) would remain eligible. Bulk billing incentives are additional payments made to medical practitioners when they bulk bill eligible patients for unreferred services. There would be no expansion to eligibility, no changes to existing incentive benefits, and no additional incentive payments introduced.</w:t>
      </w:r>
    </w:p>
    <w:p w14:paraId="71A17957" w14:textId="5BEF8C3E" w:rsidR="00481471" w:rsidRPr="00481471" w:rsidRDefault="00481471" w:rsidP="00B131C8">
      <w:pPr>
        <w:numPr>
          <w:ilvl w:val="0"/>
          <w:numId w:val="47"/>
        </w:numPr>
      </w:pPr>
      <w:r>
        <w:lastRenderedPageBreak/>
        <w:t>Under Option 2</w:t>
      </w:r>
      <w:r w:rsidR="000B5AB5">
        <w:t>, p</w:t>
      </w:r>
      <w:r>
        <w:t>ractitioners would be able to claim a bulk billing incentive where they bulk bill a Medicare-eligible patient for any GP NRA service, regardless of the patient’s age or concessional status. In addition, this option would introduce the Bulk Billing Practice Incentive Program (the Program) which would provide an additional incentive payment to the value of 12.5% of MBS revenue from GP NRA services each quarter if participating practices (and their GPs) opt into the Program and commit to bulk bill all of their GP NRA services.</w:t>
      </w:r>
    </w:p>
    <w:p w14:paraId="0665E076" w14:textId="4092D358" w:rsidR="00481471" w:rsidRDefault="00A026A6" w:rsidP="003A7CBD">
      <w:pPr>
        <w:numPr>
          <w:ilvl w:val="0"/>
          <w:numId w:val="47"/>
        </w:numPr>
      </w:pPr>
      <w:r>
        <w:t>Under Option 2, e</w:t>
      </w:r>
      <w:r w:rsidR="00481471">
        <w:t>xpanding eligibility for bulk billing incentives to all Australians would mean an additional 15 million people would be eligible for an incentive. Further, an estimated 4,800 GP practices would join the Bulk Billing Practice Incentive Program by the end of the forward estimates. The IA estimates Option 2 would increase the GP bulk billing rate by around 10.5% by 2028-29. These two changes would see 18 million additional services per year once the program is fully implemented. This would reduce patient out-of-pocket expenditure by $2.7 billion over the forward estimates.</w:t>
      </w:r>
    </w:p>
    <w:p w14:paraId="4D9D21D1" w14:textId="2C9839F2" w:rsidR="00481471" w:rsidRDefault="00481471" w:rsidP="00481471">
      <w:pPr>
        <w:pStyle w:val="Heading3"/>
      </w:pPr>
      <w:bookmarkStart w:id="92" w:name="_Toc193445449"/>
      <w:bookmarkStart w:id="93" w:name="_Toc1922227301"/>
      <w:r>
        <w:t>Building the General Practice Workforce to Strengthen Medicare</w:t>
      </w:r>
      <w:bookmarkEnd w:id="92"/>
      <w:bookmarkEnd w:id="93"/>
    </w:p>
    <w:p w14:paraId="20273DBF" w14:textId="77777777" w:rsidR="00481471" w:rsidRPr="00D2267D" w:rsidRDefault="00481471" w:rsidP="00481471">
      <w:pPr>
        <w:rPr>
          <w:rFonts w:eastAsia="MS Mincho"/>
        </w:rPr>
      </w:pPr>
      <w:r w:rsidRPr="00B25486">
        <w:t xml:space="preserve">IA </w:t>
      </w:r>
      <w:r w:rsidRPr="00D2267D">
        <w:t xml:space="preserve">Status: </w:t>
      </w:r>
      <w:r w:rsidRPr="00D2267D">
        <w:rPr>
          <w:rFonts w:eastAsia="MS Mincho"/>
          <w:w w:val="105"/>
        </w:rPr>
        <w:t>Compliant</w:t>
      </w:r>
    </w:p>
    <w:p w14:paraId="1C7894AB" w14:textId="06B2A271" w:rsidR="00481471" w:rsidRPr="00D2267D" w:rsidRDefault="00481471" w:rsidP="00481471">
      <w:r w:rsidRPr="00D2267D">
        <w:t xml:space="preserve">Assessment Rating: </w:t>
      </w:r>
      <w:r>
        <w:t>Adequate</w:t>
      </w:r>
    </w:p>
    <w:p w14:paraId="58EC1426" w14:textId="77777777" w:rsidR="00481471" w:rsidRPr="001A7674" w:rsidRDefault="00481471" w:rsidP="00481471">
      <w:r w:rsidRPr="00D2267D">
        <w:t>PIR Required: No</w:t>
      </w:r>
    </w:p>
    <w:p w14:paraId="34B71065" w14:textId="3CE3F195" w:rsidR="00481471" w:rsidRDefault="00481471">
      <w:r w:rsidRPr="001A7674">
        <w:t>Regulatory Burden:</w:t>
      </w:r>
      <w:r>
        <w:t xml:space="preserve"> </w:t>
      </w:r>
      <w:r w:rsidRPr="00481471">
        <w:t>The Department of Health and Aged Care estimates of Package 1 will increase average regulatory costs by $0.33 million per year, over 10 years from 2026.</w:t>
      </w:r>
    </w:p>
    <w:p w14:paraId="0FAF50DD" w14:textId="77777777" w:rsidR="00481471" w:rsidRPr="00481471" w:rsidRDefault="00481471" w:rsidP="00481471">
      <w:r w:rsidRPr="00481471">
        <w:t>Australia is not generating enough general practitioners (GPs) to meet community need now and into the future. Modelling by the Department of Health and Aged Care demonstrates a growing shortfall of GPs, with 7,700 more GPs needed by 2033 growing to 12,400 more GPs needed by 2048. </w:t>
      </w:r>
    </w:p>
    <w:p w14:paraId="53BDF64A" w14:textId="77777777" w:rsidR="00481471" w:rsidRPr="00481471" w:rsidRDefault="00481471" w:rsidP="00481471">
      <w:r w:rsidRPr="00481471">
        <w:t>A continued undersupply of GPs undercuts broader efforts to improve accessibility and affordability of healthcare. Workforce shortages also increase reliance on locums at an elevated cost and add burden to already overstretched hospital services. Insufficient access to GP services can lead to a sicker population and increase the reliance on the hospital system. This can also lead to downstream impacts, including lower economic productivity and increased health system costs. Negative impacts from a lack of primary care access are disproportionally felt in rural and regional areas and by culturally and linguistically diverse (CALD) groups, First Nations and people who experience disadvantage.</w:t>
      </w:r>
    </w:p>
    <w:p w14:paraId="6BF9BFEB" w14:textId="5A5DD0C6" w:rsidR="005C39AA" w:rsidRDefault="00481471" w:rsidP="00916C3E">
      <w:r w:rsidRPr="00481471">
        <w:t xml:space="preserve">The </w:t>
      </w:r>
      <w:r>
        <w:t>IA</w:t>
      </w:r>
      <w:r w:rsidRPr="00481471">
        <w:t xml:space="preserve"> explores the status quo (continuing existing investment in programs) as well as three packages of policy options.</w:t>
      </w:r>
    </w:p>
    <w:p w14:paraId="10A9D3F8" w14:textId="0B9060F1" w:rsidR="00481471" w:rsidRPr="00481471" w:rsidRDefault="00481471" w:rsidP="00AB20B1">
      <w:pPr>
        <w:numPr>
          <w:ilvl w:val="0"/>
          <w:numId w:val="48"/>
        </w:numPr>
        <w:spacing w:after="0"/>
      </w:pPr>
      <w:r w:rsidRPr="00481471">
        <w:t>Package 1</w:t>
      </w:r>
    </w:p>
    <w:p w14:paraId="5E359700" w14:textId="77777777" w:rsidR="00481471" w:rsidRPr="00481471" w:rsidRDefault="00481471" w:rsidP="00AB20B1">
      <w:pPr>
        <w:numPr>
          <w:ilvl w:val="1"/>
          <w:numId w:val="48"/>
        </w:numPr>
        <w:spacing w:after="0"/>
      </w:pPr>
      <w:r w:rsidRPr="00481471">
        <w:lastRenderedPageBreak/>
        <w:t>Allocate 100 new medical Commonwealth Supported Places (CSPs) per year from 2026, increasing to 150 per year from 2028, which would be intrinsically linked to general practice to drive early career decisions, and uncap medical CSPs for First Nations students.</w:t>
      </w:r>
    </w:p>
    <w:p w14:paraId="48EEC6E6" w14:textId="77777777" w:rsidR="00481471" w:rsidRPr="00481471" w:rsidRDefault="00481471" w:rsidP="00AB20B1">
      <w:pPr>
        <w:numPr>
          <w:ilvl w:val="1"/>
          <w:numId w:val="48"/>
        </w:numPr>
        <w:spacing w:after="0"/>
      </w:pPr>
      <w:r w:rsidRPr="00481471">
        <w:t>Introduce a new prevocational program with 200 additional rotations in 2026, increasing to 400 rotations from 2028, to provide primary care rotations for interns and junior doctors.</w:t>
      </w:r>
    </w:p>
    <w:p w14:paraId="0B512E9D" w14:textId="77777777" w:rsidR="00481471" w:rsidRPr="00481471" w:rsidRDefault="00481471" w:rsidP="00AB20B1">
      <w:pPr>
        <w:numPr>
          <w:ilvl w:val="1"/>
          <w:numId w:val="48"/>
        </w:numPr>
        <w:spacing w:after="0"/>
      </w:pPr>
      <w:r w:rsidRPr="00481471">
        <w:t>Increase GP training capacity by 200 places in 2026, increasing to 400 from 2028, across Commonwealth funded programs.</w:t>
      </w:r>
    </w:p>
    <w:p w14:paraId="4475F455" w14:textId="77777777" w:rsidR="00481471" w:rsidRPr="00481471" w:rsidRDefault="00481471" w:rsidP="00AB20B1">
      <w:pPr>
        <w:numPr>
          <w:ilvl w:val="1"/>
          <w:numId w:val="48"/>
        </w:numPr>
        <w:spacing w:after="0"/>
      </w:pPr>
      <w:r w:rsidRPr="00481471">
        <w:t>Introduce a one-off incentive payment of $30,000 to address the average drop in baseline salary that junior doctors face when they leave hospital employment to become a GP trainee.</w:t>
      </w:r>
    </w:p>
    <w:p w14:paraId="7C2B3CAA" w14:textId="77777777" w:rsidR="00481471" w:rsidRPr="00481471" w:rsidRDefault="00481471" w:rsidP="00AB20B1">
      <w:pPr>
        <w:numPr>
          <w:ilvl w:val="1"/>
          <w:numId w:val="48"/>
        </w:numPr>
        <w:spacing w:after="0"/>
      </w:pPr>
      <w:r w:rsidRPr="00481471">
        <w:t>Introduce leave provisions for GP trainees to address the disincentive to enter GP training due to the loss of state government leave entitlements, such as study and parental leave.</w:t>
      </w:r>
    </w:p>
    <w:p w14:paraId="21C33328" w14:textId="77777777" w:rsidR="00481471" w:rsidRPr="00481471" w:rsidRDefault="00481471" w:rsidP="00AB20B1">
      <w:pPr>
        <w:numPr>
          <w:ilvl w:val="0"/>
          <w:numId w:val="48"/>
        </w:numPr>
        <w:spacing w:after="0"/>
      </w:pPr>
      <w:r w:rsidRPr="00481471">
        <w:t>Package 2</w:t>
      </w:r>
    </w:p>
    <w:p w14:paraId="588E4080" w14:textId="77777777" w:rsidR="00481471" w:rsidRPr="00481471" w:rsidRDefault="00481471" w:rsidP="00AB20B1">
      <w:pPr>
        <w:numPr>
          <w:ilvl w:val="1"/>
          <w:numId w:val="48"/>
        </w:numPr>
        <w:spacing w:after="0"/>
      </w:pPr>
      <w:r w:rsidRPr="00481471">
        <w:t>Allocate 100 new primary care Commonwealth Supported Places (CSPs) per year from 2026, increasing to 150 from 2028, and uncap medical CSPs for First Nations students.</w:t>
      </w:r>
    </w:p>
    <w:p w14:paraId="644D4677" w14:textId="77777777" w:rsidR="00481471" w:rsidRPr="00481471" w:rsidRDefault="00481471" w:rsidP="00AB20B1">
      <w:pPr>
        <w:numPr>
          <w:ilvl w:val="1"/>
          <w:numId w:val="48"/>
        </w:numPr>
        <w:spacing w:after="0"/>
      </w:pPr>
      <w:r w:rsidRPr="00481471">
        <w:t>Introduce a new prevocational program with 200 additional rotations in 2026, increasing to 400 rotations from 2028, to provide primary care rotations for interns and junior doctors.</w:t>
      </w:r>
    </w:p>
    <w:p w14:paraId="03952684" w14:textId="77777777" w:rsidR="00481471" w:rsidRPr="00481471" w:rsidRDefault="00481471" w:rsidP="00AB20B1">
      <w:pPr>
        <w:numPr>
          <w:ilvl w:val="1"/>
          <w:numId w:val="48"/>
        </w:numPr>
        <w:spacing w:after="0"/>
      </w:pPr>
      <w:r w:rsidRPr="00481471">
        <w:t>Increase GP training capacity by 200 places from 2026, increasing to 400 from 2028 across Commonwealth funded programs.</w:t>
      </w:r>
    </w:p>
    <w:p w14:paraId="0BF33CEB" w14:textId="77777777" w:rsidR="00481471" w:rsidRPr="00481471" w:rsidRDefault="00481471" w:rsidP="00AB20B1">
      <w:pPr>
        <w:numPr>
          <w:ilvl w:val="0"/>
          <w:numId w:val="48"/>
        </w:numPr>
        <w:spacing w:after="0"/>
      </w:pPr>
      <w:r w:rsidRPr="00481471">
        <w:t>Package 3</w:t>
      </w:r>
    </w:p>
    <w:p w14:paraId="0D74C83C" w14:textId="77777777" w:rsidR="00481471" w:rsidRPr="00481471" w:rsidRDefault="00481471" w:rsidP="00AB20B1">
      <w:pPr>
        <w:numPr>
          <w:ilvl w:val="1"/>
          <w:numId w:val="48"/>
        </w:numPr>
        <w:spacing w:after="0"/>
      </w:pPr>
      <w:r w:rsidRPr="00481471">
        <w:t>Increase GP training capacity by 200 places in 2026, increasing to 400 from 2028, across Commonwealth funded programs.</w:t>
      </w:r>
    </w:p>
    <w:p w14:paraId="54325680" w14:textId="77777777" w:rsidR="00481471" w:rsidRPr="00481471" w:rsidRDefault="00481471" w:rsidP="00AB20B1">
      <w:pPr>
        <w:numPr>
          <w:ilvl w:val="1"/>
          <w:numId w:val="48"/>
        </w:numPr>
        <w:spacing w:after="0"/>
      </w:pPr>
      <w:r w:rsidRPr="00481471">
        <w:t>Introduce a one-off incentive payment of $30,000 for junior doctors when they leave hospital employment to become a GP trainee.</w:t>
      </w:r>
    </w:p>
    <w:p w14:paraId="2A2D48E3" w14:textId="77777777" w:rsidR="00481471" w:rsidRPr="00481471" w:rsidRDefault="00481471" w:rsidP="00AB20B1">
      <w:pPr>
        <w:numPr>
          <w:ilvl w:val="1"/>
          <w:numId w:val="48"/>
        </w:numPr>
        <w:spacing w:after="0"/>
      </w:pPr>
      <w:r w:rsidRPr="00481471">
        <w:t>Introduce leave provisions for GP trainees.</w:t>
      </w:r>
    </w:p>
    <w:p w14:paraId="3C242A66" w14:textId="344CE573" w:rsidR="00481471" w:rsidRDefault="00481471">
      <w:r w:rsidRPr="00481471">
        <w:t>Package 1 is the option identified by Department of Health and Aged Care as having the most positive impact on the policy objectives and on the various stakeholder groups. </w:t>
      </w:r>
    </w:p>
    <w:p w14:paraId="050B3097" w14:textId="4A774285" w:rsidR="00973D8B" w:rsidRDefault="00973D8B" w:rsidP="00E44616">
      <w:pPr>
        <w:pStyle w:val="Heading3"/>
      </w:pPr>
      <w:bookmarkStart w:id="94" w:name="_Toc1459915439"/>
      <w:r>
        <w:t>Mandatory reporting of medical device adverse events by healthcare facilities</w:t>
      </w:r>
      <w:bookmarkEnd w:id="94"/>
    </w:p>
    <w:p w14:paraId="6EC3A623" w14:textId="77777777" w:rsidR="00973D8B" w:rsidRPr="00D2267D" w:rsidRDefault="00973D8B" w:rsidP="00973D8B">
      <w:pPr>
        <w:rPr>
          <w:rFonts w:eastAsia="MS Mincho"/>
        </w:rPr>
      </w:pPr>
      <w:r w:rsidRPr="00B25486">
        <w:t xml:space="preserve">IA </w:t>
      </w:r>
      <w:r w:rsidRPr="00D2267D">
        <w:t xml:space="preserve">Status: </w:t>
      </w:r>
      <w:r w:rsidRPr="00D2267D">
        <w:rPr>
          <w:rFonts w:eastAsia="MS Mincho"/>
          <w:w w:val="105"/>
        </w:rPr>
        <w:t>Compliant</w:t>
      </w:r>
    </w:p>
    <w:p w14:paraId="62C97FF4" w14:textId="77777777" w:rsidR="00973D8B" w:rsidRPr="00D2267D" w:rsidRDefault="00973D8B" w:rsidP="00973D8B">
      <w:r w:rsidRPr="00D2267D">
        <w:t xml:space="preserve">Assessment Rating: </w:t>
      </w:r>
      <w:r>
        <w:t>Good Practice</w:t>
      </w:r>
    </w:p>
    <w:p w14:paraId="673E9B90" w14:textId="77777777" w:rsidR="00973D8B" w:rsidRPr="001A7674" w:rsidRDefault="00973D8B" w:rsidP="00973D8B">
      <w:r w:rsidRPr="00D2267D">
        <w:t>PIR Required: No</w:t>
      </w:r>
    </w:p>
    <w:p w14:paraId="17E4322B" w14:textId="78732907" w:rsidR="00973D8B" w:rsidRDefault="00973D8B" w:rsidP="00973D8B">
      <w:r>
        <w:t xml:space="preserve">Longer-term safety issues with medical devices (such as urogynaecological mesh and breast implants) are more likely to have serious clinical impacts some years after the device implantation. These may present in a different healthcare setting to the original procedure. </w:t>
      </w:r>
    </w:p>
    <w:p w14:paraId="3909C8B5" w14:textId="41F8CE64" w:rsidR="00973D8B" w:rsidRDefault="00973D8B" w:rsidP="00973D8B">
      <w:r>
        <w:t xml:space="preserve">Adverse events are often not reported to the Therapeutic Goods Administration (TGA) by consumers, health practitioners or healthcare facilities due to lack of awareness, perceived complexity of reporting process, or </w:t>
      </w:r>
      <w:r>
        <w:lastRenderedPageBreak/>
        <w:t>concerns about reputational impact. Manufacturers and sponsors of medical devices are required to report adverse events where known, but clinical impacts can take several years to present. Healthcare facilities are often providing treatments before the TGA is made aware of an issue, which does not support the early identification of emerging safety and performance issues.</w:t>
      </w:r>
    </w:p>
    <w:p w14:paraId="0770C51E" w14:textId="0FAAD30D" w:rsidR="00973D8B" w:rsidRDefault="00973D8B" w:rsidP="00973D8B">
      <w:r>
        <w:t>The Impact Analysis (IA) considers four options to address underreporting.</w:t>
      </w:r>
    </w:p>
    <w:p w14:paraId="0C46CEEB" w14:textId="77777777" w:rsidR="00973D8B" w:rsidRDefault="00973D8B" w:rsidP="00E44616">
      <w:pPr>
        <w:pStyle w:val="ListParagraph"/>
        <w:numPr>
          <w:ilvl w:val="0"/>
          <w:numId w:val="53"/>
        </w:numPr>
      </w:pPr>
      <w:r>
        <w:t>Option 1: (status quo): Retain current voluntary reporting requirements for healthcare facilities.</w:t>
      </w:r>
    </w:p>
    <w:p w14:paraId="137CB7A2" w14:textId="77777777" w:rsidR="00973D8B" w:rsidRDefault="00973D8B" w:rsidP="00E44616">
      <w:pPr>
        <w:pStyle w:val="ListParagraph"/>
        <w:numPr>
          <w:ilvl w:val="0"/>
          <w:numId w:val="53"/>
        </w:numPr>
      </w:pPr>
      <w:r>
        <w:t>Option 2: Public and private hospitals (including day hospitals) would be required to report adverse events relating to high-risk medical devices. Reporting could occur in batch (for example monthly or every two months, Option 2A) or on occurrence (Option 2B).</w:t>
      </w:r>
    </w:p>
    <w:p w14:paraId="329D8669" w14:textId="77777777" w:rsidR="00973D8B" w:rsidRDefault="00973D8B" w:rsidP="00E44616">
      <w:pPr>
        <w:pStyle w:val="ListParagraph"/>
        <w:numPr>
          <w:ilvl w:val="0"/>
          <w:numId w:val="53"/>
        </w:numPr>
      </w:pPr>
      <w:r>
        <w:t>Option 3: Public and private hospitals (including day hospitals) would be required to report on adverse events relating to medium and high-risk medical devices, with reporting occurring in batch (Option 3A) or on occurrence (Option 3B).</w:t>
      </w:r>
    </w:p>
    <w:p w14:paraId="603A4BB3" w14:textId="77777777" w:rsidR="00973D8B" w:rsidRDefault="00973D8B" w:rsidP="00E44616">
      <w:pPr>
        <w:pStyle w:val="ListParagraph"/>
        <w:numPr>
          <w:ilvl w:val="0"/>
          <w:numId w:val="53"/>
        </w:numPr>
      </w:pPr>
      <w:r>
        <w:t>Option 4: Public and private hospitals and approved Residential Aged Care facilities (excluding Multi-Purpose Services facilities) would be required to report adverse events relating to medium and high-risk medical devices, with reporting occurring in batch (Option 4A) or on occurrence (Option 4B).</w:t>
      </w:r>
    </w:p>
    <w:p w14:paraId="5BB116E2" w14:textId="3776FEE6" w:rsidR="00973D8B" w:rsidRPr="00973D8B" w:rsidRDefault="00973D8B" w:rsidP="00973D8B">
      <w:r>
        <w:t>Based on the assessment outlined in the IA, Option 3A is the preferred option as it considered to provide the best balance between addressing the policy objectives and regulatory burden placed on the reporting population.</w:t>
      </w:r>
    </w:p>
    <w:p w14:paraId="2430C517" w14:textId="360EE767" w:rsidR="00DE6598" w:rsidRDefault="00DE6598" w:rsidP="00DE6598">
      <w:pPr>
        <w:pStyle w:val="Heading2"/>
      </w:pPr>
      <w:bookmarkStart w:id="95" w:name="_Toc155876579"/>
      <w:bookmarkStart w:id="96" w:name="_Toc193445450"/>
      <w:bookmarkStart w:id="97" w:name="_Toc977034660"/>
      <w:r>
        <w:t>Department of Home Affairs</w:t>
      </w:r>
      <w:bookmarkEnd w:id="95"/>
      <w:bookmarkEnd w:id="96"/>
      <w:bookmarkEnd w:id="97"/>
    </w:p>
    <w:p w14:paraId="74D03A79" w14:textId="329A60F4" w:rsidR="00845013" w:rsidRDefault="00845013" w:rsidP="00845013">
      <w:pPr>
        <w:pStyle w:val="Heading3"/>
      </w:pPr>
      <w:bookmarkStart w:id="98" w:name="_Toc193445451"/>
      <w:bookmarkStart w:id="99" w:name="_Toc1052275845"/>
      <w:r>
        <w:t>Cyber Security Legislation: Mandatory Ransomware Payment Reporting – Cyber Security Bill 2024</w:t>
      </w:r>
      <w:bookmarkEnd w:id="98"/>
      <w:bookmarkEnd w:id="99"/>
    </w:p>
    <w:p w14:paraId="2B3B0C70"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1358F098" w14:textId="35BF025B" w:rsidR="00845013" w:rsidRPr="00D2267D" w:rsidRDefault="00845013" w:rsidP="00845013">
      <w:r w:rsidRPr="00D2267D">
        <w:t xml:space="preserve">Assessment Rating: </w:t>
      </w:r>
      <w:r>
        <w:t>Good Practice</w:t>
      </w:r>
    </w:p>
    <w:p w14:paraId="5612AAC5" w14:textId="77777777" w:rsidR="00845013" w:rsidRPr="001A7674" w:rsidRDefault="00845013" w:rsidP="00845013">
      <w:r w:rsidRPr="00D2267D">
        <w:t>PIR Required: No</w:t>
      </w:r>
    </w:p>
    <w:p w14:paraId="252E2035" w14:textId="5302A06E" w:rsidR="00845013" w:rsidRDefault="00845013" w:rsidP="00845013">
      <w:pPr>
        <w:rPr>
          <w:rFonts w:eastAsia="MS Mincho"/>
          <w:spacing w:val="-3"/>
        </w:rPr>
      </w:pPr>
      <w:r w:rsidRPr="001A7674">
        <w:t xml:space="preserve">Regulatory Burden: </w:t>
      </w:r>
      <w:r w:rsidR="00C33ABF" w:rsidRPr="00C33ABF">
        <w:rPr>
          <w:rFonts w:eastAsia="MS Mincho"/>
          <w:spacing w:val="-3"/>
        </w:rPr>
        <w:t>The Department of Home Affairs estimates the three reforms in preferred Option 3B will increase average regulatory costs by $4.77 million per year.</w:t>
      </w:r>
      <w:r w:rsidR="00C33ABF">
        <w:rPr>
          <w:rFonts w:eastAsia="MS Mincho"/>
          <w:spacing w:val="-3"/>
        </w:rPr>
        <w:t xml:space="preserve"> </w:t>
      </w:r>
    </w:p>
    <w:p w14:paraId="18389312" w14:textId="130F590C" w:rsidR="00845013" w:rsidRPr="00845013" w:rsidRDefault="00845013" w:rsidP="00845013">
      <w:pPr>
        <w:rPr>
          <w:rFonts w:eastAsia="MS Mincho"/>
          <w:spacing w:val="-3"/>
        </w:rPr>
      </w:pPr>
      <w:r w:rsidRPr="00845013">
        <w:rPr>
          <w:rFonts w:eastAsia="MS Mincho"/>
          <w:spacing w:val="-3"/>
        </w:rPr>
        <w:t>Ransomware uses malicious software to cripple operations by encrypting devices, folders and files, rendering essential computer systems inaccessible unless a ransom is paid, and remains the most destructive cybercrime threat to Australians. Cyber extortion is on the rise. In 2022-2023, the Australian Signals Directorate (ASD) responded to 127 extortion-related incidents, 118 of these incidents involved ransomware or other forms of restriction to systems, files or accounts. Throughout this period, ASD reported that cybercriminals constantly evolved their tactics and operations to extract maximum payments from victims, fuelled by a global industry of access brokers, extortionists and ran</w:t>
      </w:r>
      <w:r>
        <w:rPr>
          <w:rFonts w:eastAsia="MS Mincho"/>
          <w:spacing w:val="-3"/>
        </w:rPr>
        <w:t>somware-as-a-service operators.</w:t>
      </w:r>
    </w:p>
    <w:p w14:paraId="44B0FD6B" w14:textId="4D6ED123" w:rsidR="00845013" w:rsidRDefault="00845013" w:rsidP="00845013">
      <w:pPr>
        <w:rPr>
          <w:rFonts w:eastAsia="MS Mincho"/>
          <w:spacing w:val="-3"/>
        </w:rPr>
      </w:pPr>
      <w:r w:rsidRPr="00845013">
        <w:rPr>
          <w:rFonts w:eastAsia="MS Mincho"/>
          <w:spacing w:val="-3"/>
        </w:rPr>
        <w:lastRenderedPageBreak/>
        <w:t>Under the 2023-2030 Australian Cyber Security Strategy, the Australian Government has committed to disrupting the ransomware business model and preventing cybercriminals from profiting from attacks on Australian businesses and citizens. However, under-reporting of ransomware payments limits the Australian Government’s understanding of the cyber threat landscape, which is essential to facing increased extortion-related cyber security incidents and developing policy options to break the ransomware business model.</w:t>
      </w:r>
    </w:p>
    <w:p w14:paraId="5636DE8F" w14:textId="4D9A8C50" w:rsidR="00845013" w:rsidRDefault="00FD68F0" w:rsidP="00845013">
      <w:r>
        <w:t>This IA</w:t>
      </w:r>
      <w:r w:rsidR="00845013">
        <w:t xml:space="preserve"> considers four options. </w:t>
      </w:r>
    </w:p>
    <w:p w14:paraId="6187F709" w14:textId="1F441834" w:rsidR="00845013" w:rsidRDefault="00845013" w:rsidP="00845013">
      <w:pPr>
        <w:pStyle w:val="ListParagraph"/>
        <w:numPr>
          <w:ilvl w:val="0"/>
          <w:numId w:val="30"/>
        </w:numPr>
      </w:pPr>
      <w:r>
        <w:t>Option 1 – maintain the status quo (no regulatory change).</w:t>
      </w:r>
    </w:p>
    <w:p w14:paraId="4D70C598" w14:textId="3D67541D" w:rsidR="00845013" w:rsidRDefault="00845013" w:rsidP="00845013">
      <w:pPr>
        <w:pStyle w:val="ListParagraph"/>
        <w:numPr>
          <w:ilvl w:val="0"/>
          <w:numId w:val="30"/>
        </w:numPr>
      </w:pPr>
      <w:r>
        <w:t>Option 2 – encourage voluntary reporting of ransomware demands and payments.</w:t>
      </w:r>
    </w:p>
    <w:p w14:paraId="4E465410" w14:textId="21B8B97F" w:rsidR="00845013" w:rsidRDefault="00845013" w:rsidP="00845013">
      <w:pPr>
        <w:pStyle w:val="ListParagraph"/>
        <w:numPr>
          <w:ilvl w:val="0"/>
          <w:numId w:val="30"/>
        </w:numPr>
      </w:pPr>
      <w:r>
        <w:t>Option 3 – legislate mandatory reporting of ransomware payments.</w:t>
      </w:r>
    </w:p>
    <w:p w14:paraId="436A8B21" w14:textId="549E4E75" w:rsidR="00845013" w:rsidRDefault="00845013" w:rsidP="00845013">
      <w:pPr>
        <w:pStyle w:val="ListParagraph"/>
        <w:numPr>
          <w:ilvl w:val="0"/>
          <w:numId w:val="30"/>
        </w:numPr>
      </w:pPr>
      <w:r>
        <w:t>Option 4 – legislate mandatory reporting of ransomware demands and payments.</w:t>
      </w:r>
    </w:p>
    <w:p w14:paraId="608CFE60" w14:textId="7FE9C314" w:rsidR="00845013" w:rsidRDefault="00845013" w:rsidP="00845013">
      <w:r>
        <w:t>For options 3 and 4, two thresholds to apply the reporting obligation were considered.</w:t>
      </w:r>
    </w:p>
    <w:p w14:paraId="6B4A88D1" w14:textId="5BC2A1B9" w:rsidR="00845013" w:rsidRDefault="00845013" w:rsidP="00845013">
      <w:pPr>
        <w:pStyle w:val="ListParagraph"/>
        <w:numPr>
          <w:ilvl w:val="0"/>
          <w:numId w:val="29"/>
        </w:numPr>
      </w:pPr>
      <w:r>
        <w:t>Option A – entities with an annual turnover of greater than $10 million.</w:t>
      </w:r>
    </w:p>
    <w:p w14:paraId="48616B76" w14:textId="6BC70928" w:rsidR="00845013" w:rsidRDefault="00845013" w:rsidP="00845013">
      <w:pPr>
        <w:pStyle w:val="ListParagraph"/>
        <w:numPr>
          <w:ilvl w:val="0"/>
          <w:numId w:val="29"/>
        </w:numPr>
      </w:pPr>
      <w:r>
        <w:t>Option B – entities with an annual turnover of greater than $3 million.</w:t>
      </w:r>
    </w:p>
    <w:p w14:paraId="67864C47" w14:textId="35355A7B" w:rsidR="00845013" w:rsidRDefault="00845013" w:rsidP="00845013">
      <w:r>
        <w:t>The preferred policy option is Option 3B.</w:t>
      </w:r>
    </w:p>
    <w:p w14:paraId="5ADCEDB5" w14:textId="0FF63669" w:rsidR="00845013" w:rsidRDefault="00845013" w:rsidP="00845013">
      <w:pPr>
        <w:pStyle w:val="Heading3"/>
      </w:pPr>
      <w:bookmarkStart w:id="100" w:name="_Toc193445452"/>
      <w:bookmarkStart w:id="101" w:name="_Toc141232649"/>
      <w:r>
        <w:t>Cyber Security Legislation: Amendments to the Security of Critical Infrastructure Act 2018</w:t>
      </w:r>
      <w:bookmarkEnd w:id="100"/>
      <w:bookmarkEnd w:id="101"/>
    </w:p>
    <w:p w14:paraId="637793BF"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7D6BE40B" w14:textId="59EC6324" w:rsidR="00845013" w:rsidRPr="00D2267D" w:rsidRDefault="00845013" w:rsidP="00845013">
      <w:r w:rsidRPr="00D2267D">
        <w:t xml:space="preserve">Assessment Rating: </w:t>
      </w:r>
      <w:r>
        <w:t>Good Practice</w:t>
      </w:r>
    </w:p>
    <w:p w14:paraId="2F187C26" w14:textId="77777777" w:rsidR="00845013" w:rsidRPr="001A7674" w:rsidRDefault="00845013" w:rsidP="00845013">
      <w:r w:rsidRPr="00D2267D">
        <w:t>PIR Required: No</w:t>
      </w:r>
    </w:p>
    <w:p w14:paraId="595F84E9" w14:textId="306D6F10" w:rsidR="00845013" w:rsidRDefault="00845013" w:rsidP="00845013">
      <w:pPr>
        <w:rPr>
          <w:rFonts w:eastAsia="MS Mincho"/>
          <w:spacing w:val="-3"/>
        </w:rPr>
      </w:pPr>
      <w:r w:rsidRPr="001A7674">
        <w:t xml:space="preserve">Regulatory Burden: </w:t>
      </w:r>
      <w:r w:rsidRPr="001664BA">
        <w:rPr>
          <w:rFonts w:eastAsia="MS Mincho"/>
          <w:spacing w:val="-3"/>
        </w:rPr>
        <w:t>The Department of Home Affairs anticipated the regulatory costs of preferred Option 2 could range from $0.5m to $50m per cyber incident, with an expected incident frequency of one in every three years, suggesting an increase in average regulatory costs by between $0.1m and $16.7m per year.</w:t>
      </w:r>
    </w:p>
    <w:p w14:paraId="26FEAD0A" w14:textId="6D55DB63" w:rsidR="00845013" w:rsidRDefault="00845013" w:rsidP="00845013">
      <w:r>
        <w:t xml:space="preserve">The identification and protection of critical infrastructure is essential for Australia’s social and economic prosperity, national security and defence, and facilitating the provision of essential services. The </w:t>
      </w:r>
      <w:r w:rsidRPr="009A0C64">
        <w:rPr>
          <w:i/>
        </w:rPr>
        <w:t>Security of Critical Infrastructure Act 2018</w:t>
      </w:r>
      <w:r>
        <w:t xml:space="preserve"> (</w:t>
      </w:r>
      <w:r w:rsidRPr="009A0C64">
        <w:rPr>
          <w:i/>
        </w:rPr>
        <w:t>SOCI Act</w:t>
      </w:r>
      <w:r>
        <w:t xml:space="preserve">) represented a significant enhancement to Australia’s regulatory framework when enacted, however evolving geopolitical and cyber threats requires regular review of existing settings to ensure the security and resilience of our critical infrastructure. </w:t>
      </w:r>
    </w:p>
    <w:p w14:paraId="45CD0E0E" w14:textId="24D3CAD0" w:rsidR="00845013" w:rsidRDefault="00845013" w:rsidP="00845013">
      <w:r>
        <w:t xml:space="preserve">This </w:t>
      </w:r>
      <w:r w:rsidR="00FD68F0">
        <w:t>IA</w:t>
      </w:r>
      <w:r>
        <w:t xml:space="preserve"> considers potential reforms to the </w:t>
      </w:r>
      <w:r w:rsidRPr="009A0C64">
        <w:rPr>
          <w:i/>
        </w:rPr>
        <w:t>SOCI Act</w:t>
      </w:r>
      <w:r>
        <w:t xml:space="preserve"> to address three issues with the current regulatory settings.</w:t>
      </w:r>
    </w:p>
    <w:p w14:paraId="48C0F636" w14:textId="2A43D836" w:rsidR="00845013" w:rsidRDefault="00845013" w:rsidP="00845013">
      <w:pPr>
        <w:pStyle w:val="ListParagraph"/>
        <w:numPr>
          <w:ilvl w:val="0"/>
          <w:numId w:val="31"/>
        </w:numPr>
      </w:pPr>
      <w:r>
        <w:t>There are a growing number of cyber incidents which impact non-operational data storage systems held by critical infrastructure entities which can often be a point of entry for malicious actors.</w:t>
      </w:r>
    </w:p>
    <w:p w14:paraId="2E4B59E8" w14:textId="30FF98E2" w:rsidR="00845013" w:rsidRDefault="00845013" w:rsidP="00845013">
      <w:pPr>
        <w:pStyle w:val="ListParagraph"/>
        <w:numPr>
          <w:ilvl w:val="0"/>
          <w:numId w:val="31"/>
        </w:numPr>
      </w:pPr>
      <w:r>
        <w:t>Businesses face difficulties responding effectively in the aftermath of significant incidents because of legal risks and government’s limited ability to support with post-incident consequence management.</w:t>
      </w:r>
    </w:p>
    <w:p w14:paraId="73921722" w14:textId="28720341" w:rsidR="00845013" w:rsidRDefault="00845013" w:rsidP="00845013">
      <w:pPr>
        <w:pStyle w:val="ListParagraph"/>
        <w:numPr>
          <w:ilvl w:val="0"/>
          <w:numId w:val="31"/>
        </w:numPr>
      </w:pPr>
      <w:r>
        <w:lastRenderedPageBreak/>
        <w:t>When an entity is unwilling to comply with the regulator’s recommendations to enhance a risk management program (RMP), there is limited ability for the regulator to issue a direction that the entity remedy the deficient RMP in a timely fashion.</w:t>
      </w:r>
    </w:p>
    <w:p w14:paraId="3E2F7E73" w14:textId="559CCA44" w:rsidR="00845013" w:rsidRDefault="00845013" w:rsidP="00845013">
      <w:pPr>
        <w:ind w:left="360"/>
      </w:pPr>
      <w:r>
        <w:t>This IA considers three options.</w:t>
      </w:r>
    </w:p>
    <w:p w14:paraId="3F12E582" w14:textId="6251AF41" w:rsidR="00845013" w:rsidRDefault="00845013" w:rsidP="00845013">
      <w:pPr>
        <w:pStyle w:val="ListParagraph"/>
        <w:numPr>
          <w:ilvl w:val="0"/>
          <w:numId w:val="31"/>
        </w:numPr>
      </w:pPr>
      <w:r>
        <w:t>Option 1</w:t>
      </w:r>
      <w:r w:rsidR="00695E3C">
        <w:t>:</w:t>
      </w:r>
      <w:r>
        <w:t xml:space="preserve"> maintaining the status quo (no regulatory change).</w:t>
      </w:r>
    </w:p>
    <w:p w14:paraId="52FB7D00" w14:textId="39D9AA76" w:rsidR="00845013" w:rsidRDefault="00845013" w:rsidP="00845013">
      <w:pPr>
        <w:pStyle w:val="ListParagraph"/>
        <w:numPr>
          <w:ilvl w:val="0"/>
          <w:numId w:val="31"/>
        </w:numPr>
      </w:pPr>
      <w:r>
        <w:t>Option 2</w:t>
      </w:r>
      <w:r w:rsidR="00695E3C">
        <w:t>:</w:t>
      </w:r>
      <w:r>
        <w:t xml:space="preserve"> Implementing three reforms to the </w:t>
      </w:r>
      <w:r w:rsidRPr="009A0C64">
        <w:rPr>
          <w:i/>
        </w:rPr>
        <w:t>SOCI Act</w:t>
      </w:r>
      <w:r>
        <w:t>, including:</w:t>
      </w:r>
    </w:p>
    <w:p w14:paraId="14F73B80" w14:textId="2A581D97" w:rsidR="00845013" w:rsidRDefault="00845013" w:rsidP="00845013">
      <w:pPr>
        <w:pStyle w:val="ListParagraph"/>
        <w:numPr>
          <w:ilvl w:val="1"/>
          <w:numId w:val="31"/>
        </w:numPr>
      </w:pPr>
      <w:r>
        <w:t>clarification of definitions to capture systems holding business critical data</w:t>
      </w:r>
    </w:p>
    <w:p w14:paraId="6BB25073" w14:textId="409A956B" w:rsidR="00845013" w:rsidRDefault="00845013" w:rsidP="00845013">
      <w:pPr>
        <w:pStyle w:val="ListParagraph"/>
        <w:numPr>
          <w:ilvl w:val="1"/>
          <w:numId w:val="31"/>
        </w:numPr>
      </w:pPr>
      <w:r>
        <w:t>legislating an all-hazards consequence management power and</w:t>
      </w:r>
    </w:p>
    <w:p w14:paraId="32C53966" w14:textId="77777777" w:rsidR="00845013" w:rsidRDefault="00845013" w:rsidP="00845013">
      <w:pPr>
        <w:pStyle w:val="ListParagraph"/>
        <w:numPr>
          <w:ilvl w:val="1"/>
          <w:numId w:val="31"/>
        </w:numPr>
      </w:pPr>
      <w:r>
        <w:t>a new directions power to address seriously deficient risk management obligations.</w:t>
      </w:r>
    </w:p>
    <w:p w14:paraId="5337CE01" w14:textId="1CC1BFAE" w:rsidR="00845013" w:rsidRDefault="00845013" w:rsidP="00845013">
      <w:pPr>
        <w:pStyle w:val="ListParagraph"/>
        <w:numPr>
          <w:ilvl w:val="0"/>
          <w:numId w:val="31"/>
        </w:numPr>
      </w:pPr>
      <w:r>
        <w:t>Option 3</w:t>
      </w:r>
      <w:r w:rsidR="00695E3C">
        <w:t>:</w:t>
      </w:r>
      <w:r>
        <w:t xml:space="preserve"> enhanced collaboration between industry and Government, through use of the Trusted Information Sharing Network (TISN). </w:t>
      </w:r>
    </w:p>
    <w:p w14:paraId="38F39D85" w14:textId="6EF8FBE6" w:rsidR="00845013" w:rsidRDefault="00845013" w:rsidP="00845013">
      <w:pPr>
        <w:ind w:left="360"/>
      </w:pPr>
      <w:r>
        <w:t>The preferred policy option is Option 2.</w:t>
      </w:r>
    </w:p>
    <w:p w14:paraId="45506807" w14:textId="468D0C58" w:rsidR="005F683B" w:rsidRDefault="005F683B" w:rsidP="00AB20B1">
      <w:pPr>
        <w:pStyle w:val="Heading3"/>
        <w:rPr>
          <w:rStyle w:val="field"/>
        </w:rPr>
      </w:pPr>
      <w:bookmarkStart w:id="102" w:name="_Toc193445453"/>
      <w:bookmarkStart w:id="103" w:name="_Toc521295227"/>
      <w:r w:rsidRPr="15A450E2">
        <w:rPr>
          <w:rStyle w:val="field"/>
        </w:rPr>
        <w:t>Critical Telecommunications Assets</w:t>
      </w:r>
      <w:bookmarkEnd w:id="102"/>
      <w:bookmarkEnd w:id="103"/>
    </w:p>
    <w:p w14:paraId="21DF2870" w14:textId="77777777" w:rsidR="005F683B" w:rsidRPr="00D2267D" w:rsidRDefault="005F683B" w:rsidP="005F683B">
      <w:pPr>
        <w:rPr>
          <w:rFonts w:eastAsia="MS Mincho"/>
        </w:rPr>
      </w:pPr>
      <w:r w:rsidRPr="00B25486">
        <w:t xml:space="preserve">IA </w:t>
      </w:r>
      <w:r w:rsidRPr="00D2267D">
        <w:t xml:space="preserve">Status: </w:t>
      </w:r>
      <w:r w:rsidRPr="00D2267D">
        <w:rPr>
          <w:rFonts w:eastAsia="MS Mincho"/>
          <w:w w:val="105"/>
        </w:rPr>
        <w:t>Compliant</w:t>
      </w:r>
    </w:p>
    <w:p w14:paraId="091F1660" w14:textId="7186B7FC" w:rsidR="005F683B" w:rsidRPr="00D2267D" w:rsidRDefault="005F683B" w:rsidP="005F683B">
      <w:r w:rsidRPr="00D2267D">
        <w:t xml:space="preserve">Assessment Rating: </w:t>
      </w:r>
      <w:r>
        <w:t>N/A (Impact Analysis Equivalent)</w:t>
      </w:r>
    </w:p>
    <w:p w14:paraId="08AA1182" w14:textId="77777777" w:rsidR="005F683B" w:rsidRPr="001A7674" w:rsidRDefault="005F683B" w:rsidP="005F683B">
      <w:r w:rsidRPr="00D2267D">
        <w:t>PIR Required: No</w:t>
      </w:r>
    </w:p>
    <w:p w14:paraId="2842A3F3" w14:textId="206A3B3F" w:rsidR="005F683B" w:rsidRDefault="005F683B" w:rsidP="00AB20B1">
      <w:r w:rsidRPr="001A7674">
        <w:t>Regulatory Burden:</w:t>
      </w:r>
      <w:r>
        <w:t xml:space="preserve"> </w:t>
      </w:r>
      <w:r w:rsidRPr="005F683B">
        <w:t>The Certification letter from the Department of Home Affairs outlines that robust estimates of regulatory burden were unable to be produced due to the absence of quantitative submissions from indu</w:t>
      </w:r>
      <w:r>
        <w:t>stry.</w:t>
      </w:r>
    </w:p>
    <w:p w14:paraId="3E005DF4" w14:textId="77777777" w:rsidR="005F683B" w:rsidRPr="00AB20B1" w:rsidRDefault="005F683B" w:rsidP="005F683B">
      <w:pPr>
        <w:pStyle w:val="NormalWeb"/>
        <w:shd w:val="clear" w:color="auto" w:fill="FFFFFF"/>
        <w:spacing w:before="0" w:beforeAutospacing="0" w:line="345" w:lineRule="atLeast"/>
        <w:rPr>
          <w:rFonts w:asciiTheme="minorHAnsi" w:hAnsiTheme="minorHAnsi" w:cstheme="minorHAnsi"/>
          <w:sz w:val="22"/>
          <w:szCs w:val="20"/>
        </w:rPr>
      </w:pPr>
      <w:r w:rsidRPr="00AB20B1">
        <w:rPr>
          <w:rFonts w:asciiTheme="minorHAnsi" w:hAnsiTheme="minorHAnsi" w:cstheme="minorHAnsi"/>
          <w:sz w:val="22"/>
          <w:szCs w:val="20"/>
        </w:rPr>
        <w:t>Critical infrastructure is essential for Australia’s social and economic prosperity, national security and defence, and facilitating the provision of essential services across Australia. However, risks to Australia’s critical infrastructure have evolved in recent years. These risks are inherently complex and reflect factors including increased cyber connectivity and greater participation in, and reliance on, global supply chains to support the provision of essential services. </w:t>
      </w:r>
    </w:p>
    <w:p w14:paraId="2F21416B" w14:textId="77777777" w:rsidR="005F683B" w:rsidRPr="00AB20B1" w:rsidRDefault="005F683B" w:rsidP="58AC7121">
      <w:pPr>
        <w:pStyle w:val="NormalWeb"/>
        <w:shd w:val="clear" w:color="auto" w:fill="FFFFFF" w:themeFill="background1"/>
        <w:spacing w:before="0" w:beforeAutospacing="0" w:line="345" w:lineRule="atLeast"/>
        <w:rPr>
          <w:rFonts w:asciiTheme="minorHAnsi" w:hAnsiTheme="minorHAnsi" w:cstheme="minorBidi"/>
          <w:sz w:val="22"/>
          <w:szCs w:val="22"/>
        </w:rPr>
      </w:pPr>
      <w:r w:rsidRPr="00AB20B1">
        <w:rPr>
          <w:rFonts w:asciiTheme="minorHAnsi" w:hAnsiTheme="minorHAnsi" w:cstheme="minorBidi"/>
          <w:sz w:val="22"/>
          <w:szCs w:val="22"/>
        </w:rPr>
        <w:t>The </w:t>
      </w:r>
      <w:r w:rsidRPr="00AB20B1">
        <w:rPr>
          <w:rStyle w:val="Emphasis"/>
          <w:rFonts w:asciiTheme="minorHAnsi" w:eastAsiaTheme="majorEastAsia" w:hAnsiTheme="minorHAnsi" w:cstheme="minorBidi"/>
          <w:sz w:val="22"/>
          <w:szCs w:val="22"/>
        </w:rPr>
        <w:t>Security of Critical Infrastructure Act 2018</w:t>
      </w:r>
      <w:r w:rsidRPr="00AB20B1">
        <w:rPr>
          <w:rFonts w:asciiTheme="minorHAnsi" w:hAnsiTheme="minorHAnsi" w:cstheme="minorBidi"/>
          <w:sz w:val="22"/>
          <w:szCs w:val="22"/>
        </w:rPr>
        <w:t> (SOCI Act) was designed to manage risks to critical infrastructure assets. The SOCI Act was </w:t>
      </w:r>
      <w:hyperlink r:id="rId18" w:history="1">
        <w:r w:rsidRPr="00AB20B1">
          <w:rPr>
            <w:rStyle w:val="Hyperlink"/>
            <w:rFonts w:asciiTheme="minorHAnsi" w:eastAsiaTheme="majorEastAsia" w:hAnsiTheme="minorHAnsi" w:cstheme="minorBidi"/>
            <w:b/>
            <w:bCs/>
            <w:color w:val="014463"/>
            <w:sz w:val="22"/>
            <w:szCs w:val="22"/>
          </w:rPr>
          <w:t>amended in 2022</w:t>
        </w:r>
      </w:hyperlink>
      <w:r w:rsidRPr="00AB20B1">
        <w:rPr>
          <w:rFonts w:asciiTheme="minorHAnsi" w:eastAsiaTheme="minorEastAsia" w:hAnsiTheme="minorHAnsi" w:cstheme="minorBidi"/>
          <w:sz w:val="22"/>
          <w:szCs w:val="22"/>
        </w:rPr>
        <w:t> t</w:t>
      </w:r>
      <w:r w:rsidRPr="00AB20B1">
        <w:rPr>
          <w:rFonts w:asciiTheme="minorHAnsi" w:hAnsiTheme="minorHAnsi" w:cstheme="minorBidi"/>
          <w:sz w:val="22"/>
          <w:szCs w:val="22"/>
        </w:rPr>
        <w:t>o more appropriately capture assets critical to Australia’s defence, national security, economic and social stability and in response to increasing threats from cyber attacks. At that time, critical telecommunications assets remained separately regulated (in part) under the </w:t>
      </w:r>
      <w:r w:rsidRPr="00AB20B1">
        <w:rPr>
          <w:rStyle w:val="Emphasis"/>
          <w:rFonts w:asciiTheme="minorHAnsi" w:eastAsiaTheme="majorEastAsia" w:hAnsiTheme="minorHAnsi" w:cstheme="minorBidi"/>
          <w:sz w:val="22"/>
          <w:szCs w:val="22"/>
        </w:rPr>
        <w:t>Telecommunications Act 1997</w:t>
      </w:r>
      <w:r w:rsidRPr="00AB20B1">
        <w:rPr>
          <w:rFonts w:asciiTheme="minorHAnsi" w:hAnsiTheme="minorHAnsi" w:cstheme="minorBidi"/>
          <w:sz w:val="22"/>
          <w:szCs w:val="22"/>
        </w:rPr>
        <w:t> (the Telecommunications Act).</w:t>
      </w:r>
    </w:p>
    <w:p w14:paraId="48D5B71C" w14:textId="7E35E98D" w:rsidR="005F683B" w:rsidRPr="00AB20B1" w:rsidRDefault="005F683B" w:rsidP="005F683B">
      <w:pPr>
        <w:pStyle w:val="NormalWeb"/>
        <w:shd w:val="clear" w:color="auto" w:fill="FFFFFF"/>
        <w:spacing w:before="0" w:beforeAutospacing="0" w:line="345" w:lineRule="atLeast"/>
        <w:rPr>
          <w:rFonts w:asciiTheme="minorHAnsi" w:hAnsiTheme="minorHAnsi" w:cstheme="minorHAnsi"/>
          <w:sz w:val="22"/>
          <w:szCs w:val="20"/>
        </w:rPr>
      </w:pPr>
      <w:r w:rsidRPr="00AB20B1">
        <w:rPr>
          <w:rFonts w:asciiTheme="minorHAnsi" w:hAnsiTheme="minorHAnsi" w:cstheme="minorHAnsi"/>
          <w:sz w:val="22"/>
          <w:szCs w:val="20"/>
        </w:rPr>
        <w:t>The increasing frequency of serious incidents affecting telecommunications assets and some complexity caused by regulation under different legislative frameworks has contributed to increased risks for owners and operators of critical telecommunications assets.</w:t>
      </w:r>
    </w:p>
    <w:p w14:paraId="4B55D982" w14:textId="470894D8" w:rsidR="00184CD3" w:rsidRPr="00E50ABE" w:rsidRDefault="005F683B" w:rsidP="00037BD4">
      <w:pPr>
        <w:pStyle w:val="NormalWeb"/>
        <w:shd w:val="clear" w:color="auto" w:fill="FFFFFF" w:themeFill="background1"/>
        <w:spacing w:before="0" w:beforeAutospacing="0" w:line="345" w:lineRule="atLeast"/>
        <w:rPr>
          <w:szCs w:val="22"/>
        </w:rPr>
      </w:pPr>
      <w:r w:rsidRPr="00772136">
        <w:rPr>
          <w:rFonts w:asciiTheme="minorHAnsi" w:hAnsiTheme="minorHAnsi" w:cstheme="minorHAnsi"/>
          <w:sz w:val="22"/>
          <w:szCs w:val="20"/>
        </w:rPr>
        <w:lastRenderedPageBreak/>
        <w:t>This Impact Analysis Equivalent (IAE) considers the impacts of making subordinate legislation under the SOCI Act to introduce a bespoke critical infrastructure risk management program (CIRMP) for critical telecommunications assets (</w:t>
      </w:r>
      <w:r w:rsidRPr="00772136">
        <w:rPr>
          <w:rFonts w:asciiTheme="minorHAnsi" w:eastAsiaTheme="majorEastAsia" w:hAnsiTheme="minorHAnsi" w:cstheme="minorHAnsi"/>
          <w:i/>
          <w:sz w:val="22"/>
          <w:szCs w:val="20"/>
        </w:rPr>
        <w:t>Security of Critical Infrastructure (Telecommunications Security and Risk Management Program) Rules 2025</w:t>
      </w:r>
      <w:r w:rsidRPr="00772136">
        <w:rPr>
          <w:rFonts w:asciiTheme="minorHAnsi" w:hAnsiTheme="minorHAnsi" w:cstheme="minorHAnsi"/>
          <w:sz w:val="22"/>
          <w:szCs w:val="20"/>
        </w:rPr>
        <w:t>).</w:t>
      </w:r>
    </w:p>
    <w:p w14:paraId="46792ED3" w14:textId="78E90122" w:rsidR="009627AE" w:rsidRDefault="009627AE" w:rsidP="15A450E2">
      <w:pPr>
        <w:pStyle w:val="Heading3"/>
        <w:rPr>
          <w:rStyle w:val="field"/>
          <w:rFonts w:asciiTheme="minorHAnsi" w:eastAsiaTheme="minorEastAsia" w:hAnsiTheme="minorHAnsi" w:cstheme="minorBidi"/>
          <w:color w:val="auto"/>
          <w:sz w:val="22"/>
        </w:rPr>
      </w:pPr>
      <w:bookmarkStart w:id="104" w:name="_Toc193445454"/>
      <w:bookmarkStart w:id="105" w:name="_Toc207229604"/>
      <w:r w:rsidRPr="15A450E2">
        <w:rPr>
          <w:rStyle w:val="field"/>
        </w:rPr>
        <w:t>Aviation and Maritime Transport Security Reforms</w:t>
      </w:r>
      <w:bookmarkEnd w:id="104"/>
      <w:bookmarkEnd w:id="105"/>
    </w:p>
    <w:p w14:paraId="6509D025" w14:textId="77777777" w:rsidR="009627AE" w:rsidRPr="00D2267D" w:rsidRDefault="009627AE" w:rsidP="009627AE">
      <w:pPr>
        <w:rPr>
          <w:rFonts w:eastAsia="MS Mincho"/>
        </w:rPr>
      </w:pPr>
      <w:r w:rsidRPr="00B25486">
        <w:t xml:space="preserve">IA </w:t>
      </w:r>
      <w:r w:rsidRPr="00D2267D">
        <w:t xml:space="preserve">Status: </w:t>
      </w:r>
      <w:r w:rsidRPr="00D2267D">
        <w:rPr>
          <w:rFonts w:eastAsia="MS Mincho"/>
          <w:w w:val="105"/>
        </w:rPr>
        <w:t>Compliant</w:t>
      </w:r>
    </w:p>
    <w:p w14:paraId="4482F74E" w14:textId="514FBF41" w:rsidR="009627AE" w:rsidRPr="00D2267D" w:rsidRDefault="009627AE" w:rsidP="009627AE">
      <w:r w:rsidRPr="00D2267D">
        <w:t xml:space="preserve">Assessment Rating: </w:t>
      </w:r>
      <w:r>
        <w:t>Good Practice</w:t>
      </w:r>
    </w:p>
    <w:p w14:paraId="6F563955" w14:textId="77777777" w:rsidR="009627AE" w:rsidRPr="001A7674" w:rsidRDefault="009627AE" w:rsidP="009627AE">
      <w:r w:rsidRPr="00D2267D">
        <w:t>PIR Required: No</w:t>
      </w:r>
    </w:p>
    <w:p w14:paraId="1DDD6E83" w14:textId="6AE8F74A" w:rsidR="009627AE" w:rsidRDefault="009627AE" w:rsidP="004D0B63">
      <w:r w:rsidRPr="001A7674">
        <w:t>Regulatory Burden:</w:t>
      </w:r>
      <w:r>
        <w:t xml:space="preserve"> </w:t>
      </w:r>
      <w:r w:rsidRPr="009627AE">
        <w:t>The Department of Home Affairs estimates the regulatory burden from implementing Option 4 will result in one-off costs of $190 million across the aviation and maritime sectors, and ongoing average annual costs of $115 million. The cost to each individual entity will be determined by their existing maturity, and the size and complexity of their operations. Costs are likely to be lower for entities with mature security practices in place, or for small businesses.</w:t>
      </w:r>
    </w:p>
    <w:p w14:paraId="3B005E05" w14:textId="72A8C276" w:rsidR="009627AE" w:rsidRDefault="009627AE" w:rsidP="009627AE">
      <w:r>
        <w:t xml:space="preserve">Security of Australia’s transport sector is regulated through the transport security legislative frameworks which includes the </w:t>
      </w:r>
      <w:r w:rsidRPr="004D0B63">
        <w:rPr>
          <w:i/>
        </w:rPr>
        <w:t>Aviation Transport Security Act 2004</w:t>
      </w:r>
      <w:r>
        <w:t xml:space="preserve"> (ATSA), the </w:t>
      </w:r>
      <w:r w:rsidRPr="004D0B63">
        <w:rPr>
          <w:i/>
        </w:rPr>
        <w:t>Maritime Transport and Offshore Facilities Security Act 2003</w:t>
      </w:r>
      <w:r>
        <w:t xml:space="preserve"> (MTOFSA) and supporting regulations. The transport security legislative frameworks require the transport sector to mitigate the threat of unlawful interference, such as terrorism, and serious crime within an entity’s physical bou</w:t>
      </w:r>
      <w:r w:rsidR="00CD264E">
        <w:t>ndary or geographical location.</w:t>
      </w:r>
    </w:p>
    <w:p w14:paraId="2B74449F" w14:textId="2ED2D7BC" w:rsidR="009627AE" w:rsidRDefault="009627AE" w:rsidP="009627AE">
      <w:r>
        <w:t>However, the limited focus of the transport security legislative frameworks does not reflect the new or emerging threat environment nor the range of risks the Australian transport sector faces. There is a growing number of all hazards security threats, particularly risks of cyber incidents, increasing the need to prepare for, mitigate, and respond to these threats.</w:t>
      </w:r>
    </w:p>
    <w:p w14:paraId="078932CD" w14:textId="42C4D757" w:rsidR="009627AE" w:rsidRDefault="009627AE" w:rsidP="009627AE">
      <w:r>
        <w:t xml:space="preserve">This </w:t>
      </w:r>
      <w:r w:rsidR="006F4BE6">
        <w:t>IA</w:t>
      </w:r>
      <w:r>
        <w:t xml:space="preserve"> considers four options to meet increased all hazard security risks for the aviation </w:t>
      </w:r>
      <w:r w:rsidR="00CD264E">
        <w:t>and maritime transport sectors.</w:t>
      </w:r>
    </w:p>
    <w:p w14:paraId="6E7B5CF2" w14:textId="02B419CD" w:rsidR="009627AE" w:rsidRDefault="009627AE" w:rsidP="004D0B63">
      <w:pPr>
        <w:pStyle w:val="ListParagraph"/>
        <w:numPr>
          <w:ilvl w:val="0"/>
          <w:numId w:val="44"/>
        </w:numPr>
      </w:pPr>
      <w:r>
        <w:t>Opt</w:t>
      </w:r>
      <w:r w:rsidR="00CD264E">
        <w:t>ion 1: maintain the status quo.</w:t>
      </w:r>
    </w:p>
    <w:p w14:paraId="41C5016C" w14:textId="77777777" w:rsidR="009627AE" w:rsidRDefault="009627AE" w:rsidP="004D0B63">
      <w:pPr>
        <w:pStyle w:val="ListParagraph"/>
        <w:numPr>
          <w:ilvl w:val="0"/>
          <w:numId w:val="44"/>
        </w:numPr>
      </w:pPr>
      <w:r>
        <w:t>Option 2: encourage industry to voluntarily uptake all hazards risk management.</w:t>
      </w:r>
    </w:p>
    <w:p w14:paraId="174BA4DD" w14:textId="77777777" w:rsidR="009627AE" w:rsidRDefault="009627AE" w:rsidP="004D0B63">
      <w:pPr>
        <w:pStyle w:val="ListParagraph"/>
        <w:numPr>
          <w:ilvl w:val="0"/>
          <w:numId w:val="44"/>
        </w:numPr>
      </w:pPr>
      <w:r>
        <w:t xml:space="preserve">Option 3: switch on critical infrastructure risk management program (CIRMP) obligations for ‘critical aviation assets’ and ‘critical ports’ under the </w:t>
      </w:r>
      <w:r w:rsidRPr="004D0B63">
        <w:rPr>
          <w:i/>
        </w:rPr>
        <w:t>Security of Critical Infrastructure Act 2018</w:t>
      </w:r>
      <w:r>
        <w:t>, requiring a small subset of critical aviation assets and critical ports to establish, maintain, and comply with a written risk management program.</w:t>
      </w:r>
    </w:p>
    <w:p w14:paraId="47694EB5" w14:textId="54ECB42C" w:rsidR="009627AE" w:rsidRDefault="009627AE" w:rsidP="004D0B63">
      <w:pPr>
        <w:pStyle w:val="ListParagraph"/>
        <w:numPr>
          <w:ilvl w:val="0"/>
          <w:numId w:val="44"/>
        </w:numPr>
      </w:pPr>
      <w:r>
        <w:t>Option 4 (the preferred option): amend the transport security legislative frameworks to enact mandatory security obligations.</w:t>
      </w:r>
    </w:p>
    <w:p w14:paraId="044C0A7C" w14:textId="24DC3B29" w:rsidR="009627AE" w:rsidRPr="00845013" w:rsidRDefault="009627AE" w:rsidP="004D0B63">
      <w:r>
        <w:t xml:space="preserve">Under Option 4, the introduction of the all hazards security frameworks are expected to proactively address and mitigate material risks and hazards, thereby reducing the likelihood and severity of incidents and </w:t>
      </w:r>
      <w:r>
        <w:lastRenderedPageBreak/>
        <w:t>disruption to supply chains across the economy. Given the increasing frequency of all hazards security incidents in the aviation and maritime transport sectors, the likely benefits to the economy of Option 4 are expected to be more than the direct cost of regulation over time (indirect costs may be passed on to consumers).</w:t>
      </w:r>
    </w:p>
    <w:p w14:paraId="4068E9D2" w14:textId="6B965EF8" w:rsidR="0047768A" w:rsidRDefault="00DE6598" w:rsidP="3C1A3B2D">
      <w:pPr>
        <w:pStyle w:val="Heading2"/>
        <w:rPr>
          <w:noProof/>
        </w:rPr>
      </w:pPr>
      <w:bookmarkStart w:id="106" w:name="_Toc155876581"/>
      <w:bookmarkStart w:id="107" w:name="_Toc193445455"/>
      <w:bookmarkStart w:id="108" w:name="_Toc902858513"/>
      <w:r w:rsidRPr="15A450E2">
        <w:rPr>
          <w:noProof/>
        </w:rPr>
        <w:t>Department of Infrastructure, Transport, Regional Development, Communications and the Arts</w:t>
      </w:r>
      <w:bookmarkEnd w:id="106"/>
      <w:bookmarkEnd w:id="107"/>
      <w:bookmarkEnd w:id="108"/>
    </w:p>
    <w:p w14:paraId="02C65026" w14:textId="5B88EA4F" w:rsidR="00581DBE" w:rsidRDefault="00581DBE" w:rsidP="00581DBE">
      <w:pPr>
        <w:pStyle w:val="Heading3"/>
      </w:pPr>
      <w:bookmarkStart w:id="109" w:name="_Toc193445456"/>
      <w:bookmarkStart w:id="110" w:name="_Toc551078185"/>
      <w:r>
        <w:t>Online Misinformation and Disinformation Reform</w:t>
      </w:r>
      <w:bookmarkEnd w:id="109"/>
      <w:bookmarkEnd w:id="110"/>
    </w:p>
    <w:p w14:paraId="1C798A9D" w14:textId="77777777" w:rsidR="00581DBE" w:rsidRPr="00D2267D" w:rsidRDefault="00581DBE" w:rsidP="00581DBE">
      <w:pPr>
        <w:rPr>
          <w:rFonts w:eastAsia="MS Mincho"/>
        </w:rPr>
      </w:pPr>
      <w:r w:rsidRPr="00B25486">
        <w:t xml:space="preserve">IA </w:t>
      </w:r>
      <w:r w:rsidRPr="00D2267D">
        <w:t xml:space="preserve">Status: </w:t>
      </w:r>
      <w:r w:rsidRPr="00D2267D">
        <w:rPr>
          <w:rFonts w:eastAsia="MS Mincho"/>
          <w:w w:val="105"/>
        </w:rPr>
        <w:t>Compliant</w:t>
      </w:r>
    </w:p>
    <w:p w14:paraId="7DC75ED5" w14:textId="0DFCE432" w:rsidR="00581DBE" w:rsidRPr="00D2267D" w:rsidRDefault="00581DBE" w:rsidP="00581DBE">
      <w:r w:rsidRPr="00D2267D">
        <w:t xml:space="preserve">Assessment Rating: </w:t>
      </w:r>
      <w:r>
        <w:t>Exemplary</w:t>
      </w:r>
    </w:p>
    <w:p w14:paraId="648DFB40" w14:textId="77777777" w:rsidR="00581DBE" w:rsidRPr="001A7674" w:rsidRDefault="00581DBE" w:rsidP="00581DBE">
      <w:r w:rsidRPr="00D2267D">
        <w:t>PIR Required: No</w:t>
      </w:r>
    </w:p>
    <w:p w14:paraId="2E91C353" w14:textId="5B45D26A" w:rsidR="00581DBE" w:rsidRDefault="00581DBE" w:rsidP="00581DBE">
      <w:pPr>
        <w:rPr>
          <w:rFonts w:eastAsia="MS Mincho"/>
          <w:spacing w:val="-3"/>
        </w:rPr>
      </w:pPr>
      <w:r w:rsidRPr="001A7674">
        <w:t xml:space="preserve">Regulatory Burden: </w:t>
      </w:r>
      <w:r w:rsidR="00046499">
        <w:t>The Department of Infrastructure, Transport, Regional Development, Communications</w:t>
      </w:r>
      <w:r w:rsidR="00046499" w:rsidRPr="00046499">
        <w:t xml:space="preserve"> and the Arts </w:t>
      </w:r>
      <w:r w:rsidR="00046499">
        <w:t>(</w:t>
      </w:r>
      <w:r w:rsidR="00046499" w:rsidRPr="00046499">
        <w:t>DITRDCA</w:t>
      </w:r>
      <w:r w:rsidR="00046499">
        <w:t>)</w:t>
      </w:r>
      <w:r w:rsidR="00046499" w:rsidRPr="00046499">
        <w:t xml:space="preserve"> estimates regulatory costs in the order of $16.3 mi</w:t>
      </w:r>
      <w:r w:rsidR="00046499">
        <w:t>llion per year over the next 10 years for effected businesses, noting that any additional</w:t>
      </w:r>
      <w:r w:rsidR="00046499" w:rsidRPr="00046499">
        <w:t xml:space="preserve"> standards in the future are not in</w:t>
      </w:r>
      <w:r w:rsidR="00046499">
        <w:t>cluded in this regulatory cost</w:t>
      </w:r>
      <w:r w:rsidR="00957823">
        <w:t>.</w:t>
      </w:r>
    </w:p>
    <w:p w14:paraId="55F2B990" w14:textId="0DEBF315" w:rsidR="00581DBE" w:rsidRPr="00581DBE" w:rsidRDefault="00581DBE" w:rsidP="00581DBE">
      <w:pPr>
        <w:rPr>
          <w:rFonts w:eastAsia="MS Mincho"/>
          <w:spacing w:val="-3"/>
        </w:rPr>
      </w:pPr>
      <w:r w:rsidRPr="00581DBE">
        <w:rPr>
          <w:rFonts w:eastAsia="MS Mincho"/>
          <w:spacing w:val="-3"/>
        </w:rPr>
        <w:t xml:space="preserve">Misinformation and disinformation, rapidly disseminated via digital communications platforms, poses a threat to the health, wellbeing, economy, and democracy of Australia. Misinformation is false information that is spread due to ignorance, or by error or mistake, without the intent to deceive. Disinformation is knowingly false information designed to deliberately mislead and influence public opinion or obscure the truth for malicious or deceptive purposes. </w:t>
      </w:r>
    </w:p>
    <w:p w14:paraId="0AC1B645" w14:textId="5EB6E76A" w:rsidR="00581DBE" w:rsidRDefault="00581DBE" w:rsidP="00581DBE">
      <w:pPr>
        <w:rPr>
          <w:rFonts w:eastAsia="MS Mincho"/>
          <w:spacing w:val="-3"/>
        </w:rPr>
      </w:pPr>
      <w:r w:rsidRPr="00581DBE">
        <w:rPr>
          <w:rFonts w:eastAsia="MS Mincho"/>
          <w:spacing w:val="-3"/>
        </w:rPr>
        <w:t xml:space="preserve">Although the spread of misinformation and disinformation is not a new problem, digital communications platforms have enabled seriously harmful content to be distributed further and faster than previously possible, particularly as Australians are increasingly relying on social media as a source of news.  </w:t>
      </w:r>
    </w:p>
    <w:p w14:paraId="7F10A14A" w14:textId="4C18FCEF" w:rsidR="00F5210C" w:rsidRDefault="00581DBE" w:rsidP="00581DBE">
      <w:pPr>
        <w:rPr>
          <w:rFonts w:eastAsia="MS Mincho"/>
          <w:spacing w:val="-3"/>
        </w:rPr>
      </w:pPr>
      <w:r w:rsidRPr="00581DBE">
        <w:rPr>
          <w:rFonts w:eastAsia="MS Mincho"/>
          <w:spacing w:val="-3"/>
        </w:rPr>
        <w:t xml:space="preserve">The </w:t>
      </w:r>
      <w:r w:rsidR="00FD68F0">
        <w:rPr>
          <w:rFonts w:eastAsia="MS Mincho"/>
          <w:spacing w:val="-3"/>
        </w:rPr>
        <w:t>IA</w:t>
      </w:r>
      <w:r w:rsidRPr="00581DBE">
        <w:rPr>
          <w:rFonts w:eastAsia="MS Mincho"/>
          <w:spacing w:val="-3"/>
        </w:rPr>
        <w:t xml:space="preserve"> considers options to place new core obligations on platforms to increase transparency and better empower users, as well as imposing mandatory requirements for online platforms to address seriously harmful misinformation and disinformation on their services. The proposal also considers options to strengthen the role of the ACMA to require improvements and stronger protections where necessary through information powers, code registration and standard making powers. ACMA would play a more active role in encouraging transparency on misinformation and disinformation and potentially imposing more obligations on digital communication platforms. Any additional standards in the future have not been factored into this </w:t>
      </w:r>
      <w:r w:rsidR="006F4BE6">
        <w:rPr>
          <w:rFonts w:eastAsia="MS Mincho"/>
          <w:spacing w:val="-3"/>
        </w:rPr>
        <w:t>IA</w:t>
      </w:r>
      <w:r w:rsidRPr="00581DBE">
        <w:rPr>
          <w:rFonts w:eastAsia="MS Mincho"/>
          <w:spacing w:val="-3"/>
        </w:rPr>
        <w:t xml:space="preserve">. </w:t>
      </w:r>
    </w:p>
    <w:p w14:paraId="05CFE231" w14:textId="494C5425" w:rsidR="00F5210C" w:rsidRDefault="00F5210C" w:rsidP="15A450E2">
      <w:pPr>
        <w:pStyle w:val="Heading3"/>
        <w:rPr>
          <w:rStyle w:val="field"/>
          <w:rFonts w:asciiTheme="minorHAnsi" w:eastAsiaTheme="minorEastAsia" w:hAnsiTheme="minorHAnsi" w:cstheme="minorBidi"/>
          <w:color w:val="auto"/>
          <w:sz w:val="22"/>
        </w:rPr>
      </w:pPr>
      <w:bookmarkStart w:id="111" w:name="_Toc193445457"/>
      <w:bookmarkStart w:id="112" w:name="_Toc1495353186"/>
      <w:r w:rsidRPr="15A450E2">
        <w:rPr>
          <w:rStyle w:val="field"/>
        </w:rPr>
        <w:t>Sydney Airport Demand Management</w:t>
      </w:r>
      <w:bookmarkEnd w:id="111"/>
      <w:bookmarkEnd w:id="112"/>
    </w:p>
    <w:p w14:paraId="1D9EA61F" w14:textId="77777777" w:rsidR="00F5210C" w:rsidRPr="00D2267D" w:rsidRDefault="00F5210C" w:rsidP="00F5210C">
      <w:pPr>
        <w:rPr>
          <w:rFonts w:eastAsia="MS Mincho"/>
        </w:rPr>
      </w:pPr>
      <w:r w:rsidRPr="00B25486">
        <w:t xml:space="preserve">IA </w:t>
      </w:r>
      <w:r w:rsidRPr="00D2267D">
        <w:t xml:space="preserve">Status: </w:t>
      </w:r>
      <w:r w:rsidRPr="00D2267D">
        <w:rPr>
          <w:rFonts w:eastAsia="MS Mincho"/>
          <w:w w:val="105"/>
        </w:rPr>
        <w:t>Compliant</w:t>
      </w:r>
    </w:p>
    <w:p w14:paraId="6A57A862" w14:textId="4A6119C8" w:rsidR="00F5210C" w:rsidRPr="00D2267D" w:rsidRDefault="00F5210C" w:rsidP="00F5210C">
      <w:r w:rsidRPr="00D2267D">
        <w:t xml:space="preserve">Assessment Rating: </w:t>
      </w:r>
      <w:r>
        <w:t>N/A (Impact Analysis Equivalent)</w:t>
      </w:r>
    </w:p>
    <w:p w14:paraId="6A9A977C" w14:textId="0F380EF6" w:rsidR="00F5210C" w:rsidRDefault="00F5210C" w:rsidP="00F5210C">
      <w:r w:rsidRPr="00D2267D">
        <w:lastRenderedPageBreak/>
        <w:t>PIR Required: No</w:t>
      </w:r>
    </w:p>
    <w:p w14:paraId="74A2A484" w14:textId="6677E57B" w:rsidR="00F5210C" w:rsidRDefault="00F5210C" w:rsidP="00F5210C">
      <w:r w:rsidRPr="001A7674">
        <w:t>Regulatory Burden:</w:t>
      </w:r>
      <w:r>
        <w:t xml:space="preserve"> </w:t>
      </w:r>
      <w:r w:rsidRPr="00F5210C">
        <w:t>DITRDCA estimates these measures will result in an increase in average regulatory costs of $12,800 per year, over ten years.</w:t>
      </w:r>
    </w:p>
    <w:p w14:paraId="47B26CBA" w14:textId="77777777" w:rsidR="00F5210C" w:rsidRDefault="00F5210C" w:rsidP="00F5210C">
      <w:r>
        <w:t xml:space="preserve">The </w:t>
      </w:r>
      <w:r w:rsidRPr="004D0B63">
        <w:rPr>
          <w:i/>
        </w:rPr>
        <w:t>Sydney Airport Demand Management Act 1997</w:t>
      </w:r>
      <w:r>
        <w:t xml:space="preserve"> (the Act) regulates the allocation and use of slots for aircraft to take off and land at Sydney Airport. The Act established the Sydney Airport Demand Management Framework, which provides a planning mechanism for runway movements at the airport to manage congestion, reduce delays and support efficient use of the airport.  </w:t>
      </w:r>
    </w:p>
    <w:p w14:paraId="1EA07E44" w14:textId="77777777" w:rsidR="00F5210C" w:rsidRDefault="00F5210C" w:rsidP="00F5210C">
      <w:r>
        <w:t xml:space="preserve">The operational context for Sydney Airport has changed significantly since privatisation in 2002 and continues to evolve. While the Sydney Airport Demand Management Framework was updated in 2012-2013, rigidities in the Framework have resulted in inefficiencies that stifle opportunities for new services and competition that would help meet growing demand while balancing industry and community interests. The inability of Sydney Airport to operate to its full and permitted potential is holding the wider aviation industry back, to the Australian community’s detriment with fewer choices in destinations, flight times and prices. </w:t>
      </w:r>
    </w:p>
    <w:p w14:paraId="64A4289A" w14:textId="77777777" w:rsidR="00F5210C" w:rsidRDefault="00F5210C" w:rsidP="00F5210C">
      <w:r>
        <w:t xml:space="preserve">The Productivity Commission’s 2019 </w:t>
      </w:r>
      <w:r w:rsidRPr="004D0B63">
        <w:rPr>
          <w:i/>
        </w:rPr>
        <w:t>Economic Regulation of Airports</w:t>
      </w:r>
      <w:r>
        <w:t xml:space="preserve"> inquiry (PC inquiry) recommended enhanced transparency over airport performance and to more readily detect any future exercise of market power by airport operators. Following the PC inquiry, Peter Harris AO was commissioned to undertake an independent review to consider the fitness for purpose of the Sydney Airport Demand Management Framework. The </w:t>
      </w:r>
      <w:r w:rsidRPr="004D0B63">
        <w:rPr>
          <w:i/>
        </w:rPr>
        <w:t>Review of the Sydney Airport Demand Management Scheme</w:t>
      </w:r>
      <w:r>
        <w:t xml:space="preserve"> (Harris Review) was released by the Australian Government on 18 June 2021.  </w:t>
      </w:r>
    </w:p>
    <w:p w14:paraId="64566345" w14:textId="62C0F05E" w:rsidR="00F5210C" w:rsidRDefault="00F5210C" w:rsidP="00F5210C">
      <w:r>
        <w:t xml:space="preserve">As recommended in the </w:t>
      </w:r>
      <w:r w:rsidR="005D000F" w:rsidRPr="005D000F">
        <w:t xml:space="preserve">Review of the Sydney Airport Demand Management Scheme </w:t>
      </w:r>
      <w:r w:rsidR="005D000F">
        <w:t>(</w:t>
      </w:r>
      <w:r w:rsidR="00DA4F38">
        <w:t>Harris Review</w:t>
      </w:r>
      <w:r w:rsidR="005D000F">
        <w:t>)</w:t>
      </w:r>
      <w:r>
        <w:t>, key reforms to the Sydney Airport Demand Management Framework include:</w:t>
      </w:r>
    </w:p>
    <w:p w14:paraId="504A9995" w14:textId="77777777" w:rsidR="00F5210C" w:rsidRDefault="00F5210C" w:rsidP="004D0B63">
      <w:pPr>
        <w:pStyle w:val="ListParagraph"/>
        <w:numPr>
          <w:ilvl w:val="0"/>
          <w:numId w:val="32"/>
        </w:numPr>
      </w:pPr>
      <w:r>
        <w:t xml:space="preserve">improving access for new entrants by broadening relevant definitions and principles; </w:t>
      </w:r>
    </w:p>
    <w:p w14:paraId="58F2BDCC" w14:textId="77777777" w:rsidR="00F5210C" w:rsidRDefault="00F5210C" w:rsidP="004D0B63">
      <w:pPr>
        <w:pStyle w:val="ListParagraph"/>
        <w:numPr>
          <w:ilvl w:val="0"/>
          <w:numId w:val="32"/>
        </w:numPr>
      </w:pPr>
      <w:r>
        <w:t xml:space="preserve">mandating airline reporting of slot management data and publishing that data; </w:t>
      </w:r>
    </w:p>
    <w:p w14:paraId="73681EB0" w14:textId="77777777" w:rsidR="00F5210C" w:rsidRDefault="00F5210C" w:rsidP="004D0B63">
      <w:pPr>
        <w:pStyle w:val="ListParagraph"/>
        <w:numPr>
          <w:ilvl w:val="0"/>
          <w:numId w:val="32"/>
        </w:numPr>
      </w:pPr>
      <w:r>
        <w:t xml:space="preserve">implementing the recovery period, particularly the temporary increase to the movement cap; and </w:t>
      </w:r>
    </w:p>
    <w:p w14:paraId="29D8B908" w14:textId="6B59F6B4" w:rsidR="00581DBE" w:rsidRPr="004D0B63" w:rsidRDefault="00F5210C" w:rsidP="004D0B63">
      <w:pPr>
        <w:pStyle w:val="ListParagraph"/>
        <w:numPr>
          <w:ilvl w:val="0"/>
          <w:numId w:val="32"/>
        </w:numPr>
      </w:pPr>
      <w:r>
        <w:t>reducing the peak period and providing procedures for re-timing slots.</w:t>
      </w:r>
    </w:p>
    <w:p w14:paraId="72894194" w14:textId="77777777" w:rsidR="00076E69" w:rsidRPr="004D0B63" w:rsidRDefault="00076E69" w:rsidP="1A053974">
      <w:pPr>
        <w:pStyle w:val="Heading3"/>
        <w:rPr>
          <w:rStyle w:val="field"/>
        </w:rPr>
      </w:pPr>
      <w:bookmarkStart w:id="113" w:name="_Toc193445458"/>
      <w:bookmarkStart w:id="114" w:name="_Toc873393581"/>
      <w:bookmarkStart w:id="115" w:name="_Toc155876587"/>
      <w:r w:rsidRPr="15A450E2">
        <w:rPr>
          <w:rStyle w:val="field"/>
        </w:rPr>
        <w:t>Social Media Age Limit</w:t>
      </w:r>
      <w:bookmarkEnd w:id="113"/>
      <w:bookmarkEnd w:id="114"/>
    </w:p>
    <w:p w14:paraId="372872A4" w14:textId="77777777" w:rsidR="00076E69" w:rsidRPr="00D2267D" w:rsidRDefault="00076E69" w:rsidP="00076E69">
      <w:pPr>
        <w:rPr>
          <w:rFonts w:eastAsia="MS Mincho"/>
        </w:rPr>
      </w:pPr>
      <w:r w:rsidRPr="00B25486">
        <w:t xml:space="preserve">IA </w:t>
      </w:r>
      <w:r w:rsidRPr="00D2267D">
        <w:t xml:space="preserve">Status: </w:t>
      </w:r>
      <w:r w:rsidRPr="00D2267D">
        <w:rPr>
          <w:rFonts w:eastAsia="MS Mincho"/>
          <w:w w:val="105"/>
        </w:rPr>
        <w:t>Compliant</w:t>
      </w:r>
    </w:p>
    <w:p w14:paraId="25C2D505" w14:textId="5158E008" w:rsidR="00076E69" w:rsidRPr="00D2267D" w:rsidRDefault="00076E69" w:rsidP="00076E69">
      <w:r w:rsidRPr="00D2267D">
        <w:t xml:space="preserve">Assessment Rating: </w:t>
      </w:r>
      <w:r>
        <w:t>N/A (Impact Analysis Equivalent)</w:t>
      </w:r>
    </w:p>
    <w:p w14:paraId="3E72F9AF" w14:textId="77777777" w:rsidR="00076E69" w:rsidRPr="001A7674" w:rsidRDefault="00076E69" w:rsidP="00076E69">
      <w:r w:rsidRPr="00D2267D">
        <w:t>PIR Required: No</w:t>
      </w:r>
    </w:p>
    <w:p w14:paraId="4242D3FB" w14:textId="38245546" w:rsidR="00076E69" w:rsidRDefault="00076E69" w:rsidP="004D0B63">
      <w:r w:rsidRPr="001A7674">
        <w:t>Regulatory Burden:</w:t>
      </w:r>
      <w:r>
        <w:t xml:space="preserve"> </w:t>
      </w:r>
      <w:r w:rsidRPr="00076E69">
        <w:t>DITRDCA estimates these measures will result in an increase in average regulatory costs of $6.69 million per year, over ten years.</w:t>
      </w:r>
    </w:p>
    <w:p w14:paraId="4B995664" w14:textId="77777777" w:rsidR="00076E69" w:rsidRDefault="00076E69" w:rsidP="00076E69">
      <w:r>
        <w:t>The current social media landscape is exposing young Australians to a range of risks and harm. Young people are particularly vulnerable to the effects of online harm.</w:t>
      </w:r>
    </w:p>
    <w:p w14:paraId="51E1AFC1" w14:textId="69A306C8" w:rsidR="00076E69" w:rsidRDefault="00076E69" w:rsidP="00076E69">
      <w:r>
        <w:lastRenderedPageBreak/>
        <w:t>Currently in Australia there is no legislated minimum age for accessing social media. While all major social media services have minimum age requirements under their Terms of Service, existing safeguards to protect children from the negative impacts of social media are not in st</w:t>
      </w:r>
      <w:r w:rsidR="00DA4F38">
        <w:t>ep with community expectations.</w:t>
      </w:r>
    </w:p>
    <w:p w14:paraId="1A8F2FF7" w14:textId="77777777" w:rsidR="00076E69" w:rsidRDefault="00076E69" w:rsidP="00076E69">
      <w:r>
        <w:t>The Government committed to introduce legislation in 2024 to enforce a minimum age for access to social media. Policy options explored in the IAE included:</w:t>
      </w:r>
    </w:p>
    <w:p w14:paraId="7DC38C8D" w14:textId="77777777" w:rsidR="00076E69" w:rsidRDefault="00076E69" w:rsidP="004D0B63">
      <w:pPr>
        <w:pStyle w:val="ListParagraph"/>
        <w:numPr>
          <w:ilvl w:val="0"/>
          <w:numId w:val="37"/>
        </w:numPr>
      </w:pPr>
      <w:r>
        <w:t>Option 1 - status quo</w:t>
      </w:r>
    </w:p>
    <w:p w14:paraId="1A2E31C1" w14:textId="4F545124" w:rsidR="00076E69" w:rsidRDefault="00076E69" w:rsidP="004D0B63">
      <w:pPr>
        <w:pStyle w:val="ListParagraph"/>
        <w:numPr>
          <w:ilvl w:val="0"/>
          <w:numId w:val="37"/>
        </w:numPr>
      </w:pPr>
      <w:r>
        <w:t>Option 2 – minimum age</w:t>
      </w:r>
      <w:r w:rsidR="00DA4F38">
        <w:t xml:space="preserve"> of 16 with no parental consent</w:t>
      </w:r>
    </w:p>
    <w:p w14:paraId="5E450EEA" w14:textId="77777777" w:rsidR="00076E69" w:rsidRDefault="00076E69" w:rsidP="004D0B63">
      <w:pPr>
        <w:pStyle w:val="ListParagraph"/>
        <w:numPr>
          <w:ilvl w:val="0"/>
          <w:numId w:val="37"/>
        </w:numPr>
      </w:pPr>
      <w:r>
        <w:t>Option 3 – minimum age of 14 with parental consent required at 14 and 15 years old (South Australian proposal).</w:t>
      </w:r>
    </w:p>
    <w:p w14:paraId="0BAB41D1" w14:textId="64038927" w:rsidR="00076E69" w:rsidRDefault="00076E69" w:rsidP="00076E69">
      <w:r>
        <w:t>The preferred option was Option 2 – minimum age of 16 with no parental consent. The proposed legislation under this option would apply to specified social media platforms and include an exemption framework to accommodate access to social media services that demonstrate harm minimisation. The minimum age of 16</w:t>
      </w:r>
      <w:r w:rsidR="00C25B79">
        <w:t> </w:t>
      </w:r>
      <w:r>
        <w:t>years old (without a parental consent) option is preferred as it achieves the most effective balance between protecting children from harm and preventing their isolation, without imposing additional burden on parents or carers or exposing us</w:t>
      </w:r>
      <w:r w:rsidR="00DA4F38">
        <w:t>ers to increased privacy risks.</w:t>
      </w:r>
    </w:p>
    <w:p w14:paraId="64E83618" w14:textId="15035CF8" w:rsidR="00076E69" w:rsidRDefault="00076E69" w:rsidP="004D0B63">
      <w:r>
        <w:t>Consultation undertaken by the DITRDCA has highlighted support for a legislated minimum age to be somewhere between 14 and 16 years old, with some support for 18 years old.</w:t>
      </w:r>
    </w:p>
    <w:p w14:paraId="7936EC1B" w14:textId="07FBE4D7" w:rsidR="009627AE" w:rsidRDefault="009627AE" w:rsidP="004D0B63">
      <w:pPr>
        <w:pStyle w:val="Heading3"/>
      </w:pPr>
      <w:bookmarkStart w:id="116" w:name="_Toc193445459"/>
      <w:bookmarkStart w:id="117" w:name="_Toc363143960"/>
      <w:r>
        <w:t>SMS Sender ID Register</w:t>
      </w:r>
      <w:bookmarkEnd w:id="116"/>
      <w:bookmarkEnd w:id="117"/>
    </w:p>
    <w:p w14:paraId="40ADE1F9" w14:textId="77777777" w:rsidR="009627AE" w:rsidRPr="00D2267D" w:rsidRDefault="009627AE" w:rsidP="009627AE">
      <w:pPr>
        <w:rPr>
          <w:rFonts w:eastAsia="MS Mincho"/>
        </w:rPr>
      </w:pPr>
      <w:r w:rsidRPr="00B25486">
        <w:t xml:space="preserve">IA </w:t>
      </w:r>
      <w:r w:rsidRPr="00D2267D">
        <w:t xml:space="preserve">Status: </w:t>
      </w:r>
      <w:r w:rsidRPr="00D2267D">
        <w:rPr>
          <w:rFonts w:eastAsia="MS Mincho"/>
          <w:w w:val="105"/>
        </w:rPr>
        <w:t>Compliant</w:t>
      </w:r>
    </w:p>
    <w:p w14:paraId="69C2E113" w14:textId="54E35940" w:rsidR="009627AE" w:rsidRPr="00D2267D" w:rsidRDefault="009627AE" w:rsidP="009627AE">
      <w:r w:rsidRPr="00D2267D">
        <w:t xml:space="preserve">Assessment Rating: </w:t>
      </w:r>
      <w:r>
        <w:t>G</w:t>
      </w:r>
      <w:r w:rsidR="00DA4F38">
        <w:t>ood P</w:t>
      </w:r>
      <w:r>
        <w:t>ractice</w:t>
      </w:r>
    </w:p>
    <w:p w14:paraId="74418B03" w14:textId="77777777" w:rsidR="009627AE" w:rsidRPr="001A7674" w:rsidRDefault="009627AE" w:rsidP="009627AE">
      <w:r w:rsidRPr="00D2267D">
        <w:t>PIR Required: No</w:t>
      </w:r>
    </w:p>
    <w:p w14:paraId="6586CEB7" w14:textId="4F76DF8E" w:rsidR="009627AE" w:rsidRDefault="009627AE" w:rsidP="004D0B63">
      <w:r w:rsidRPr="001A7674">
        <w:t>Regulatory Burden:</w:t>
      </w:r>
      <w:r>
        <w:t xml:space="preserve"> </w:t>
      </w:r>
      <w:r w:rsidRPr="009627AE">
        <w:t>DITRDCA estimates implementing mandatory registration (Option 3) would increase regulatory costs to industry (e</w:t>
      </w:r>
      <w:r w:rsidR="0000608E">
        <w:t>.</w:t>
      </w:r>
      <w:r w:rsidRPr="009627AE">
        <w:t>g</w:t>
      </w:r>
      <w:r w:rsidR="0000608E">
        <w:t>.</w:t>
      </w:r>
      <w:r w:rsidRPr="009627AE">
        <w:t xml:space="preserve"> registration and fees) by around $21.5 million per annum over the next </w:t>
      </w:r>
      <w:r>
        <w:br/>
      </w:r>
      <w:r w:rsidRPr="009627AE">
        <w:t>10 years</w:t>
      </w:r>
      <w:r>
        <w:t>.</w:t>
      </w:r>
    </w:p>
    <w:p w14:paraId="04D26779" w14:textId="78ADF7D1" w:rsidR="009627AE" w:rsidRDefault="009627AE" w:rsidP="009627AE">
      <w:r>
        <w:t>Scams affect all sectors of the community. In 2023, the Commonwealth Government service Scamwatch received over 8,000 reports of investment scams with total re</w:t>
      </w:r>
      <w:r w:rsidR="00DA4F38">
        <w:t>ported losses of $292 million.</w:t>
      </w:r>
    </w:p>
    <w:p w14:paraId="16D832F3" w14:textId="2E3B02B9" w:rsidR="009627AE" w:rsidRDefault="009627AE" w:rsidP="009627AE">
      <w:r>
        <w:t xml:space="preserve">This IA examines how best to implement a Short Message Service (SMS) Sender Identification (ID) Register (the Register) as part of the </w:t>
      </w:r>
      <w:r w:rsidR="00C25B79">
        <w:t>G</w:t>
      </w:r>
      <w:r>
        <w:t>overnment’s suite of initiatives to combat scams and to protect Australians from financial harm. The Register aims to protect consumers and brands by disrupting SMS impersonation scams where scammers send SMS with alphanumeric sender identifications (IDs) to imitate well-known brands such as banks, government agencies or retailers in order to deceive victims, to steal their money</w:t>
      </w:r>
      <w:r w:rsidR="00DA4F38">
        <w:t xml:space="preserve"> or personal information.</w:t>
      </w:r>
    </w:p>
    <w:p w14:paraId="4D1903C5" w14:textId="02CB5D7D" w:rsidR="009627AE" w:rsidRDefault="009627AE" w:rsidP="009627AE">
      <w:r>
        <w:lastRenderedPageBreak/>
        <w:t xml:space="preserve">Under the </w:t>
      </w:r>
      <w:r w:rsidRPr="004D0B63">
        <w:rPr>
          <w:i/>
        </w:rPr>
        <w:t>Telecommunications Amendment (SMS Sender ID Register) Act 2024</w:t>
      </w:r>
      <w:r>
        <w:t>, which will commence no later than 6 March 2025, the ACMA must establish the Register “as soon as practical” after the Act commences. The IA considers three options for implementing the Register.</w:t>
      </w:r>
    </w:p>
    <w:p w14:paraId="53B27E7F" w14:textId="77777777" w:rsidR="009627AE" w:rsidRDefault="009627AE" w:rsidP="004D0B63">
      <w:pPr>
        <w:pStyle w:val="ListParagraph"/>
        <w:numPr>
          <w:ilvl w:val="0"/>
          <w:numId w:val="41"/>
        </w:numPr>
      </w:pPr>
      <w:r>
        <w:t xml:space="preserve">Option 1: Status quo. Under this option ACMA would continue to monitor and enforce the existing </w:t>
      </w:r>
      <w:r w:rsidRPr="004D0B63">
        <w:rPr>
          <w:i/>
        </w:rPr>
        <w:t>Reducing Scam Calls and Scam SMs Code 2022</w:t>
      </w:r>
      <w:r>
        <w:t xml:space="preserve"> industry code requiring telecommunications providers to identify and block scam calls and SMS. SMS messages with sender IDs would continue to be subject to impersonation by scammers, causing ongoing harm to consumers and to the reputation of retail brands and government entities.</w:t>
      </w:r>
    </w:p>
    <w:p w14:paraId="01ABB77D" w14:textId="3C9D0AE8" w:rsidR="009627AE" w:rsidRDefault="009627AE" w:rsidP="004D0B63">
      <w:pPr>
        <w:pStyle w:val="ListParagraph"/>
        <w:numPr>
          <w:ilvl w:val="0"/>
          <w:numId w:val="41"/>
        </w:numPr>
      </w:pPr>
      <w:r>
        <w:t xml:space="preserve">Option 2: Voluntary registration of sender IDs. Under this option, entities would be able to register SMS alphanumeric sender IDs on a voluntary basis. If the sender ID is registered but the sender is not the registered party, the SMS would be either blocked or tagged as a possible scam. Under this model, a separate ‘blocklist’ could be maintained, where variations of registered sender IDs </w:t>
      </w:r>
      <w:r w:rsidR="00825287">
        <w:br/>
      </w:r>
      <w:r>
        <w:t>(e.g. Auspost instead of AusPost) are also blocked. Unregistered sender IDs would not be blocked or tagged, and could still be used for scams.</w:t>
      </w:r>
    </w:p>
    <w:p w14:paraId="33AAF8B9" w14:textId="77535766" w:rsidR="009627AE" w:rsidRDefault="009627AE" w:rsidP="004D0B63">
      <w:pPr>
        <w:pStyle w:val="ListParagraph"/>
        <w:numPr>
          <w:ilvl w:val="0"/>
          <w:numId w:val="41"/>
        </w:numPr>
      </w:pPr>
      <w:r>
        <w:t>Option 3: Mandatory registration of sender IDs. Under this option, all brands and entities wishing to send SMS with alphanumeric sender IDs would be required to register these as sender IDs. Unregistered sender IDs would either be blocked or tagged as a possible scam. Telecommunications providers involved in sending SMS with alphanumeric sender IDs would be subject to enforceable rules and prohibited from sending SMS with alphanumeric tags unless the tag is registered and the messages originate from a legitimate sender.</w:t>
      </w:r>
    </w:p>
    <w:p w14:paraId="16B2E769" w14:textId="4114A188" w:rsidR="009627AE" w:rsidRPr="009627AE" w:rsidRDefault="009627AE" w:rsidP="004D0B63">
      <w:r>
        <w:t>The IA estimates the benefits outweigh the costs for both mandatory registration and voluntary registration, with mandatory registration (Option 3) delivering a greater net benefit. Under the mandatory option, consumers are estimated to receive $192 million in benefits from avoided financial costs and avoided time spent resolving scams. Entities using sender ID receive $65 million in benefits from avoided costs of resolving impersonation scams. Mandatory registration also most effectively delivers on the policy objectives to safeguard consumers and entities against SMS sender ID impersonation scams by protecting the legitimacy of SMS sender IDs.</w:t>
      </w:r>
    </w:p>
    <w:p w14:paraId="5D9D276B" w14:textId="3A1E94E4" w:rsidR="00DE6598" w:rsidRDefault="00DE6598" w:rsidP="48A2C64D">
      <w:pPr>
        <w:pStyle w:val="Heading2"/>
      </w:pPr>
      <w:bookmarkStart w:id="118" w:name="_Toc193445460"/>
      <w:bookmarkStart w:id="119" w:name="_Toc560055"/>
      <w:r>
        <w:t>Department of the Treasury</w:t>
      </w:r>
      <w:bookmarkEnd w:id="115"/>
      <w:bookmarkEnd w:id="118"/>
      <w:bookmarkEnd w:id="119"/>
    </w:p>
    <w:p w14:paraId="4E1EE2F1" w14:textId="25D7B57B" w:rsidR="00581DBE" w:rsidRDefault="00581DBE" w:rsidP="00581DBE">
      <w:pPr>
        <w:pStyle w:val="Heading3"/>
      </w:pPr>
      <w:bookmarkStart w:id="120" w:name="_Toc193445461"/>
      <w:bookmarkStart w:id="121" w:name="_Toc755319071"/>
      <w:r>
        <w:t>Supporting social and affordable housing under the Housing Australia Future Fund and the National Housing Accord</w:t>
      </w:r>
      <w:bookmarkEnd w:id="120"/>
      <w:bookmarkEnd w:id="121"/>
    </w:p>
    <w:p w14:paraId="2AB66946" w14:textId="77777777" w:rsidR="00581DBE" w:rsidRPr="00D2267D" w:rsidRDefault="00581DBE" w:rsidP="00581DBE">
      <w:pPr>
        <w:rPr>
          <w:rFonts w:eastAsia="MS Mincho"/>
        </w:rPr>
      </w:pPr>
      <w:r w:rsidRPr="00B25486">
        <w:t xml:space="preserve">IA </w:t>
      </w:r>
      <w:r w:rsidRPr="00D2267D">
        <w:t xml:space="preserve">Status: </w:t>
      </w:r>
      <w:r w:rsidRPr="00D2267D">
        <w:rPr>
          <w:rFonts w:eastAsia="MS Mincho"/>
          <w:w w:val="105"/>
        </w:rPr>
        <w:t>Compliant</w:t>
      </w:r>
    </w:p>
    <w:p w14:paraId="32F15E4C" w14:textId="77777777" w:rsidR="00581DBE" w:rsidRPr="00D2267D" w:rsidRDefault="00581DBE" w:rsidP="00581DBE">
      <w:r w:rsidRPr="00D2267D">
        <w:t>Assessment Rating: Adequate</w:t>
      </w:r>
    </w:p>
    <w:p w14:paraId="70BB6877" w14:textId="77777777" w:rsidR="00581DBE" w:rsidRPr="001A7674" w:rsidRDefault="00581DBE" w:rsidP="00581DBE">
      <w:r w:rsidRPr="00D2267D">
        <w:t>PIR Required: No</w:t>
      </w:r>
    </w:p>
    <w:p w14:paraId="60A39BC8" w14:textId="476CE5B1" w:rsidR="00581DBE" w:rsidRDefault="00581DBE" w:rsidP="00581DBE">
      <w:pPr>
        <w:rPr>
          <w:rFonts w:eastAsia="MS Mincho"/>
          <w:spacing w:val="-3"/>
        </w:rPr>
      </w:pPr>
      <w:r w:rsidRPr="001A7674">
        <w:t xml:space="preserve">Regulatory Burden: </w:t>
      </w:r>
      <w:r w:rsidR="00CB6B51" w:rsidRPr="00CB6B51">
        <w:rPr>
          <w:rFonts w:eastAsia="MS Mincho"/>
          <w:spacing w:val="-3"/>
        </w:rPr>
        <w:t>The Treasury estimates these measures will result in an increase in reg</w:t>
      </w:r>
      <w:r w:rsidR="00CB6B51">
        <w:rPr>
          <w:rFonts w:eastAsia="MS Mincho"/>
          <w:spacing w:val="-3"/>
        </w:rPr>
        <w:t xml:space="preserve">ulatory costs of an average of </w:t>
      </w:r>
      <w:r w:rsidR="00CB6B51" w:rsidRPr="00CB6B51">
        <w:rPr>
          <w:rFonts w:eastAsia="MS Mincho"/>
          <w:spacing w:val="-3"/>
        </w:rPr>
        <w:t>$1.5 million per year over five years.</w:t>
      </w:r>
    </w:p>
    <w:p w14:paraId="6E12FB8F" w14:textId="1269A490" w:rsidR="00581DBE" w:rsidRDefault="00581DBE" w:rsidP="00581DBE">
      <w:pPr>
        <w:rPr>
          <w:rFonts w:eastAsia="MS Mincho"/>
          <w:spacing w:val="-3"/>
        </w:rPr>
      </w:pPr>
      <w:r w:rsidRPr="00581DBE">
        <w:rPr>
          <w:rFonts w:eastAsia="MS Mincho"/>
          <w:spacing w:val="-3"/>
        </w:rPr>
        <w:lastRenderedPageBreak/>
        <w:t>The Housing Australia Future Fund (HAFF) and the National Housing Accord (Accord) are seeking to increase the supply of social and affordable housing for vulnerable and low-income households.</w:t>
      </w:r>
    </w:p>
    <w:p w14:paraId="6634C38D" w14:textId="3A26658F" w:rsidR="00581DBE" w:rsidRPr="00581DBE" w:rsidRDefault="00581DBE" w:rsidP="00581DBE">
      <w:pPr>
        <w:rPr>
          <w:rFonts w:eastAsia="MS Mincho"/>
          <w:spacing w:val="-3"/>
        </w:rPr>
      </w:pPr>
      <w:r w:rsidRPr="00581DBE">
        <w:rPr>
          <w:rFonts w:eastAsia="MS Mincho"/>
          <w:spacing w:val="-3"/>
        </w:rPr>
        <w:t>To help address the consistent undersupply of social and affordable housing, the Government committed to establishing the $10 billion HAFF as part of its 2022 election platform. The HAFF is a perpetual fund under the management of the Future Fund Management Agency that provides an ongoing funding stream of a minimum $500 million per year, indexed to the consumer price index from 2029-30, to fund new social and affordable housing and address acute housing needs. The Government’s commitment specifically sets out that this includes the delivery of 30,000 new social and affordable rental homes over five years as well as funding of $324 million over five years to address acute housing needs.</w:t>
      </w:r>
    </w:p>
    <w:p w14:paraId="5F59E75B" w14:textId="13A6BC2D" w:rsidR="00581DBE" w:rsidRDefault="00581DBE" w:rsidP="00581DBE">
      <w:pPr>
        <w:rPr>
          <w:rFonts w:eastAsia="MS Mincho"/>
          <w:spacing w:val="-3"/>
        </w:rPr>
      </w:pPr>
      <w:r w:rsidRPr="00581DBE">
        <w:rPr>
          <w:rFonts w:eastAsia="MS Mincho"/>
          <w:spacing w:val="-3"/>
        </w:rPr>
        <w:t>In addition, the Government committed, as part of the Accord signed in October 2022, to fund an additional 10,000 affordable homes.</w:t>
      </w:r>
    </w:p>
    <w:p w14:paraId="7E8DD13A" w14:textId="13F36F70" w:rsidR="00845013" w:rsidRDefault="00845013" w:rsidP="00845013">
      <w:pPr>
        <w:pStyle w:val="Heading3"/>
        <w:rPr>
          <w:rFonts w:eastAsia="MS Mincho"/>
        </w:rPr>
      </w:pPr>
      <w:bookmarkStart w:id="122" w:name="_Toc193445462"/>
      <w:bookmarkStart w:id="123" w:name="_Toc104074790"/>
      <w:r w:rsidRPr="15A450E2">
        <w:rPr>
          <w:rFonts w:eastAsia="MS Mincho"/>
        </w:rPr>
        <w:t>Use of genetic testing information by life insurers</w:t>
      </w:r>
      <w:bookmarkEnd w:id="122"/>
      <w:bookmarkEnd w:id="123"/>
    </w:p>
    <w:p w14:paraId="27C9B9E2"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00ECE561" w14:textId="34AB3053" w:rsidR="00845013" w:rsidRPr="00D2267D" w:rsidRDefault="00845013" w:rsidP="00845013">
      <w:r w:rsidRPr="00D2267D">
        <w:t xml:space="preserve">Assessment Rating: </w:t>
      </w:r>
      <w:r>
        <w:t>Good Practice</w:t>
      </w:r>
    </w:p>
    <w:p w14:paraId="1B285849" w14:textId="77777777" w:rsidR="00845013" w:rsidRPr="001A7674" w:rsidRDefault="00845013" w:rsidP="00845013">
      <w:r w:rsidRPr="00D2267D">
        <w:t>PIR Required: No</w:t>
      </w:r>
    </w:p>
    <w:p w14:paraId="75CFBC23" w14:textId="45512B47" w:rsidR="00845013" w:rsidRDefault="00845013" w:rsidP="00845013">
      <w:pPr>
        <w:rPr>
          <w:rFonts w:eastAsia="MS Mincho"/>
          <w:spacing w:val="-3"/>
        </w:rPr>
      </w:pPr>
      <w:r w:rsidRPr="001A7674">
        <w:t xml:space="preserve">Regulatory Burden: </w:t>
      </w:r>
      <w:r w:rsidR="00956B7B" w:rsidRPr="0C4B8A2C">
        <w:rPr>
          <w:rFonts w:eastAsia="MS Mincho"/>
        </w:rPr>
        <w:t>The Treasury estimates these measures will result in an increase in average regulatory costs of approximately $9,000</w:t>
      </w:r>
      <w:r w:rsidR="00956B7B" w:rsidRPr="00956B7B">
        <w:rPr>
          <w:rFonts w:eastAsia="MS Mincho"/>
          <w:spacing w:val="-3"/>
        </w:rPr>
        <w:t xml:space="preserve"> per year, over ten years.</w:t>
      </w:r>
    </w:p>
    <w:p w14:paraId="7D06E7E3" w14:textId="4EA5E5F1" w:rsidR="00845013" w:rsidRDefault="00845013" w:rsidP="00845013">
      <w:pPr>
        <w:rPr>
          <w:rFonts w:eastAsia="MS Mincho"/>
          <w:spacing w:val="-3"/>
        </w:rPr>
      </w:pPr>
      <w:r w:rsidRPr="00845013">
        <w:rPr>
          <w:rFonts w:eastAsia="MS Mincho"/>
          <w:spacing w:val="-3"/>
        </w:rPr>
        <w:t>There are significant individual, public health, and scientific benefits associated with the use of genetic testing, whether undertaken for individual health reasons or medical research. However, many Australians report delaying or foregoing potentially lifesaving, clinically relevant genetic testing, or not participating in medical research involving genetic testing, for fear it will affect their ability to obtain affordable life insurance. This is due to the current regulatory framework, under which life insurers are able to request and use consumers’ genetic testing results when considering whether, and on what terms, to offer life insurance policies. This ability exists regardless of whether the genetic testing is undertaken as part of an individual’s medical treatment, or as part of research.</w:t>
      </w:r>
    </w:p>
    <w:p w14:paraId="177F0E77" w14:textId="20F3F83E" w:rsidR="00845013" w:rsidRDefault="00FD68F0" w:rsidP="00845013">
      <w:r>
        <w:t>The p</w:t>
      </w:r>
      <w:r w:rsidR="00845013">
        <w:t>roposal is to implement a total ban on the use of adverse genetic testing results by life insurers.</w:t>
      </w:r>
    </w:p>
    <w:p w14:paraId="4D732A79" w14:textId="6E6C9D77" w:rsidR="00845013" w:rsidRDefault="00845013" w:rsidP="00845013">
      <w:r>
        <w:t xml:space="preserve">Under a total ban, life insurers would be prohibited from requesting or using any adverse genetic testing results to inform their underwriting calculations. This approach would reflect the recommendations of the 2023 Australian Genetics &amp; Life Insurance Moratorium: Monitoring the Effectiveness &amp; Response </w:t>
      </w:r>
      <w:r w:rsidR="00825287">
        <w:br/>
      </w:r>
      <w:r>
        <w:t>(A-GLIMMER) report. Insurers would retain the ability to require individuals provide information about personal and family medical histories, and consumers would still be required to disclose any diagnosed condition, regardless of how that diagnosis was obtained (via genetic testing or other diagnostic methods). </w:t>
      </w:r>
    </w:p>
    <w:p w14:paraId="35178D7B" w14:textId="37658C7D" w:rsidR="00845013" w:rsidRDefault="00845013" w:rsidP="00845013">
      <w:pPr>
        <w:pStyle w:val="Heading3"/>
      </w:pPr>
      <w:bookmarkStart w:id="124" w:name="_Toc193445463"/>
      <w:bookmarkStart w:id="125" w:name="_Toc328566908"/>
      <w:r>
        <w:lastRenderedPageBreak/>
        <w:t>Ban on advertising of superannuation funds during onboarding</w:t>
      </w:r>
      <w:bookmarkEnd w:id="124"/>
      <w:bookmarkEnd w:id="125"/>
    </w:p>
    <w:p w14:paraId="07616E00"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3FC598B1" w14:textId="77777777" w:rsidR="00845013" w:rsidRPr="00D2267D" w:rsidRDefault="00845013" w:rsidP="00845013">
      <w:r w:rsidRPr="00D2267D">
        <w:t>Assessment Rating: Adequate</w:t>
      </w:r>
    </w:p>
    <w:p w14:paraId="1A7F9BF7" w14:textId="77777777" w:rsidR="00845013" w:rsidRPr="001A7674" w:rsidRDefault="00845013" w:rsidP="00845013">
      <w:r w:rsidRPr="00D2267D">
        <w:t>PIR Required: No</w:t>
      </w:r>
    </w:p>
    <w:p w14:paraId="2C8F0828" w14:textId="16A49910" w:rsidR="00845013" w:rsidRDefault="00845013" w:rsidP="00845013">
      <w:pPr>
        <w:rPr>
          <w:rFonts w:eastAsia="MS Mincho"/>
          <w:spacing w:val="-3"/>
        </w:rPr>
      </w:pPr>
      <w:r w:rsidRPr="001A7674">
        <w:t xml:space="preserve">Regulatory Burden: </w:t>
      </w:r>
      <w:r w:rsidRPr="00FD68F0">
        <w:t>The Treasury estimates these measures will result in an increase in regulatory costs of between $480,000 and $1.16 million per year, averaged over ten years. This estimate consists of $480,000 and $2.8 million in one off costs, and ongoing costs of between $440,000 and $880,000 per year.</w:t>
      </w:r>
    </w:p>
    <w:p w14:paraId="4DCB658F" w14:textId="12A0ED4C" w:rsidR="00845013" w:rsidRDefault="00845013" w:rsidP="00845013">
      <w:r w:rsidRPr="00845013">
        <w:t>Retirement outcomes are not served by employees making uninformed or disengaged choices about their superannuation fund. Where employees are uninformed or disengaged, stapling and default superannuation fund arrangements protect consumers. Advertising of superannuation products during onboarding can confuse or pressure employees to make uninformed decisions, open inappropriate products and unintentionally create duplicate accounts.</w:t>
      </w:r>
    </w:p>
    <w:p w14:paraId="42BC46A4" w14:textId="1E6C3F8C" w:rsidR="00845013" w:rsidRPr="00845013" w:rsidRDefault="00845013" w:rsidP="00845013">
      <w:r w:rsidRPr="00845013">
        <w:t>A limited ban on superannuation product advertising during onboarding to protect employees from being influenced to join inappropriate products, in combination with adjustments to stapling policy to reduce the number of unintentional duplicate accounts. Products could be prohibited from advertising during onboarding if they: are not MySuper products; have failed the annual Australian Prudential Regulation Authority (APRA) superannuation performance test; or are related to the onboarding service provider. This limited ban would reduce consumer harm.</w:t>
      </w:r>
    </w:p>
    <w:p w14:paraId="1DCEE928" w14:textId="0DEE62C0" w:rsidR="00845013" w:rsidRDefault="00845013" w:rsidP="00845013">
      <w:pPr>
        <w:pStyle w:val="Heading3"/>
      </w:pPr>
      <w:bookmarkStart w:id="126" w:name="_Toc193445464"/>
      <w:bookmarkStart w:id="127" w:name="_Toc786441800"/>
      <w:r>
        <w:t>Merger Reform: A Faster, Stronger and Simpler System for a More Competitive Economy</w:t>
      </w:r>
      <w:bookmarkEnd w:id="126"/>
      <w:bookmarkEnd w:id="127"/>
    </w:p>
    <w:p w14:paraId="22A112B6"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185795BA" w14:textId="77777777" w:rsidR="00845013" w:rsidRPr="00D2267D" w:rsidRDefault="00845013" w:rsidP="00845013">
      <w:r w:rsidRPr="00D2267D">
        <w:t xml:space="preserve">Assessment Rating: </w:t>
      </w:r>
      <w:r>
        <w:t>Good Practice</w:t>
      </w:r>
    </w:p>
    <w:p w14:paraId="7317D097" w14:textId="77777777" w:rsidR="00845013" w:rsidRPr="001A7674" w:rsidRDefault="00845013" w:rsidP="00845013">
      <w:r w:rsidRPr="00D2267D">
        <w:t>PIR Required: No</w:t>
      </w:r>
    </w:p>
    <w:p w14:paraId="73AA30C1" w14:textId="19ECC5BF" w:rsidR="00845013" w:rsidRDefault="00845013" w:rsidP="00845013">
      <w:pPr>
        <w:rPr>
          <w:rFonts w:eastAsia="MS Mincho"/>
          <w:spacing w:val="-3"/>
        </w:rPr>
      </w:pPr>
      <w:r w:rsidRPr="001A7674">
        <w:t xml:space="preserve">Regulatory Burden: </w:t>
      </w:r>
      <w:r w:rsidR="00274178" w:rsidRPr="00274178">
        <w:rPr>
          <w:rFonts w:eastAsia="MS Mincho"/>
          <w:spacing w:val="-3"/>
        </w:rPr>
        <w:t>The Treasury estimates Option 2 will increase regulatory costs by $10.8 million per year.</w:t>
      </w:r>
    </w:p>
    <w:p w14:paraId="1AB0FC15" w14:textId="0935AE4A" w:rsidR="00845013" w:rsidRDefault="00845013" w:rsidP="00845013">
      <w:r>
        <w:t>While most mergers and acquisitions are unlikely to raise competition concerns, some can harm competition, allowing businesses to raise prices and not pass on economic gains to consumers. Australia’s merger control system plays a crucial gatekeeper role in preventing these mergers from harming consumers and the wider economy.</w:t>
      </w:r>
    </w:p>
    <w:p w14:paraId="0D4F066B" w14:textId="7755F998" w:rsidR="00845013" w:rsidRDefault="00845013" w:rsidP="00845013">
      <w:r>
        <w:t>Analysis shows that competition in Australia has been declining since the 2000s. There is evidence emerging that the intensity of competition has weakened across many parts of the economy, accompanied by increasing market concentration and markups in many industries. Discouraging anti-competitive mergers and acquisitions, and stopping those that try to proceed, is crucial for maintaining downward pressure on the cost of living and creating a stronger, more competitive and more productive economy.</w:t>
      </w:r>
    </w:p>
    <w:p w14:paraId="74C15758" w14:textId="40C1EF83" w:rsidR="00845013" w:rsidRDefault="00845013" w:rsidP="00845013">
      <w:r>
        <w:t xml:space="preserve">The </w:t>
      </w:r>
      <w:r w:rsidR="00FD68F0">
        <w:t>IA</w:t>
      </w:r>
      <w:r>
        <w:t xml:space="preserve"> considers four options. </w:t>
      </w:r>
    </w:p>
    <w:p w14:paraId="284F0DB4" w14:textId="7F00399C" w:rsidR="00845013" w:rsidRDefault="00845013" w:rsidP="00845013">
      <w:pPr>
        <w:pStyle w:val="ListParagraph"/>
        <w:numPr>
          <w:ilvl w:val="0"/>
          <w:numId w:val="28"/>
        </w:numPr>
      </w:pPr>
      <w:r>
        <w:lastRenderedPageBreak/>
        <w:t>Option 1: Status quo – Australia currently has a prohibition on acquisitions of shares or assets that would have the effect, or be likely to have the effect, of substantially lessening competition (SLC) in any market. These are reviewed through one of three pathways: voluntary informal merger review; voluntary merger authorisation; or Federal Court of Australia (Federal Court) proceedings.</w:t>
      </w:r>
    </w:p>
    <w:p w14:paraId="12CF5B8E" w14:textId="3618FB33" w:rsidR="00845013" w:rsidRDefault="00845013" w:rsidP="00845013">
      <w:pPr>
        <w:pStyle w:val="ListParagraph"/>
        <w:numPr>
          <w:ilvl w:val="0"/>
          <w:numId w:val="28"/>
        </w:numPr>
      </w:pPr>
      <w:r>
        <w:t>Option 2: Mandatory and suspensory administrative system with an extended SLC test – introduces a single mandatory and suspensory administrative merger control system for mergers that meet certain thresholds that will replace the multiple voluntary pathways of the status quo. A merger will be permitted to proceed, unless the ACCC is satisfied that it is likely to SLC, including if it creates, strengthens, or entrenches substantial market power. Merger parties may also, following the competition assessment, seek for the merger to be approved if the ACCC is satisfied the merger would result, or be likely to result, in a benefit to the public that outweighs the detriment of the merger.</w:t>
      </w:r>
    </w:p>
    <w:p w14:paraId="42E30B42" w14:textId="6AB8B214" w:rsidR="00845013" w:rsidRDefault="00845013" w:rsidP="00845013">
      <w:pPr>
        <w:pStyle w:val="ListParagraph"/>
        <w:numPr>
          <w:ilvl w:val="0"/>
          <w:numId w:val="28"/>
        </w:numPr>
      </w:pPr>
      <w:r>
        <w:t xml:space="preserve">Option 3: Mandatory and suspensory administrative system with a satisfaction test – this is an alternative version of Option 2 in that it also introduces a mandatory and suspensory administrative merger control system. It differs from Option 2 in that mergers and acquisitions can only proceed if the ACCC is satisfied a merger is not likely to SLC including if it creates, strengthens, or entrenches substantial market power. </w:t>
      </w:r>
    </w:p>
    <w:p w14:paraId="2BDC6438" w14:textId="6182AFBA" w:rsidR="00845013" w:rsidRDefault="00845013" w:rsidP="00845013">
      <w:pPr>
        <w:pStyle w:val="ListParagraph"/>
        <w:numPr>
          <w:ilvl w:val="0"/>
          <w:numId w:val="28"/>
        </w:numPr>
      </w:pPr>
      <w:r>
        <w:t>Option 4: Mandatory and suspensory judicial enforcement system with an SLC test – this is an alternative version of Option 1 that would replace the voluntary informal merger review with a mandatory and suspensory system, and retain the existing model of judicial enforcement with the SLC test. Option 4 would retain a separate merger authorisation process.</w:t>
      </w:r>
    </w:p>
    <w:p w14:paraId="40FD805A" w14:textId="77777777" w:rsidR="00845013" w:rsidRDefault="00845013" w:rsidP="00845013">
      <w:r>
        <w:t>Option 2 is the recommended option as it strengthens Australia’s merger control approach by improving the ACCC’s ability to effectively and efficiently detect, review and act against anti-competitive mergers and acquisitions. Mandatory notification requirements would mean that mergers and acquisitions more likely to impose risks for the economy must be notified to the ACCC. Suspensory timeframes for review and upfront information requirements will enhance predictability and certainty for stakeholders.</w:t>
      </w:r>
    </w:p>
    <w:p w14:paraId="38552C3D" w14:textId="78AFF350" w:rsidR="00845013" w:rsidRDefault="00845013" w:rsidP="00845013">
      <w:r>
        <w:t>The benefits of an efficient and effective merger control system are significant. Applying analysis from overseas to Australia would imply benefits of between $340–732 million per year. Greater certainty and speed will reduce costs and facilitate valuable investment in pro-competitive and benign mergers. Consumers and businesses, along with the broader community, will be better informed and more confident that the ACCC has the toolkit to perform its gatekeeper role, prevent anti-competitive mergers and maintain competitive markets in Australia.</w:t>
      </w:r>
    </w:p>
    <w:p w14:paraId="45150847" w14:textId="5E5004A0" w:rsidR="00076E69" w:rsidRDefault="00076E69" w:rsidP="004D0B63">
      <w:pPr>
        <w:pStyle w:val="Heading3"/>
      </w:pPr>
      <w:bookmarkStart w:id="128" w:name="_Toc193445465"/>
      <w:bookmarkStart w:id="129" w:name="_Toc1534023430"/>
      <w:r>
        <w:t>Scams Prevention Framework</w:t>
      </w:r>
      <w:bookmarkEnd w:id="128"/>
      <w:bookmarkEnd w:id="129"/>
    </w:p>
    <w:p w14:paraId="5E55CEB2" w14:textId="77777777" w:rsidR="00076E69" w:rsidRPr="00D2267D" w:rsidRDefault="00076E69" w:rsidP="00076E69">
      <w:pPr>
        <w:rPr>
          <w:rFonts w:eastAsia="MS Mincho"/>
        </w:rPr>
      </w:pPr>
      <w:r w:rsidRPr="00B25486">
        <w:t xml:space="preserve">IA </w:t>
      </w:r>
      <w:r w:rsidRPr="00D2267D">
        <w:t xml:space="preserve">Status: </w:t>
      </w:r>
      <w:r w:rsidRPr="00D2267D">
        <w:rPr>
          <w:rFonts w:eastAsia="MS Mincho"/>
          <w:w w:val="105"/>
        </w:rPr>
        <w:t>Compliant</w:t>
      </w:r>
    </w:p>
    <w:p w14:paraId="1CE76CC4" w14:textId="77777777" w:rsidR="00076E69" w:rsidRPr="00D2267D" w:rsidRDefault="00076E69" w:rsidP="00076E69">
      <w:r w:rsidRPr="00D2267D">
        <w:t xml:space="preserve">Assessment Rating: </w:t>
      </w:r>
      <w:r>
        <w:t>Good Practice</w:t>
      </w:r>
    </w:p>
    <w:p w14:paraId="75445678" w14:textId="77777777" w:rsidR="00076E69" w:rsidRPr="001A7674" w:rsidRDefault="00076E69" w:rsidP="00076E69">
      <w:r w:rsidRPr="00D2267D">
        <w:t>PIR Required: No</w:t>
      </w:r>
    </w:p>
    <w:p w14:paraId="3ECE5141" w14:textId="5F28DF3C" w:rsidR="00076E69" w:rsidRDefault="00076E69" w:rsidP="00076E69">
      <w:r w:rsidRPr="001A7674">
        <w:lastRenderedPageBreak/>
        <w:t>Regulatory Burden:</w:t>
      </w:r>
      <w:r>
        <w:t xml:space="preserve"> </w:t>
      </w:r>
      <w:r w:rsidRPr="00076E69">
        <w:t>The Treasury estimates on average over the first 10 years industry would be expected to incur $102.1 million in annual regulatory costs across the three sectors designated under the Scams Prevention Framework.</w:t>
      </w:r>
    </w:p>
    <w:p w14:paraId="713ABE3F" w14:textId="6652102D" w:rsidR="00076E69" w:rsidRDefault="00076E69" w:rsidP="00076E69">
      <w:r>
        <w:t>Scams are a significant source of financial crime that inflict unacceptably high levels of harm to Australian consumers and industry. Scams target a wide range of people by exploiting the social and technological vulnerabilities in the way Australians interact and do business online. Scams are often linked to other crimes, including</w:t>
      </w:r>
      <w:r w:rsidR="00DA4F38">
        <w:t xml:space="preserve"> identity theft and cybercrime.</w:t>
      </w:r>
    </w:p>
    <w:p w14:paraId="49F8D201" w14:textId="517BD142" w:rsidR="00076E69" w:rsidRDefault="00076E69" w:rsidP="00076E69">
      <w:r>
        <w:t>Scams are attempts, directly or indirectly, to deceive a consumer into obtaining financial benefits or personal information. Scams can be carried out through a wide range of communication channels, including phone, text me</w:t>
      </w:r>
      <w:r w:rsidR="00DA4F38">
        <w:t>ssage, social media, and email.</w:t>
      </w:r>
    </w:p>
    <w:p w14:paraId="4FBC1B03" w14:textId="45916ADA" w:rsidR="00076E69" w:rsidRDefault="00076E69" w:rsidP="00076E69">
      <w:r>
        <w:t>Current industry initiatives lack a coordinated cross-sector approach to protect Australians from scams. Without government action, industries providing services that are vectors of scam activity are unlikely to be sufficiently incentivised and coordinated to respond to the r</w:t>
      </w:r>
      <w:r w:rsidR="00DA4F38">
        <w:t>ising cost of harms from scams.</w:t>
      </w:r>
    </w:p>
    <w:p w14:paraId="11EE57BB" w14:textId="77777777" w:rsidR="00076E69" w:rsidRDefault="00076E69" w:rsidP="00076E69">
      <w:r>
        <w:t>In response to the rising impact of scams, the Government made an election commitment to introduce tough, new mandatory industry codes for banks, telecommunication providers and social media companies to combat scams.</w:t>
      </w:r>
    </w:p>
    <w:p w14:paraId="7A44B496" w14:textId="7BF2715F" w:rsidR="00076E69" w:rsidRDefault="00076E69" w:rsidP="00076E69">
      <w:r>
        <w:t>The IA considered two options.</w:t>
      </w:r>
    </w:p>
    <w:p w14:paraId="3E52B78D" w14:textId="77777777" w:rsidR="00076E69" w:rsidRDefault="00076E69" w:rsidP="004D0B63">
      <w:pPr>
        <w:pStyle w:val="ListParagraph"/>
        <w:numPr>
          <w:ilvl w:val="0"/>
          <w:numId w:val="40"/>
        </w:numPr>
      </w:pPr>
      <w:r>
        <w:t>Option 1: Maintain the status quo.</w:t>
      </w:r>
    </w:p>
    <w:p w14:paraId="0B1AB0F6" w14:textId="77777777" w:rsidR="00076E69" w:rsidRDefault="00076E69" w:rsidP="004D0B63">
      <w:pPr>
        <w:pStyle w:val="ListParagraph"/>
        <w:numPr>
          <w:ilvl w:val="0"/>
          <w:numId w:val="40"/>
        </w:numPr>
      </w:pPr>
      <w:r>
        <w:t>Option 2: Introduce new mandatory industry codes (initially applying to banks, telecommunications providers and certain digital platforms) to outline the responsibilities of the private sector in relation to scam activity under an overarching Scams Prevention Framework. If the entities in these industries fail to comply with their obligations, they may be subject to penalties or be liable to compensate consumers for losses experienced due to these failures.</w:t>
      </w:r>
    </w:p>
    <w:p w14:paraId="4642228C" w14:textId="4E4900C3" w:rsidR="00D2267D" w:rsidRDefault="00076E69" w:rsidP="009A0C64">
      <w:r>
        <w:t>A new framework that creates mandatory obligations for sectors targeted by scammers would provide appropriate guardrails to reduce the scam threat activity across key sectors and make Australia a less attractive target for scammers.</w:t>
      </w:r>
    </w:p>
    <w:p w14:paraId="539EAF03" w14:textId="77777777" w:rsidR="007646FC" w:rsidRPr="007646FC" w:rsidRDefault="007646FC" w:rsidP="007646FC">
      <w:pPr>
        <w:pStyle w:val="Heading3"/>
      </w:pPr>
      <w:bookmarkStart w:id="130" w:name="_Toc193445466"/>
      <w:bookmarkStart w:id="131" w:name="_Toc1926702946"/>
      <w:r>
        <w:t>Hydrogen Production Tax Incentive</w:t>
      </w:r>
      <w:bookmarkEnd w:id="130"/>
      <w:bookmarkEnd w:id="131"/>
    </w:p>
    <w:p w14:paraId="1594A28D" w14:textId="1F95DF27" w:rsidR="007646FC" w:rsidRPr="00037BD4" w:rsidRDefault="007646FC" w:rsidP="00037BD4">
      <w:r w:rsidRPr="00E50ABE">
        <w:t xml:space="preserve">IA Status: </w:t>
      </w:r>
      <w:r w:rsidRPr="00037BD4">
        <w:t>Compliant</w:t>
      </w:r>
    </w:p>
    <w:p w14:paraId="022CA689" w14:textId="0C595E2B" w:rsidR="007646FC" w:rsidRPr="00D2267D" w:rsidRDefault="007646FC" w:rsidP="007646FC">
      <w:r w:rsidRPr="00D2267D">
        <w:t xml:space="preserve">Assessment Rating: </w:t>
      </w:r>
      <w:r>
        <w:t>Adequate</w:t>
      </w:r>
    </w:p>
    <w:p w14:paraId="05FD88CD" w14:textId="2CB1C6EF" w:rsidR="007646FC" w:rsidRPr="001A7674" w:rsidRDefault="007646FC" w:rsidP="007646FC">
      <w:r w:rsidRPr="00D2267D">
        <w:t xml:space="preserve">PIR Required: </w:t>
      </w:r>
      <w:r w:rsidR="00037BD4">
        <w:t>Yes</w:t>
      </w:r>
    </w:p>
    <w:p w14:paraId="6A75C856" w14:textId="5BCBE358" w:rsidR="007646FC" w:rsidRDefault="007646FC" w:rsidP="007646FC">
      <w:r w:rsidRPr="001A7674">
        <w:t>Regulatory Burden:</w:t>
      </w:r>
      <w:r>
        <w:t xml:space="preserve"> </w:t>
      </w:r>
      <w:r w:rsidRPr="007646FC">
        <w:t>The Treasury estimates these measures will result in an increase in average regulatory costs of $22,000 per year, over ten years. This will consist of $100,000 per claimant for implementation, and $12,000 per year for ongoing reporting requirements.</w:t>
      </w:r>
    </w:p>
    <w:p w14:paraId="09703167" w14:textId="77777777" w:rsidR="007646FC" w:rsidRPr="007646FC" w:rsidRDefault="007646FC" w:rsidP="007646FC">
      <w:r w:rsidRPr="007646FC">
        <w:lastRenderedPageBreak/>
        <w:t>There are several hard-to-abate industrial sectors that require new energy sources to be decarbonised. These include ammonia and methanol production, steelmaking and the heavy transport sector. Renewable hydrogen can be a low-emissions substitute for hydrogen that is produced through emissions-intensive methods and has potential to replace natural gas in steelmaking. </w:t>
      </w:r>
    </w:p>
    <w:p w14:paraId="3023F1C5" w14:textId="77777777" w:rsidR="007646FC" w:rsidRPr="007646FC" w:rsidRDefault="007646FC" w:rsidP="007646FC">
      <w:r w:rsidRPr="007646FC">
        <w:t>Renewable hydrogen would support decarbonisation of these sectors. However, the current costs of producing renewable hydrogen make it uncompetitive compared with hydrogen produced through more emissions-intensive methods. There are two main cost barriers in the renewable hydrogen sector: the cost of electrolysers, and the input cost of renewable electricity.</w:t>
      </w:r>
    </w:p>
    <w:p w14:paraId="63E34FF0" w14:textId="0345D378" w:rsidR="007646FC" w:rsidRPr="007646FC" w:rsidRDefault="461342BC" w:rsidP="007646FC">
      <w:r>
        <w:t xml:space="preserve">The proposal includes </w:t>
      </w:r>
      <w:r w:rsidR="5C9111F4">
        <w:t>provision of</w:t>
      </w:r>
      <w:r w:rsidR="007646FC">
        <w:t xml:space="preserve"> a $2 refundable credit per kilogram of renewable hydrogen produced for up to ten years, between 1 July 2027 and 30 June 2040. To be eligible, a taxpayer would need to be</w:t>
      </w:r>
      <w:r w:rsidR="5349E60F">
        <w:t xml:space="preserve"> a</w:t>
      </w:r>
      <w:r w:rsidR="007646FC">
        <w:t xml:space="preserve"> corporation subject to income tax in Australia. </w:t>
      </w:r>
    </w:p>
    <w:p w14:paraId="61AF0869" w14:textId="0BFA0CEA" w:rsidR="007646FC" w:rsidRDefault="007646FC" w:rsidP="007646FC">
      <w:r w:rsidRPr="007646FC">
        <w:t>Eligible facilities must commence production or take a Final Investment Decision by 30 June 2030 and have a minimum capacity equivalent to a 10 megawatt electrolyser. Eligible hydrogen must be produced with an emissions intensity of under 0.6 kilograms of carbon dioxide equivalent per kilogram of hydrogen (as certified by the Clean Energy Regulator (CER) through the Guarantee of Origin (GO) scheme). </w:t>
      </w:r>
    </w:p>
    <w:p w14:paraId="626C81DE" w14:textId="3B0A1103" w:rsidR="007646FC" w:rsidRPr="007646FC" w:rsidRDefault="007646FC" w:rsidP="007646FC">
      <w:pPr>
        <w:pStyle w:val="Heading3"/>
      </w:pPr>
      <w:bookmarkStart w:id="132" w:name="_Toc193445467"/>
      <w:bookmarkStart w:id="133" w:name="_Toc1228679052"/>
      <w:r>
        <w:t>Critical Minerals</w:t>
      </w:r>
      <w:r w:rsidR="0FA60B9F">
        <w:t xml:space="preserve"> Production</w:t>
      </w:r>
      <w:r>
        <w:t xml:space="preserve"> Tax Incentive</w:t>
      </w:r>
      <w:bookmarkEnd w:id="132"/>
      <w:bookmarkEnd w:id="133"/>
    </w:p>
    <w:p w14:paraId="77BF04B3" w14:textId="77777777" w:rsidR="007646FC" w:rsidRPr="00A34B57" w:rsidRDefault="007646FC" w:rsidP="00772136">
      <w:r w:rsidRPr="00A34B57">
        <w:t>IA Status: Compliant</w:t>
      </w:r>
    </w:p>
    <w:p w14:paraId="76244C2C" w14:textId="77777777" w:rsidR="007646FC" w:rsidRPr="00D2267D" w:rsidRDefault="007646FC" w:rsidP="007646FC">
      <w:r w:rsidRPr="00D2267D">
        <w:t xml:space="preserve">Assessment Rating: </w:t>
      </w:r>
      <w:r>
        <w:t>Adequate</w:t>
      </w:r>
    </w:p>
    <w:p w14:paraId="698B2BA5" w14:textId="36C3E88F" w:rsidR="007646FC" w:rsidRPr="001A7674" w:rsidRDefault="007646FC" w:rsidP="007646FC">
      <w:r w:rsidRPr="00D2267D">
        <w:t xml:space="preserve">PIR Required: </w:t>
      </w:r>
      <w:r w:rsidR="009654E2">
        <w:t>Yes</w:t>
      </w:r>
    </w:p>
    <w:p w14:paraId="1B1635EE" w14:textId="77777777" w:rsidR="007646FC" w:rsidRDefault="007646FC" w:rsidP="007646FC">
      <w:r w:rsidRPr="001A7674">
        <w:t>Regulatory Burden:</w:t>
      </w:r>
      <w:r>
        <w:t xml:space="preserve"> </w:t>
      </w:r>
      <w:r w:rsidRPr="007646FC">
        <w:t>The Treasury estimates these measures will result in an increase in average regulatory costs of $22,000 per year, over ten years. This will consist of $100,000 per claimant for implementation, and $12,000 per year for ongoing reporting requirements.</w:t>
      </w:r>
    </w:p>
    <w:p w14:paraId="7330BD32" w14:textId="32C0BDED" w:rsidR="007646FC" w:rsidRPr="007646FC" w:rsidRDefault="005F66ED" w:rsidP="007646FC">
      <w:r>
        <w:t>The problem being addressed is s</w:t>
      </w:r>
      <w:r w:rsidR="00F14658" w:rsidRPr="00F14658">
        <w:t>upply chain concentration and the vulnerability of the critical minerals supply chain to market shocks due to the concentrated nature of the downstream processing and refining of critical minerals.</w:t>
      </w:r>
      <w:r w:rsidR="00F14658">
        <w:t xml:space="preserve"> </w:t>
      </w:r>
      <w:r w:rsidR="007646FC">
        <w:t>Private firms are failing to appropriately price in the required level of economic resilience and security in critical sectors and supply chains. </w:t>
      </w:r>
    </w:p>
    <w:p w14:paraId="2FD719A8" w14:textId="77777777" w:rsidR="007646FC" w:rsidRPr="007646FC" w:rsidRDefault="007646FC" w:rsidP="007646FC">
      <w:r w:rsidRPr="007646FC">
        <w:t>Additionally, the cost gap between production costs in Australia and other overseas markets due to high labour costs, environmental standards and the cost of capital. This is exacerbated by industry support being provided by other Governments to attract investment.</w:t>
      </w:r>
    </w:p>
    <w:p w14:paraId="1E9F29B1" w14:textId="7E4B1DC7" w:rsidR="007646FC" w:rsidRPr="007646FC" w:rsidRDefault="27C5F2A9" w:rsidP="007646FC">
      <w:r>
        <w:t>This proposal includes provision of</w:t>
      </w:r>
      <w:r w:rsidR="007646FC">
        <w:t xml:space="preserve"> a Critical Minerals Production Tax Incentive (CMPTI) that will be available for up to 10 years per facility, for production between 2027-28 and 2039-40. The CMPTI will provide a time-limited and uncapped 10 per cent refundable tax offset, delivered through the tax system for constitutional corporations subject to tax in Australia. </w:t>
      </w:r>
    </w:p>
    <w:p w14:paraId="71A7DD28" w14:textId="2FD68349" w:rsidR="007646FC" w:rsidRPr="007646FC" w:rsidRDefault="007646FC" w:rsidP="007646FC">
      <w:r>
        <w:lastRenderedPageBreak/>
        <w:t>Taxpayers will be able to elect when to start claiming the CMPTI, so that they can commence the 10-year period at the most opportune time for them.</w:t>
      </w:r>
    </w:p>
    <w:p w14:paraId="7F904FD6" w14:textId="4ADEB34C" w:rsidR="7277B09F" w:rsidRDefault="7277B09F" w:rsidP="600D5828">
      <w:pPr>
        <w:pStyle w:val="Heading3"/>
        <w:rPr>
          <w:rStyle w:val="field"/>
        </w:rPr>
      </w:pPr>
      <w:bookmarkStart w:id="134" w:name="_Toc193445468"/>
      <w:bookmarkStart w:id="135" w:name="_Toc1502242"/>
      <w:r w:rsidRPr="15A450E2">
        <w:rPr>
          <w:rStyle w:val="field"/>
        </w:rPr>
        <w:t>Closing the ATO’s Small Business Superannuation Clearing House</w:t>
      </w:r>
      <w:bookmarkEnd w:id="134"/>
      <w:bookmarkEnd w:id="135"/>
    </w:p>
    <w:p w14:paraId="647A1041" w14:textId="2543F7C9" w:rsidR="7277B09F" w:rsidRDefault="7277B09F" w:rsidP="600D5828">
      <w:pPr>
        <w:rPr>
          <w:rFonts w:eastAsia="MS Mincho"/>
        </w:rPr>
      </w:pPr>
      <w:r>
        <w:t xml:space="preserve">IA Status: </w:t>
      </w:r>
      <w:r w:rsidRPr="600D5828">
        <w:rPr>
          <w:rFonts w:eastAsia="MS Mincho"/>
        </w:rPr>
        <w:t>Compliant</w:t>
      </w:r>
    </w:p>
    <w:p w14:paraId="018A6155" w14:textId="2E5F947B" w:rsidR="7277B09F" w:rsidRDefault="7277B09F">
      <w:r>
        <w:t>Assessment Rating: N/A (Impact Analysis Equivalent)</w:t>
      </w:r>
    </w:p>
    <w:p w14:paraId="22F672CB" w14:textId="3AA6F482" w:rsidR="7277B09F" w:rsidRDefault="7277B09F">
      <w:r>
        <w:t>PIR Required: No</w:t>
      </w:r>
    </w:p>
    <w:p w14:paraId="3834DF7D" w14:textId="7A65AEFE" w:rsidR="7277B09F" w:rsidRDefault="7277B09F">
      <w:r>
        <w:t>Regulatory Burden: The Treasury estimates these measures will result in an increase in average regulatory costs of $136.8 million per year, over ten years.</w:t>
      </w:r>
    </w:p>
    <w:p w14:paraId="5E16C580" w14:textId="4E40CC06" w:rsidR="7277B09F" w:rsidRDefault="7277B09F" w:rsidP="600D5828">
      <w:pPr>
        <w:pStyle w:val="NormalWeb"/>
        <w:shd w:val="clear" w:color="auto" w:fill="FFFFFF" w:themeFill="background1"/>
        <w:spacing w:before="0" w:beforeAutospacing="0" w:line="345" w:lineRule="atLeast"/>
        <w:rPr>
          <w:rFonts w:asciiTheme="minorHAnsi" w:hAnsiTheme="minorHAnsi" w:cstheme="minorBidi"/>
          <w:sz w:val="22"/>
          <w:szCs w:val="22"/>
        </w:rPr>
      </w:pPr>
      <w:r w:rsidRPr="600D5828">
        <w:rPr>
          <w:rFonts w:asciiTheme="minorHAnsi" w:hAnsiTheme="minorHAnsi" w:cstheme="minorBidi"/>
          <w:sz w:val="22"/>
          <w:szCs w:val="22"/>
        </w:rPr>
        <w:t>Unpaid superannuation has significant negative impacts on individuals, by reducing superannuation savings and delaying retirement. In 2019-20, more than $3.3 billion in Superannuation Guarantee (SG) entitlements remained unpaid and owing to eligible employees. The Australian Taxation Office (ATO) is responsible for administering the SG scheme, including following up with employers where SG obligations go unpaid and administering the SG charge. However, due to the design of the SG system (including the frequency with which employers are required to pay SG, the operation of the SG charge, and limitations with the ATO’s IT capabilities to identify unpaid SG), many SG obligations remain unpaid for extended periods of time. This causes significant issues when employers enter liquidation without having paid their SG obligations.</w:t>
      </w:r>
    </w:p>
    <w:p w14:paraId="1308BC53" w14:textId="6C2986CD" w:rsidR="7277B09F" w:rsidRDefault="7277B09F" w:rsidP="600D5828">
      <w:pPr>
        <w:pStyle w:val="NormalWeb"/>
        <w:shd w:val="clear" w:color="auto" w:fill="FFFFFF" w:themeFill="background1"/>
        <w:spacing w:before="0" w:beforeAutospacing="0" w:line="345" w:lineRule="atLeast"/>
        <w:rPr>
          <w:rFonts w:asciiTheme="minorHAnsi" w:hAnsiTheme="minorHAnsi" w:cstheme="minorBidi"/>
          <w:sz w:val="22"/>
          <w:szCs w:val="22"/>
        </w:rPr>
      </w:pPr>
      <w:r w:rsidRPr="600D5828">
        <w:rPr>
          <w:rFonts w:asciiTheme="minorHAnsi" w:hAnsiTheme="minorHAnsi" w:cstheme="minorBidi"/>
          <w:sz w:val="22"/>
          <w:szCs w:val="22"/>
        </w:rPr>
        <w:t>Three options were considered in the 2023 Impact Analysis:</w:t>
      </w:r>
      <w:r w:rsidR="00FC27EA" w:rsidRPr="00FC27EA">
        <w:rPr>
          <w:rFonts w:asciiTheme="minorHAnsi" w:eastAsiaTheme="minorEastAsia" w:hAnsiTheme="minorHAnsi" w:cstheme="minorBidi"/>
          <w:sz w:val="22"/>
          <w:szCs w:val="22"/>
        </w:rPr>
        <w:t> </w:t>
      </w:r>
      <w:hyperlink r:id="rId19" w:history="1">
        <w:r w:rsidR="00FC27EA" w:rsidRPr="00FC27EA">
          <w:rPr>
            <w:rStyle w:val="Hyperlink"/>
            <w:rFonts w:asciiTheme="minorHAnsi" w:eastAsiaTheme="minorEastAsia" w:hAnsiTheme="minorHAnsi" w:cstheme="minorBidi"/>
            <w:b/>
            <w:bCs/>
            <w:sz w:val="22"/>
            <w:szCs w:val="22"/>
          </w:rPr>
          <w:t>Unpaid Superannuation Guarantee Package</w:t>
        </w:r>
      </w:hyperlink>
      <w:r w:rsidR="00FC27EA" w:rsidRPr="00FC27EA">
        <w:rPr>
          <w:rFonts w:asciiTheme="minorHAnsi" w:eastAsiaTheme="minorEastAsia" w:hAnsiTheme="minorHAnsi" w:cstheme="minorBidi"/>
          <w:sz w:val="22"/>
          <w:szCs w:val="22"/>
        </w:rPr>
        <w:t> </w:t>
      </w:r>
      <w:r w:rsidR="00FC27EA" w:rsidDel="00FC27EA">
        <w:t xml:space="preserve"> </w:t>
      </w:r>
      <w:r w:rsidRPr="600D5828">
        <w:rPr>
          <w:rFonts w:asciiTheme="minorHAnsi" w:hAnsiTheme="minorHAnsi" w:cstheme="minorBidi"/>
          <w:sz w:val="22"/>
          <w:szCs w:val="22"/>
        </w:rPr>
        <w:t>(USG IA) to address the problem of unpaid SG: </w:t>
      </w:r>
    </w:p>
    <w:p w14:paraId="7EDCC753" w14:textId="0D7281B5" w:rsidR="7277B09F" w:rsidRDefault="7277B09F" w:rsidP="600D5828">
      <w:pPr>
        <w:pStyle w:val="NormalWeb"/>
        <w:numPr>
          <w:ilvl w:val="0"/>
          <w:numId w:val="45"/>
        </w:numPr>
        <w:shd w:val="clear" w:color="auto" w:fill="FFFFFF" w:themeFill="background1"/>
        <w:spacing w:before="0" w:beforeAutospacing="0" w:line="345" w:lineRule="atLeast"/>
        <w:rPr>
          <w:rFonts w:asciiTheme="minorHAnsi" w:hAnsiTheme="minorHAnsi" w:cstheme="minorBidi"/>
          <w:sz w:val="22"/>
          <w:szCs w:val="22"/>
        </w:rPr>
      </w:pPr>
      <w:r w:rsidRPr="600D5828">
        <w:rPr>
          <w:rFonts w:asciiTheme="minorHAnsi" w:hAnsiTheme="minorHAnsi" w:cstheme="minorBidi"/>
          <w:sz w:val="22"/>
          <w:szCs w:val="22"/>
        </w:rPr>
        <w:t>Option 1: Maintain the status quo (no change). </w:t>
      </w:r>
    </w:p>
    <w:p w14:paraId="65D6BC8A" w14:textId="739D2C5F" w:rsidR="7277B09F" w:rsidRDefault="7277B09F" w:rsidP="600D5828">
      <w:pPr>
        <w:pStyle w:val="NormalWeb"/>
        <w:numPr>
          <w:ilvl w:val="0"/>
          <w:numId w:val="45"/>
        </w:numPr>
        <w:shd w:val="clear" w:color="auto" w:fill="FFFFFF" w:themeFill="background1"/>
        <w:spacing w:before="0" w:beforeAutospacing="0" w:line="345" w:lineRule="atLeast"/>
        <w:rPr>
          <w:rFonts w:asciiTheme="minorHAnsi" w:hAnsiTheme="minorHAnsi" w:cstheme="minorBidi"/>
          <w:sz w:val="22"/>
          <w:szCs w:val="22"/>
        </w:rPr>
      </w:pPr>
      <w:r w:rsidRPr="600D5828">
        <w:rPr>
          <w:rFonts w:asciiTheme="minorHAnsi" w:hAnsiTheme="minorHAnsi" w:cstheme="minorBidi"/>
          <w:sz w:val="22"/>
          <w:szCs w:val="22"/>
        </w:rPr>
        <w:t>Option 2: Investment in ATO data matching. </w:t>
      </w:r>
    </w:p>
    <w:p w14:paraId="7117411E" w14:textId="30207413" w:rsidR="7277B09F" w:rsidRDefault="7277B09F" w:rsidP="600D5828">
      <w:pPr>
        <w:pStyle w:val="NormalWeb"/>
        <w:numPr>
          <w:ilvl w:val="0"/>
          <w:numId w:val="45"/>
        </w:numPr>
        <w:shd w:val="clear" w:color="auto" w:fill="FFFFFF" w:themeFill="background1"/>
        <w:spacing w:before="0" w:beforeAutospacing="0" w:line="345" w:lineRule="atLeast"/>
        <w:rPr>
          <w:rFonts w:asciiTheme="minorHAnsi" w:hAnsiTheme="minorHAnsi" w:cstheme="minorBidi"/>
          <w:sz w:val="22"/>
          <w:szCs w:val="22"/>
        </w:rPr>
      </w:pPr>
      <w:r w:rsidRPr="600D5828">
        <w:rPr>
          <w:rFonts w:asciiTheme="minorHAnsi" w:hAnsiTheme="minorHAnsi" w:cstheme="minorBidi"/>
          <w:sz w:val="22"/>
          <w:szCs w:val="22"/>
        </w:rPr>
        <w:t>Option 3: Require SG to be paid alongside an employee’s salary and wages (on payday).</w:t>
      </w:r>
    </w:p>
    <w:p w14:paraId="19DEACD4" w14:textId="13A39AA5" w:rsidR="7277B09F" w:rsidRDefault="7277B09F" w:rsidP="600D5828">
      <w:pPr>
        <w:pStyle w:val="NormalWeb"/>
        <w:shd w:val="clear" w:color="auto" w:fill="FFFFFF" w:themeFill="background1"/>
        <w:spacing w:before="0" w:beforeAutospacing="0" w:line="345" w:lineRule="atLeast"/>
        <w:rPr>
          <w:rFonts w:asciiTheme="minorHAnsi" w:hAnsiTheme="minorHAnsi" w:cstheme="minorBidi"/>
          <w:sz w:val="22"/>
          <w:szCs w:val="22"/>
        </w:rPr>
      </w:pPr>
      <w:r w:rsidRPr="600D5828">
        <w:rPr>
          <w:rFonts w:asciiTheme="minorHAnsi" w:hAnsiTheme="minorHAnsi" w:cstheme="minorBidi"/>
          <w:sz w:val="22"/>
          <w:szCs w:val="22"/>
        </w:rPr>
        <w:t>This IAE introduces an alteration to Option 3 as presented in the USG IA where the use of the ATO Small Business Superannuation Clearing House was one way to mitigate the potential risk of higher fees for employers. It is now proposed the ATO Small Business Superannuation Clearing House will be retired, with no new registrations accepted and impacted small business employers required to find an alternative clearing house to make contributions from 1 July 2026.</w:t>
      </w:r>
    </w:p>
    <w:p w14:paraId="740EF06A" w14:textId="760B8081" w:rsidR="7277B09F" w:rsidRDefault="7277B09F" w:rsidP="22D0BB7F">
      <w:pPr>
        <w:pStyle w:val="NormalWeb"/>
        <w:shd w:val="clear" w:color="auto" w:fill="FFFFFF" w:themeFill="background1"/>
        <w:spacing w:before="0" w:beforeAutospacing="0" w:line="345" w:lineRule="atLeast"/>
        <w:rPr>
          <w:rFonts w:asciiTheme="minorHAnsi" w:hAnsiTheme="minorHAnsi" w:cstheme="minorBidi"/>
          <w:sz w:val="22"/>
          <w:szCs w:val="22"/>
        </w:rPr>
      </w:pPr>
      <w:r w:rsidRPr="22D0BB7F">
        <w:rPr>
          <w:rFonts w:asciiTheme="minorHAnsi" w:hAnsiTheme="minorHAnsi" w:cstheme="minorBidi"/>
          <w:sz w:val="22"/>
          <w:szCs w:val="22"/>
        </w:rPr>
        <w:t xml:space="preserve">This change is expected to increase the average annual regulatory burden on affected employers by </w:t>
      </w:r>
      <w:r>
        <w:br/>
      </w:r>
      <w:r w:rsidRPr="22D0BB7F">
        <w:rPr>
          <w:rFonts w:asciiTheme="minorHAnsi" w:hAnsiTheme="minorHAnsi" w:cstheme="minorBidi"/>
          <w:sz w:val="22"/>
          <w:szCs w:val="22"/>
        </w:rPr>
        <w:t xml:space="preserve">$1.2 million. This changes the average annual regulatory cost of selecting Option 2 and Option 3 from </w:t>
      </w:r>
      <w:r w:rsidR="00825287">
        <w:rPr>
          <w:rFonts w:asciiTheme="minorHAnsi" w:hAnsiTheme="minorHAnsi" w:cstheme="minorBidi"/>
          <w:sz w:val="22"/>
          <w:szCs w:val="22"/>
        </w:rPr>
        <w:br/>
      </w:r>
      <w:r w:rsidRPr="22D0BB7F">
        <w:rPr>
          <w:rFonts w:asciiTheme="minorHAnsi" w:hAnsiTheme="minorHAnsi" w:cstheme="minorBidi"/>
          <w:sz w:val="22"/>
          <w:szCs w:val="22"/>
        </w:rPr>
        <w:t>$135.6 million to $136.8 million.</w:t>
      </w:r>
    </w:p>
    <w:p w14:paraId="324DBA2B" w14:textId="253FF249" w:rsidR="007317AC" w:rsidRDefault="007317AC" w:rsidP="00E44616">
      <w:pPr>
        <w:pStyle w:val="Heading3"/>
        <w:rPr>
          <w:rStyle w:val="field"/>
        </w:rPr>
      </w:pPr>
      <w:bookmarkStart w:id="136" w:name="_Toc1712166113"/>
      <w:r w:rsidRPr="00E44616">
        <w:rPr>
          <w:rStyle w:val="field"/>
        </w:rPr>
        <w:t>Help to Buy Shared Equity Scheme</w:t>
      </w:r>
      <w:bookmarkEnd w:id="136"/>
    </w:p>
    <w:p w14:paraId="038205C7" w14:textId="77777777" w:rsidR="007317AC" w:rsidRDefault="007317AC" w:rsidP="00E44616">
      <w:r>
        <w:t>IA Status: Compliant</w:t>
      </w:r>
    </w:p>
    <w:p w14:paraId="1CA228B3" w14:textId="171A577E" w:rsidR="007317AC" w:rsidRDefault="007317AC" w:rsidP="007317AC">
      <w:r>
        <w:lastRenderedPageBreak/>
        <w:t>Assessment Rating: Adequate</w:t>
      </w:r>
    </w:p>
    <w:p w14:paraId="14B87881" w14:textId="0A937B2A" w:rsidR="007317AC" w:rsidRDefault="007317AC" w:rsidP="007317AC">
      <w:r>
        <w:t>PIR Required: No</w:t>
      </w:r>
    </w:p>
    <w:p w14:paraId="56E8B261" w14:textId="63D59312" w:rsidR="007317AC" w:rsidRDefault="007317AC" w:rsidP="007317AC">
      <w:r>
        <w:t xml:space="preserve">Regulatory Burden: </w:t>
      </w:r>
      <w:r w:rsidRPr="007317AC">
        <w:t>The Treasury estimates the Help to Buy shared equity scheme will increase average regulatory costs by $5.88 million per year, over ten years.</w:t>
      </w:r>
    </w:p>
    <w:p w14:paraId="0B197EB5" w14:textId="2E3EEB88" w:rsidR="00973D8B" w:rsidRDefault="00973D8B" w:rsidP="00973D8B">
      <w:r w:rsidRPr="00973D8B">
        <w:t xml:space="preserve">Home ownership rates have been falling in Australia over recent decades. While a variety of factors, including changing societal attitudes and norms, have impacted home ownership rates, the relative affordability of housing has fallen substantially over the past four decades. Strong and sustained increases in housing prices, particularly compared to growth in incomes, have made both saving for a deposit and servicing a mortgage significantly more challenging, particularly for low-income households. Between 1994 and 2021 rates of home ownership declined from 71.4 per cent to 66.3 per cent. </w:t>
      </w:r>
      <w:r>
        <w:t>The Help to Buy scheme is expected to address both the deposit and serviceability hurdles to home ownership. Under the proposed scheme, the Government would help to meet the upfront capital cost of purchasing a home, thus reducing the size of the mortgage required by an eligible home buyer.</w:t>
      </w:r>
    </w:p>
    <w:p w14:paraId="7044B76F" w14:textId="31C51C70" w:rsidR="00973D8B" w:rsidRDefault="00973D8B" w:rsidP="00973D8B">
      <w:r>
        <w:t>Help to Buy has lower income caps than the Home Guarantee Scheme. These lower caps are intended to target low- and middle-income earners who lack the borrowing power required to service a typical mortgage for a modest home.</w:t>
      </w:r>
    </w:p>
    <w:p w14:paraId="1377FCF9" w14:textId="173E1896" w:rsidR="007317AC" w:rsidRDefault="00973D8B" w:rsidP="00973D8B">
      <w:r>
        <w:t>Help to Buy will be open to 10,000 Australian households each year (over four years). Eligible homebuyers will need a minimum deposit of 2 per cent, and the Government will provide an equity contribution of up 40 per cent of the purchase price of a new home and up to 30 per cent of the purchase price of an existing home.</w:t>
      </w:r>
    </w:p>
    <w:p w14:paraId="21A44DBF" w14:textId="30CE0B4A" w:rsidR="00D2267D" w:rsidRDefault="00D2267D" w:rsidP="1A95C1BA">
      <w:pPr>
        <w:pStyle w:val="Heading2"/>
        <w:spacing w:after="200"/>
      </w:pPr>
      <w:bookmarkStart w:id="137" w:name="_Toc193445469"/>
      <w:bookmarkStart w:id="138" w:name="_Toc459578334"/>
      <w:r>
        <w:t>Department of Veterans</w:t>
      </w:r>
      <w:r w:rsidR="007316E7">
        <w:t>’</w:t>
      </w:r>
      <w:r>
        <w:t xml:space="preserve"> Affairs</w:t>
      </w:r>
      <w:bookmarkEnd w:id="137"/>
      <w:bookmarkEnd w:id="138"/>
    </w:p>
    <w:p w14:paraId="623F4D13" w14:textId="0AE54B58" w:rsidR="00D2267D" w:rsidRDefault="00581DBE" w:rsidP="00581DBE">
      <w:pPr>
        <w:pStyle w:val="Heading3"/>
      </w:pPr>
      <w:bookmarkStart w:id="139" w:name="_Toc193445470"/>
      <w:bookmarkStart w:id="140" w:name="_Toc1784141726"/>
      <w:r>
        <w:t>Veterans’ Compensation and Rehabilitation Legislation Reform</w:t>
      </w:r>
      <w:bookmarkEnd w:id="139"/>
      <w:bookmarkEnd w:id="140"/>
    </w:p>
    <w:p w14:paraId="57D450B1" w14:textId="77777777" w:rsidR="00581DBE" w:rsidRPr="00D2267D" w:rsidRDefault="00581DBE" w:rsidP="00581DBE">
      <w:pPr>
        <w:rPr>
          <w:rFonts w:eastAsia="MS Mincho"/>
        </w:rPr>
      </w:pPr>
      <w:r w:rsidRPr="00B25486">
        <w:t xml:space="preserve">IA </w:t>
      </w:r>
      <w:r w:rsidRPr="00D2267D">
        <w:t xml:space="preserve">Status: </w:t>
      </w:r>
      <w:r w:rsidRPr="00D2267D">
        <w:rPr>
          <w:rFonts w:eastAsia="MS Mincho"/>
          <w:w w:val="105"/>
        </w:rPr>
        <w:t>Compliant</w:t>
      </w:r>
    </w:p>
    <w:p w14:paraId="07287970" w14:textId="2D1B5365" w:rsidR="00581DBE" w:rsidRPr="00D2267D" w:rsidRDefault="00581DBE" w:rsidP="00581DBE">
      <w:r w:rsidRPr="00D2267D">
        <w:t xml:space="preserve">Assessment Rating: </w:t>
      </w:r>
      <w:r>
        <w:t>Good Practice</w:t>
      </w:r>
    </w:p>
    <w:p w14:paraId="36C7622E" w14:textId="77777777" w:rsidR="00581DBE" w:rsidRPr="001A7674" w:rsidRDefault="00581DBE" w:rsidP="00581DBE">
      <w:r w:rsidRPr="00D2267D">
        <w:t>PIR Required: No</w:t>
      </w:r>
    </w:p>
    <w:p w14:paraId="1A0E43CC" w14:textId="679D3D6B" w:rsidR="00581DBE" w:rsidRDefault="00581DBE" w:rsidP="00581DBE">
      <w:pPr>
        <w:rPr>
          <w:rFonts w:eastAsia="MS Mincho"/>
          <w:spacing w:val="-3"/>
        </w:rPr>
      </w:pPr>
      <w:r w:rsidRPr="001A7674">
        <w:t xml:space="preserve">Regulatory Burden: </w:t>
      </w:r>
      <w:r w:rsidR="000703D0" w:rsidRPr="0C4B8A2C">
        <w:t>The Department of Veterans’ Affairs estimates these measures will result in an estimated reduction in regulatory costs of $5.5 million per year, averaged over ten years.</w:t>
      </w:r>
    </w:p>
    <w:p w14:paraId="061B2B71" w14:textId="64CA70E6" w:rsidR="00581DBE" w:rsidRPr="00581DBE" w:rsidRDefault="00581DBE" w:rsidP="00581DBE">
      <w:pPr>
        <w:rPr>
          <w:rFonts w:eastAsia="MS Mincho"/>
          <w:spacing w:val="-3"/>
        </w:rPr>
      </w:pPr>
      <w:r w:rsidRPr="00581DBE">
        <w:rPr>
          <w:rFonts w:eastAsia="MS Mincho"/>
          <w:spacing w:val="-3"/>
        </w:rPr>
        <w:t xml:space="preserve">The current veterans’ compensation and rehabilitation legislation framework is governed by three separate Acts, with fundamental structural differences. Determining which compensation is to be provided to veterans and veterans’ families depends not only on the nature of the service undertaken, but also on the date a particular member joined the Australian Defence Force (ADF). The complexity in this multi-Act approach contributes to claims processing delays and uncertainty for veterans and families as to what they may be entitled to as current or former serving members of the ADF. Furthermore, compensation outcomes for veterans can differ </w:t>
      </w:r>
      <w:r w:rsidRPr="00581DBE">
        <w:rPr>
          <w:rFonts w:eastAsia="MS Mincho"/>
          <w:spacing w:val="-3"/>
        </w:rPr>
        <w:lastRenderedPageBreak/>
        <w:t>significantly over the different frameworks for similar conditions or injuries, depending on the claimant’s individual cir</w:t>
      </w:r>
      <w:r>
        <w:rPr>
          <w:rFonts w:eastAsia="MS Mincho"/>
          <w:spacing w:val="-3"/>
        </w:rPr>
        <w:t xml:space="preserve">cumstances. </w:t>
      </w:r>
    </w:p>
    <w:p w14:paraId="0D084460" w14:textId="53A6D915" w:rsidR="00581DBE" w:rsidRDefault="00581DBE" w:rsidP="00581DBE">
      <w:pPr>
        <w:rPr>
          <w:rFonts w:eastAsia="MS Mincho"/>
          <w:spacing w:val="-3"/>
        </w:rPr>
      </w:pPr>
      <w:r w:rsidRPr="00581DBE">
        <w:rPr>
          <w:rFonts w:eastAsia="MS Mincho"/>
          <w:spacing w:val="-3"/>
        </w:rPr>
        <w:t>Various Government and independent reviews have identified that the framework is extremely complex and in need of simplification. The Productivity Commission found that the existing framework is not-fit-for-purpose and requires fundamental reform. The Interim Report of the Royal Commission into Defence and Veteran Suicide found that this complexity could adversely affect the mental health of veterans.</w:t>
      </w:r>
    </w:p>
    <w:p w14:paraId="6D9338D4" w14:textId="5452BC68" w:rsidR="00581DBE" w:rsidRPr="00581DBE" w:rsidRDefault="00581DBE" w:rsidP="00581DBE">
      <w:pPr>
        <w:rPr>
          <w:rFonts w:eastAsia="MS Mincho"/>
          <w:spacing w:val="-3"/>
        </w:rPr>
      </w:pPr>
      <w:r w:rsidRPr="00581DBE">
        <w:rPr>
          <w:rFonts w:eastAsia="MS Mincho"/>
          <w:spacing w:val="-3"/>
        </w:rPr>
        <w:t>The IA considers four options to reform the veterans’ compensation and rehabilitation</w:t>
      </w:r>
      <w:r>
        <w:rPr>
          <w:rFonts w:eastAsia="MS Mincho"/>
          <w:spacing w:val="-3"/>
        </w:rPr>
        <w:t xml:space="preserve"> framework:</w:t>
      </w:r>
    </w:p>
    <w:p w14:paraId="43F820D1" w14:textId="77777777" w:rsidR="00581DBE" w:rsidRPr="00581DBE" w:rsidRDefault="00581DBE" w:rsidP="00845013">
      <w:pPr>
        <w:pStyle w:val="ListParagraph"/>
        <w:numPr>
          <w:ilvl w:val="0"/>
          <w:numId w:val="26"/>
        </w:numPr>
        <w:rPr>
          <w:rFonts w:eastAsia="MS Mincho"/>
          <w:spacing w:val="-3"/>
        </w:rPr>
      </w:pPr>
      <w:r w:rsidRPr="00581DBE">
        <w:rPr>
          <w:rFonts w:eastAsia="MS Mincho"/>
          <w:spacing w:val="-3"/>
        </w:rPr>
        <w:t>Option 1 – Status Quo</w:t>
      </w:r>
    </w:p>
    <w:p w14:paraId="210FB8E3" w14:textId="77777777" w:rsidR="00581DBE" w:rsidRPr="00581DBE" w:rsidRDefault="00581DBE" w:rsidP="00845013">
      <w:pPr>
        <w:pStyle w:val="ListParagraph"/>
        <w:numPr>
          <w:ilvl w:val="0"/>
          <w:numId w:val="26"/>
        </w:numPr>
        <w:rPr>
          <w:rFonts w:eastAsia="MS Mincho"/>
          <w:spacing w:val="-3"/>
        </w:rPr>
      </w:pPr>
      <w:r w:rsidRPr="00581DBE">
        <w:rPr>
          <w:rFonts w:eastAsia="MS Mincho"/>
          <w:spacing w:val="-3"/>
        </w:rPr>
        <w:t>Option 2 – Small-scale improvements that do not require large scale Government investment and can be implemented at a policy level or by minor legislative amendment</w:t>
      </w:r>
    </w:p>
    <w:p w14:paraId="73349076" w14:textId="278DC9BD" w:rsidR="00581DBE" w:rsidRPr="00581DBE" w:rsidRDefault="00581DBE" w:rsidP="00845013">
      <w:pPr>
        <w:pStyle w:val="ListParagraph"/>
        <w:numPr>
          <w:ilvl w:val="0"/>
          <w:numId w:val="26"/>
        </w:numPr>
        <w:rPr>
          <w:rFonts w:eastAsia="MS Mincho"/>
          <w:spacing w:val="-3"/>
        </w:rPr>
      </w:pPr>
      <w:r w:rsidRPr="00581DBE">
        <w:rPr>
          <w:rFonts w:eastAsia="MS Mincho"/>
          <w:spacing w:val="-3"/>
        </w:rPr>
        <w:t xml:space="preserve">Option 3 – Move to a two-scheme approach based on the Productivity Commission’s 2019 report </w:t>
      </w:r>
      <w:r w:rsidR="00825287">
        <w:rPr>
          <w:rFonts w:eastAsia="MS Mincho"/>
          <w:spacing w:val="-3"/>
        </w:rPr>
        <w:br/>
      </w:r>
      <w:r w:rsidRPr="00581DBE">
        <w:rPr>
          <w:rFonts w:eastAsia="MS Mincho"/>
          <w:spacing w:val="-3"/>
        </w:rPr>
        <w:t xml:space="preserve">‘A Better Way to Support Veterans”. This option entails compensation and rehabilitation delivered under two schemes – the current </w:t>
      </w:r>
      <w:r w:rsidRPr="009A0C64">
        <w:rPr>
          <w:rFonts w:eastAsia="MS Mincho"/>
          <w:i/>
          <w:spacing w:val="-3"/>
        </w:rPr>
        <w:t>Veterans' Entitlements Act 1986</w:t>
      </w:r>
      <w:r w:rsidRPr="00581DBE">
        <w:rPr>
          <w:rFonts w:eastAsia="MS Mincho"/>
          <w:spacing w:val="-3"/>
        </w:rPr>
        <w:t xml:space="preserve"> (VEA) and the </w:t>
      </w:r>
      <w:r w:rsidRPr="009A0C64">
        <w:rPr>
          <w:rFonts w:eastAsia="MS Mincho"/>
          <w:i/>
          <w:spacing w:val="-3"/>
        </w:rPr>
        <w:t>Military Rehabilitation and Compensation) Act 2004</w:t>
      </w:r>
      <w:r w:rsidRPr="00581DBE">
        <w:rPr>
          <w:rFonts w:eastAsia="MS Mincho"/>
          <w:spacing w:val="-3"/>
        </w:rPr>
        <w:t xml:space="preserve"> (MRCA) harmonised with the </w:t>
      </w:r>
      <w:r w:rsidRPr="009A0C64">
        <w:rPr>
          <w:rFonts w:eastAsia="MS Mincho"/>
          <w:i/>
          <w:spacing w:val="-3"/>
        </w:rPr>
        <w:t>Safety, Rehabilitation and Compensation (Defence-related Claims) Act 1988</w:t>
      </w:r>
      <w:r w:rsidRPr="00581DBE">
        <w:rPr>
          <w:rFonts w:eastAsia="MS Mincho"/>
          <w:spacing w:val="-3"/>
        </w:rPr>
        <w:t xml:space="preserve"> (DRCA)</w:t>
      </w:r>
    </w:p>
    <w:p w14:paraId="42970151" w14:textId="77777777" w:rsidR="00581DBE" w:rsidRPr="00581DBE" w:rsidRDefault="00581DBE" w:rsidP="00845013">
      <w:pPr>
        <w:pStyle w:val="ListParagraph"/>
        <w:numPr>
          <w:ilvl w:val="0"/>
          <w:numId w:val="26"/>
        </w:numPr>
        <w:rPr>
          <w:rFonts w:eastAsia="MS Mincho"/>
          <w:spacing w:val="-3"/>
        </w:rPr>
      </w:pPr>
      <w:r w:rsidRPr="00581DBE">
        <w:rPr>
          <w:rFonts w:eastAsia="MS Mincho"/>
          <w:spacing w:val="-3"/>
        </w:rPr>
        <w:t xml:space="preserve">Option 4 – All future claims received will be determined under the </w:t>
      </w:r>
      <w:r w:rsidRPr="009A0C64">
        <w:rPr>
          <w:rFonts w:eastAsia="MS Mincho"/>
          <w:i/>
          <w:spacing w:val="-3"/>
        </w:rPr>
        <w:t>Military Rehabilitation and Compensation Act 2004</w:t>
      </w:r>
      <w:r w:rsidRPr="00581DBE">
        <w:rPr>
          <w:rFonts w:eastAsia="MS Mincho"/>
          <w:spacing w:val="-3"/>
        </w:rPr>
        <w:t xml:space="preserve"> (MRCA) as the single ongoing act, irrespective of when and where the veteran served, or when their injury or illness occurred. This option also seeks to implement further improvements to the veterans’ support system such as aligning benefits across the compensation system. From a future date, the VEA and DRCA would be closed to claims.</w:t>
      </w:r>
    </w:p>
    <w:p w14:paraId="42E2ED7E" w14:textId="361A6368" w:rsidR="00581DBE" w:rsidRDefault="00581DBE" w:rsidP="00581DBE">
      <w:pPr>
        <w:rPr>
          <w:rFonts w:eastAsia="MS Mincho"/>
          <w:spacing w:val="-3"/>
        </w:rPr>
      </w:pPr>
      <w:r w:rsidRPr="00581DBE">
        <w:rPr>
          <w:rFonts w:eastAsia="MS Mincho"/>
          <w:spacing w:val="-3"/>
        </w:rPr>
        <w:t>The IA identifies Option 4 as the preferred option.</w:t>
      </w:r>
    </w:p>
    <w:p w14:paraId="06122E23" w14:textId="6DB52FAA" w:rsidR="00474C86" w:rsidRDefault="00474C86" w:rsidP="00474C86">
      <w:pPr>
        <w:pStyle w:val="Heading2"/>
      </w:pPr>
      <w:bookmarkStart w:id="141" w:name="_Toc193445471"/>
      <w:bookmarkStart w:id="142" w:name="_Toc1256524104"/>
      <w:r>
        <w:t>National Indigenous Australians Agency</w:t>
      </w:r>
      <w:bookmarkEnd w:id="141"/>
      <w:bookmarkEnd w:id="142"/>
    </w:p>
    <w:p w14:paraId="5AF27834" w14:textId="30518BEE" w:rsidR="00474C86" w:rsidRDefault="00474C86" w:rsidP="00474C86">
      <w:pPr>
        <w:pStyle w:val="Heading3"/>
      </w:pPr>
      <w:bookmarkStart w:id="143" w:name="_Toc193445472"/>
      <w:bookmarkStart w:id="144" w:name="_Toc799503246"/>
      <w:r>
        <w:t>Resolution to the collapse of the Youpla Group</w:t>
      </w:r>
      <w:bookmarkEnd w:id="143"/>
      <w:bookmarkEnd w:id="144"/>
    </w:p>
    <w:p w14:paraId="24A55501" w14:textId="0D140FCC" w:rsidR="00474C86" w:rsidRPr="00D2267D" w:rsidRDefault="00474C86" w:rsidP="00474C86">
      <w:pPr>
        <w:rPr>
          <w:rFonts w:eastAsia="MS Mincho"/>
        </w:rPr>
      </w:pPr>
      <w:r w:rsidRPr="00B25486">
        <w:t xml:space="preserve">IA </w:t>
      </w:r>
      <w:r w:rsidRPr="00D2267D">
        <w:t xml:space="preserve">Status: </w:t>
      </w:r>
      <w:r w:rsidRPr="00D2267D">
        <w:rPr>
          <w:rFonts w:eastAsia="MS Mincho"/>
          <w:w w:val="105"/>
        </w:rPr>
        <w:t>Compliant</w:t>
      </w:r>
    </w:p>
    <w:p w14:paraId="75BAD12A" w14:textId="02ACB4ED" w:rsidR="00474C86" w:rsidRPr="00D2267D" w:rsidRDefault="00474C86" w:rsidP="00474C86">
      <w:r w:rsidRPr="00D2267D">
        <w:t xml:space="preserve">Assessment Rating: </w:t>
      </w:r>
      <w:r w:rsidR="00D2267D" w:rsidRPr="00D2267D">
        <w:t>A</w:t>
      </w:r>
      <w:r w:rsidRPr="00D2267D">
        <w:t>dequate</w:t>
      </w:r>
    </w:p>
    <w:p w14:paraId="1AF7353E" w14:textId="238B67BC" w:rsidR="00474C86" w:rsidRPr="001A7674" w:rsidRDefault="00D2267D" w:rsidP="00474C86">
      <w:r w:rsidRPr="00D2267D">
        <w:t>PIR Required: No</w:t>
      </w:r>
    </w:p>
    <w:p w14:paraId="18C23E1A" w14:textId="0FA4B668" w:rsidR="00474C86" w:rsidRDefault="00474C86" w:rsidP="00474C86">
      <w:pPr>
        <w:rPr>
          <w:rFonts w:eastAsia="MS Mincho"/>
          <w:spacing w:val="-3"/>
        </w:rPr>
      </w:pPr>
      <w:r w:rsidRPr="001A7674">
        <w:t xml:space="preserve">Regulatory Burden: </w:t>
      </w:r>
      <w:r w:rsidR="006C684E" w:rsidRPr="006C684E">
        <w:rPr>
          <w:rFonts w:eastAsia="MS Mincho"/>
          <w:spacing w:val="-3"/>
        </w:rPr>
        <w:t>The National Indigenous Australians Agency</w:t>
      </w:r>
      <w:r w:rsidR="006C684E">
        <w:rPr>
          <w:rFonts w:eastAsia="MS Mincho"/>
          <w:spacing w:val="-3"/>
        </w:rPr>
        <w:t xml:space="preserve"> (</w:t>
      </w:r>
      <w:r w:rsidR="006C684E" w:rsidRPr="006C684E">
        <w:rPr>
          <w:rFonts w:eastAsia="MS Mincho"/>
          <w:spacing w:val="-3"/>
        </w:rPr>
        <w:t>NIAA</w:t>
      </w:r>
      <w:r w:rsidR="006C684E">
        <w:rPr>
          <w:rFonts w:eastAsia="MS Mincho"/>
          <w:spacing w:val="-3"/>
        </w:rPr>
        <w:t>)</w:t>
      </w:r>
      <w:r w:rsidR="006C684E" w:rsidRPr="0C4B8A2C">
        <w:rPr>
          <w:rFonts w:eastAsia="MS Mincho"/>
        </w:rPr>
        <w:t xml:space="preserve"> estimates the preferred option</w:t>
      </w:r>
      <w:r w:rsidR="006C684E" w:rsidRPr="006C684E">
        <w:rPr>
          <w:rFonts w:eastAsia="MS Mincho"/>
          <w:spacing w:val="-3"/>
        </w:rPr>
        <w:t xml:space="preserve"> would result in a regulatory cost of $1,276,152.</w:t>
      </w:r>
    </w:p>
    <w:p w14:paraId="4371E661" w14:textId="0E1D01D5" w:rsidR="00474C86" w:rsidRDefault="00D2267D" w:rsidP="00474C86">
      <w:r w:rsidRPr="00D2267D">
        <w:t>The Youpla Group (formerly the Aboriginal Community Benefits Fund) was a funeral expenses insurer that primarily marketed its products to First Nations people, often using misleading and deceptive practices. The Youpla Group entered into liquidation in March 2022, leaving its policy holders without funeral cover to conduct Sorry Business, a tradition of mourning with deep cultural importance for First Nations peoples. This collapse therefore inflicted significant cultural and emotional harm to many First Na</w:t>
      </w:r>
      <w:r>
        <w:t xml:space="preserve">tions people and communities. </w:t>
      </w:r>
    </w:p>
    <w:p w14:paraId="29648783" w14:textId="77777777" w:rsidR="00D2267D" w:rsidRDefault="00D2267D" w:rsidP="00D2267D">
      <w:r>
        <w:lastRenderedPageBreak/>
        <w:t xml:space="preserve">The proposal aims to deliver a culturally appropriate resolution that reduces financial stress relating to Sorry Business and provides closure on this matter for former Youpla Group policy holders. </w:t>
      </w:r>
    </w:p>
    <w:p w14:paraId="373E0D39" w14:textId="77777777" w:rsidR="00D2267D" w:rsidRDefault="00D2267D" w:rsidP="00D2267D">
      <w:r>
        <w:t>Three cohorts of people who held a policy with the former Youpla Group were identified:</w:t>
      </w:r>
    </w:p>
    <w:p w14:paraId="7EC0302B" w14:textId="32241A55" w:rsidR="00D2267D" w:rsidRDefault="00D2267D" w:rsidP="00845013">
      <w:pPr>
        <w:pStyle w:val="ListParagraph"/>
        <w:numPr>
          <w:ilvl w:val="0"/>
          <w:numId w:val="24"/>
        </w:numPr>
      </w:pPr>
      <w:r>
        <w:t>Cohort A</w:t>
      </w:r>
      <w:r w:rsidR="00E711B9">
        <w:t>:</w:t>
      </w:r>
      <w:r>
        <w:t xml:space="preserve"> 2020 policy holders estimated to impact 7,850 policy holders with total premiums paid of $66 million</w:t>
      </w:r>
    </w:p>
    <w:p w14:paraId="2E04E652" w14:textId="1F523E6D" w:rsidR="00D2267D" w:rsidRDefault="00D2267D" w:rsidP="00845013">
      <w:pPr>
        <w:pStyle w:val="ListParagraph"/>
        <w:numPr>
          <w:ilvl w:val="0"/>
          <w:numId w:val="24"/>
        </w:numPr>
      </w:pPr>
      <w:r>
        <w:t>Cohort B</w:t>
      </w:r>
      <w:r w:rsidR="00E711B9">
        <w:t>:</w:t>
      </w:r>
      <w:r>
        <w:t xml:space="preserve"> 2015 policy holders estimated to impact 13,700 policy holders with total premiums paid of $106 million</w:t>
      </w:r>
    </w:p>
    <w:p w14:paraId="0D04A5A5" w14:textId="3ADA126F" w:rsidR="00D2267D" w:rsidRDefault="00D2267D" w:rsidP="00845013">
      <w:pPr>
        <w:pStyle w:val="ListParagraph"/>
        <w:numPr>
          <w:ilvl w:val="0"/>
          <w:numId w:val="24"/>
        </w:numPr>
      </w:pPr>
      <w:r>
        <w:t>Cohort C</w:t>
      </w:r>
      <w:r w:rsidR="00E711B9">
        <w:t>:</w:t>
      </w:r>
      <w:r>
        <w:t xml:space="preserve"> 2001 policy holders estimated to impact 31,400 policy holders with total premiums paid of $164 million.</w:t>
      </w:r>
    </w:p>
    <w:p w14:paraId="065353DB" w14:textId="77777777" w:rsidR="00D2267D" w:rsidRDefault="00D2267D" w:rsidP="00D2267D">
      <w:r>
        <w:t>The proposed resolution payment scheme consists of variations on the implementation of cash payments and/or funeral bonds.</w:t>
      </w:r>
    </w:p>
    <w:p w14:paraId="260B5B4E" w14:textId="223A3253" w:rsidR="00D2267D" w:rsidRDefault="00D2267D" w:rsidP="00845013">
      <w:pPr>
        <w:pStyle w:val="ListParagraph"/>
        <w:numPr>
          <w:ilvl w:val="0"/>
          <w:numId w:val="25"/>
        </w:numPr>
      </w:pPr>
      <w:r>
        <w:t>Option 1</w:t>
      </w:r>
      <w:r w:rsidR="00E711B9">
        <w:t>:</w:t>
      </w:r>
      <w:r>
        <w:t xml:space="preserve"> Choice between cash payment or funeral bonds.</w:t>
      </w:r>
    </w:p>
    <w:p w14:paraId="1CBA7F1A" w14:textId="17615B43" w:rsidR="00D2267D" w:rsidRDefault="00D2267D" w:rsidP="00845013">
      <w:pPr>
        <w:pStyle w:val="ListParagraph"/>
        <w:numPr>
          <w:ilvl w:val="0"/>
          <w:numId w:val="25"/>
        </w:numPr>
      </w:pPr>
      <w:r>
        <w:t>Option 2</w:t>
      </w:r>
      <w:r w:rsidR="00E711B9">
        <w:t>:</w:t>
      </w:r>
      <w:r>
        <w:t xml:space="preserve"> Funeral bonds set as a default; option to receive cash payment</w:t>
      </w:r>
    </w:p>
    <w:p w14:paraId="39AAD207" w14:textId="37E11C11" w:rsidR="00D2267D" w:rsidRDefault="00D2267D" w:rsidP="00845013">
      <w:pPr>
        <w:pStyle w:val="ListParagraph"/>
        <w:numPr>
          <w:ilvl w:val="0"/>
          <w:numId w:val="25"/>
        </w:numPr>
      </w:pPr>
      <w:r>
        <w:t>Option 3</w:t>
      </w:r>
      <w:r w:rsidR="00E711B9">
        <w:t>:</w:t>
      </w:r>
      <w:r>
        <w:t xml:space="preserve"> Funeral bonds are mandated, with specific exemptions.</w:t>
      </w:r>
    </w:p>
    <w:p w14:paraId="7171A214" w14:textId="0844D959" w:rsidR="00A36692" w:rsidRDefault="00D2267D" w:rsidP="00BA4608">
      <w:r>
        <w:t xml:space="preserve">The </w:t>
      </w:r>
      <w:r w:rsidR="00FD68F0">
        <w:t>IA</w:t>
      </w:r>
      <w:r>
        <w:t xml:space="preserve"> details the impacts of each resolution payment option across each cohort. Cohort B and Option 2 is identified as the preferred option.</w:t>
      </w:r>
      <w:bookmarkStart w:id="145" w:name="_Toc122424449"/>
      <w:bookmarkStart w:id="146" w:name="_Toc122424450"/>
      <w:bookmarkEnd w:id="145"/>
      <w:bookmarkEnd w:id="146"/>
    </w:p>
    <w:p w14:paraId="5452E241" w14:textId="04AC5EE6" w:rsidR="009627AE" w:rsidRDefault="009627AE" w:rsidP="004D0B63">
      <w:pPr>
        <w:pStyle w:val="Heading3"/>
      </w:pPr>
      <w:bookmarkStart w:id="147" w:name="_Toc193445473"/>
      <w:bookmarkStart w:id="148" w:name="_Toc644154399"/>
      <w:r>
        <w:t>Replacing the Community Development Program</w:t>
      </w:r>
      <w:bookmarkEnd w:id="147"/>
      <w:bookmarkEnd w:id="148"/>
    </w:p>
    <w:p w14:paraId="05EAACD3" w14:textId="77777777" w:rsidR="009627AE" w:rsidRPr="00D2267D" w:rsidRDefault="009627AE" w:rsidP="009627AE">
      <w:pPr>
        <w:rPr>
          <w:rFonts w:eastAsia="MS Mincho"/>
        </w:rPr>
      </w:pPr>
      <w:r w:rsidRPr="00B25486">
        <w:t xml:space="preserve">IA </w:t>
      </w:r>
      <w:r w:rsidRPr="00D2267D">
        <w:t xml:space="preserve">Status: </w:t>
      </w:r>
      <w:r w:rsidRPr="00D2267D">
        <w:rPr>
          <w:rFonts w:eastAsia="MS Mincho"/>
          <w:w w:val="105"/>
        </w:rPr>
        <w:t>Compliant</w:t>
      </w:r>
    </w:p>
    <w:p w14:paraId="16F4C750" w14:textId="7235D4CB" w:rsidR="009627AE" w:rsidRPr="00D2267D" w:rsidRDefault="009627AE" w:rsidP="009627AE">
      <w:r w:rsidRPr="00D2267D">
        <w:t xml:space="preserve">Assessment Rating: </w:t>
      </w:r>
      <w:r>
        <w:t>G</w:t>
      </w:r>
      <w:r w:rsidR="00DA4F38">
        <w:t>ood P</w:t>
      </w:r>
      <w:r>
        <w:t>ractice</w:t>
      </w:r>
    </w:p>
    <w:p w14:paraId="478F056E" w14:textId="77777777" w:rsidR="009627AE" w:rsidRPr="001A7674" w:rsidRDefault="009627AE" w:rsidP="009627AE">
      <w:r w:rsidRPr="00D2267D">
        <w:t>PIR Required: No</w:t>
      </w:r>
    </w:p>
    <w:p w14:paraId="63C144F7" w14:textId="4B95B86B" w:rsidR="009627AE" w:rsidRDefault="009627AE" w:rsidP="009627AE">
      <w:r w:rsidRPr="001A7674">
        <w:t>Regulatory Burden:</w:t>
      </w:r>
      <w:r w:rsidRPr="009627AE">
        <w:t xml:space="preserve"> The NIAA estimates reforming the </w:t>
      </w:r>
      <w:r w:rsidR="00712810">
        <w:t xml:space="preserve">Community Development Program (CDP) </w:t>
      </w:r>
      <w:r w:rsidRPr="009627AE">
        <w:t>would increase average regulatory costs by $9.764 million per year, over three years.</w:t>
      </w:r>
    </w:p>
    <w:p w14:paraId="6D9F257B" w14:textId="0314F27F" w:rsidR="009627AE" w:rsidRDefault="009627AE" w:rsidP="009627AE">
      <w:r>
        <w:t>Remote Australia generally has thin labour markets and lower employment rates compared to non-remote areas. Many remote communities have a dearth of job opportunities, associated with economic and social issues. Job seekers may not be prepared to enter the workforce immediately when opportunities arise and may face significant ba</w:t>
      </w:r>
      <w:r w:rsidR="00DA4F38">
        <w:t>rriers to obtaining employment.</w:t>
      </w:r>
    </w:p>
    <w:p w14:paraId="48E87398" w14:textId="1EA478FD" w:rsidR="009627AE" w:rsidRDefault="009627AE" w:rsidP="009627AE">
      <w:r>
        <w:t>Job seekers in remote Australia are currently serviced by the CDP which helps support people interacting with labour markets in 60 CDP regions. The CDP was introduced in 2015 and sought to implement a typical work week, with participants completing work-like activities in remote areas to bett</w:t>
      </w:r>
      <w:r w:rsidR="00DA4F38">
        <w:t>er prepare them for employment.</w:t>
      </w:r>
    </w:p>
    <w:p w14:paraId="69CB738F" w14:textId="26C3A0F1" w:rsidR="009627AE" w:rsidRDefault="009627AE" w:rsidP="009627AE">
      <w:r>
        <w:t xml:space="preserve">The Australian Government has committed to replacing the CDP with real jobs, proper wages and decent conditions. The commitment stems from the need to address thin labour markets in remote Australia, which </w:t>
      </w:r>
      <w:r>
        <w:lastRenderedPageBreak/>
        <w:t>are unlikely to naturally resolve into positive outcomes. Remote job seekers require a high quality, fit for purpose employment service to achieve positive outcom</w:t>
      </w:r>
      <w:r w:rsidR="00DA4F38">
        <w:t>es.</w:t>
      </w:r>
    </w:p>
    <w:p w14:paraId="20EC749D" w14:textId="629E8C95" w:rsidR="009627AE" w:rsidRDefault="009627AE" w:rsidP="009627AE">
      <w:r>
        <w:t xml:space="preserve">The Australian Government has consulted with remote communities, job seekers, employers, CDP providers, local corporations, council members and other stakeholders on how to replace the CDP. Phase 1 of the consultations heard from over 2,250 people in over 100 remote communities, seeking to listen to and learn from the views of remote community members. Phase 2 of consultations tested the design of the </w:t>
      </w:r>
      <w:r w:rsidR="00C25B79">
        <w:t>Remote Jobs and Economic Development</w:t>
      </w:r>
      <w:r w:rsidR="00C25B79" w:rsidDel="00C25B79">
        <w:t xml:space="preserve"> </w:t>
      </w:r>
      <w:r>
        <w:t>program and heard from over 3,000 people in around 200 remote communities, with over 80 survey and submission responses received, and eight roundtables attended by community organisations, private sector organisations and state/territory and federal govern</w:t>
      </w:r>
      <w:r w:rsidR="00DA4F38">
        <w:t>ment representatives were held.</w:t>
      </w:r>
    </w:p>
    <w:p w14:paraId="12EA6355" w14:textId="76CDDADF" w:rsidR="009627AE" w:rsidRDefault="009627AE" w:rsidP="009627AE">
      <w:r>
        <w:t>The NIAA considered two options to address comparatively lower employment outcomes for Aus</w:t>
      </w:r>
      <w:r w:rsidR="00DA4F38">
        <w:t>tralians in remote communities:</w:t>
      </w:r>
    </w:p>
    <w:p w14:paraId="7E756470" w14:textId="7D42ACF1" w:rsidR="009627AE" w:rsidRDefault="009627AE" w:rsidP="004D0B63">
      <w:pPr>
        <w:pStyle w:val="ListParagraph"/>
        <w:numPr>
          <w:ilvl w:val="0"/>
          <w:numId w:val="42"/>
        </w:numPr>
      </w:pPr>
      <w:r>
        <w:t>Option 1: Retain the st</w:t>
      </w:r>
      <w:r w:rsidR="00DA4F38">
        <w:t>atus quo by continuing the CDP.</w:t>
      </w:r>
    </w:p>
    <w:p w14:paraId="738A7329" w14:textId="63AE2740" w:rsidR="009627AE" w:rsidRDefault="009627AE" w:rsidP="004D0B63">
      <w:pPr>
        <w:pStyle w:val="ListParagraph"/>
        <w:numPr>
          <w:ilvl w:val="0"/>
          <w:numId w:val="42"/>
        </w:numPr>
      </w:pPr>
      <w:r>
        <w:t>Option 2: Replace the CDP wi</w:t>
      </w:r>
      <w:r w:rsidR="00DA4F38">
        <w:t>th two complementary programs:</w:t>
      </w:r>
    </w:p>
    <w:p w14:paraId="7FE57D74" w14:textId="31A4CE46" w:rsidR="009627AE" w:rsidRDefault="009627AE" w:rsidP="004D0B63">
      <w:pPr>
        <w:pStyle w:val="ListParagraph"/>
        <w:numPr>
          <w:ilvl w:val="1"/>
          <w:numId w:val="42"/>
        </w:numPr>
      </w:pPr>
      <w:r>
        <w:t>the new Remote Jobs and Economic Development program to create 3,000 job</w:t>
      </w:r>
      <w:r w:rsidR="00DA4F38">
        <w:t>s with fair pay and conditions</w:t>
      </w:r>
    </w:p>
    <w:p w14:paraId="10A0FDE4" w14:textId="69BCFBB7" w:rsidR="009627AE" w:rsidRDefault="009627AE" w:rsidP="004D0B63">
      <w:pPr>
        <w:pStyle w:val="ListParagraph"/>
        <w:numPr>
          <w:ilvl w:val="1"/>
          <w:numId w:val="42"/>
        </w:numPr>
      </w:pPr>
      <w:r>
        <w:t xml:space="preserve">a new remote employment service to provide tailored support to remote job seekers considering their individual goals, barriers, needs and </w:t>
      </w:r>
      <w:r w:rsidR="00DA4F38">
        <w:t>proximity to the labour market.</w:t>
      </w:r>
    </w:p>
    <w:p w14:paraId="4D300FEC" w14:textId="4A91AC7B" w:rsidR="009627AE" w:rsidRDefault="009627AE" w:rsidP="009627AE">
      <w:r>
        <w:t>Based on the information gathered through the consultation process, NIAA considers the prefe</w:t>
      </w:r>
      <w:r w:rsidR="00DA4F38">
        <w:t>rred approach to be Option 2.</w:t>
      </w:r>
    </w:p>
    <w:p w14:paraId="3D532FA9" w14:textId="0CBB03C2" w:rsidR="009627AE" w:rsidRDefault="009627AE" w:rsidP="009627AE">
      <w:r>
        <w:t>While Option 2 has a higher regulatory burden, this option is more likely to benefit job seekers, remote communities, local employers and community organisations. Option 2 would help to address barriers to employment that are prevalent in remote communities, including training and skills development opportunities, as well as linking participants with suitable employment opportunities. Option 2 includes a new remote employment service designed to better support remote job seekers through a case-management approach to drive engagement and aspiration among participants.</w:t>
      </w:r>
    </w:p>
    <w:p w14:paraId="4B92556F" w14:textId="77777777" w:rsidR="00F36D81" w:rsidRPr="00F36D81" w:rsidRDefault="00F36D81" w:rsidP="00F36D81">
      <w:pPr>
        <w:pStyle w:val="Heading3"/>
      </w:pPr>
      <w:bookmarkStart w:id="149" w:name="_Toc193445474"/>
      <w:bookmarkStart w:id="150" w:name="_Toc717813453"/>
      <w:r>
        <w:t>Supporting Remote Cost-of-Living and Food Security</w:t>
      </w:r>
      <w:bookmarkEnd w:id="149"/>
      <w:bookmarkEnd w:id="150"/>
    </w:p>
    <w:p w14:paraId="5A242D07" w14:textId="09E905DB" w:rsidR="00F36D81" w:rsidRPr="00B501F0" w:rsidRDefault="00F36D81" w:rsidP="00B501F0">
      <w:r w:rsidRPr="00E50ABE">
        <w:t xml:space="preserve">IA Status: </w:t>
      </w:r>
      <w:r w:rsidRPr="00B501F0">
        <w:t>Compliant</w:t>
      </w:r>
    </w:p>
    <w:p w14:paraId="38E03ABD" w14:textId="55C8B503" w:rsidR="00F36D81" w:rsidRPr="00D2267D" w:rsidRDefault="00F36D81" w:rsidP="00F36D81">
      <w:r w:rsidRPr="00D2267D">
        <w:t xml:space="preserve">Assessment Rating: </w:t>
      </w:r>
      <w:r>
        <w:t>Adequate</w:t>
      </w:r>
    </w:p>
    <w:p w14:paraId="0D3A2C4C" w14:textId="77777777" w:rsidR="00F36D81" w:rsidRPr="001A7674" w:rsidRDefault="00F36D81" w:rsidP="00F36D81">
      <w:r w:rsidRPr="00D2267D">
        <w:t>PIR Required: No</w:t>
      </w:r>
    </w:p>
    <w:p w14:paraId="7D8BE2A5" w14:textId="632954CE" w:rsidR="00F36D81" w:rsidRDefault="00F36D81" w:rsidP="00F36D81">
      <w:r w:rsidRPr="001A7674">
        <w:t>Regulatory Burden:</w:t>
      </w:r>
      <w:r>
        <w:t xml:space="preserve"> </w:t>
      </w:r>
      <w:r w:rsidRPr="00F36D81">
        <w:t>The NIAA estimates the preferred option will result in an increase in average regulatory costs of $5.113 million per year, over ten years. The NIAA estimates 98% of this cost impact will be incurred by Outback Stores to administer and operate the scheme. </w:t>
      </w:r>
    </w:p>
    <w:p w14:paraId="1614F6C4" w14:textId="77777777" w:rsidR="00F36D81" w:rsidRPr="00F36D81" w:rsidRDefault="00F36D81" w:rsidP="00F36D81">
      <w:r w:rsidRPr="00F36D81">
        <w:lastRenderedPageBreak/>
        <w:t>Food and essentials in remote First Nations communities are significantly higher in price than the same products in urban centres. Coupled with comparably low income, this means many First Nations people living in remote communities are struggling with cost-of-living and overall food security. Food security is an important social determinant of health and overall health and wellbeing. Poor food security is associated with increased risk of chronic diseases. </w:t>
      </w:r>
    </w:p>
    <w:p w14:paraId="3D4B7972" w14:textId="77777777" w:rsidR="00F36D81" w:rsidRPr="00F36D81" w:rsidRDefault="00F36D81" w:rsidP="00F36D81">
      <w:r w:rsidRPr="00F36D81">
        <w:t>Food and essentials in remote communities are expensive for many reasons, including the high cost of freighting the products the long distances between the point of harvest or production and the community store. Remote supply chains often rely on only a small number of service providers and require multiple transfer points, with each stop along the supply chain increasing the cost and time it takes for the product to reach the consumer, thus increasing the risk of degradation and damage of goods. In addition to long distances and poor infrastructure, small consumer populations in remote communities with limited purchasing power often means bulk pricing for products is unviable. </w:t>
      </w:r>
    </w:p>
    <w:p w14:paraId="0640E0B4" w14:textId="77777777" w:rsidR="00F36D81" w:rsidRPr="00F36D81" w:rsidRDefault="00F36D81" w:rsidP="00F36D81">
      <w:r w:rsidRPr="00F36D81">
        <w:t>The IA considers five options to support food insecurity in remote Australia: </w:t>
      </w:r>
    </w:p>
    <w:p w14:paraId="01F906BA" w14:textId="77777777" w:rsidR="00F36D81" w:rsidRPr="00F36D81" w:rsidRDefault="00F36D81" w:rsidP="00F36D81">
      <w:pPr>
        <w:numPr>
          <w:ilvl w:val="0"/>
          <w:numId w:val="49"/>
        </w:numPr>
      </w:pPr>
      <w:r w:rsidRPr="00F36D81">
        <w:t>Option 1: Retain the status quo where the current trial on nine essential items will continue through to 2029, after which point, all essential goods would return to their ‘market prices.’ </w:t>
      </w:r>
    </w:p>
    <w:p w14:paraId="4983BCED" w14:textId="77777777" w:rsidR="00F36D81" w:rsidRPr="00F36D81" w:rsidRDefault="00F36D81" w:rsidP="00F36D81">
      <w:pPr>
        <w:numPr>
          <w:ilvl w:val="0"/>
          <w:numId w:val="49"/>
        </w:numPr>
      </w:pPr>
      <w:r w:rsidRPr="00F36D81">
        <w:t>Option 2: Mandate and enforce price caps on essential items in remote stores. </w:t>
      </w:r>
    </w:p>
    <w:p w14:paraId="5DF3A225" w14:textId="77777777" w:rsidR="00F36D81" w:rsidRPr="00F36D81" w:rsidRDefault="00F36D81" w:rsidP="00F36D81">
      <w:pPr>
        <w:numPr>
          <w:ilvl w:val="0"/>
          <w:numId w:val="49"/>
        </w:numPr>
      </w:pPr>
      <w:r w:rsidRPr="00F36D81">
        <w:t>Option 3: Subsidise the cost of freight directly to the remote store. Remotes stores would receive the subsidy after the sale of the goods. </w:t>
      </w:r>
    </w:p>
    <w:p w14:paraId="66A0524F" w14:textId="626F31BD" w:rsidR="00F36D81" w:rsidRPr="00F36D81" w:rsidRDefault="00F36D81" w:rsidP="00F36D81">
      <w:pPr>
        <w:numPr>
          <w:ilvl w:val="0"/>
          <w:numId w:val="49"/>
        </w:numPr>
      </w:pPr>
      <w:r>
        <w:t>Option 4: Apply a subsidy through Outback Stores Pty Ltd (Outback Stores) on 30 essential items (with the ability to adjust to respond to changes in supply and demand</w:t>
      </w:r>
      <w:r w:rsidDel="00F36D81">
        <w:t>)</w:t>
      </w:r>
      <w:r>
        <w:t xml:space="preserve"> with the target to lower the cost of these items to be comparable with urban retailers. Outback Stores would provide subsidised items to remote stores at a lower wholesale price, subsidising the sale price (if required) and the cost of freight. </w:t>
      </w:r>
    </w:p>
    <w:p w14:paraId="2F829DFB" w14:textId="77777777" w:rsidR="00F36D81" w:rsidRPr="00F36D81" w:rsidRDefault="00F36D81" w:rsidP="00F36D81">
      <w:pPr>
        <w:numPr>
          <w:ilvl w:val="0"/>
          <w:numId w:val="49"/>
        </w:numPr>
      </w:pPr>
      <w:r w:rsidRPr="00F36D81">
        <w:t>Option 5: Apply a subsidy through Outback Stores on 30 essentials to lower the cost of these items to be below the sale price at urban retailers. This option considers the lower average incomes of First Nations people in remote communities, the higher rates of food insecurity in remote First Nations communities and the higher prices of food and essentials in remote stores. </w:t>
      </w:r>
    </w:p>
    <w:p w14:paraId="40F374A2" w14:textId="77777777" w:rsidR="00F36D81" w:rsidRPr="00F36D81" w:rsidRDefault="00F36D81" w:rsidP="00F36D81">
      <w:r w:rsidRPr="00F36D81">
        <w:t xml:space="preserve">The preferred option was identified as Option 4 as it is supported by key stakeholders and builds on an existing successful model administered by Outback Stores. Options 4 and 5 have a greater positive impact on affected cohorts and best meet the objectives of the policy to reduce costs for consumers of a defined basket of healthy food and essential items in remote First Nations communities, support remote stores to implement pricing policies that aim to improve nutrition and health outcomes for First Nations people and improve the governance, operational and management capacity of remote stores. Option 4 is preferred over Option 5 due to the lower costs to operate and noting the risks of criticism or the intended benefits of </w:t>
      </w:r>
      <w:r w:rsidRPr="00F36D81">
        <w:lastRenderedPageBreak/>
        <w:t>the subsidy to remote communities not being realised due to use of the Option 5 subsidy by people outside of remote communities. </w:t>
      </w:r>
    </w:p>
    <w:p w14:paraId="2E854D52" w14:textId="306C3D41" w:rsidR="00F36D81" w:rsidRPr="009627AE" w:rsidRDefault="00F36D81" w:rsidP="00F36D81">
      <w:r w:rsidRPr="00F36D81">
        <w:t>To ensure a coordinated and complementary impact, the NIAA is developing the Industry Standards for Remote Community Stores Code, remote store governance benchmarking and training, and a store-based nutrition workforce to be implemented alongside Option 4. </w:t>
      </w:r>
    </w:p>
    <w:sectPr w:rsidR="00F36D81" w:rsidRPr="009627AE" w:rsidSect="00D02A63">
      <w:headerReference w:type="default" r:id="rId20"/>
      <w:footerReference w:type="default" r:id="rId21"/>
      <w:headerReference w:type="first" r:id="rId22"/>
      <w:pgSz w:w="11906" w:h="16838"/>
      <w:pgMar w:top="1701" w:right="964" w:bottom="1644" w:left="964" w:header="992"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8F795D2" w16cex:dateUtc="2024-10-29T03:05:37.899Z"/>
  <w16cex:commentExtensible w16cex:durableId="2A83EA89" w16cex:dateUtc="2024-10-29T03:22:17.7Z"/>
  <w16cex:commentExtensible w16cex:durableId="4B9955D1" w16cex:dateUtc="2025-01-29T01:35:30.177Z"/>
  <w16cex:commentExtensible w16cex:durableId="3A98516E" w16cex:dateUtc="2025-03-19T01:41:44.11Z"/>
  <w16cex:commentExtensible w16cex:durableId="2D65C9EE" w16cex:dateUtc="2025-07-21T07:25:20.819Z"/>
</w16cex:commentsExtensible>
</file>

<file path=word/commentsIds.xml><?xml version="1.0" encoding="utf-8"?>
<w16cid:commentsIds xmlns:mc="http://schemas.openxmlformats.org/markup-compatibility/2006" xmlns:w16cid="http://schemas.microsoft.com/office/word/2016/wordml/cid" mc:Ignorable="w16cid">
  <w16cid:commentId w16cid:paraId="5CA88CAA" w16cid:durableId="6E52F0AD"/>
  <w16cid:commentId w16cid:paraId="6EF2A7DA" w16cid:durableId="07DB9410"/>
  <w16cid:commentId w16cid:paraId="51D63C4B" w16cid:durableId="6D84400F"/>
  <w16cid:commentId w16cid:paraId="4112BD0B" w16cid:durableId="45BCB971"/>
  <w16cid:commentId w16cid:paraId="4E8A3FEA" w16cid:durableId="344B6FF2"/>
  <w16cid:commentId w16cid:paraId="00F24990" w16cid:durableId="13F8D3C2"/>
  <w16cid:commentId w16cid:paraId="582EB431" w16cid:durableId="4F64D4E3"/>
  <w16cid:commentId w16cid:paraId="7BA591A0" w16cid:durableId="33E384AC"/>
  <w16cid:commentId w16cid:paraId="5297455B" w16cid:durableId="47045CD2"/>
  <w16cid:commentId w16cid:paraId="089BB5F5" w16cid:durableId="59A1B7C2"/>
  <w16cid:commentId w16cid:paraId="6957402A" w16cid:durableId="79D869BD"/>
  <w16cid:commentId w16cid:paraId="3FC276CF" w16cid:durableId="63EB57D3"/>
  <w16cid:commentId w16cid:paraId="05099DB0" w16cid:durableId="08F795D2"/>
  <w16cid:commentId w16cid:paraId="360DF662" w16cid:durableId="56A42199"/>
  <w16cid:commentId w16cid:paraId="2C3E922C" w16cid:durableId="5FA93C43"/>
  <w16cid:commentId w16cid:paraId="670C4512" w16cid:durableId="2A83EA89"/>
  <w16cid:commentId w16cid:paraId="65FB2971" w16cid:durableId="41D7B46A"/>
  <w16cid:commentId w16cid:paraId="6D25D2F1" w16cid:durableId="53CBBCBF"/>
  <w16cid:commentId w16cid:paraId="2BF81092" w16cid:durableId="01480490"/>
  <w16cid:commentId w16cid:paraId="6CD550F0" w16cid:durableId="72D18ECA"/>
  <w16cid:commentId w16cid:paraId="075A1CF5" w16cid:durableId="4B9955D1"/>
  <w16cid:commentId w16cid:paraId="48432BFB" w16cid:durableId="242C098C"/>
  <w16cid:commentId w16cid:paraId="3C9AF03F" w16cid:durableId="3A98516E"/>
  <w16cid:commentId w16cid:paraId="1F82BB2F" w16cid:durableId="31CE85FB"/>
  <w16cid:commentId w16cid:paraId="7EFDA830" w16cid:durableId="520E9E8D"/>
  <w16cid:commentId w16cid:paraId="58C24F9A" w16cid:durableId="4D3A84C1"/>
  <w16cid:commentId w16cid:paraId="42E6E4C4" w16cid:durableId="3146FA7F"/>
  <w16cid:commentId w16cid:paraId="06EF61C9" w16cid:durableId="1F2D21ED"/>
  <w16cid:commentId w16cid:paraId="157DB4C8" w16cid:durableId="429F58B7"/>
  <w16cid:commentId w16cid:paraId="4D521EEB" w16cid:durableId="74664F26"/>
  <w16cid:commentId w16cid:paraId="0A5AF04A" w16cid:durableId="5094005E"/>
  <w16cid:commentId w16cid:paraId="6C9DF572" w16cid:durableId="275DD89A"/>
  <w16cid:commentId w16cid:paraId="658DD550" w16cid:durableId="39E1105F"/>
  <w16cid:commentId w16cid:paraId="14543F62" w16cid:durableId="2D65C9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C4A59" w14:textId="77777777" w:rsidR="007317AC" w:rsidRDefault="007317AC" w:rsidP="00F957C6">
      <w:pPr>
        <w:spacing w:after="0" w:line="240" w:lineRule="auto"/>
      </w:pPr>
      <w:r>
        <w:separator/>
      </w:r>
    </w:p>
  </w:endnote>
  <w:endnote w:type="continuationSeparator" w:id="0">
    <w:p w14:paraId="70574266" w14:textId="77777777" w:rsidR="007317AC" w:rsidRDefault="007317AC" w:rsidP="00F957C6">
      <w:pPr>
        <w:spacing w:after="0" w:line="240" w:lineRule="auto"/>
      </w:pPr>
      <w:r>
        <w:continuationSeparator/>
      </w:r>
    </w:p>
  </w:endnote>
  <w:endnote w:type="continuationNotice" w:id="1">
    <w:p w14:paraId="01093F6C" w14:textId="77777777" w:rsidR="007317AC" w:rsidRDefault="007317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0AAC1" w14:textId="77777777" w:rsidR="004611A8" w:rsidRDefault="004611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25"/>
      <w:gridCol w:w="3325"/>
      <w:gridCol w:w="3325"/>
    </w:tblGrid>
    <w:tr w:rsidR="007317AC" w14:paraId="3D25A98D" w14:textId="77777777" w:rsidTr="6BBEDA10">
      <w:trPr>
        <w:trHeight w:val="300"/>
      </w:trPr>
      <w:tc>
        <w:tcPr>
          <w:tcW w:w="3325" w:type="dxa"/>
        </w:tcPr>
        <w:p w14:paraId="7A3F78A8" w14:textId="7842C17E" w:rsidR="007317AC" w:rsidRDefault="007317AC" w:rsidP="6BBEDA10">
          <w:pPr>
            <w:pStyle w:val="Header"/>
            <w:ind w:left="-115"/>
          </w:pPr>
        </w:p>
      </w:tc>
      <w:tc>
        <w:tcPr>
          <w:tcW w:w="3325" w:type="dxa"/>
        </w:tcPr>
        <w:p w14:paraId="65975351" w14:textId="3AE351D6" w:rsidR="007317AC" w:rsidRDefault="007317AC" w:rsidP="6BBEDA10">
          <w:pPr>
            <w:pStyle w:val="Header"/>
            <w:jc w:val="center"/>
          </w:pPr>
        </w:p>
      </w:tc>
      <w:tc>
        <w:tcPr>
          <w:tcW w:w="3325" w:type="dxa"/>
        </w:tcPr>
        <w:p w14:paraId="7F638710" w14:textId="65CB0EAE" w:rsidR="007317AC" w:rsidRDefault="007317AC" w:rsidP="6BBEDA10">
          <w:pPr>
            <w:pStyle w:val="Header"/>
            <w:ind w:right="-115"/>
            <w:jc w:val="right"/>
          </w:pPr>
        </w:p>
      </w:tc>
    </w:tr>
  </w:tbl>
  <w:p w14:paraId="27801FF9" w14:textId="40425CB3" w:rsidR="007317AC" w:rsidRDefault="007317AC" w:rsidP="6BBEDA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6B56A" w14:textId="12F34E1D" w:rsidR="007317AC" w:rsidRPr="00303C55" w:rsidRDefault="007317AC" w:rsidP="00303C55">
    <w:pPr>
      <w:pStyle w:val="Footer"/>
    </w:pPr>
    <w:r>
      <w:t>Australian Government Regulation Impact Statement Status, 2021-22</w:t>
    </w:r>
    <w:r>
      <w:ptab w:relativeTo="margin" w:alignment="center" w:leader="none"/>
    </w:r>
    <w:r>
      <w:rPr>
        <w:noProof/>
        <w:lang w:eastAsia="en-AU"/>
      </w:rPr>
      <mc:AlternateContent>
        <mc:Choice Requires="wps">
          <w:drawing>
            <wp:anchor distT="0" distB="0" distL="114300" distR="114300" simplePos="0" relativeHeight="251658243" behindDoc="1" locked="0" layoutInCell="1" allowOverlap="1" wp14:anchorId="37C46390" wp14:editId="042C6E12">
              <wp:simplePos x="0" y="0"/>
              <wp:positionH relativeFrom="column">
                <wp:posOffset>6220460</wp:posOffset>
              </wp:positionH>
              <wp:positionV relativeFrom="page">
                <wp:posOffset>691515</wp:posOffset>
              </wp:positionV>
              <wp:extent cx="6096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4849FF" id="Straight Connector 106"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Lk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2o0UQXke0mMm&#10;ZY9jFnsMgVuIJIqXezXF1DFlHw50tVI8UBE+G/Lly5LEXPt7XvoLcxaaHzftm03LU9A3V/PMi5Ty&#10;O0AvyqWXzoaiXHXq9D5lzsXQG4SNUsclc73ls4MCduETGFbDudaVXfcI9o7ESfEGDF/XRQXHqshC&#10;Mda5hdT+mXTFFhrU3fpb4oKuGTHkhehtQPpd1jzfSjUX/E31RWuR/YTDuc6htoMXpCq7LnPZwB/t&#10;Sn/+5XbfAQ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BMRwu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10248438"/>
        <w:placeholder>
          <w:docPart w:val="5211D597AC3940B592065566A352D0E3"/>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r>
      <w:rPr>
        <w:noProof/>
        <w:lang w:eastAsia="en-AU"/>
      </w:rPr>
      <mc:AlternateContent>
        <mc:Choice Requires="wps">
          <w:drawing>
            <wp:anchor distT="0" distB="0" distL="114300" distR="114300" simplePos="0" relativeHeight="251658242" behindDoc="0" locked="0" layoutInCell="1" allowOverlap="1" wp14:anchorId="37876B73" wp14:editId="6131FC7B">
              <wp:simplePos x="0" y="0"/>
              <wp:positionH relativeFrom="column">
                <wp:posOffset>6223000</wp:posOffset>
              </wp:positionH>
              <wp:positionV relativeFrom="page">
                <wp:posOffset>690245</wp:posOffset>
              </wp:positionV>
              <wp:extent cx="60960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02B9AB" id="Straight Connector 107"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page" from="490pt,54.35pt" to="538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" strokecolor="black [3200]" strokeweight=".5pt">
              <v:stroke joinstyle="miter"/>
              <w10:wrap anchory="page"/>
            </v:line>
          </w:pict>
        </mc:Fallback>
      </mc:AlternateContent>
    </w:r>
    <w:r>
      <w:t xml:space="preserve"> </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0E942" w14:textId="77777777" w:rsidR="007317AC" w:rsidRPr="00285CAF" w:rsidRDefault="007317AC" w:rsidP="00D10635">
    <w:pPr>
      <w:jc w:val="center"/>
    </w:pPr>
  </w:p>
  <w:p w14:paraId="7101789E" w14:textId="7854CF82" w:rsidR="007317AC" w:rsidRPr="008046D4" w:rsidRDefault="007317AC" w:rsidP="5F7D9C00">
    <w:pPr>
      <w:pStyle w:val="Header"/>
      <w:rPr>
        <w:rFonts w:ascii="Segoe UI" w:hAnsi="Segoe UI" w:cs="Segoe UI"/>
        <w:color w:val="7F7F7F" w:themeColor="text1" w:themeTint="80"/>
        <w:sz w:val="18"/>
        <w:szCs w:val="18"/>
      </w:rPr>
    </w:pPr>
    <w:r>
      <w:rPr>
        <w:color w:val="7F7F7F" w:themeColor="text1" w:themeTint="80"/>
        <w:sz w:val="18"/>
        <w:szCs w:val="18"/>
      </w:rPr>
      <w:t>PM&amp;C | OIA | Australian Government Impact Analysis Status, 2024-25</w:t>
    </w:r>
    <w:r>
      <w:ptab w:relativeTo="margin" w:alignment="right" w:leader="none"/>
    </w:r>
    <w:r w:rsidRPr="5F7D9C00">
      <w:rPr>
        <w:rFonts w:ascii="Segoe UI" w:hAnsi="Segoe UI" w:cs="Segoe UI"/>
        <w:noProof/>
        <w:color w:val="7F7F7F" w:themeColor="text1" w:themeTint="80"/>
        <w:sz w:val="18"/>
        <w:szCs w:val="18"/>
      </w:rPr>
      <w:fldChar w:fldCharType="begin"/>
    </w:r>
    <w:r w:rsidRPr="5F7D9C00">
      <w:rPr>
        <w:rFonts w:ascii="Segoe UI" w:hAnsi="Segoe UI" w:cs="Segoe UI"/>
        <w:color w:val="7F7F7F" w:themeColor="text1" w:themeTint="80"/>
        <w:sz w:val="18"/>
        <w:szCs w:val="18"/>
      </w:rPr>
      <w:instrText xml:space="preserve"> PAGE   \* MERGEFORMAT </w:instrText>
    </w:r>
    <w:r w:rsidRPr="5F7D9C00">
      <w:rPr>
        <w:rFonts w:ascii="Segoe UI" w:hAnsi="Segoe UI" w:cs="Segoe UI"/>
        <w:color w:val="7F7F7F" w:themeColor="text1" w:themeTint="80"/>
        <w:sz w:val="18"/>
        <w:szCs w:val="18"/>
      </w:rPr>
      <w:fldChar w:fldCharType="separate"/>
    </w:r>
    <w:r w:rsidR="0019779B">
      <w:rPr>
        <w:rFonts w:ascii="Segoe UI" w:hAnsi="Segoe UI" w:cs="Segoe UI"/>
        <w:noProof/>
        <w:color w:val="7F7F7F" w:themeColor="text1" w:themeTint="80"/>
        <w:sz w:val="18"/>
        <w:szCs w:val="18"/>
      </w:rPr>
      <w:t>5</w:t>
    </w:r>
    <w:r w:rsidRPr="5F7D9C00">
      <w:rPr>
        <w:rFonts w:ascii="Segoe UI" w:hAnsi="Segoe UI" w:cs="Segoe UI"/>
        <w:noProof/>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65ABC" w14:textId="77777777" w:rsidR="007317AC" w:rsidRDefault="007317AC" w:rsidP="00F957C6">
      <w:pPr>
        <w:spacing w:after="0" w:line="240" w:lineRule="auto"/>
      </w:pPr>
      <w:r>
        <w:separator/>
      </w:r>
    </w:p>
  </w:footnote>
  <w:footnote w:type="continuationSeparator" w:id="0">
    <w:p w14:paraId="42A91912" w14:textId="77777777" w:rsidR="007317AC" w:rsidRDefault="007317AC" w:rsidP="00F957C6">
      <w:pPr>
        <w:spacing w:after="0" w:line="240" w:lineRule="auto"/>
      </w:pPr>
      <w:r>
        <w:continuationSeparator/>
      </w:r>
    </w:p>
  </w:footnote>
  <w:footnote w:type="continuationNotice" w:id="1">
    <w:p w14:paraId="12DFC221" w14:textId="77777777" w:rsidR="007317AC" w:rsidRDefault="007317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B4BF6" w14:textId="77777777" w:rsidR="004611A8" w:rsidRDefault="00461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DF4D8" w14:textId="1D142BFB" w:rsidR="007317AC" w:rsidRDefault="007317AC" w:rsidP="00303C55">
    <w:pPr>
      <w:pStyle w:val="Header"/>
      <w:ind w:left="1134"/>
      <w:rPr>
        <w:noProof/>
        <w:lang w:eastAsia="en-AU"/>
      </w:rPr>
    </w:pPr>
    <w:r>
      <w:rPr>
        <w:noProof/>
        <w:lang w:eastAsia="en-AU"/>
      </w:rPr>
      <w:drawing>
        <wp:anchor distT="0" distB="0" distL="114300" distR="114300" simplePos="0" relativeHeight="251658247" behindDoc="0" locked="0" layoutInCell="1" allowOverlap="1" wp14:anchorId="065A4D19" wp14:editId="0BA4944E">
          <wp:simplePos x="0" y="0"/>
          <wp:positionH relativeFrom="column">
            <wp:posOffset>4069787</wp:posOffset>
          </wp:positionH>
          <wp:positionV relativeFrom="paragraph">
            <wp:posOffset>-450794</wp:posOffset>
          </wp:positionV>
          <wp:extent cx="1411605" cy="1132840"/>
          <wp:effectExtent l="0" t="0" r="0" b="0"/>
          <wp:wrapSquare wrapText="bothSides"/>
          <wp:docPr id="1" name="Picture 1" descr="The Office of Impac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A-LOGO-CMYK-BOTTOM.png"/>
                  <pic:cNvPicPr/>
                </pic:nvPicPr>
                <pic:blipFill>
                  <a:blip r:embed="rId1">
                    <a:extLst>
                      <a:ext uri="{28A0092B-C50C-407E-A947-70E740481C1C}">
                        <a14:useLocalDpi xmlns:a14="http://schemas.microsoft.com/office/drawing/2010/main" val="0"/>
                      </a:ext>
                    </a:extLst>
                  </a:blip>
                  <a:stretch>
                    <a:fillRect/>
                  </a:stretch>
                </pic:blipFill>
                <pic:spPr>
                  <a:xfrm>
                    <a:off x="0" y="0"/>
                    <a:ext cx="1411605" cy="1132840"/>
                  </a:xfrm>
                  <a:prstGeom prst="rect">
                    <a:avLst/>
                  </a:prstGeom>
                </pic:spPr>
              </pic:pic>
            </a:graphicData>
          </a:graphic>
          <wp14:sizeRelH relativeFrom="page">
            <wp14:pctWidth>0</wp14:pctWidth>
          </wp14:sizeRelH>
          <wp14:sizeRelV relativeFrom="page">
            <wp14:pctHeight>0</wp14:pctHeight>
          </wp14:sizeRelV>
        </wp:anchor>
      </w:drawing>
    </w:r>
    <w:r w:rsidR="0019779B">
      <w:rPr>
        <w:noProof/>
      </w:rPr>
      <w:pict w14:anchorId="59544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Australian Government, Department of the Prime Minister and Cabinet" style="position:absolute;left:0;text-align:left;margin-left:0;margin-top:27.5pt;width:254.95pt;height:43.05pt;z-index:251658246;mso-position-horizontal:absolute;mso-position-horizontal-relative:margin;mso-position-vertical:absolute;mso-position-vertical-relative:page;mso-width-relative:page;mso-height-relative:page">
          <v:imagedata r:id="rId2" o:title="PMC_Logo_Primary_CMYK_Black" croptop="15525f" cropbottom="15745f" cropleft="4167f" cropright="4352f"/>
          <w10:wrap type="square" anchorx="margin" anchory="page"/>
        </v:shape>
      </w:pict>
    </w:r>
  </w:p>
  <w:p w14:paraId="1CAA23DF" w14:textId="77777777" w:rsidR="007317AC" w:rsidRDefault="007317AC" w:rsidP="00DC000A">
    <w:pPr>
      <w:pStyle w:val="Header"/>
      <w:tabs>
        <w:tab w:val="clear" w:pos="4513"/>
        <w:tab w:val="clear" w:pos="9026"/>
        <w:tab w:val="left" w:pos="3046"/>
      </w:tabs>
      <w:ind w:left="1134"/>
    </w:pPr>
    <w:r w:rsidRPr="00285CAF">
      <w:rPr>
        <w:noProof/>
        <w:lang w:eastAsia="en-AU"/>
      </w:rPr>
      <mc:AlternateContent>
        <mc:Choice Requires="wps">
          <w:drawing>
            <wp:anchor distT="0" distB="0" distL="114300" distR="114300" simplePos="0" relativeHeight="251658240" behindDoc="1" locked="0" layoutInCell="1" allowOverlap="1" wp14:anchorId="5998117B" wp14:editId="39E38ACE">
              <wp:simplePos x="0" y="0"/>
              <wp:positionH relativeFrom="column">
                <wp:posOffset>6334760</wp:posOffset>
              </wp:positionH>
              <wp:positionV relativeFrom="page">
                <wp:posOffset>692150</wp:posOffset>
              </wp:positionV>
              <wp:extent cx="609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07C90B"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page" from="498.8pt,54.5pt" to="546.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" strokecolor="black [3200]" strokeweight=".5pt">
              <v:stroke joinstyle="miter"/>
              <w10:wrap anchory="page"/>
            </v:line>
          </w:pict>
        </mc:Fallback>
      </mc:AlternateContent>
    </w:r>
    <w:r>
      <w:tab/>
    </w:r>
  </w:p>
  <w:p w14:paraId="462EF675" w14:textId="77777777" w:rsidR="007317AC" w:rsidRDefault="007317AC" w:rsidP="00303C55">
    <w:pPr>
      <w:pStyle w:val="Header"/>
      <w:ind w:left="1134"/>
    </w:pPr>
  </w:p>
  <w:p w14:paraId="12B1B52F" w14:textId="77777777" w:rsidR="007317AC" w:rsidRDefault="007317AC" w:rsidP="00303C55">
    <w:pPr>
      <w:pStyle w:val="Header"/>
      <w:ind w:left="1134"/>
    </w:pPr>
  </w:p>
  <w:p w14:paraId="468074E9" w14:textId="77777777" w:rsidR="007317AC" w:rsidRDefault="007317AC" w:rsidP="00303C55">
    <w:pPr>
      <w:pStyle w:val="Header"/>
      <w:ind w:left="113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80F1B" w14:textId="77777777" w:rsidR="007317AC" w:rsidRDefault="007317AC" w:rsidP="00303C55">
    <w:pPr>
      <w:pStyle w:val="Header"/>
      <w:jc w:val="center"/>
    </w:pPr>
    <w:r>
      <w:rPr>
        <w:noProof/>
        <w:lang w:eastAsia="en-AU"/>
      </w:rPr>
      <mc:AlternateContent>
        <mc:Choice Requires="wps">
          <w:drawing>
            <wp:anchor distT="0" distB="0" distL="114300" distR="114300" simplePos="0" relativeHeight="251658241" behindDoc="1" locked="0" layoutInCell="1" allowOverlap="1" wp14:anchorId="798A30CD" wp14:editId="457F17E4">
              <wp:simplePos x="0" y="0"/>
              <wp:positionH relativeFrom="column">
                <wp:posOffset>6220460</wp:posOffset>
              </wp:positionH>
              <wp:positionV relativeFrom="page">
                <wp:posOffset>691515</wp:posOffset>
              </wp:positionV>
              <wp:extent cx="6096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A5E950" id="Straight Connector 102"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G6gOH2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48293828"/>
        <w:placeholder>
          <w:docPart w:val="6FE6A16A9C4E486DBEA852C178641D1D"/>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6764F" w14:textId="77777777" w:rsidR="007317AC" w:rsidRPr="00D10635" w:rsidRDefault="007317AC" w:rsidP="00D10635">
    <w:pPr>
      <w:jc w:val="center"/>
    </w:pPr>
    <w:r>
      <w:rPr>
        <w:noProof/>
        <w:lang w:eastAsia="en-AU"/>
      </w:rPr>
      <mc:AlternateContent>
        <mc:Choice Requires="wps">
          <w:drawing>
            <wp:anchor distT="0" distB="0" distL="114300" distR="114300" simplePos="0" relativeHeight="251658245" behindDoc="1" locked="0" layoutInCell="1" allowOverlap="1" wp14:anchorId="55AFF57D" wp14:editId="5A69B172">
              <wp:simplePos x="0" y="0"/>
              <wp:positionH relativeFrom="column">
                <wp:posOffset>6329680</wp:posOffset>
              </wp:positionH>
              <wp:positionV relativeFrom="page">
                <wp:posOffset>691515</wp:posOffset>
              </wp:positionV>
              <wp:extent cx="608400" cy="0"/>
              <wp:effectExtent l="0" t="0" r="20320" b="19050"/>
              <wp:wrapNone/>
              <wp:docPr id="4" name="Straight Connector 4"/>
              <wp:cNvGraphicFramePr/>
              <a:graphic xmlns:a="http://schemas.openxmlformats.org/drawingml/2006/main">
                <a:graphicData uri="http://schemas.microsoft.com/office/word/2010/wordprocessingShape">
                  <wps:wsp>
                    <wps:cNvCnPr/>
                    <wps:spPr>
                      <a:xfrm>
                        <a:off x="0" y="0"/>
                        <a:ext cx="60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6D3325" id="Straight Connector 4" o:spid="_x0000_s1026" style="position:absolute;z-index:-2516582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98.4pt,54.45pt" to="546.3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" strokecolor="black [3200]" strokeweight=".5pt">
              <v:stroke joinstyle="miter"/>
              <w10:wrap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CE3B" w14:textId="77777777" w:rsidR="007317AC" w:rsidRDefault="007317AC" w:rsidP="00303C55">
    <w:pPr>
      <w:pStyle w:val="Header"/>
      <w:jc w:val="center"/>
    </w:pPr>
    <w:r>
      <w:rPr>
        <w:noProof/>
        <w:lang w:eastAsia="en-AU"/>
      </w:rPr>
      <mc:AlternateContent>
        <mc:Choice Requires="wps">
          <w:drawing>
            <wp:anchor distT="0" distB="0" distL="114300" distR="114300" simplePos="0" relativeHeight="251658244" behindDoc="1" locked="0" layoutInCell="1" allowOverlap="1" wp14:anchorId="23C957FB" wp14:editId="7E40EB6E">
              <wp:simplePos x="0" y="0"/>
              <wp:positionH relativeFrom="column">
                <wp:posOffset>6220460</wp:posOffset>
              </wp:positionH>
              <wp:positionV relativeFrom="page">
                <wp:posOffset>691515</wp:posOffset>
              </wp:positionV>
              <wp:extent cx="609600" cy="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D47F9A" id="Straight Connector 108" o:spid="_x0000_s1026" style="position:absolute;z-index:-251658236;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0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Wh5VUJ6H9JhJ&#10;2eOYxR5D4BYiieLlXk0xdUzZhwNdrRQPVITPhnz5siQx1/6el/7CnIXmx037ZtPyFPTN1TzzIqX8&#10;DtCLcumls6EoV506vU+ZczH0BmGj1HHJXG/57KCAXfgEhtVwrnVl1z2CvSNxUrwBw9d1UcGxKrJQ&#10;jHVuIbV/Jl2xhQZ1t/6WuKBrRgx5IXobkH6XNc+3Us0Ff1N90VpkP+FwrnOo7eAFqcquy1w28Ee7&#10;0p9/ud13AA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Esf+T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205463371"/>
        <w:placeholder>
          <w:docPart w:val="B9D1FFE9A19C443E92B61273893E3FEC"/>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C98"/>
    <w:multiLevelType w:val="hybridMultilevel"/>
    <w:tmpl w:val="1CB25896"/>
    <w:lvl w:ilvl="0" w:tplc="AEDEF5A8">
      <w:start w:val="1"/>
      <w:numFmt w:val="bullet"/>
      <w:lvlText w:val=""/>
      <w:lvlJc w:val="left"/>
      <w:pPr>
        <w:ind w:left="720" w:hanging="360"/>
      </w:pPr>
      <w:rPr>
        <w:rFonts w:ascii="Symbol" w:hAnsi="Symbol" w:hint="default"/>
      </w:rPr>
    </w:lvl>
    <w:lvl w:ilvl="1" w:tplc="F740FD4E" w:tentative="1">
      <w:start w:val="1"/>
      <w:numFmt w:val="bullet"/>
      <w:lvlText w:val="o"/>
      <w:lvlJc w:val="left"/>
      <w:pPr>
        <w:ind w:left="1440" w:hanging="360"/>
      </w:pPr>
      <w:rPr>
        <w:rFonts w:ascii="Courier New" w:hAnsi="Courier New" w:hint="default"/>
      </w:rPr>
    </w:lvl>
    <w:lvl w:ilvl="2" w:tplc="6066BB62" w:tentative="1">
      <w:start w:val="1"/>
      <w:numFmt w:val="bullet"/>
      <w:lvlText w:val=""/>
      <w:lvlJc w:val="left"/>
      <w:pPr>
        <w:ind w:left="2160" w:hanging="360"/>
      </w:pPr>
      <w:rPr>
        <w:rFonts w:ascii="Wingdings" w:hAnsi="Wingdings" w:hint="default"/>
      </w:rPr>
    </w:lvl>
    <w:lvl w:ilvl="3" w:tplc="30664952" w:tentative="1">
      <w:start w:val="1"/>
      <w:numFmt w:val="bullet"/>
      <w:lvlText w:val=""/>
      <w:lvlJc w:val="left"/>
      <w:pPr>
        <w:ind w:left="2880" w:hanging="360"/>
      </w:pPr>
      <w:rPr>
        <w:rFonts w:ascii="Symbol" w:hAnsi="Symbol" w:hint="default"/>
      </w:rPr>
    </w:lvl>
    <w:lvl w:ilvl="4" w:tplc="61240458" w:tentative="1">
      <w:start w:val="1"/>
      <w:numFmt w:val="bullet"/>
      <w:lvlText w:val="o"/>
      <w:lvlJc w:val="left"/>
      <w:pPr>
        <w:ind w:left="3600" w:hanging="360"/>
      </w:pPr>
      <w:rPr>
        <w:rFonts w:ascii="Courier New" w:hAnsi="Courier New" w:hint="default"/>
      </w:rPr>
    </w:lvl>
    <w:lvl w:ilvl="5" w:tplc="FBF20CB0" w:tentative="1">
      <w:start w:val="1"/>
      <w:numFmt w:val="bullet"/>
      <w:lvlText w:val=""/>
      <w:lvlJc w:val="left"/>
      <w:pPr>
        <w:ind w:left="4320" w:hanging="360"/>
      </w:pPr>
      <w:rPr>
        <w:rFonts w:ascii="Wingdings" w:hAnsi="Wingdings" w:hint="default"/>
      </w:rPr>
    </w:lvl>
    <w:lvl w:ilvl="6" w:tplc="1E88B37A" w:tentative="1">
      <w:start w:val="1"/>
      <w:numFmt w:val="bullet"/>
      <w:lvlText w:val=""/>
      <w:lvlJc w:val="left"/>
      <w:pPr>
        <w:ind w:left="5040" w:hanging="360"/>
      </w:pPr>
      <w:rPr>
        <w:rFonts w:ascii="Symbol" w:hAnsi="Symbol" w:hint="default"/>
      </w:rPr>
    </w:lvl>
    <w:lvl w:ilvl="7" w:tplc="ED66F5FC" w:tentative="1">
      <w:start w:val="1"/>
      <w:numFmt w:val="bullet"/>
      <w:lvlText w:val="o"/>
      <w:lvlJc w:val="left"/>
      <w:pPr>
        <w:ind w:left="5760" w:hanging="360"/>
      </w:pPr>
      <w:rPr>
        <w:rFonts w:ascii="Courier New" w:hAnsi="Courier New" w:hint="default"/>
      </w:rPr>
    </w:lvl>
    <w:lvl w:ilvl="8" w:tplc="6C380E64" w:tentative="1">
      <w:start w:val="1"/>
      <w:numFmt w:val="bullet"/>
      <w:lvlText w:val=""/>
      <w:lvlJc w:val="left"/>
      <w:pPr>
        <w:ind w:left="6480" w:hanging="360"/>
      </w:pPr>
      <w:rPr>
        <w:rFonts w:ascii="Wingdings" w:hAnsi="Wingdings" w:hint="default"/>
      </w:rPr>
    </w:lvl>
  </w:abstractNum>
  <w:abstractNum w:abstractNumId="1" w15:restartNumberingAfterBreak="0">
    <w:nsid w:val="03DDE7F3"/>
    <w:multiLevelType w:val="multilevel"/>
    <w:tmpl w:val="C2D2A2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F3308E"/>
    <w:multiLevelType w:val="hybridMultilevel"/>
    <w:tmpl w:val="E9CE0FAA"/>
    <w:lvl w:ilvl="0" w:tplc="2D6E480A">
      <w:start w:val="1"/>
      <w:numFmt w:val="bullet"/>
      <w:lvlText w:val=""/>
      <w:lvlJc w:val="left"/>
      <w:pPr>
        <w:ind w:left="720" w:hanging="360"/>
      </w:pPr>
      <w:rPr>
        <w:rFonts w:ascii="Symbol" w:hAnsi="Symbol" w:hint="default"/>
      </w:rPr>
    </w:lvl>
    <w:lvl w:ilvl="1" w:tplc="F83E1524" w:tentative="1">
      <w:start w:val="1"/>
      <w:numFmt w:val="bullet"/>
      <w:lvlText w:val="o"/>
      <w:lvlJc w:val="left"/>
      <w:pPr>
        <w:ind w:left="1440" w:hanging="360"/>
      </w:pPr>
      <w:rPr>
        <w:rFonts w:ascii="Courier New" w:hAnsi="Courier New" w:hint="default"/>
      </w:rPr>
    </w:lvl>
    <w:lvl w:ilvl="2" w:tplc="46827CB8" w:tentative="1">
      <w:start w:val="1"/>
      <w:numFmt w:val="bullet"/>
      <w:lvlText w:val=""/>
      <w:lvlJc w:val="left"/>
      <w:pPr>
        <w:ind w:left="2160" w:hanging="360"/>
      </w:pPr>
      <w:rPr>
        <w:rFonts w:ascii="Wingdings" w:hAnsi="Wingdings" w:hint="default"/>
      </w:rPr>
    </w:lvl>
    <w:lvl w:ilvl="3" w:tplc="215E5A2E" w:tentative="1">
      <w:start w:val="1"/>
      <w:numFmt w:val="bullet"/>
      <w:lvlText w:val=""/>
      <w:lvlJc w:val="left"/>
      <w:pPr>
        <w:ind w:left="2880" w:hanging="360"/>
      </w:pPr>
      <w:rPr>
        <w:rFonts w:ascii="Symbol" w:hAnsi="Symbol" w:hint="default"/>
      </w:rPr>
    </w:lvl>
    <w:lvl w:ilvl="4" w:tplc="F6AEF8F0" w:tentative="1">
      <w:start w:val="1"/>
      <w:numFmt w:val="bullet"/>
      <w:lvlText w:val="o"/>
      <w:lvlJc w:val="left"/>
      <w:pPr>
        <w:ind w:left="3600" w:hanging="360"/>
      </w:pPr>
      <w:rPr>
        <w:rFonts w:ascii="Courier New" w:hAnsi="Courier New" w:hint="default"/>
      </w:rPr>
    </w:lvl>
    <w:lvl w:ilvl="5" w:tplc="D86668A6" w:tentative="1">
      <w:start w:val="1"/>
      <w:numFmt w:val="bullet"/>
      <w:lvlText w:val=""/>
      <w:lvlJc w:val="left"/>
      <w:pPr>
        <w:ind w:left="4320" w:hanging="360"/>
      </w:pPr>
      <w:rPr>
        <w:rFonts w:ascii="Wingdings" w:hAnsi="Wingdings" w:hint="default"/>
      </w:rPr>
    </w:lvl>
    <w:lvl w:ilvl="6" w:tplc="305C8198" w:tentative="1">
      <w:start w:val="1"/>
      <w:numFmt w:val="bullet"/>
      <w:lvlText w:val=""/>
      <w:lvlJc w:val="left"/>
      <w:pPr>
        <w:ind w:left="5040" w:hanging="360"/>
      </w:pPr>
      <w:rPr>
        <w:rFonts w:ascii="Symbol" w:hAnsi="Symbol" w:hint="default"/>
      </w:rPr>
    </w:lvl>
    <w:lvl w:ilvl="7" w:tplc="28385C9E" w:tentative="1">
      <w:start w:val="1"/>
      <w:numFmt w:val="bullet"/>
      <w:lvlText w:val="o"/>
      <w:lvlJc w:val="left"/>
      <w:pPr>
        <w:ind w:left="5760" w:hanging="360"/>
      </w:pPr>
      <w:rPr>
        <w:rFonts w:ascii="Courier New" w:hAnsi="Courier New" w:hint="default"/>
      </w:rPr>
    </w:lvl>
    <w:lvl w:ilvl="8" w:tplc="81BEB9E0" w:tentative="1">
      <w:start w:val="1"/>
      <w:numFmt w:val="bullet"/>
      <w:lvlText w:val=""/>
      <w:lvlJc w:val="left"/>
      <w:pPr>
        <w:ind w:left="6480" w:hanging="360"/>
      </w:pPr>
      <w:rPr>
        <w:rFonts w:ascii="Wingdings" w:hAnsi="Wingdings" w:hint="default"/>
      </w:rPr>
    </w:lvl>
  </w:abstractNum>
  <w:abstractNum w:abstractNumId="3" w15:restartNumberingAfterBreak="0">
    <w:nsid w:val="041A053B"/>
    <w:multiLevelType w:val="multilevel"/>
    <w:tmpl w:val="C708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7F1F68"/>
    <w:multiLevelType w:val="multilevel"/>
    <w:tmpl w:val="FB6E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C0ACEA"/>
    <w:multiLevelType w:val="multilevel"/>
    <w:tmpl w:val="C1821A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EA11B2"/>
    <w:multiLevelType w:val="hybridMultilevel"/>
    <w:tmpl w:val="3A264EC4"/>
    <w:lvl w:ilvl="0" w:tplc="65E6ABCA">
      <w:start w:val="1"/>
      <w:numFmt w:val="bullet"/>
      <w:lvlText w:val=""/>
      <w:lvlJc w:val="left"/>
      <w:pPr>
        <w:ind w:left="720" w:hanging="360"/>
      </w:pPr>
      <w:rPr>
        <w:rFonts w:ascii="Symbol" w:hAnsi="Symbol" w:hint="default"/>
      </w:rPr>
    </w:lvl>
    <w:lvl w:ilvl="1" w:tplc="DAFA67E0" w:tentative="1">
      <w:start w:val="1"/>
      <w:numFmt w:val="bullet"/>
      <w:lvlText w:val="o"/>
      <w:lvlJc w:val="left"/>
      <w:pPr>
        <w:ind w:left="1440" w:hanging="360"/>
      </w:pPr>
      <w:rPr>
        <w:rFonts w:ascii="Courier New" w:hAnsi="Courier New" w:hint="default"/>
      </w:rPr>
    </w:lvl>
    <w:lvl w:ilvl="2" w:tplc="7AA23BAE" w:tentative="1">
      <w:start w:val="1"/>
      <w:numFmt w:val="bullet"/>
      <w:lvlText w:val=""/>
      <w:lvlJc w:val="left"/>
      <w:pPr>
        <w:ind w:left="2160" w:hanging="360"/>
      </w:pPr>
      <w:rPr>
        <w:rFonts w:ascii="Wingdings" w:hAnsi="Wingdings" w:hint="default"/>
      </w:rPr>
    </w:lvl>
    <w:lvl w:ilvl="3" w:tplc="FB6018B6" w:tentative="1">
      <w:start w:val="1"/>
      <w:numFmt w:val="bullet"/>
      <w:lvlText w:val=""/>
      <w:lvlJc w:val="left"/>
      <w:pPr>
        <w:ind w:left="2880" w:hanging="360"/>
      </w:pPr>
      <w:rPr>
        <w:rFonts w:ascii="Symbol" w:hAnsi="Symbol" w:hint="default"/>
      </w:rPr>
    </w:lvl>
    <w:lvl w:ilvl="4" w:tplc="6278F2F4" w:tentative="1">
      <w:start w:val="1"/>
      <w:numFmt w:val="bullet"/>
      <w:lvlText w:val="o"/>
      <w:lvlJc w:val="left"/>
      <w:pPr>
        <w:ind w:left="3600" w:hanging="360"/>
      </w:pPr>
      <w:rPr>
        <w:rFonts w:ascii="Courier New" w:hAnsi="Courier New" w:hint="default"/>
      </w:rPr>
    </w:lvl>
    <w:lvl w:ilvl="5" w:tplc="1758D854" w:tentative="1">
      <w:start w:val="1"/>
      <w:numFmt w:val="bullet"/>
      <w:lvlText w:val=""/>
      <w:lvlJc w:val="left"/>
      <w:pPr>
        <w:ind w:left="4320" w:hanging="360"/>
      </w:pPr>
      <w:rPr>
        <w:rFonts w:ascii="Wingdings" w:hAnsi="Wingdings" w:hint="default"/>
      </w:rPr>
    </w:lvl>
    <w:lvl w:ilvl="6" w:tplc="D208F78E" w:tentative="1">
      <w:start w:val="1"/>
      <w:numFmt w:val="bullet"/>
      <w:lvlText w:val=""/>
      <w:lvlJc w:val="left"/>
      <w:pPr>
        <w:ind w:left="5040" w:hanging="360"/>
      </w:pPr>
      <w:rPr>
        <w:rFonts w:ascii="Symbol" w:hAnsi="Symbol" w:hint="default"/>
      </w:rPr>
    </w:lvl>
    <w:lvl w:ilvl="7" w:tplc="95184822" w:tentative="1">
      <w:start w:val="1"/>
      <w:numFmt w:val="bullet"/>
      <w:lvlText w:val="o"/>
      <w:lvlJc w:val="left"/>
      <w:pPr>
        <w:ind w:left="5760" w:hanging="360"/>
      </w:pPr>
      <w:rPr>
        <w:rFonts w:ascii="Courier New" w:hAnsi="Courier New" w:hint="default"/>
      </w:rPr>
    </w:lvl>
    <w:lvl w:ilvl="8" w:tplc="AA8E7C44" w:tentative="1">
      <w:start w:val="1"/>
      <w:numFmt w:val="bullet"/>
      <w:lvlText w:val=""/>
      <w:lvlJc w:val="left"/>
      <w:pPr>
        <w:ind w:left="6480" w:hanging="360"/>
      </w:pPr>
      <w:rPr>
        <w:rFonts w:ascii="Wingdings" w:hAnsi="Wingdings" w:hint="default"/>
      </w:rPr>
    </w:lvl>
  </w:abstractNum>
  <w:abstractNum w:abstractNumId="7" w15:restartNumberingAfterBreak="0">
    <w:nsid w:val="0AB75033"/>
    <w:multiLevelType w:val="hybridMultilevel"/>
    <w:tmpl w:val="51ACA69A"/>
    <w:lvl w:ilvl="0" w:tplc="E1540A0A">
      <w:start w:val="1"/>
      <w:numFmt w:val="bullet"/>
      <w:pStyle w:val="TBLBulletedList"/>
      <w:lvlText w:val=""/>
      <w:lvlJc w:val="left"/>
      <w:pPr>
        <w:ind w:left="720" w:hanging="360"/>
      </w:pPr>
      <w:rPr>
        <w:rFonts w:ascii="Symbol" w:hAnsi="Symbol" w:hint="default"/>
      </w:rPr>
    </w:lvl>
    <w:lvl w:ilvl="1" w:tplc="91ACDB5A" w:tentative="1">
      <w:start w:val="1"/>
      <w:numFmt w:val="bullet"/>
      <w:lvlText w:val="o"/>
      <w:lvlJc w:val="left"/>
      <w:pPr>
        <w:ind w:left="1440" w:hanging="360"/>
      </w:pPr>
      <w:rPr>
        <w:rFonts w:ascii="Courier New" w:hAnsi="Courier New" w:hint="default"/>
      </w:rPr>
    </w:lvl>
    <w:lvl w:ilvl="2" w:tplc="A29CCE58" w:tentative="1">
      <w:start w:val="1"/>
      <w:numFmt w:val="bullet"/>
      <w:lvlText w:val=""/>
      <w:lvlJc w:val="left"/>
      <w:pPr>
        <w:ind w:left="2160" w:hanging="360"/>
      </w:pPr>
      <w:rPr>
        <w:rFonts w:ascii="Wingdings" w:hAnsi="Wingdings" w:hint="default"/>
      </w:rPr>
    </w:lvl>
    <w:lvl w:ilvl="3" w:tplc="AD2A997A" w:tentative="1">
      <w:start w:val="1"/>
      <w:numFmt w:val="bullet"/>
      <w:lvlText w:val=""/>
      <w:lvlJc w:val="left"/>
      <w:pPr>
        <w:ind w:left="2880" w:hanging="360"/>
      </w:pPr>
      <w:rPr>
        <w:rFonts w:ascii="Symbol" w:hAnsi="Symbol" w:hint="default"/>
      </w:rPr>
    </w:lvl>
    <w:lvl w:ilvl="4" w:tplc="77E624FC" w:tentative="1">
      <w:start w:val="1"/>
      <w:numFmt w:val="bullet"/>
      <w:lvlText w:val="o"/>
      <w:lvlJc w:val="left"/>
      <w:pPr>
        <w:ind w:left="3600" w:hanging="360"/>
      </w:pPr>
      <w:rPr>
        <w:rFonts w:ascii="Courier New" w:hAnsi="Courier New" w:hint="default"/>
      </w:rPr>
    </w:lvl>
    <w:lvl w:ilvl="5" w:tplc="3C0E62C4" w:tentative="1">
      <w:start w:val="1"/>
      <w:numFmt w:val="bullet"/>
      <w:lvlText w:val=""/>
      <w:lvlJc w:val="left"/>
      <w:pPr>
        <w:ind w:left="4320" w:hanging="360"/>
      </w:pPr>
      <w:rPr>
        <w:rFonts w:ascii="Wingdings" w:hAnsi="Wingdings" w:hint="default"/>
      </w:rPr>
    </w:lvl>
    <w:lvl w:ilvl="6" w:tplc="6630C6C8" w:tentative="1">
      <w:start w:val="1"/>
      <w:numFmt w:val="bullet"/>
      <w:lvlText w:val=""/>
      <w:lvlJc w:val="left"/>
      <w:pPr>
        <w:ind w:left="5040" w:hanging="360"/>
      </w:pPr>
      <w:rPr>
        <w:rFonts w:ascii="Symbol" w:hAnsi="Symbol" w:hint="default"/>
      </w:rPr>
    </w:lvl>
    <w:lvl w:ilvl="7" w:tplc="93221B12" w:tentative="1">
      <w:start w:val="1"/>
      <w:numFmt w:val="bullet"/>
      <w:lvlText w:val="o"/>
      <w:lvlJc w:val="left"/>
      <w:pPr>
        <w:ind w:left="5760" w:hanging="360"/>
      </w:pPr>
      <w:rPr>
        <w:rFonts w:ascii="Courier New" w:hAnsi="Courier New" w:hint="default"/>
      </w:rPr>
    </w:lvl>
    <w:lvl w:ilvl="8" w:tplc="EB1AD560" w:tentative="1">
      <w:start w:val="1"/>
      <w:numFmt w:val="bullet"/>
      <w:lvlText w:val=""/>
      <w:lvlJc w:val="left"/>
      <w:pPr>
        <w:ind w:left="6480" w:hanging="360"/>
      </w:pPr>
      <w:rPr>
        <w:rFonts w:ascii="Wingdings" w:hAnsi="Wingdings" w:hint="default"/>
      </w:rPr>
    </w:lvl>
  </w:abstractNum>
  <w:abstractNum w:abstractNumId="8" w15:restartNumberingAfterBreak="0">
    <w:nsid w:val="0B014CCD"/>
    <w:multiLevelType w:val="hybridMultilevel"/>
    <w:tmpl w:val="72DE1CAA"/>
    <w:lvl w:ilvl="0" w:tplc="500EACE0">
      <w:start w:val="1"/>
      <w:numFmt w:val="bullet"/>
      <w:pStyle w:val="BOXBulletedList"/>
      <w:lvlText w:val=""/>
      <w:lvlJc w:val="left"/>
      <w:pPr>
        <w:ind w:left="284" w:hanging="284"/>
      </w:pPr>
      <w:rPr>
        <w:rFonts w:ascii="Symbol" w:hAnsi="Symbol" w:hint="default"/>
      </w:rPr>
    </w:lvl>
    <w:lvl w:ilvl="1" w:tplc="98F0A032">
      <w:start w:val="1"/>
      <w:numFmt w:val="bullet"/>
      <w:lvlText w:val="o"/>
      <w:lvlJc w:val="left"/>
      <w:pPr>
        <w:ind w:left="1440" w:hanging="360"/>
      </w:pPr>
      <w:rPr>
        <w:rFonts w:ascii="Courier New" w:hAnsi="Courier New" w:hint="default"/>
      </w:rPr>
    </w:lvl>
    <w:lvl w:ilvl="2" w:tplc="2A904928" w:tentative="1">
      <w:start w:val="1"/>
      <w:numFmt w:val="bullet"/>
      <w:lvlText w:val=""/>
      <w:lvlJc w:val="left"/>
      <w:pPr>
        <w:ind w:left="2160" w:hanging="360"/>
      </w:pPr>
      <w:rPr>
        <w:rFonts w:ascii="Wingdings" w:hAnsi="Wingdings" w:hint="default"/>
      </w:rPr>
    </w:lvl>
    <w:lvl w:ilvl="3" w:tplc="12049D86" w:tentative="1">
      <w:start w:val="1"/>
      <w:numFmt w:val="bullet"/>
      <w:lvlText w:val=""/>
      <w:lvlJc w:val="left"/>
      <w:pPr>
        <w:ind w:left="2880" w:hanging="360"/>
      </w:pPr>
      <w:rPr>
        <w:rFonts w:ascii="Symbol" w:hAnsi="Symbol" w:hint="default"/>
      </w:rPr>
    </w:lvl>
    <w:lvl w:ilvl="4" w:tplc="98BAC2DC" w:tentative="1">
      <w:start w:val="1"/>
      <w:numFmt w:val="bullet"/>
      <w:lvlText w:val="o"/>
      <w:lvlJc w:val="left"/>
      <w:pPr>
        <w:ind w:left="3600" w:hanging="360"/>
      </w:pPr>
      <w:rPr>
        <w:rFonts w:ascii="Courier New" w:hAnsi="Courier New" w:hint="default"/>
      </w:rPr>
    </w:lvl>
    <w:lvl w:ilvl="5" w:tplc="E6C4A1A0" w:tentative="1">
      <w:start w:val="1"/>
      <w:numFmt w:val="bullet"/>
      <w:lvlText w:val=""/>
      <w:lvlJc w:val="left"/>
      <w:pPr>
        <w:ind w:left="4320" w:hanging="360"/>
      </w:pPr>
      <w:rPr>
        <w:rFonts w:ascii="Wingdings" w:hAnsi="Wingdings" w:hint="default"/>
      </w:rPr>
    </w:lvl>
    <w:lvl w:ilvl="6" w:tplc="EACE9C06" w:tentative="1">
      <w:start w:val="1"/>
      <w:numFmt w:val="bullet"/>
      <w:lvlText w:val=""/>
      <w:lvlJc w:val="left"/>
      <w:pPr>
        <w:ind w:left="5040" w:hanging="360"/>
      </w:pPr>
      <w:rPr>
        <w:rFonts w:ascii="Symbol" w:hAnsi="Symbol" w:hint="default"/>
      </w:rPr>
    </w:lvl>
    <w:lvl w:ilvl="7" w:tplc="2DD81D66" w:tentative="1">
      <w:start w:val="1"/>
      <w:numFmt w:val="bullet"/>
      <w:lvlText w:val="o"/>
      <w:lvlJc w:val="left"/>
      <w:pPr>
        <w:ind w:left="5760" w:hanging="360"/>
      </w:pPr>
      <w:rPr>
        <w:rFonts w:ascii="Courier New" w:hAnsi="Courier New" w:hint="default"/>
      </w:rPr>
    </w:lvl>
    <w:lvl w:ilvl="8" w:tplc="5C5E1BFE" w:tentative="1">
      <w:start w:val="1"/>
      <w:numFmt w:val="bullet"/>
      <w:lvlText w:val=""/>
      <w:lvlJc w:val="left"/>
      <w:pPr>
        <w:ind w:left="6480" w:hanging="360"/>
      </w:pPr>
      <w:rPr>
        <w:rFonts w:ascii="Wingdings" w:hAnsi="Wingdings" w:hint="default"/>
      </w:rPr>
    </w:lvl>
  </w:abstractNum>
  <w:abstractNum w:abstractNumId="9" w15:restartNumberingAfterBreak="0">
    <w:nsid w:val="0BB13D00"/>
    <w:multiLevelType w:val="hybridMultilevel"/>
    <w:tmpl w:val="BCCA4274"/>
    <w:lvl w:ilvl="0" w:tplc="099ACA5C">
      <w:start w:val="1"/>
      <w:numFmt w:val="bullet"/>
      <w:lvlText w:val=""/>
      <w:lvlJc w:val="left"/>
      <w:pPr>
        <w:ind w:left="720" w:hanging="360"/>
      </w:pPr>
      <w:rPr>
        <w:rFonts w:ascii="Symbol" w:hAnsi="Symbol" w:hint="default"/>
      </w:rPr>
    </w:lvl>
    <w:lvl w:ilvl="1" w:tplc="E3CEEFB6">
      <w:start w:val="1"/>
      <w:numFmt w:val="bullet"/>
      <w:lvlText w:val="o"/>
      <w:lvlJc w:val="left"/>
      <w:pPr>
        <w:ind w:left="1440" w:hanging="360"/>
      </w:pPr>
      <w:rPr>
        <w:rFonts w:ascii="Courier New" w:hAnsi="Courier New" w:hint="default"/>
      </w:rPr>
    </w:lvl>
    <w:lvl w:ilvl="2" w:tplc="A9023706" w:tentative="1">
      <w:start w:val="1"/>
      <w:numFmt w:val="bullet"/>
      <w:lvlText w:val=""/>
      <w:lvlJc w:val="left"/>
      <w:pPr>
        <w:ind w:left="2160" w:hanging="360"/>
      </w:pPr>
      <w:rPr>
        <w:rFonts w:ascii="Wingdings" w:hAnsi="Wingdings" w:hint="default"/>
      </w:rPr>
    </w:lvl>
    <w:lvl w:ilvl="3" w:tplc="617EA3CE" w:tentative="1">
      <w:start w:val="1"/>
      <w:numFmt w:val="bullet"/>
      <w:lvlText w:val=""/>
      <w:lvlJc w:val="left"/>
      <w:pPr>
        <w:ind w:left="2880" w:hanging="360"/>
      </w:pPr>
      <w:rPr>
        <w:rFonts w:ascii="Symbol" w:hAnsi="Symbol" w:hint="default"/>
      </w:rPr>
    </w:lvl>
    <w:lvl w:ilvl="4" w:tplc="84261E78" w:tentative="1">
      <w:start w:val="1"/>
      <w:numFmt w:val="bullet"/>
      <w:lvlText w:val="o"/>
      <w:lvlJc w:val="left"/>
      <w:pPr>
        <w:ind w:left="3600" w:hanging="360"/>
      </w:pPr>
      <w:rPr>
        <w:rFonts w:ascii="Courier New" w:hAnsi="Courier New" w:hint="default"/>
      </w:rPr>
    </w:lvl>
    <w:lvl w:ilvl="5" w:tplc="3A8A1100" w:tentative="1">
      <w:start w:val="1"/>
      <w:numFmt w:val="bullet"/>
      <w:lvlText w:val=""/>
      <w:lvlJc w:val="left"/>
      <w:pPr>
        <w:ind w:left="4320" w:hanging="360"/>
      </w:pPr>
      <w:rPr>
        <w:rFonts w:ascii="Wingdings" w:hAnsi="Wingdings" w:hint="default"/>
      </w:rPr>
    </w:lvl>
    <w:lvl w:ilvl="6" w:tplc="988A6156" w:tentative="1">
      <w:start w:val="1"/>
      <w:numFmt w:val="bullet"/>
      <w:lvlText w:val=""/>
      <w:lvlJc w:val="left"/>
      <w:pPr>
        <w:ind w:left="5040" w:hanging="360"/>
      </w:pPr>
      <w:rPr>
        <w:rFonts w:ascii="Symbol" w:hAnsi="Symbol" w:hint="default"/>
      </w:rPr>
    </w:lvl>
    <w:lvl w:ilvl="7" w:tplc="86525C4C" w:tentative="1">
      <w:start w:val="1"/>
      <w:numFmt w:val="bullet"/>
      <w:lvlText w:val="o"/>
      <w:lvlJc w:val="left"/>
      <w:pPr>
        <w:ind w:left="5760" w:hanging="360"/>
      </w:pPr>
      <w:rPr>
        <w:rFonts w:ascii="Courier New" w:hAnsi="Courier New" w:hint="default"/>
      </w:rPr>
    </w:lvl>
    <w:lvl w:ilvl="8" w:tplc="6DC81CE0" w:tentative="1">
      <w:start w:val="1"/>
      <w:numFmt w:val="bullet"/>
      <w:lvlText w:val=""/>
      <w:lvlJc w:val="left"/>
      <w:pPr>
        <w:ind w:left="6480" w:hanging="360"/>
      </w:pPr>
      <w:rPr>
        <w:rFonts w:ascii="Wingdings" w:hAnsi="Wingdings" w:hint="default"/>
      </w:rPr>
    </w:lvl>
  </w:abstractNum>
  <w:abstractNum w:abstractNumId="10" w15:restartNumberingAfterBreak="0">
    <w:nsid w:val="0FAF6F03"/>
    <w:multiLevelType w:val="hybridMultilevel"/>
    <w:tmpl w:val="F542A2B0"/>
    <w:lvl w:ilvl="0" w:tplc="F07ED5BC">
      <w:start w:val="1"/>
      <w:numFmt w:val="bullet"/>
      <w:pStyle w:val="BulletedList-Level3"/>
      <w:lvlText w:val="o"/>
      <w:lvlJc w:val="left"/>
      <w:pPr>
        <w:ind w:left="1134" w:hanging="283"/>
      </w:pPr>
      <w:rPr>
        <w:rFonts w:ascii="Courier New" w:hAnsi="Courier New" w:hint="default"/>
      </w:rPr>
    </w:lvl>
    <w:lvl w:ilvl="1" w:tplc="27AE8648" w:tentative="1">
      <w:start w:val="1"/>
      <w:numFmt w:val="bullet"/>
      <w:lvlText w:val="o"/>
      <w:lvlJc w:val="left"/>
      <w:pPr>
        <w:ind w:left="2291" w:hanging="360"/>
      </w:pPr>
      <w:rPr>
        <w:rFonts w:ascii="Courier New" w:hAnsi="Courier New" w:hint="default"/>
      </w:rPr>
    </w:lvl>
    <w:lvl w:ilvl="2" w:tplc="1484908C" w:tentative="1">
      <w:start w:val="1"/>
      <w:numFmt w:val="bullet"/>
      <w:lvlText w:val=""/>
      <w:lvlJc w:val="left"/>
      <w:pPr>
        <w:ind w:left="3011" w:hanging="360"/>
      </w:pPr>
      <w:rPr>
        <w:rFonts w:ascii="Wingdings" w:hAnsi="Wingdings" w:hint="default"/>
      </w:rPr>
    </w:lvl>
    <w:lvl w:ilvl="3" w:tplc="EDD81440" w:tentative="1">
      <w:start w:val="1"/>
      <w:numFmt w:val="bullet"/>
      <w:lvlText w:val=""/>
      <w:lvlJc w:val="left"/>
      <w:pPr>
        <w:ind w:left="3731" w:hanging="360"/>
      </w:pPr>
      <w:rPr>
        <w:rFonts w:ascii="Symbol" w:hAnsi="Symbol" w:hint="default"/>
      </w:rPr>
    </w:lvl>
    <w:lvl w:ilvl="4" w:tplc="5CA0F578" w:tentative="1">
      <w:start w:val="1"/>
      <w:numFmt w:val="bullet"/>
      <w:lvlText w:val="o"/>
      <w:lvlJc w:val="left"/>
      <w:pPr>
        <w:ind w:left="4451" w:hanging="360"/>
      </w:pPr>
      <w:rPr>
        <w:rFonts w:ascii="Courier New" w:hAnsi="Courier New" w:hint="default"/>
      </w:rPr>
    </w:lvl>
    <w:lvl w:ilvl="5" w:tplc="8A2E7474" w:tentative="1">
      <w:start w:val="1"/>
      <w:numFmt w:val="bullet"/>
      <w:lvlText w:val=""/>
      <w:lvlJc w:val="left"/>
      <w:pPr>
        <w:ind w:left="5171" w:hanging="360"/>
      </w:pPr>
      <w:rPr>
        <w:rFonts w:ascii="Wingdings" w:hAnsi="Wingdings" w:hint="default"/>
      </w:rPr>
    </w:lvl>
    <w:lvl w:ilvl="6" w:tplc="02827E02" w:tentative="1">
      <w:start w:val="1"/>
      <w:numFmt w:val="bullet"/>
      <w:lvlText w:val=""/>
      <w:lvlJc w:val="left"/>
      <w:pPr>
        <w:ind w:left="5891" w:hanging="360"/>
      </w:pPr>
      <w:rPr>
        <w:rFonts w:ascii="Symbol" w:hAnsi="Symbol" w:hint="default"/>
      </w:rPr>
    </w:lvl>
    <w:lvl w:ilvl="7" w:tplc="92EA7E7A" w:tentative="1">
      <w:start w:val="1"/>
      <w:numFmt w:val="bullet"/>
      <w:lvlText w:val="o"/>
      <w:lvlJc w:val="left"/>
      <w:pPr>
        <w:ind w:left="6611" w:hanging="360"/>
      </w:pPr>
      <w:rPr>
        <w:rFonts w:ascii="Courier New" w:hAnsi="Courier New" w:hint="default"/>
      </w:rPr>
    </w:lvl>
    <w:lvl w:ilvl="8" w:tplc="9C863BEA" w:tentative="1">
      <w:start w:val="1"/>
      <w:numFmt w:val="bullet"/>
      <w:lvlText w:val=""/>
      <w:lvlJc w:val="left"/>
      <w:pPr>
        <w:ind w:left="7331" w:hanging="360"/>
      </w:pPr>
      <w:rPr>
        <w:rFonts w:ascii="Wingdings" w:hAnsi="Wingdings" w:hint="default"/>
      </w:rPr>
    </w:lvl>
  </w:abstractNum>
  <w:abstractNum w:abstractNumId="11" w15:restartNumberingAfterBreak="0">
    <w:nsid w:val="13A3105B"/>
    <w:multiLevelType w:val="hybridMultilevel"/>
    <w:tmpl w:val="2F88CC68"/>
    <w:lvl w:ilvl="0" w:tplc="E91EA700">
      <w:start w:val="1"/>
      <w:numFmt w:val="decimal"/>
      <w:pStyle w:val="BoxDark-NumberedList"/>
      <w:lvlText w:val="%1."/>
      <w:lvlJc w:val="left"/>
      <w:pPr>
        <w:ind w:left="947" w:hanging="360"/>
      </w:pPr>
    </w:lvl>
    <w:lvl w:ilvl="1" w:tplc="5142D802" w:tentative="1">
      <w:start w:val="1"/>
      <w:numFmt w:val="lowerLetter"/>
      <w:lvlText w:val="%2."/>
      <w:lvlJc w:val="left"/>
      <w:pPr>
        <w:ind w:left="1667" w:hanging="360"/>
      </w:pPr>
    </w:lvl>
    <w:lvl w:ilvl="2" w:tplc="402408AE" w:tentative="1">
      <w:start w:val="1"/>
      <w:numFmt w:val="lowerRoman"/>
      <w:lvlText w:val="%3."/>
      <w:lvlJc w:val="right"/>
      <w:pPr>
        <w:ind w:left="2387" w:hanging="180"/>
      </w:pPr>
    </w:lvl>
    <w:lvl w:ilvl="3" w:tplc="6F6273C2" w:tentative="1">
      <w:start w:val="1"/>
      <w:numFmt w:val="decimal"/>
      <w:lvlText w:val="%4."/>
      <w:lvlJc w:val="left"/>
      <w:pPr>
        <w:ind w:left="3107" w:hanging="360"/>
      </w:pPr>
    </w:lvl>
    <w:lvl w:ilvl="4" w:tplc="3FA40B46" w:tentative="1">
      <w:start w:val="1"/>
      <w:numFmt w:val="lowerLetter"/>
      <w:lvlText w:val="%5."/>
      <w:lvlJc w:val="left"/>
      <w:pPr>
        <w:ind w:left="3827" w:hanging="360"/>
      </w:pPr>
    </w:lvl>
    <w:lvl w:ilvl="5" w:tplc="C88640C8" w:tentative="1">
      <w:start w:val="1"/>
      <w:numFmt w:val="lowerRoman"/>
      <w:lvlText w:val="%6."/>
      <w:lvlJc w:val="right"/>
      <w:pPr>
        <w:ind w:left="4547" w:hanging="180"/>
      </w:pPr>
    </w:lvl>
    <w:lvl w:ilvl="6" w:tplc="BFCA4DEE" w:tentative="1">
      <w:start w:val="1"/>
      <w:numFmt w:val="decimal"/>
      <w:lvlText w:val="%7."/>
      <w:lvlJc w:val="left"/>
      <w:pPr>
        <w:ind w:left="5267" w:hanging="360"/>
      </w:pPr>
    </w:lvl>
    <w:lvl w:ilvl="7" w:tplc="0FD4ACF0" w:tentative="1">
      <w:start w:val="1"/>
      <w:numFmt w:val="lowerLetter"/>
      <w:lvlText w:val="%8."/>
      <w:lvlJc w:val="left"/>
      <w:pPr>
        <w:ind w:left="5987" w:hanging="360"/>
      </w:pPr>
    </w:lvl>
    <w:lvl w:ilvl="8" w:tplc="E7843498" w:tentative="1">
      <w:start w:val="1"/>
      <w:numFmt w:val="lowerRoman"/>
      <w:lvlText w:val="%9."/>
      <w:lvlJc w:val="right"/>
      <w:pPr>
        <w:ind w:left="6707" w:hanging="180"/>
      </w:pPr>
    </w:lvl>
  </w:abstractNum>
  <w:abstractNum w:abstractNumId="12" w15:restartNumberingAfterBreak="0">
    <w:nsid w:val="170A5B4E"/>
    <w:multiLevelType w:val="multilevel"/>
    <w:tmpl w:val="6BA4E5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F33BBA"/>
    <w:multiLevelType w:val="multilevel"/>
    <w:tmpl w:val="A77CE726"/>
    <w:lvl w:ilvl="0">
      <w:start w:val="1"/>
      <w:numFmt w:val="decimal"/>
      <w:pStyle w:val="Figure"/>
      <w:suff w:val="space"/>
      <w:lvlText w:val="Figure %1."/>
      <w:lvlJc w:val="left"/>
      <w:pPr>
        <w:ind w:left="2552" w:hanging="255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A00CCA"/>
    <w:multiLevelType w:val="multilevel"/>
    <w:tmpl w:val="AD7E5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F22E27"/>
    <w:multiLevelType w:val="hybridMultilevel"/>
    <w:tmpl w:val="ADE489B0"/>
    <w:lvl w:ilvl="0" w:tplc="00CAB07C">
      <w:start w:val="1"/>
      <w:numFmt w:val="bullet"/>
      <w:lvlText w:val=""/>
      <w:lvlJc w:val="left"/>
      <w:pPr>
        <w:ind w:left="720" w:hanging="360"/>
      </w:pPr>
      <w:rPr>
        <w:rFonts w:ascii="Symbol" w:hAnsi="Symbol" w:hint="default"/>
      </w:rPr>
    </w:lvl>
    <w:lvl w:ilvl="1" w:tplc="07222644" w:tentative="1">
      <w:start w:val="1"/>
      <w:numFmt w:val="bullet"/>
      <w:lvlText w:val="o"/>
      <w:lvlJc w:val="left"/>
      <w:pPr>
        <w:ind w:left="1440" w:hanging="360"/>
      </w:pPr>
      <w:rPr>
        <w:rFonts w:ascii="Courier New" w:hAnsi="Courier New" w:hint="default"/>
      </w:rPr>
    </w:lvl>
    <w:lvl w:ilvl="2" w:tplc="71125728" w:tentative="1">
      <w:start w:val="1"/>
      <w:numFmt w:val="bullet"/>
      <w:lvlText w:val=""/>
      <w:lvlJc w:val="left"/>
      <w:pPr>
        <w:ind w:left="2160" w:hanging="360"/>
      </w:pPr>
      <w:rPr>
        <w:rFonts w:ascii="Wingdings" w:hAnsi="Wingdings" w:hint="default"/>
      </w:rPr>
    </w:lvl>
    <w:lvl w:ilvl="3" w:tplc="0696F200" w:tentative="1">
      <w:start w:val="1"/>
      <w:numFmt w:val="bullet"/>
      <w:lvlText w:val=""/>
      <w:lvlJc w:val="left"/>
      <w:pPr>
        <w:ind w:left="2880" w:hanging="360"/>
      </w:pPr>
      <w:rPr>
        <w:rFonts w:ascii="Symbol" w:hAnsi="Symbol" w:hint="default"/>
      </w:rPr>
    </w:lvl>
    <w:lvl w:ilvl="4" w:tplc="B1DE37DC" w:tentative="1">
      <w:start w:val="1"/>
      <w:numFmt w:val="bullet"/>
      <w:lvlText w:val="o"/>
      <w:lvlJc w:val="left"/>
      <w:pPr>
        <w:ind w:left="3600" w:hanging="360"/>
      </w:pPr>
      <w:rPr>
        <w:rFonts w:ascii="Courier New" w:hAnsi="Courier New" w:hint="default"/>
      </w:rPr>
    </w:lvl>
    <w:lvl w:ilvl="5" w:tplc="5D9A6B0E" w:tentative="1">
      <w:start w:val="1"/>
      <w:numFmt w:val="bullet"/>
      <w:lvlText w:val=""/>
      <w:lvlJc w:val="left"/>
      <w:pPr>
        <w:ind w:left="4320" w:hanging="360"/>
      </w:pPr>
      <w:rPr>
        <w:rFonts w:ascii="Wingdings" w:hAnsi="Wingdings" w:hint="default"/>
      </w:rPr>
    </w:lvl>
    <w:lvl w:ilvl="6" w:tplc="7F789D5A" w:tentative="1">
      <w:start w:val="1"/>
      <w:numFmt w:val="bullet"/>
      <w:lvlText w:val=""/>
      <w:lvlJc w:val="left"/>
      <w:pPr>
        <w:ind w:left="5040" w:hanging="360"/>
      </w:pPr>
      <w:rPr>
        <w:rFonts w:ascii="Symbol" w:hAnsi="Symbol" w:hint="default"/>
      </w:rPr>
    </w:lvl>
    <w:lvl w:ilvl="7" w:tplc="FCDAEB54" w:tentative="1">
      <w:start w:val="1"/>
      <w:numFmt w:val="bullet"/>
      <w:lvlText w:val="o"/>
      <w:lvlJc w:val="left"/>
      <w:pPr>
        <w:ind w:left="5760" w:hanging="360"/>
      </w:pPr>
      <w:rPr>
        <w:rFonts w:ascii="Courier New" w:hAnsi="Courier New" w:hint="default"/>
      </w:rPr>
    </w:lvl>
    <w:lvl w:ilvl="8" w:tplc="8E8E4418" w:tentative="1">
      <w:start w:val="1"/>
      <w:numFmt w:val="bullet"/>
      <w:lvlText w:val=""/>
      <w:lvlJc w:val="left"/>
      <w:pPr>
        <w:ind w:left="6480" w:hanging="360"/>
      </w:pPr>
      <w:rPr>
        <w:rFonts w:ascii="Wingdings" w:hAnsi="Wingdings" w:hint="default"/>
      </w:rPr>
    </w:lvl>
  </w:abstractNum>
  <w:abstractNum w:abstractNumId="16" w15:restartNumberingAfterBreak="0">
    <w:nsid w:val="1E3F7CCA"/>
    <w:multiLevelType w:val="hybridMultilevel"/>
    <w:tmpl w:val="48E02196"/>
    <w:lvl w:ilvl="0" w:tplc="E3143B2A">
      <w:start w:val="1"/>
      <w:numFmt w:val="bullet"/>
      <w:lvlText w:val=""/>
      <w:lvlJc w:val="left"/>
      <w:pPr>
        <w:ind w:left="720" w:hanging="360"/>
      </w:pPr>
      <w:rPr>
        <w:rFonts w:ascii="Symbol" w:hAnsi="Symbol" w:hint="default"/>
      </w:rPr>
    </w:lvl>
    <w:lvl w:ilvl="1" w:tplc="1A9C2904" w:tentative="1">
      <w:start w:val="1"/>
      <w:numFmt w:val="bullet"/>
      <w:lvlText w:val="o"/>
      <w:lvlJc w:val="left"/>
      <w:pPr>
        <w:ind w:left="1440" w:hanging="360"/>
      </w:pPr>
      <w:rPr>
        <w:rFonts w:ascii="Courier New" w:hAnsi="Courier New" w:hint="default"/>
      </w:rPr>
    </w:lvl>
    <w:lvl w:ilvl="2" w:tplc="EA9E7292" w:tentative="1">
      <w:start w:val="1"/>
      <w:numFmt w:val="bullet"/>
      <w:lvlText w:val=""/>
      <w:lvlJc w:val="left"/>
      <w:pPr>
        <w:ind w:left="2160" w:hanging="360"/>
      </w:pPr>
      <w:rPr>
        <w:rFonts w:ascii="Wingdings" w:hAnsi="Wingdings" w:hint="default"/>
      </w:rPr>
    </w:lvl>
    <w:lvl w:ilvl="3" w:tplc="E500D5E0" w:tentative="1">
      <w:start w:val="1"/>
      <w:numFmt w:val="bullet"/>
      <w:lvlText w:val=""/>
      <w:lvlJc w:val="left"/>
      <w:pPr>
        <w:ind w:left="2880" w:hanging="360"/>
      </w:pPr>
      <w:rPr>
        <w:rFonts w:ascii="Symbol" w:hAnsi="Symbol" w:hint="default"/>
      </w:rPr>
    </w:lvl>
    <w:lvl w:ilvl="4" w:tplc="7142842C" w:tentative="1">
      <w:start w:val="1"/>
      <w:numFmt w:val="bullet"/>
      <w:lvlText w:val="o"/>
      <w:lvlJc w:val="left"/>
      <w:pPr>
        <w:ind w:left="3600" w:hanging="360"/>
      </w:pPr>
      <w:rPr>
        <w:rFonts w:ascii="Courier New" w:hAnsi="Courier New" w:hint="default"/>
      </w:rPr>
    </w:lvl>
    <w:lvl w:ilvl="5" w:tplc="1A0C81CC" w:tentative="1">
      <w:start w:val="1"/>
      <w:numFmt w:val="bullet"/>
      <w:lvlText w:val=""/>
      <w:lvlJc w:val="left"/>
      <w:pPr>
        <w:ind w:left="4320" w:hanging="360"/>
      </w:pPr>
      <w:rPr>
        <w:rFonts w:ascii="Wingdings" w:hAnsi="Wingdings" w:hint="default"/>
      </w:rPr>
    </w:lvl>
    <w:lvl w:ilvl="6" w:tplc="14F21082" w:tentative="1">
      <w:start w:val="1"/>
      <w:numFmt w:val="bullet"/>
      <w:lvlText w:val=""/>
      <w:lvlJc w:val="left"/>
      <w:pPr>
        <w:ind w:left="5040" w:hanging="360"/>
      </w:pPr>
      <w:rPr>
        <w:rFonts w:ascii="Symbol" w:hAnsi="Symbol" w:hint="default"/>
      </w:rPr>
    </w:lvl>
    <w:lvl w:ilvl="7" w:tplc="A3A0B84A" w:tentative="1">
      <w:start w:val="1"/>
      <w:numFmt w:val="bullet"/>
      <w:lvlText w:val="o"/>
      <w:lvlJc w:val="left"/>
      <w:pPr>
        <w:ind w:left="5760" w:hanging="360"/>
      </w:pPr>
      <w:rPr>
        <w:rFonts w:ascii="Courier New" w:hAnsi="Courier New" w:hint="default"/>
      </w:rPr>
    </w:lvl>
    <w:lvl w:ilvl="8" w:tplc="8850F74A" w:tentative="1">
      <w:start w:val="1"/>
      <w:numFmt w:val="bullet"/>
      <w:lvlText w:val=""/>
      <w:lvlJc w:val="left"/>
      <w:pPr>
        <w:ind w:left="6480" w:hanging="360"/>
      </w:pPr>
      <w:rPr>
        <w:rFonts w:ascii="Wingdings" w:hAnsi="Wingdings" w:hint="default"/>
      </w:rPr>
    </w:lvl>
  </w:abstractNum>
  <w:abstractNum w:abstractNumId="17" w15:restartNumberingAfterBreak="0">
    <w:nsid w:val="1F507AC4"/>
    <w:multiLevelType w:val="hybridMultilevel"/>
    <w:tmpl w:val="864231E2"/>
    <w:lvl w:ilvl="0" w:tplc="431C0D7C">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A0C4F122" w:tentative="1">
      <w:start w:val="1"/>
      <w:numFmt w:val="bullet"/>
      <w:lvlText w:val="o"/>
      <w:lvlJc w:val="left"/>
      <w:pPr>
        <w:ind w:left="2007" w:hanging="360"/>
      </w:pPr>
      <w:rPr>
        <w:rFonts w:ascii="Courier New" w:hAnsi="Courier New" w:hint="default"/>
      </w:rPr>
    </w:lvl>
    <w:lvl w:ilvl="2" w:tplc="40CC6144" w:tentative="1">
      <w:start w:val="1"/>
      <w:numFmt w:val="bullet"/>
      <w:lvlText w:val=""/>
      <w:lvlJc w:val="left"/>
      <w:pPr>
        <w:ind w:left="2727" w:hanging="360"/>
      </w:pPr>
      <w:rPr>
        <w:rFonts w:ascii="Wingdings" w:hAnsi="Wingdings" w:hint="default"/>
      </w:rPr>
    </w:lvl>
    <w:lvl w:ilvl="3" w:tplc="FA04F252" w:tentative="1">
      <w:start w:val="1"/>
      <w:numFmt w:val="bullet"/>
      <w:lvlText w:val=""/>
      <w:lvlJc w:val="left"/>
      <w:pPr>
        <w:ind w:left="3447" w:hanging="360"/>
      </w:pPr>
      <w:rPr>
        <w:rFonts w:ascii="Symbol" w:hAnsi="Symbol" w:hint="default"/>
      </w:rPr>
    </w:lvl>
    <w:lvl w:ilvl="4" w:tplc="BB681628" w:tentative="1">
      <w:start w:val="1"/>
      <w:numFmt w:val="bullet"/>
      <w:lvlText w:val="o"/>
      <w:lvlJc w:val="left"/>
      <w:pPr>
        <w:ind w:left="4167" w:hanging="360"/>
      </w:pPr>
      <w:rPr>
        <w:rFonts w:ascii="Courier New" w:hAnsi="Courier New" w:hint="default"/>
      </w:rPr>
    </w:lvl>
    <w:lvl w:ilvl="5" w:tplc="6E10EFB4" w:tentative="1">
      <w:start w:val="1"/>
      <w:numFmt w:val="bullet"/>
      <w:lvlText w:val=""/>
      <w:lvlJc w:val="left"/>
      <w:pPr>
        <w:ind w:left="4887" w:hanging="360"/>
      </w:pPr>
      <w:rPr>
        <w:rFonts w:ascii="Wingdings" w:hAnsi="Wingdings" w:hint="default"/>
      </w:rPr>
    </w:lvl>
    <w:lvl w:ilvl="6" w:tplc="60FAACA6" w:tentative="1">
      <w:start w:val="1"/>
      <w:numFmt w:val="bullet"/>
      <w:lvlText w:val=""/>
      <w:lvlJc w:val="left"/>
      <w:pPr>
        <w:ind w:left="5607" w:hanging="360"/>
      </w:pPr>
      <w:rPr>
        <w:rFonts w:ascii="Symbol" w:hAnsi="Symbol" w:hint="default"/>
      </w:rPr>
    </w:lvl>
    <w:lvl w:ilvl="7" w:tplc="D2A458CA" w:tentative="1">
      <w:start w:val="1"/>
      <w:numFmt w:val="bullet"/>
      <w:lvlText w:val="o"/>
      <w:lvlJc w:val="left"/>
      <w:pPr>
        <w:ind w:left="6327" w:hanging="360"/>
      </w:pPr>
      <w:rPr>
        <w:rFonts w:ascii="Courier New" w:hAnsi="Courier New" w:hint="default"/>
      </w:rPr>
    </w:lvl>
    <w:lvl w:ilvl="8" w:tplc="9DA6800C" w:tentative="1">
      <w:start w:val="1"/>
      <w:numFmt w:val="bullet"/>
      <w:lvlText w:val=""/>
      <w:lvlJc w:val="left"/>
      <w:pPr>
        <w:ind w:left="7047" w:hanging="360"/>
      </w:pPr>
      <w:rPr>
        <w:rFonts w:ascii="Wingdings" w:hAnsi="Wingdings" w:hint="default"/>
      </w:rPr>
    </w:lvl>
  </w:abstractNum>
  <w:abstractNum w:abstractNumId="18" w15:restartNumberingAfterBreak="0">
    <w:nsid w:val="1F971033"/>
    <w:multiLevelType w:val="hybridMultilevel"/>
    <w:tmpl w:val="7160D134"/>
    <w:lvl w:ilvl="0" w:tplc="2838341A">
      <w:start w:val="1"/>
      <w:numFmt w:val="bullet"/>
      <w:lvlText w:val=""/>
      <w:lvlJc w:val="left"/>
      <w:pPr>
        <w:ind w:left="720" w:hanging="360"/>
      </w:pPr>
      <w:rPr>
        <w:rFonts w:ascii="Symbol" w:hAnsi="Symbol" w:hint="default"/>
      </w:rPr>
    </w:lvl>
    <w:lvl w:ilvl="1" w:tplc="5198B864">
      <w:start w:val="1"/>
      <w:numFmt w:val="bullet"/>
      <w:lvlText w:val="o"/>
      <w:lvlJc w:val="left"/>
      <w:pPr>
        <w:ind w:left="1440" w:hanging="360"/>
      </w:pPr>
      <w:rPr>
        <w:rFonts w:ascii="Courier New" w:hAnsi="Courier New" w:hint="default"/>
      </w:rPr>
    </w:lvl>
    <w:lvl w:ilvl="2" w:tplc="5D3060DE" w:tentative="1">
      <w:start w:val="1"/>
      <w:numFmt w:val="bullet"/>
      <w:lvlText w:val=""/>
      <w:lvlJc w:val="left"/>
      <w:pPr>
        <w:ind w:left="2160" w:hanging="360"/>
      </w:pPr>
      <w:rPr>
        <w:rFonts w:ascii="Wingdings" w:hAnsi="Wingdings" w:hint="default"/>
      </w:rPr>
    </w:lvl>
    <w:lvl w:ilvl="3" w:tplc="7BE811B6" w:tentative="1">
      <w:start w:val="1"/>
      <w:numFmt w:val="bullet"/>
      <w:lvlText w:val=""/>
      <w:lvlJc w:val="left"/>
      <w:pPr>
        <w:ind w:left="2880" w:hanging="360"/>
      </w:pPr>
      <w:rPr>
        <w:rFonts w:ascii="Symbol" w:hAnsi="Symbol" w:hint="default"/>
      </w:rPr>
    </w:lvl>
    <w:lvl w:ilvl="4" w:tplc="BDAE6266" w:tentative="1">
      <w:start w:val="1"/>
      <w:numFmt w:val="bullet"/>
      <w:lvlText w:val="o"/>
      <w:lvlJc w:val="left"/>
      <w:pPr>
        <w:ind w:left="3600" w:hanging="360"/>
      </w:pPr>
      <w:rPr>
        <w:rFonts w:ascii="Courier New" w:hAnsi="Courier New" w:hint="default"/>
      </w:rPr>
    </w:lvl>
    <w:lvl w:ilvl="5" w:tplc="46022A4A" w:tentative="1">
      <w:start w:val="1"/>
      <w:numFmt w:val="bullet"/>
      <w:lvlText w:val=""/>
      <w:lvlJc w:val="left"/>
      <w:pPr>
        <w:ind w:left="4320" w:hanging="360"/>
      </w:pPr>
      <w:rPr>
        <w:rFonts w:ascii="Wingdings" w:hAnsi="Wingdings" w:hint="default"/>
      </w:rPr>
    </w:lvl>
    <w:lvl w:ilvl="6" w:tplc="DC2AB4C8" w:tentative="1">
      <w:start w:val="1"/>
      <w:numFmt w:val="bullet"/>
      <w:lvlText w:val=""/>
      <w:lvlJc w:val="left"/>
      <w:pPr>
        <w:ind w:left="5040" w:hanging="360"/>
      </w:pPr>
      <w:rPr>
        <w:rFonts w:ascii="Symbol" w:hAnsi="Symbol" w:hint="default"/>
      </w:rPr>
    </w:lvl>
    <w:lvl w:ilvl="7" w:tplc="F47031FC" w:tentative="1">
      <w:start w:val="1"/>
      <w:numFmt w:val="bullet"/>
      <w:lvlText w:val="o"/>
      <w:lvlJc w:val="left"/>
      <w:pPr>
        <w:ind w:left="5760" w:hanging="360"/>
      </w:pPr>
      <w:rPr>
        <w:rFonts w:ascii="Courier New" w:hAnsi="Courier New" w:hint="default"/>
      </w:rPr>
    </w:lvl>
    <w:lvl w:ilvl="8" w:tplc="DB86268C" w:tentative="1">
      <w:start w:val="1"/>
      <w:numFmt w:val="bullet"/>
      <w:lvlText w:val=""/>
      <w:lvlJc w:val="left"/>
      <w:pPr>
        <w:ind w:left="6480" w:hanging="360"/>
      </w:pPr>
      <w:rPr>
        <w:rFonts w:ascii="Wingdings" w:hAnsi="Wingdings" w:hint="default"/>
      </w:rPr>
    </w:lvl>
  </w:abstractNum>
  <w:abstractNum w:abstractNumId="19" w15:restartNumberingAfterBreak="0">
    <w:nsid w:val="20563B38"/>
    <w:multiLevelType w:val="multilevel"/>
    <w:tmpl w:val="128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BE5A2F"/>
    <w:multiLevelType w:val="multilevel"/>
    <w:tmpl w:val="2496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854A54"/>
    <w:multiLevelType w:val="hybridMultilevel"/>
    <w:tmpl w:val="94DC3E6A"/>
    <w:lvl w:ilvl="0" w:tplc="BB960F8A">
      <w:start w:val="1"/>
      <w:numFmt w:val="bullet"/>
      <w:pStyle w:val="BulletedList-Level1"/>
      <w:lvlText w:val=""/>
      <w:lvlJc w:val="left"/>
      <w:pPr>
        <w:ind w:left="425" w:hanging="283"/>
      </w:pPr>
      <w:rPr>
        <w:rFonts w:ascii="Symbol" w:hAnsi="Symbol" w:hint="default"/>
      </w:rPr>
    </w:lvl>
    <w:lvl w:ilvl="1" w:tplc="7FD0D44C">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DBCABDC">
      <w:start w:val="1"/>
      <w:numFmt w:val="bullet"/>
      <w:lvlText w:val=""/>
      <w:lvlJc w:val="left"/>
      <w:pPr>
        <w:ind w:left="992" w:hanging="283"/>
      </w:pPr>
      <w:rPr>
        <w:rFonts w:ascii="Wingdings" w:hAnsi="Wingdings" w:hint="default"/>
      </w:rPr>
    </w:lvl>
    <w:lvl w:ilvl="3" w:tplc="ABB84760" w:tentative="1">
      <w:start w:val="1"/>
      <w:numFmt w:val="bullet"/>
      <w:lvlText w:val=""/>
      <w:lvlJc w:val="left"/>
      <w:pPr>
        <w:ind w:left="2738" w:hanging="360"/>
      </w:pPr>
      <w:rPr>
        <w:rFonts w:ascii="Symbol" w:hAnsi="Symbol" w:hint="default"/>
      </w:rPr>
    </w:lvl>
    <w:lvl w:ilvl="4" w:tplc="BE4053CA" w:tentative="1">
      <w:start w:val="1"/>
      <w:numFmt w:val="bullet"/>
      <w:lvlText w:val="o"/>
      <w:lvlJc w:val="left"/>
      <w:pPr>
        <w:ind w:left="3458" w:hanging="360"/>
      </w:pPr>
      <w:rPr>
        <w:rFonts w:ascii="Courier New" w:hAnsi="Courier New" w:hint="default"/>
      </w:rPr>
    </w:lvl>
    <w:lvl w:ilvl="5" w:tplc="F6B05272" w:tentative="1">
      <w:start w:val="1"/>
      <w:numFmt w:val="bullet"/>
      <w:lvlText w:val=""/>
      <w:lvlJc w:val="left"/>
      <w:pPr>
        <w:ind w:left="4178" w:hanging="360"/>
      </w:pPr>
      <w:rPr>
        <w:rFonts w:ascii="Wingdings" w:hAnsi="Wingdings" w:hint="default"/>
      </w:rPr>
    </w:lvl>
    <w:lvl w:ilvl="6" w:tplc="4C1A0AA2" w:tentative="1">
      <w:start w:val="1"/>
      <w:numFmt w:val="bullet"/>
      <w:lvlText w:val=""/>
      <w:lvlJc w:val="left"/>
      <w:pPr>
        <w:ind w:left="4898" w:hanging="360"/>
      </w:pPr>
      <w:rPr>
        <w:rFonts w:ascii="Symbol" w:hAnsi="Symbol" w:hint="default"/>
      </w:rPr>
    </w:lvl>
    <w:lvl w:ilvl="7" w:tplc="55C4A014" w:tentative="1">
      <w:start w:val="1"/>
      <w:numFmt w:val="bullet"/>
      <w:lvlText w:val="o"/>
      <w:lvlJc w:val="left"/>
      <w:pPr>
        <w:ind w:left="5618" w:hanging="360"/>
      </w:pPr>
      <w:rPr>
        <w:rFonts w:ascii="Courier New" w:hAnsi="Courier New" w:hint="default"/>
      </w:rPr>
    </w:lvl>
    <w:lvl w:ilvl="8" w:tplc="BC28E2B6" w:tentative="1">
      <w:start w:val="1"/>
      <w:numFmt w:val="bullet"/>
      <w:lvlText w:val=""/>
      <w:lvlJc w:val="left"/>
      <w:pPr>
        <w:ind w:left="6338" w:hanging="360"/>
      </w:pPr>
      <w:rPr>
        <w:rFonts w:ascii="Wingdings" w:hAnsi="Wingdings" w:hint="default"/>
      </w:rPr>
    </w:lvl>
  </w:abstractNum>
  <w:abstractNum w:abstractNumId="22" w15:restartNumberingAfterBreak="0">
    <w:nsid w:val="2AFF3509"/>
    <w:multiLevelType w:val="hybridMultilevel"/>
    <w:tmpl w:val="8F066376"/>
    <w:lvl w:ilvl="0" w:tplc="047C6B20">
      <w:start w:val="1"/>
      <w:numFmt w:val="bullet"/>
      <w:lvlText w:val=""/>
      <w:lvlJc w:val="left"/>
      <w:pPr>
        <w:ind w:left="720" w:hanging="360"/>
      </w:pPr>
      <w:rPr>
        <w:rFonts w:ascii="Symbol" w:hAnsi="Symbol" w:hint="default"/>
      </w:rPr>
    </w:lvl>
    <w:lvl w:ilvl="1" w:tplc="0922994C" w:tentative="1">
      <w:start w:val="1"/>
      <w:numFmt w:val="bullet"/>
      <w:lvlText w:val="o"/>
      <w:lvlJc w:val="left"/>
      <w:pPr>
        <w:ind w:left="1440" w:hanging="360"/>
      </w:pPr>
      <w:rPr>
        <w:rFonts w:ascii="Courier New" w:hAnsi="Courier New" w:hint="default"/>
      </w:rPr>
    </w:lvl>
    <w:lvl w:ilvl="2" w:tplc="9628E1E8" w:tentative="1">
      <w:start w:val="1"/>
      <w:numFmt w:val="bullet"/>
      <w:lvlText w:val=""/>
      <w:lvlJc w:val="left"/>
      <w:pPr>
        <w:ind w:left="2160" w:hanging="360"/>
      </w:pPr>
      <w:rPr>
        <w:rFonts w:ascii="Wingdings" w:hAnsi="Wingdings" w:hint="default"/>
      </w:rPr>
    </w:lvl>
    <w:lvl w:ilvl="3" w:tplc="0F407AEC" w:tentative="1">
      <w:start w:val="1"/>
      <w:numFmt w:val="bullet"/>
      <w:lvlText w:val=""/>
      <w:lvlJc w:val="left"/>
      <w:pPr>
        <w:ind w:left="2880" w:hanging="360"/>
      </w:pPr>
      <w:rPr>
        <w:rFonts w:ascii="Symbol" w:hAnsi="Symbol" w:hint="default"/>
      </w:rPr>
    </w:lvl>
    <w:lvl w:ilvl="4" w:tplc="47BE96C6" w:tentative="1">
      <w:start w:val="1"/>
      <w:numFmt w:val="bullet"/>
      <w:lvlText w:val="o"/>
      <w:lvlJc w:val="left"/>
      <w:pPr>
        <w:ind w:left="3600" w:hanging="360"/>
      </w:pPr>
      <w:rPr>
        <w:rFonts w:ascii="Courier New" w:hAnsi="Courier New" w:hint="default"/>
      </w:rPr>
    </w:lvl>
    <w:lvl w:ilvl="5" w:tplc="B9CAF322" w:tentative="1">
      <w:start w:val="1"/>
      <w:numFmt w:val="bullet"/>
      <w:lvlText w:val=""/>
      <w:lvlJc w:val="left"/>
      <w:pPr>
        <w:ind w:left="4320" w:hanging="360"/>
      </w:pPr>
      <w:rPr>
        <w:rFonts w:ascii="Wingdings" w:hAnsi="Wingdings" w:hint="default"/>
      </w:rPr>
    </w:lvl>
    <w:lvl w:ilvl="6" w:tplc="F7841468" w:tentative="1">
      <w:start w:val="1"/>
      <w:numFmt w:val="bullet"/>
      <w:lvlText w:val=""/>
      <w:lvlJc w:val="left"/>
      <w:pPr>
        <w:ind w:left="5040" w:hanging="360"/>
      </w:pPr>
      <w:rPr>
        <w:rFonts w:ascii="Symbol" w:hAnsi="Symbol" w:hint="default"/>
      </w:rPr>
    </w:lvl>
    <w:lvl w:ilvl="7" w:tplc="489E6D34" w:tentative="1">
      <w:start w:val="1"/>
      <w:numFmt w:val="bullet"/>
      <w:lvlText w:val="o"/>
      <w:lvlJc w:val="left"/>
      <w:pPr>
        <w:ind w:left="5760" w:hanging="360"/>
      </w:pPr>
      <w:rPr>
        <w:rFonts w:ascii="Courier New" w:hAnsi="Courier New" w:hint="default"/>
      </w:rPr>
    </w:lvl>
    <w:lvl w:ilvl="8" w:tplc="D286EE6E" w:tentative="1">
      <w:start w:val="1"/>
      <w:numFmt w:val="bullet"/>
      <w:lvlText w:val=""/>
      <w:lvlJc w:val="left"/>
      <w:pPr>
        <w:ind w:left="6480" w:hanging="360"/>
      </w:pPr>
      <w:rPr>
        <w:rFonts w:ascii="Wingdings" w:hAnsi="Wingdings" w:hint="default"/>
      </w:rPr>
    </w:lvl>
  </w:abstractNum>
  <w:abstractNum w:abstractNumId="23" w15:restartNumberingAfterBreak="0">
    <w:nsid w:val="302DEE40"/>
    <w:multiLevelType w:val="multilevel"/>
    <w:tmpl w:val="BC4C5A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0B138C8"/>
    <w:multiLevelType w:val="hybridMultilevel"/>
    <w:tmpl w:val="425E6D62"/>
    <w:lvl w:ilvl="0" w:tplc="11B0F732">
      <w:start w:val="1"/>
      <w:numFmt w:val="bullet"/>
      <w:lvlText w:val=""/>
      <w:lvlJc w:val="left"/>
      <w:pPr>
        <w:ind w:left="720" w:hanging="360"/>
      </w:pPr>
      <w:rPr>
        <w:rFonts w:ascii="Symbol" w:hAnsi="Symbol" w:hint="default"/>
      </w:rPr>
    </w:lvl>
    <w:lvl w:ilvl="1" w:tplc="D608B192" w:tentative="1">
      <w:start w:val="1"/>
      <w:numFmt w:val="bullet"/>
      <w:lvlText w:val="o"/>
      <w:lvlJc w:val="left"/>
      <w:pPr>
        <w:ind w:left="1440" w:hanging="360"/>
      </w:pPr>
      <w:rPr>
        <w:rFonts w:ascii="Courier New" w:hAnsi="Courier New" w:hint="default"/>
      </w:rPr>
    </w:lvl>
    <w:lvl w:ilvl="2" w:tplc="E10E831A" w:tentative="1">
      <w:start w:val="1"/>
      <w:numFmt w:val="bullet"/>
      <w:lvlText w:val=""/>
      <w:lvlJc w:val="left"/>
      <w:pPr>
        <w:ind w:left="2160" w:hanging="360"/>
      </w:pPr>
      <w:rPr>
        <w:rFonts w:ascii="Wingdings" w:hAnsi="Wingdings" w:hint="default"/>
      </w:rPr>
    </w:lvl>
    <w:lvl w:ilvl="3" w:tplc="2584AAB0" w:tentative="1">
      <w:start w:val="1"/>
      <w:numFmt w:val="bullet"/>
      <w:lvlText w:val=""/>
      <w:lvlJc w:val="left"/>
      <w:pPr>
        <w:ind w:left="2880" w:hanging="360"/>
      </w:pPr>
      <w:rPr>
        <w:rFonts w:ascii="Symbol" w:hAnsi="Symbol" w:hint="default"/>
      </w:rPr>
    </w:lvl>
    <w:lvl w:ilvl="4" w:tplc="CCF8CF70" w:tentative="1">
      <w:start w:val="1"/>
      <w:numFmt w:val="bullet"/>
      <w:lvlText w:val="o"/>
      <w:lvlJc w:val="left"/>
      <w:pPr>
        <w:ind w:left="3600" w:hanging="360"/>
      </w:pPr>
      <w:rPr>
        <w:rFonts w:ascii="Courier New" w:hAnsi="Courier New" w:hint="default"/>
      </w:rPr>
    </w:lvl>
    <w:lvl w:ilvl="5" w:tplc="A644F8E2" w:tentative="1">
      <w:start w:val="1"/>
      <w:numFmt w:val="bullet"/>
      <w:lvlText w:val=""/>
      <w:lvlJc w:val="left"/>
      <w:pPr>
        <w:ind w:left="4320" w:hanging="360"/>
      </w:pPr>
      <w:rPr>
        <w:rFonts w:ascii="Wingdings" w:hAnsi="Wingdings" w:hint="default"/>
      </w:rPr>
    </w:lvl>
    <w:lvl w:ilvl="6" w:tplc="AFEEE2E6" w:tentative="1">
      <w:start w:val="1"/>
      <w:numFmt w:val="bullet"/>
      <w:lvlText w:val=""/>
      <w:lvlJc w:val="left"/>
      <w:pPr>
        <w:ind w:left="5040" w:hanging="360"/>
      </w:pPr>
      <w:rPr>
        <w:rFonts w:ascii="Symbol" w:hAnsi="Symbol" w:hint="default"/>
      </w:rPr>
    </w:lvl>
    <w:lvl w:ilvl="7" w:tplc="2F566F2E" w:tentative="1">
      <w:start w:val="1"/>
      <w:numFmt w:val="bullet"/>
      <w:lvlText w:val="o"/>
      <w:lvlJc w:val="left"/>
      <w:pPr>
        <w:ind w:left="5760" w:hanging="360"/>
      </w:pPr>
      <w:rPr>
        <w:rFonts w:ascii="Courier New" w:hAnsi="Courier New" w:hint="default"/>
      </w:rPr>
    </w:lvl>
    <w:lvl w:ilvl="8" w:tplc="AB38F9FE" w:tentative="1">
      <w:start w:val="1"/>
      <w:numFmt w:val="bullet"/>
      <w:lvlText w:val=""/>
      <w:lvlJc w:val="left"/>
      <w:pPr>
        <w:ind w:left="6480" w:hanging="360"/>
      </w:pPr>
      <w:rPr>
        <w:rFonts w:ascii="Wingdings" w:hAnsi="Wingdings" w:hint="default"/>
      </w:rPr>
    </w:lvl>
  </w:abstractNum>
  <w:abstractNum w:abstractNumId="25" w15:restartNumberingAfterBreak="0">
    <w:nsid w:val="358B5F5F"/>
    <w:multiLevelType w:val="hybridMultilevel"/>
    <w:tmpl w:val="2330588A"/>
    <w:lvl w:ilvl="0" w:tplc="DE6458C8">
      <w:start w:val="1"/>
      <w:numFmt w:val="bullet"/>
      <w:lvlText w:val=""/>
      <w:lvlJc w:val="left"/>
      <w:pPr>
        <w:ind w:left="720" w:hanging="360"/>
      </w:pPr>
      <w:rPr>
        <w:rFonts w:ascii="Symbol" w:hAnsi="Symbol" w:hint="default"/>
      </w:rPr>
    </w:lvl>
    <w:lvl w:ilvl="1" w:tplc="844CD15C" w:tentative="1">
      <w:start w:val="1"/>
      <w:numFmt w:val="bullet"/>
      <w:lvlText w:val="o"/>
      <w:lvlJc w:val="left"/>
      <w:pPr>
        <w:ind w:left="1440" w:hanging="360"/>
      </w:pPr>
      <w:rPr>
        <w:rFonts w:ascii="Courier New" w:hAnsi="Courier New" w:hint="default"/>
      </w:rPr>
    </w:lvl>
    <w:lvl w:ilvl="2" w:tplc="392C9F7A" w:tentative="1">
      <w:start w:val="1"/>
      <w:numFmt w:val="bullet"/>
      <w:lvlText w:val=""/>
      <w:lvlJc w:val="left"/>
      <w:pPr>
        <w:ind w:left="2160" w:hanging="360"/>
      </w:pPr>
      <w:rPr>
        <w:rFonts w:ascii="Wingdings" w:hAnsi="Wingdings" w:hint="default"/>
      </w:rPr>
    </w:lvl>
    <w:lvl w:ilvl="3" w:tplc="A0182F5A" w:tentative="1">
      <w:start w:val="1"/>
      <w:numFmt w:val="bullet"/>
      <w:lvlText w:val=""/>
      <w:lvlJc w:val="left"/>
      <w:pPr>
        <w:ind w:left="2880" w:hanging="360"/>
      </w:pPr>
      <w:rPr>
        <w:rFonts w:ascii="Symbol" w:hAnsi="Symbol" w:hint="default"/>
      </w:rPr>
    </w:lvl>
    <w:lvl w:ilvl="4" w:tplc="DCCC3A64" w:tentative="1">
      <w:start w:val="1"/>
      <w:numFmt w:val="bullet"/>
      <w:lvlText w:val="o"/>
      <w:lvlJc w:val="left"/>
      <w:pPr>
        <w:ind w:left="3600" w:hanging="360"/>
      </w:pPr>
      <w:rPr>
        <w:rFonts w:ascii="Courier New" w:hAnsi="Courier New" w:hint="default"/>
      </w:rPr>
    </w:lvl>
    <w:lvl w:ilvl="5" w:tplc="7F0C94B6" w:tentative="1">
      <w:start w:val="1"/>
      <w:numFmt w:val="bullet"/>
      <w:lvlText w:val=""/>
      <w:lvlJc w:val="left"/>
      <w:pPr>
        <w:ind w:left="4320" w:hanging="360"/>
      </w:pPr>
      <w:rPr>
        <w:rFonts w:ascii="Wingdings" w:hAnsi="Wingdings" w:hint="default"/>
      </w:rPr>
    </w:lvl>
    <w:lvl w:ilvl="6" w:tplc="8A6CF25E" w:tentative="1">
      <w:start w:val="1"/>
      <w:numFmt w:val="bullet"/>
      <w:lvlText w:val=""/>
      <w:lvlJc w:val="left"/>
      <w:pPr>
        <w:ind w:left="5040" w:hanging="360"/>
      </w:pPr>
      <w:rPr>
        <w:rFonts w:ascii="Symbol" w:hAnsi="Symbol" w:hint="default"/>
      </w:rPr>
    </w:lvl>
    <w:lvl w:ilvl="7" w:tplc="A59AA262" w:tentative="1">
      <w:start w:val="1"/>
      <w:numFmt w:val="bullet"/>
      <w:lvlText w:val="o"/>
      <w:lvlJc w:val="left"/>
      <w:pPr>
        <w:ind w:left="5760" w:hanging="360"/>
      </w:pPr>
      <w:rPr>
        <w:rFonts w:ascii="Courier New" w:hAnsi="Courier New" w:hint="default"/>
      </w:rPr>
    </w:lvl>
    <w:lvl w:ilvl="8" w:tplc="1A048214" w:tentative="1">
      <w:start w:val="1"/>
      <w:numFmt w:val="bullet"/>
      <w:lvlText w:val=""/>
      <w:lvlJc w:val="left"/>
      <w:pPr>
        <w:ind w:left="6480" w:hanging="360"/>
      </w:pPr>
      <w:rPr>
        <w:rFonts w:ascii="Wingdings" w:hAnsi="Wingdings" w:hint="default"/>
      </w:rPr>
    </w:lvl>
  </w:abstractNum>
  <w:abstractNum w:abstractNumId="26" w15:restartNumberingAfterBreak="0">
    <w:nsid w:val="383C09D8"/>
    <w:multiLevelType w:val="hybridMultilevel"/>
    <w:tmpl w:val="8346A6DC"/>
    <w:lvl w:ilvl="0" w:tplc="42C84BF6">
      <w:start w:val="1"/>
      <w:numFmt w:val="bullet"/>
      <w:lvlText w:val=""/>
      <w:lvlJc w:val="left"/>
      <w:pPr>
        <w:ind w:left="720" w:hanging="360"/>
      </w:pPr>
      <w:rPr>
        <w:rFonts w:ascii="Symbol" w:hAnsi="Symbol" w:hint="default"/>
      </w:rPr>
    </w:lvl>
    <w:lvl w:ilvl="1" w:tplc="93D84CAE" w:tentative="1">
      <w:start w:val="1"/>
      <w:numFmt w:val="bullet"/>
      <w:lvlText w:val="o"/>
      <w:lvlJc w:val="left"/>
      <w:pPr>
        <w:ind w:left="1440" w:hanging="360"/>
      </w:pPr>
      <w:rPr>
        <w:rFonts w:ascii="Courier New" w:hAnsi="Courier New" w:hint="default"/>
      </w:rPr>
    </w:lvl>
    <w:lvl w:ilvl="2" w:tplc="0E506866" w:tentative="1">
      <w:start w:val="1"/>
      <w:numFmt w:val="bullet"/>
      <w:lvlText w:val=""/>
      <w:lvlJc w:val="left"/>
      <w:pPr>
        <w:ind w:left="2160" w:hanging="360"/>
      </w:pPr>
      <w:rPr>
        <w:rFonts w:ascii="Wingdings" w:hAnsi="Wingdings" w:hint="default"/>
      </w:rPr>
    </w:lvl>
    <w:lvl w:ilvl="3" w:tplc="6E6A5784" w:tentative="1">
      <w:start w:val="1"/>
      <w:numFmt w:val="bullet"/>
      <w:lvlText w:val=""/>
      <w:lvlJc w:val="left"/>
      <w:pPr>
        <w:ind w:left="2880" w:hanging="360"/>
      </w:pPr>
      <w:rPr>
        <w:rFonts w:ascii="Symbol" w:hAnsi="Symbol" w:hint="default"/>
      </w:rPr>
    </w:lvl>
    <w:lvl w:ilvl="4" w:tplc="F6BE5B24" w:tentative="1">
      <w:start w:val="1"/>
      <w:numFmt w:val="bullet"/>
      <w:lvlText w:val="o"/>
      <w:lvlJc w:val="left"/>
      <w:pPr>
        <w:ind w:left="3600" w:hanging="360"/>
      </w:pPr>
      <w:rPr>
        <w:rFonts w:ascii="Courier New" w:hAnsi="Courier New" w:hint="default"/>
      </w:rPr>
    </w:lvl>
    <w:lvl w:ilvl="5" w:tplc="EB26C298" w:tentative="1">
      <w:start w:val="1"/>
      <w:numFmt w:val="bullet"/>
      <w:lvlText w:val=""/>
      <w:lvlJc w:val="left"/>
      <w:pPr>
        <w:ind w:left="4320" w:hanging="360"/>
      </w:pPr>
      <w:rPr>
        <w:rFonts w:ascii="Wingdings" w:hAnsi="Wingdings" w:hint="default"/>
      </w:rPr>
    </w:lvl>
    <w:lvl w:ilvl="6" w:tplc="D3A26D16" w:tentative="1">
      <w:start w:val="1"/>
      <w:numFmt w:val="bullet"/>
      <w:lvlText w:val=""/>
      <w:lvlJc w:val="left"/>
      <w:pPr>
        <w:ind w:left="5040" w:hanging="360"/>
      </w:pPr>
      <w:rPr>
        <w:rFonts w:ascii="Symbol" w:hAnsi="Symbol" w:hint="default"/>
      </w:rPr>
    </w:lvl>
    <w:lvl w:ilvl="7" w:tplc="7004BBCC" w:tentative="1">
      <w:start w:val="1"/>
      <w:numFmt w:val="bullet"/>
      <w:lvlText w:val="o"/>
      <w:lvlJc w:val="left"/>
      <w:pPr>
        <w:ind w:left="5760" w:hanging="360"/>
      </w:pPr>
      <w:rPr>
        <w:rFonts w:ascii="Courier New" w:hAnsi="Courier New" w:hint="default"/>
      </w:rPr>
    </w:lvl>
    <w:lvl w:ilvl="8" w:tplc="FF3427D2" w:tentative="1">
      <w:start w:val="1"/>
      <w:numFmt w:val="bullet"/>
      <w:lvlText w:val=""/>
      <w:lvlJc w:val="left"/>
      <w:pPr>
        <w:ind w:left="6480" w:hanging="360"/>
      </w:pPr>
      <w:rPr>
        <w:rFonts w:ascii="Wingdings" w:hAnsi="Wingdings" w:hint="default"/>
      </w:rPr>
    </w:lvl>
  </w:abstractNum>
  <w:abstractNum w:abstractNumId="27" w15:restartNumberingAfterBreak="0">
    <w:nsid w:val="3D1479BC"/>
    <w:multiLevelType w:val="multilevel"/>
    <w:tmpl w:val="DBE2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A0F7F4"/>
    <w:multiLevelType w:val="multilevel"/>
    <w:tmpl w:val="CB0E4D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96C7FF6"/>
    <w:multiLevelType w:val="hybridMultilevel"/>
    <w:tmpl w:val="2DC077C0"/>
    <w:lvl w:ilvl="0" w:tplc="9F808CA6">
      <w:start w:val="1"/>
      <w:numFmt w:val="decimal"/>
      <w:pStyle w:val="BOXNumberedList"/>
      <w:lvlText w:val="%1."/>
      <w:lvlJc w:val="left"/>
      <w:pPr>
        <w:ind w:left="840" w:hanging="360"/>
      </w:pPr>
    </w:lvl>
    <w:lvl w:ilvl="1" w:tplc="5A9ED83E" w:tentative="1">
      <w:start w:val="1"/>
      <w:numFmt w:val="lowerLetter"/>
      <w:lvlText w:val="%2."/>
      <w:lvlJc w:val="left"/>
      <w:pPr>
        <w:ind w:left="1560" w:hanging="360"/>
      </w:pPr>
    </w:lvl>
    <w:lvl w:ilvl="2" w:tplc="8378FD5A" w:tentative="1">
      <w:start w:val="1"/>
      <w:numFmt w:val="lowerRoman"/>
      <w:lvlText w:val="%3."/>
      <w:lvlJc w:val="right"/>
      <w:pPr>
        <w:ind w:left="2280" w:hanging="180"/>
      </w:pPr>
    </w:lvl>
    <w:lvl w:ilvl="3" w:tplc="11ECFA24" w:tentative="1">
      <w:start w:val="1"/>
      <w:numFmt w:val="decimal"/>
      <w:lvlText w:val="%4."/>
      <w:lvlJc w:val="left"/>
      <w:pPr>
        <w:ind w:left="3000" w:hanging="360"/>
      </w:pPr>
    </w:lvl>
    <w:lvl w:ilvl="4" w:tplc="FEF0F280" w:tentative="1">
      <w:start w:val="1"/>
      <w:numFmt w:val="lowerLetter"/>
      <w:lvlText w:val="%5."/>
      <w:lvlJc w:val="left"/>
      <w:pPr>
        <w:ind w:left="3720" w:hanging="360"/>
      </w:pPr>
    </w:lvl>
    <w:lvl w:ilvl="5" w:tplc="99F0382C" w:tentative="1">
      <w:start w:val="1"/>
      <w:numFmt w:val="lowerRoman"/>
      <w:lvlText w:val="%6."/>
      <w:lvlJc w:val="right"/>
      <w:pPr>
        <w:ind w:left="4440" w:hanging="180"/>
      </w:pPr>
    </w:lvl>
    <w:lvl w:ilvl="6" w:tplc="5AE6A346" w:tentative="1">
      <w:start w:val="1"/>
      <w:numFmt w:val="decimal"/>
      <w:lvlText w:val="%7."/>
      <w:lvlJc w:val="left"/>
      <w:pPr>
        <w:ind w:left="5160" w:hanging="360"/>
      </w:pPr>
    </w:lvl>
    <w:lvl w:ilvl="7" w:tplc="365AAA60" w:tentative="1">
      <w:start w:val="1"/>
      <w:numFmt w:val="lowerLetter"/>
      <w:lvlText w:val="%8."/>
      <w:lvlJc w:val="left"/>
      <w:pPr>
        <w:ind w:left="5880" w:hanging="360"/>
      </w:pPr>
    </w:lvl>
    <w:lvl w:ilvl="8" w:tplc="B6205D1A" w:tentative="1">
      <w:start w:val="1"/>
      <w:numFmt w:val="lowerRoman"/>
      <w:lvlText w:val="%9."/>
      <w:lvlJc w:val="right"/>
      <w:pPr>
        <w:ind w:left="6600" w:hanging="180"/>
      </w:pPr>
    </w:lvl>
  </w:abstractNum>
  <w:abstractNum w:abstractNumId="30" w15:restartNumberingAfterBreak="0">
    <w:nsid w:val="4BFBECD2"/>
    <w:multiLevelType w:val="multilevel"/>
    <w:tmpl w:val="C4081B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C3A4E6B"/>
    <w:multiLevelType w:val="multilevel"/>
    <w:tmpl w:val="01D47D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E4E141B"/>
    <w:multiLevelType w:val="multilevel"/>
    <w:tmpl w:val="6AEEAC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5E73456"/>
    <w:multiLevelType w:val="hybridMultilevel"/>
    <w:tmpl w:val="2640ED9E"/>
    <w:lvl w:ilvl="0" w:tplc="BDC4A4BC">
      <w:start w:val="1"/>
      <w:numFmt w:val="bullet"/>
      <w:lvlText w:val=""/>
      <w:lvlJc w:val="left"/>
      <w:pPr>
        <w:ind w:left="720" w:hanging="360"/>
      </w:pPr>
      <w:rPr>
        <w:rFonts w:ascii="Symbol" w:hAnsi="Symbol" w:hint="default"/>
      </w:rPr>
    </w:lvl>
    <w:lvl w:ilvl="1" w:tplc="300ED586" w:tentative="1">
      <w:start w:val="1"/>
      <w:numFmt w:val="bullet"/>
      <w:lvlText w:val="o"/>
      <w:lvlJc w:val="left"/>
      <w:pPr>
        <w:ind w:left="1440" w:hanging="360"/>
      </w:pPr>
      <w:rPr>
        <w:rFonts w:ascii="Courier New" w:hAnsi="Courier New" w:hint="default"/>
      </w:rPr>
    </w:lvl>
    <w:lvl w:ilvl="2" w:tplc="16680A9A" w:tentative="1">
      <w:start w:val="1"/>
      <w:numFmt w:val="bullet"/>
      <w:lvlText w:val=""/>
      <w:lvlJc w:val="left"/>
      <w:pPr>
        <w:ind w:left="2160" w:hanging="360"/>
      </w:pPr>
      <w:rPr>
        <w:rFonts w:ascii="Wingdings" w:hAnsi="Wingdings" w:hint="default"/>
      </w:rPr>
    </w:lvl>
    <w:lvl w:ilvl="3" w:tplc="1DC09FAA" w:tentative="1">
      <w:start w:val="1"/>
      <w:numFmt w:val="bullet"/>
      <w:lvlText w:val=""/>
      <w:lvlJc w:val="left"/>
      <w:pPr>
        <w:ind w:left="2880" w:hanging="360"/>
      </w:pPr>
      <w:rPr>
        <w:rFonts w:ascii="Symbol" w:hAnsi="Symbol" w:hint="default"/>
      </w:rPr>
    </w:lvl>
    <w:lvl w:ilvl="4" w:tplc="B440933A" w:tentative="1">
      <w:start w:val="1"/>
      <w:numFmt w:val="bullet"/>
      <w:lvlText w:val="o"/>
      <w:lvlJc w:val="left"/>
      <w:pPr>
        <w:ind w:left="3600" w:hanging="360"/>
      </w:pPr>
      <w:rPr>
        <w:rFonts w:ascii="Courier New" w:hAnsi="Courier New" w:hint="default"/>
      </w:rPr>
    </w:lvl>
    <w:lvl w:ilvl="5" w:tplc="AAA27986" w:tentative="1">
      <w:start w:val="1"/>
      <w:numFmt w:val="bullet"/>
      <w:lvlText w:val=""/>
      <w:lvlJc w:val="left"/>
      <w:pPr>
        <w:ind w:left="4320" w:hanging="360"/>
      </w:pPr>
      <w:rPr>
        <w:rFonts w:ascii="Wingdings" w:hAnsi="Wingdings" w:hint="default"/>
      </w:rPr>
    </w:lvl>
    <w:lvl w:ilvl="6" w:tplc="A0E02BE4" w:tentative="1">
      <w:start w:val="1"/>
      <w:numFmt w:val="bullet"/>
      <w:lvlText w:val=""/>
      <w:lvlJc w:val="left"/>
      <w:pPr>
        <w:ind w:left="5040" w:hanging="360"/>
      </w:pPr>
      <w:rPr>
        <w:rFonts w:ascii="Symbol" w:hAnsi="Symbol" w:hint="default"/>
      </w:rPr>
    </w:lvl>
    <w:lvl w:ilvl="7" w:tplc="1556E7A0" w:tentative="1">
      <w:start w:val="1"/>
      <w:numFmt w:val="bullet"/>
      <w:lvlText w:val="o"/>
      <w:lvlJc w:val="left"/>
      <w:pPr>
        <w:ind w:left="5760" w:hanging="360"/>
      </w:pPr>
      <w:rPr>
        <w:rFonts w:ascii="Courier New" w:hAnsi="Courier New" w:hint="default"/>
      </w:rPr>
    </w:lvl>
    <w:lvl w:ilvl="8" w:tplc="6754739C" w:tentative="1">
      <w:start w:val="1"/>
      <w:numFmt w:val="bullet"/>
      <w:lvlText w:val=""/>
      <w:lvlJc w:val="left"/>
      <w:pPr>
        <w:ind w:left="6480" w:hanging="360"/>
      </w:pPr>
      <w:rPr>
        <w:rFonts w:ascii="Wingdings" w:hAnsi="Wingdings" w:hint="default"/>
      </w:rPr>
    </w:lvl>
  </w:abstractNum>
  <w:abstractNum w:abstractNumId="34" w15:restartNumberingAfterBreak="0">
    <w:nsid w:val="59CB1B6F"/>
    <w:multiLevelType w:val="hybridMultilevel"/>
    <w:tmpl w:val="53647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FF1302"/>
    <w:multiLevelType w:val="hybridMultilevel"/>
    <w:tmpl w:val="C4B6037A"/>
    <w:lvl w:ilvl="0" w:tplc="A15A7C90">
      <w:start w:val="1"/>
      <w:numFmt w:val="bullet"/>
      <w:lvlText w:val=""/>
      <w:lvlJc w:val="left"/>
      <w:pPr>
        <w:ind w:left="720" w:hanging="360"/>
      </w:pPr>
      <w:rPr>
        <w:rFonts w:ascii="Symbol" w:hAnsi="Symbol" w:hint="default"/>
      </w:rPr>
    </w:lvl>
    <w:lvl w:ilvl="1" w:tplc="0D32A6D6" w:tentative="1">
      <w:start w:val="1"/>
      <w:numFmt w:val="bullet"/>
      <w:lvlText w:val="o"/>
      <w:lvlJc w:val="left"/>
      <w:pPr>
        <w:ind w:left="1440" w:hanging="360"/>
      </w:pPr>
      <w:rPr>
        <w:rFonts w:ascii="Courier New" w:hAnsi="Courier New" w:hint="default"/>
      </w:rPr>
    </w:lvl>
    <w:lvl w:ilvl="2" w:tplc="F6C6A582" w:tentative="1">
      <w:start w:val="1"/>
      <w:numFmt w:val="bullet"/>
      <w:lvlText w:val=""/>
      <w:lvlJc w:val="left"/>
      <w:pPr>
        <w:ind w:left="2160" w:hanging="360"/>
      </w:pPr>
      <w:rPr>
        <w:rFonts w:ascii="Wingdings" w:hAnsi="Wingdings" w:hint="default"/>
      </w:rPr>
    </w:lvl>
    <w:lvl w:ilvl="3" w:tplc="049C5394" w:tentative="1">
      <w:start w:val="1"/>
      <w:numFmt w:val="bullet"/>
      <w:lvlText w:val=""/>
      <w:lvlJc w:val="left"/>
      <w:pPr>
        <w:ind w:left="2880" w:hanging="360"/>
      </w:pPr>
      <w:rPr>
        <w:rFonts w:ascii="Symbol" w:hAnsi="Symbol" w:hint="default"/>
      </w:rPr>
    </w:lvl>
    <w:lvl w:ilvl="4" w:tplc="D40C5656" w:tentative="1">
      <w:start w:val="1"/>
      <w:numFmt w:val="bullet"/>
      <w:lvlText w:val="o"/>
      <w:lvlJc w:val="left"/>
      <w:pPr>
        <w:ind w:left="3600" w:hanging="360"/>
      </w:pPr>
      <w:rPr>
        <w:rFonts w:ascii="Courier New" w:hAnsi="Courier New" w:hint="default"/>
      </w:rPr>
    </w:lvl>
    <w:lvl w:ilvl="5" w:tplc="B7D4B890" w:tentative="1">
      <w:start w:val="1"/>
      <w:numFmt w:val="bullet"/>
      <w:lvlText w:val=""/>
      <w:lvlJc w:val="left"/>
      <w:pPr>
        <w:ind w:left="4320" w:hanging="360"/>
      </w:pPr>
      <w:rPr>
        <w:rFonts w:ascii="Wingdings" w:hAnsi="Wingdings" w:hint="default"/>
      </w:rPr>
    </w:lvl>
    <w:lvl w:ilvl="6" w:tplc="24E601E4" w:tentative="1">
      <w:start w:val="1"/>
      <w:numFmt w:val="bullet"/>
      <w:lvlText w:val=""/>
      <w:lvlJc w:val="left"/>
      <w:pPr>
        <w:ind w:left="5040" w:hanging="360"/>
      </w:pPr>
      <w:rPr>
        <w:rFonts w:ascii="Symbol" w:hAnsi="Symbol" w:hint="default"/>
      </w:rPr>
    </w:lvl>
    <w:lvl w:ilvl="7" w:tplc="0846B312" w:tentative="1">
      <w:start w:val="1"/>
      <w:numFmt w:val="bullet"/>
      <w:lvlText w:val="o"/>
      <w:lvlJc w:val="left"/>
      <w:pPr>
        <w:ind w:left="5760" w:hanging="360"/>
      </w:pPr>
      <w:rPr>
        <w:rFonts w:ascii="Courier New" w:hAnsi="Courier New" w:hint="default"/>
      </w:rPr>
    </w:lvl>
    <w:lvl w:ilvl="8" w:tplc="6D361948" w:tentative="1">
      <w:start w:val="1"/>
      <w:numFmt w:val="bullet"/>
      <w:lvlText w:val=""/>
      <w:lvlJc w:val="left"/>
      <w:pPr>
        <w:ind w:left="6480" w:hanging="360"/>
      </w:pPr>
      <w:rPr>
        <w:rFonts w:ascii="Wingdings" w:hAnsi="Wingdings" w:hint="default"/>
      </w:rPr>
    </w:lvl>
  </w:abstractNum>
  <w:abstractNum w:abstractNumId="36" w15:restartNumberingAfterBreak="0">
    <w:nsid w:val="5CCC78EB"/>
    <w:multiLevelType w:val="multilevel"/>
    <w:tmpl w:val="B9129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D9C69C1"/>
    <w:multiLevelType w:val="multilevel"/>
    <w:tmpl w:val="B59C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495881"/>
    <w:multiLevelType w:val="hybridMultilevel"/>
    <w:tmpl w:val="0ACC8A1E"/>
    <w:lvl w:ilvl="0" w:tplc="A87E713E">
      <w:start w:val="1"/>
      <w:numFmt w:val="bullet"/>
      <w:lvlText w:val=""/>
      <w:lvlJc w:val="left"/>
      <w:pPr>
        <w:ind w:left="720" w:hanging="360"/>
      </w:pPr>
      <w:rPr>
        <w:rFonts w:ascii="Symbol" w:hAnsi="Symbol" w:hint="default"/>
      </w:rPr>
    </w:lvl>
    <w:lvl w:ilvl="1" w:tplc="F3B4EF56" w:tentative="1">
      <w:start w:val="1"/>
      <w:numFmt w:val="bullet"/>
      <w:lvlText w:val="o"/>
      <w:lvlJc w:val="left"/>
      <w:pPr>
        <w:ind w:left="1440" w:hanging="360"/>
      </w:pPr>
      <w:rPr>
        <w:rFonts w:ascii="Courier New" w:hAnsi="Courier New" w:hint="default"/>
      </w:rPr>
    </w:lvl>
    <w:lvl w:ilvl="2" w:tplc="45AEB322" w:tentative="1">
      <w:start w:val="1"/>
      <w:numFmt w:val="bullet"/>
      <w:lvlText w:val=""/>
      <w:lvlJc w:val="left"/>
      <w:pPr>
        <w:ind w:left="2160" w:hanging="360"/>
      </w:pPr>
      <w:rPr>
        <w:rFonts w:ascii="Wingdings" w:hAnsi="Wingdings" w:hint="default"/>
      </w:rPr>
    </w:lvl>
    <w:lvl w:ilvl="3" w:tplc="D0DAD0E4" w:tentative="1">
      <w:start w:val="1"/>
      <w:numFmt w:val="bullet"/>
      <w:lvlText w:val=""/>
      <w:lvlJc w:val="left"/>
      <w:pPr>
        <w:ind w:left="2880" w:hanging="360"/>
      </w:pPr>
      <w:rPr>
        <w:rFonts w:ascii="Symbol" w:hAnsi="Symbol" w:hint="default"/>
      </w:rPr>
    </w:lvl>
    <w:lvl w:ilvl="4" w:tplc="5028A012" w:tentative="1">
      <w:start w:val="1"/>
      <w:numFmt w:val="bullet"/>
      <w:lvlText w:val="o"/>
      <w:lvlJc w:val="left"/>
      <w:pPr>
        <w:ind w:left="3600" w:hanging="360"/>
      </w:pPr>
      <w:rPr>
        <w:rFonts w:ascii="Courier New" w:hAnsi="Courier New" w:hint="default"/>
      </w:rPr>
    </w:lvl>
    <w:lvl w:ilvl="5" w:tplc="57327930" w:tentative="1">
      <w:start w:val="1"/>
      <w:numFmt w:val="bullet"/>
      <w:lvlText w:val=""/>
      <w:lvlJc w:val="left"/>
      <w:pPr>
        <w:ind w:left="4320" w:hanging="360"/>
      </w:pPr>
      <w:rPr>
        <w:rFonts w:ascii="Wingdings" w:hAnsi="Wingdings" w:hint="default"/>
      </w:rPr>
    </w:lvl>
    <w:lvl w:ilvl="6" w:tplc="B5AADD90" w:tentative="1">
      <w:start w:val="1"/>
      <w:numFmt w:val="bullet"/>
      <w:lvlText w:val=""/>
      <w:lvlJc w:val="left"/>
      <w:pPr>
        <w:ind w:left="5040" w:hanging="360"/>
      </w:pPr>
      <w:rPr>
        <w:rFonts w:ascii="Symbol" w:hAnsi="Symbol" w:hint="default"/>
      </w:rPr>
    </w:lvl>
    <w:lvl w:ilvl="7" w:tplc="6AB41CEC" w:tentative="1">
      <w:start w:val="1"/>
      <w:numFmt w:val="bullet"/>
      <w:lvlText w:val="o"/>
      <w:lvlJc w:val="left"/>
      <w:pPr>
        <w:ind w:left="5760" w:hanging="360"/>
      </w:pPr>
      <w:rPr>
        <w:rFonts w:ascii="Courier New" w:hAnsi="Courier New" w:hint="default"/>
      </w:rPr>
    </w:lvl>
    <w:lvl w:ilvl="8" w:tplc="E82459AA" w:tentative="1">
      <w:start w:val="1"/>
      <w:numFmt w:val="bullet"/>
      <w:lvlText w:val=""/>
      <w:lvlJc w:val="left"/>
      <w:pPr>
        <w:ind w:left="6480" w:hanging="360"/>
      </w:pPr>
      <w:rPr>
        <w:rFonts w:ascii="Wingdings" w:hAnsi="Wingdings" w:hint="default"/>
      </w:rPr>
    </w:lvl>
  </w:abstractNum>
  <w:abstractNum w:abstractNumId="39" w15:restartNumberingAfterBreak="0">
    <w:nsid w:val="607064C1"/>
    <w:multiLevelType w:val="hybridMultilevel"/>
    <w:tmpl w:val="1BAA8FCC"/>
    <w:lvl w:ilvl="0" w:tplc="27AC435A">
      <w:start w:val="1"/>
      <w:numFmt w:val="bullet"/>
      <w:lvlText w:val=""/>
      <w:lvlJc w:val="left"/>
      <w:pPr>
        <w:ind w:left="720" w:hanging="360"/>
      </w:pPr>
      <w:rPr>
        <w:rFonts w:ascii="Symbol" w:hAnsi="Symbol" w:hint="default"/>
      </w:rPr>
    </w:lvl>
    <w:lvl w:ilvl="1" w:tplc="56243F72" w:tentative="1">
      <w:start w:val="1"/>
      <w:numFmt w:val="bullet"/>
      <w:lvlText w:val="o"/>
      <w:lvlJc w:val="left"/>
      <w:pPr>
        <w:ind w:left="1440" w:hanging="360"/>
      </w:pPr>
      <w:rPr>
        <w:rFonts w:ascii="Courier New" w:hAnsi="Courier New" w:hint="default"/>
      </w:rPr>
    </w:lvl>
    <w:lvl w:ilvl="2" w:tplc="5F50E510" w:tentative="1">
      <w:start w:val="1"/>
      <w:numFmt w:val="bullet"/>
      <w:lvlText w:val=""/>
      <w:lvlJc w:val="left"/>
      <w:pPr>
        <w:ind w:left="2160" w:hanging="360"/>
      </w:pPr>
      <w:rPr>
        <w:rFonts w:ascii="Wingdings" w:hAnsi="Wingdings" w:hint="default"/>
      </w:rPr>
    </w:lvl>
    <w:lvl w:ilvl="3" w:tplc="3F4CCA90" w:tentative="1">
      <w:start w:val="1"/>
      <w:numFmt w:val="bullet"/>
      <w:lvlText w:val=""/>
      <w:lvlJc w:val="left"/>
      <w:pPr>
        <w:ind w:left="2880" w:hanging="360"/>
      </w:pPr>
      <w:rPr>
        <w:rFonts w:ascii="Symbol" w:hAnsi="Symbol" w:hint="default"/>
      </w:rPr>
    </w:lvl>
    <w:lvl w:ilvl="4" w:tplc="6AE202B2" w:tentative="1">
      <w:start w:val="1"/>
      <w:numFmt w:val="bullet"/>
      <w:lvlText w:val="o"/>
      <w:lvlJc w:val="left"/>
      <w:pPr>
        <w:ind w:left="3600" w:hanging="360"/>
      </w:pPr>
      <w:rPr>
        <w:rFonts w:ascii="Courier New" w:hAnsi="Courier New" w:hint="default"/>
      </w:rPr>
    </w:lvl>
    <w:lvl w:ilvl="5" w:tplc="C240B0A6" w:tentative="1">
      <w:start w:val="1"/>
      <w:numFmt w:val="bullet"/>
      <w:lvlText w:val=""/>
      <w:lvlJc w:val="left"/>
      <w:pPr>
        <w:ind w:left="4320" w:hanging="360"/>
      </w:pPr>
      <w:rPr>
        <w:rFonts w:ascii="Wingdings" w:hAnsi="Wingdings" w:hint="default"/>
      </w:rPr>
    </w:lvl>
    <w:lvl w:ilvl="6" w:tplc="56767A90" w:tentative="1">
      <w:start w:val="1"/>
      <w:numFmt w:val="bullet"/>
      <w:lvlText w:val=""/>
      <w:lvlJc w:val="left"/>
      <w:pPr>
        <w:ind w:left="5040" w:hanging="360"/>
      </w:pPr>
      <w:rPr>
        <w:rFonts w:ascii="Symbol" w:hAnsi="Symbol" w:hint="default"/>
      </w:rPr>
    </w:lvl>
    <w:lvl w:ilvl="7" w:tplc="7234C6EE" w:tentative="1">
      <w:start w:val="1"/>
      <w:numFmt w:val="bullet"/>
      <w:lvlText w:val="o"/>
      <w:lvlJc w:val="left"/>
      <w:pPr>
        <w:ind w:left="5760" w:hanging="360"/>
      </w:pPr>
      <w:rPr>
        <w:rFonts w:ascii="Courier New" w:hAnsi="Courier New" w:hint="default"/>
      </w:rPr>
    </w:lvl>
    <w:lvl w:ilvl="8" w:tplc="12D8536C" w:tentative="1">
      <w:start w:val="1"/>
      <w:numFmt w:val="bullet"/>
      <w:lvlText w:val=""/>
      <w:lvlJc w:val="left"/>
      <w:pPr>
        <w:ind w:left="6480" w:hanging="360"/>
      </w:pPr>
      <w:rPr>
        <w:rFonts w:ascii="Wingdings" w:hAnsi="Wingdings" w:hint="default"/>
      </w:rPr>
    </w:lvl>
  </w:abstractNum>
  <w:abstractNum w:abstractNumId="40" w15:restartNumberingAfterBreak="0">
    <w:nsid w:val="61B17C36"/>
    <w:multiLevelType w:val="hybridMultilevel"/>
    <w:tmpl w:val="0B3A229A"/>
    <w:lvl w:ilvl="0" w:tplc="C5862802">
      <w:start w:val="1"/>
      <w:numFmt w:val="bullet"/>
      <w:lvlText w:val=""/>
      <w:lvlJc w:val="left"/>
      <w:pPr>
        <w:ind w:left="720" w:hanging="360"/>
      </w:pPr>
      <w:rPr>
        <w:rFonts w:ascii="Symbol" w:hAnsi="Symbol" w:hint="default"/>
      </w:rPr>
    </w:lvl>
    <w:lvl w:ilvl="1" w:tplc="521A269E" w:tentative="1">
      <w:start w:val="1"/>
      <w:numFmt w:val="bullet"/>
      <w:lvlText w:val="o"/>
      <w:lvlJc w:val="left"/>
      <w:pPr>
        <w:ind w:left="1440" w:hanging="360"/>
      </w:pPr>
      <w:rPr>
        <w:rFonts w:ascii="Courier New" w:hAnsi="Courier New" w:hint="default"/>
      </w:rPr>
    </w:lvl>
    <w:lvl w:ilvl="2" w:tplc="CFB4C1E0" w:tentative="1">
      <w:start w:val="1"/>
      <w:numFmt w:val="bullet"/>
      <w:lvlText w:val=""/>
      <w:lvlJc w:val="left"/>
      <w:pPr>
        <w:ind w:left="2160" w:hanging="360"/>
      </w:pPr>
      <w:rPr>
        <w:rFonts w:ascii="Wingdings" w:hAnsi="Wingdings" w:hint="default"/>
      </w:rPr>
    </w:lvl>
    <w:lvl w:ilvl="3" w:tplc="32AA2A92" w:tentative="1">
      <w:start w:val="1"/>
      <w:numFmt w:val="bullet"/>
      <w:lvlText w:val=""/>
      <w:lvlJc w:val="left"/>
      <w:pPr>
        <w:ind w:left="2880" w:hanging="360"/>
      </w:pPr>
      <w:rPr>
        <w:rFonts w:ascii="Symbol" w:hAnsi="Symbol" w:hint="default"/>
      </w:rPr>
    </w:lvl>
    <w:lvl w:ilvl="4" w:tplc="A89E46F8" w:tentative="1">
      <w:start w:val="1"/>
      <w:numFmt w:val="bullet"/>
      <w:lvlText w:val="o"/>
      <w:lvlJc w:val="left"/>
      <w:pPr>
        <w:ind w:left="3600" w:hanging="360"/>
      </w:pPr>
      <w:rPr>
        <w:rFonts w:ascii="Courier New" w:hAnsi="Courier New" w:hint="default"/>
      </w:rPr>
    </w:lvl>
    <w:lvl w:ilvl="5" w:tplc="081A3BB4" w:tentative="1">
      <w:start w:val="1"/>
      <w:numFmt w:val="bullet"/>
      <w:lvlText w:val=""/>
      <w:lvlJc w:val="left"/>
      <w:pPr>
        <w:ind w:left="4320" w:hanging="360"/>
      </w:pPr>
      <w:rPr>
        <w:rFonts w:ascii="Wingdings" w:hAnsi="Wingdings" w:hint="default"/>
      </w:rPr>
    </w:lvl>
    <w:lvl w:ilvl="6" w:tplc="D9BC8056" w:tentative="1">
      <w:start w:val="1"/>
      <w:numFmt w:val="bullet"/>
      <w:lvlText w:val=""/>
      <w:lvlJc w:val="left"/>
      <w:pPr>
        <w:ind w:left="5040" w:hanging="360"/>
      </w:pPr>
      <w:rPr>
        <w:rFonts w:ascii="Symbol" w:hAnsi="Symbol" w:hint="default"/>
      </w:rPr>
    </w:lvl>
    <w:lvl w:ilvl="7" w:tplc="E604ED10" w:tentative="1">
      <w:start w:val="1"/>
      <w:numFmt w:val="bullet"/>
      <w:lvlText w:val="o"/>
      <w:lvlJc w:val="left"/>
      <w:pPr>
        <w:ind w:left="5760" w:hanging="360"/>
      </w:pPr>
      <w:rPr>
        <w:rFonts w:ascii="Courier New" w:hAnsi="Courier New" w:hint="default"/>
      </w:rPr>
    </w:lvl>
    <w:lvl w:ilvl="8" w:tplc="256ACEA0" w:tentative="1">
      <w:start w:val="1"/>
      <w:numFmt w:val="bullet"/>
      <w:lvlText w:val=""/>
      <w:lvlJc w:val="left"/>
      <w:pPr>
        <w:ind w:left="6480" w:hanging="360"/>
      </w:pPr>
      <w:rPr>
        <w:rFonts w:ascii="Wingdings" w:hAnsi="Wingdings" w:hint="default"/>
      </w:rPr>
    </w:lvl>
  </w:abstractNum>
  <w:abstractNum w:abstractNumId="41" w15:restartNumberingAfterBreak="0">
    <w:nsid w:val="65441E33"/>
    <w:multiLevelType w:val="hybridMultilevel"/>
    <w:tmpl w:val="691E242E"/>
    <w:lvl w:ilvl="0" w:tplc="3D5679C4">
      <w:start w:val="1"/>
      <w:numFmt w:val="bullet"/>
      <w:lvlText w:val=""/>
      <w:lvlJc w:val="left"/>
      <w:pPr>
        <w:ind w:left="720" w:hanging="360"/>
      </w:pPr>
      <w:rPr>
        <w:rFonts w:ascii="Symbol" w:hAnsi="Symbol" w:hint="default"/>
      </w:rPr>
    </w:lvl>
    <w:lvl w:ilvl="1" w:tplc="C5D89D72" w:tentative="1">
      <w:start w:val="1"/>
      <w:numFmt w:val="bullet"/>
      <w:lvlText w:val="o"/>
      <w:lvlJc w:val="left"/>
      <w:pPr>
        <w:ind w:left="1440" w:hanging="360"/>
      </w:pPr>
      <w:rPr>
        <w:rFonts w:ascii="Courier New" w:hAnsi="Courier New" w:hint="default"/>
      </w:rPr>
    </w:lvl>
    <w:lvl w:ilvl="2" w:tplc="B2F0291E" w:tentative="1">
      <w:start w:val="1"/>
      <w:numFmt w:val="bullet"/>
      <w:lvlText w:val=""/>
      <w:lvlJc w:val="left"/>
      <w:pPr>
        <w:ind w:left="2160" w:hanging="360"/>
      </w:pPr>
      <w:rPr>
        <w:rFonts w:ascii="Wingdings" w:hAnsi="Wingdings" w:hint="default"/>
      </w:rPr>
    </w:lvl>
    <w:lvl w:ilvl="3" w:tplc="AE88200E" w:tentative="1">
      <w:start w:val="1"/>
      <w:numFmt w:val="bullet"/>
      <w:lvlText w:val=""/>
      <w:lvlJc w:val="left"/>
      <w:pPr>
        <w:ind w:left="2880" w:hanging="360"/>
      </w:pPr>
      <w:rPr>
        <w:rFonts w:ascii="Symbol" w:hAnsi="Symbol" w:hint="default"/>
      </w:rPr>
    </w:lvl>
    <w:lvl w:ilvl="4" w:tplc="12E086AC" w:tentative="1">
      <w:start w:val="1"/>
      <w:numFmt w:val="bullet"/>
      <w:lvlText w:val="o"/>
      <w:lvlJc w:val="left"/>
      <w:pPr>
        <w:ind w:left="3600" w:hanging="360"/>
      </w:pPr>
      <w:rPr>
        <w:rFonts w:ascii="Courier New" w:hAnsi="Courier New" w:hint="default"/>
      </w:rPr>
    </w:lvl>
    <w:lvl w:ilvl="5" w:tplc="1968F940" w:tentative="1">
      <w:start w:val="1"/>
      <w:numFmt w:val="bullet"/>
      <w:lvlText w:val=""/>
      <w:lvlJc w:val="left"/>
      <w:pPr>
        <w:ind w:left="4320" w:hanging="360"/>
      </w:pPr>
      <w:rPr>
        <w:rFonts w:ascii="Wingdings" w:hAnsi="Wingdings" w:hint="default"/>
      </w:rPr>
    </w:lvl>
    <w:lvl w:ilvl="6" w:tplc="D7A43AFE" w:tentative="1">
      <w:start w:val="1"/>
      <w:numFmt w:val="bullet"/>
      <w:lvlText w:val=""/>
      <w:lvlJc w:val="left"/>
      <w:pPr>
        <w:ind w:left="5040" w:hanging="360"/>
      </w:pPr>
      <w:rPr>
        <w:rFonts w:ascii="Symbol" w:hAnsi="Symbol" w:hint="default"/>
      </w:rPr>
    </w:lvl>
    <w:lvl w:ilvl="7" w:tplc="7EDC3CFC" w:tentative="1">
      <w:start w:val="1"/>
      <w:numFmt w:val="bullet"/>
      <w:lvlText w:val="o"/>
      <w:lvlJc w:val="left"/>
      <w:pPr>
        <w:ind w:left="5760" w:hanging="360"/>
      </w:pPr>
      <w:rPr>
        <w:rFonts w:ascii="Courier New" w:hAnsi="Courier New" w:hint="default"/>
      </w:rPr>
    </w:lvl>
    <w:lvl w:ilvl="8" w:tplc="232230C4" w:tentative="1">
      <w:start w:val="1"/>
      <w:numFmt w:val="bullet"/>
      <w:lvlText w:val=""/>
      <w:lvlJc w:val="left"/>
      <w:pPr>
        <w:ind w:left="6480" w:hanging="360"/>
      </w:pPr>
      <w:rPr>
        <w:rFonts w:ascii="Wingdings" w:hAnsi="Wingdings" w:hint="default"/>
      </w:rPr>
    </w:lvl>
  </w:abstractNum>
  <w:abstractNum w:abstractNumId="42" w15:restartNumberingAfterBreak="0">
    <w:nsid w:val="66B917F7"/>
    <w:multiLevelType w:val="hybridMultilevel"/>
    <w:tmpl w:val="1BE6C90C"/>
    <w:lvl w:ilvl="0" w:tplc="7DEC3382">
      <w:start w:val="1"/>
      <w:numFmt w:val="bullet"/>
      <w:lvlText w:val=""/>
      <w:lvlJc w:val="left"/>
      <w:pPr>
        <w:ind w:left="720" w:hanging="360"/>
      </w:pPr>
      <w:rPr>
        <w:rFonts w:ascii="Symbol" w:hAnsi="Symbol" w:hint="default"/>
      </w:rPr>
    </w:lvl>
    <w:lvl w:ilvl="1" w:tplc="5C38397A" w:tentative="1">
      <w:start w:val="1"/>
      <w:numFmt w:val="bullet"/>
      <w:lvlText w:val="o"/>
      <w:lvlJc w:val="left"/>
      <w:pPr>
        <w:ind w:left="1440" w:hanging="360"/>
      </w:pPr>
      <w:rPr>
        <w:rFonts w:ascii="Courier New" w:hAnsi="Courier New" w:hint="default"/>
      </w:rPr>
    </w:lvl>
    <w:lvl w:ilvl="2" w:tplc="6C5EE88E" w:tentative="1">
      <w:start w:val="1"/>
      <w:numFmt w:val="bullet"/>
      <w:lvlText w:val=""/>
      <w:lvlJc w:val="left"/>
      <w:pPr>
        <w:ind w:left="2160" w:hanging="360"/>
      </w:pPr>
      <w:rPr>
        <w:rFonts w:ascii="Wingdings" w:hAnsi="Wingdings" w:hint="default"/>
      </w:rPr>
    </w:lvl>
    <w:lvl w:ilvl="3" w:tplc="0C00BD32" w:tentative="1">
      <w:start w:val="1"/>
      <w:numFmt w:val="bullet"/>
      <w:lvlText w:val=""/>
      <w:lvlJc w:val="left"/>
      <w:pPr>
        <w:ind w:left="2880" w:hanging="360"/>
      </w:pPr>
      <w:rPr>
        <w:rFonts w:ascii="Symbol" w:hAnsi="Symbol" w:hint="default"/>
      </w:rPr>
    </w:lvl>
    <w:lvl w:ilvl="4" w:tplc="DE96D25E" w:tentative="1">
      <w:start w:val="1"/>
      <w:numFmt w:val="bullet"/>
      <w:lvlText w:val="o"/>
      <w:lvlJc w:val="left"/>
      <w:pPr>
        <w:ind w:left="3600" w:hanging="360"/>
      </w:pPr>
      <w:rPr>
        <w:rFonts w:ascii="Courier New" w:hAnsi="Courier New" w:hint="default"/>
      </w:rPr>
    </w:lvl>
    <w:lvl w:ilvl="5" w:tplc="0D64FDC6" w:tentative="1">
      <w:start w:val="1"/>
      <w:numFmt w:val="bullet"/>
      <w:lvlText w:val=""/>
      <w:lvlJc w:val="left"/>
      <w:pPr>
        <w:ind w:left="4320" w:hanging="360"/>
      </w:pPr>
      <w:rPr>
        <w:rFonts w:ascii="Wingdings" w:hAnsi="Wingdings" w:hint="default"/>
      </w:rPr>
    </w:lvl>
    <w:lvl w:ilvl="6" w:tplc="3FC26332" w:tentative="1">
      <w:start w:val="1"/>
      <w:numFmt w:val="bullet"/>
      <w:lvlText w:val=""/>
      <w:lvlJc w:val="left"/>
      <w:pPr>
        <w:ind w:left="5040" w:hanging="360"/>
      </w:pPr>
      <w:rPr>
        <w:rFonts w:ascii="Symbol" w:hAnsi="Symbol" w:hint="default"/>
      </w:rPr>
    </w:lvl>
    <w:lvl w:ilvl="7" w:tplc="E606F1A6" w:tentative="1">
      <w:start w:val="1"/>
      <w:numFmt w:val="bullet"/>
      <w:lvlText w:val="o"/>
      <w:lvlJc w:val="left"/>
      <w:pPr>
        <w:ind w:left="5760" w:hanging="360"/>
      </w:pPr>
      <w:rPr>
        <w:rFonts w:ascii="Courier New" w:hAnsi="Courier New" w:hint="default"/>
      </w:rPr>
    </w:lvl>
    <w:lvl w:ilvl="8" w:tplc="1076FD48" w:tentative="1">
      <w:start w:val="1"/>
      <w:numFmt w:val="bullet"/>
      <w:lvlText w:val=""/>
      <w:lvlJc w:val="left"/>
      <w:pPr>
        <w:ind w:left="6480" w:hanging="360"/>
      </w:pPr>
      <w:rPr>
        <w:rFonts w:ascii="Wingdings" w:hAnsi="Wingdings" w:hint="default"/>
      </w:rPr>
    </w:lvl>
  </w:abstractNum>
  <w:abstractNum w:abstractNumId="43" w15:restartNumberingAfterBreak="0">
    <w:nsid w:val="67394607"/>
    <w:multiLevelType w:val="hybridMultilevel"/>
    <w:tmpl w:val="610C9600"/>
    <w:lvl w:ilvl="0" w:tplc="FCAE411A">
      <w:start w:val="1"/>
      <w:numFmt w:val="bullet"/>
      <w:lvlText w:val=""/>
      <w:lvlJc w:val="left"/>
      <w:pPr>
        <w:ind w:left="720" w:hanging="360"/>
      </w:pPr>
      <w:rPr>
        <w:rFonts w:ascii="Symbol" w:hAnsi="Symbol" w:hint="default"/>
      </w:rPr>
    </w:lvl>
    <w:lvl w:ilvl="1" w:tplc="EF4825B0" w:tentative="1">
      <w:start w:val="1"/>
      <w:numFmt w:val="bullet"/>
      <w:lvlText w:val="o"/>
      <w:lvlJc w:val="left"/>
      <w:pPr>
        <w:ind w:left="1440" w:hanging="360"/>
      </w:pPr>
      <w:rPr>
        <w:rFonts w:ascii="Courier New" w:hAnsi="Courier New" w:hint="default"/>
      </w:rPr>
    </w:lvl>
    <w:lvl w:ilvl="2" w:tplc="1542F01C" w:tentative="1">
      <w:start w:val="1"/>
      <w:numFmt w:val="bullet"/>
      <w:lvlText w:val=""/>
      <w:lvlJc w:val="left"/>
      <w:pPr>
        <w:ind w:left="2160" w:hanging="360"/>
      </w:pPr>
      <w:rPr>
        <w:rFonts w:ascii="Wingdings" w:hAnsi="Wingdings" w:hint="default"/>
      </w:rPr>
    </w:lvl>
    <w:lvl w:ilvl="3" w:tplc="13A88FA4" w:tentative="1">
      <w:start w:val="1"/>
      <w:numFmt w:val="bullet"/>
      <w:lvlText w:val=""/>
      <w:lvlJc w:val="left"/>
      <w:pPr>
        <w:ind w:left="2880" w:hanging="360"/>
      </w:pPr>
      <w:rPr>
        <w:rFonts w:ascii="Symbol" w:hAnsi="Symbol" w:hint="default"/>
      </w:rPr>
    </w:lvl>
    <w:lvl w:ilvl="4" w:tplc="EEF6DA1E" w:tentative="1">
      <w:start w:val="1"/>
      <w:numFmt w:val="bullet"/>
      <w:lvlText w:val="o"/>
      <w:lvlJc w:val="left"/>
      <w:pPr>
        <w:ind w:left="3600" w:hanging="360"/>
      </w:pPr>
      <w:rPr>
        <w:rFonts w:ascii="Courier New" w:hAnsi="Courier New" w:hint="default"/>
      </w:rPr>
    </w:lvl>
    <w:lvl w:ilvl="5" w:tplc="66F0778A" w:tentative="1">
      <w:start w:val="1"/>
      <w:numFmt w:val="bullet"/>
      <w:lvlText w:val=""/>
      <w:lvlJc w:val="left"/>
      <w:pPr>
        <w:ind w:left="4320" w:hanging="360"/>
      </w:pPr>
      <w:rPr>
        <w:rFonts w:ascii="Wingdings" w:hAnsi="Wingdings" w:hint="default"/>
      </w:rPr>
    </w:lvl>
    <w:lvl w:ilvl="6" w:tplc="87729AFE" w:tentative="1">
      <w:start w:val="1"/>
      <w:numFmt w:val="bullet"/>
      <w:lvlText w:val=""/>
      <w:lvlJc w:val="left"/>
      <w:pPr>
        <w:ind w:left="5040" w:hanging="360"/>
      </w:pPr>
      <w:rPr>
        <w:rFonts w:ascii="Symbol" w:hAnsi="Symbol" w:hint="default"/>
      </w:rPr>
    </w:lvl>
    <w:lvl w:ilvl="7" w:tplc="90467968" w:tentative="1">
      <w:start w:val="1"/>
      <w:numFmt w:val="bullet"/>
      <w:lvlText w:val="o"/>
      <w:lvlJc w:val="left"/>
      <w:pPr>
        <w:ind w:left="5760" w:hanging="360"/>
      </w:pPr>
      <w:rPr>
        <w:rFonts w:ascii="Courier New" w:hAnsi="Courier New" w:hint="default"/>
      </w:rPr>
    </w:lvl>
    <w:lvl w:ilvl="8" w:tplc="F3BADB60" w:tentative="1">
      <w:start w:val="1"/>
      <w:numFmt w:val="bullet"/>
      <w:lvlText w:val=""/>
      <w:lvlJc w:val="left"/>
      <w:pPr>
        <w:ind w:left="6480" w:hanging="360"/>
      </w:pPr>
      <w:rPr>
        <w:rFonts w:ascii="Wingdings" w:hAnsi="Wingdings" w:hint="default"/>
      </w:rPr>
    </w:lvl>
  </w:abstractNum>
  <w:abstractNum w:abstractNumId="44" w15:restartNumberingAfterBreak="0">
    <w:nsid w:val="6956F0FE"/>
    <w:multiLevelType w:val="multilevel"/>
    <w:tmpl w:val="C4F0D6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97357D3"/>
    <w:multiLevelType w:val="multilevel"/>
    <w:tmpl w:val="4C5E2D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CBB1A79"/>
    <w:multiLevelType w:val="hybridMultilevel"/>
    <w:tmpl w:val="8D8A7596"/>
    <w:lvl w:ilvl="0" w:tplc="91B0A742">
      <w:start w:val="1"/>
      <w:numFmt w:val="bullet"/>
      <w:lvlText w:val=""/>
      <w:lvlJc w:val="left"/>
      <w:pPr>
        <w:ind w:left="720" w:hanging="360"/>
      </w:pPr>
      <w:rPr>
        <w:rFonts w:ascii="Symbol" w:hAnsi="Symbol" w:hint="default"/>
      </w:rPr>
    </w:lvl>
    <w:lvl w:ilvl="1" w:tplc="011CFA8C" w:tentative="1">
      <w:start w:val="1"/>
      <w:numFmt w:val="bullet"/>
      <w:lvlText w:val="o"/>
      <w:lvlJc w:val="left"/>
      <w:pPr>
        <w:ind w:left="1440" w:hanging="360"/>
      </w:pPr>
      <w:rPr>
        <w:rFonts w:ascii="Courier New" w:hAnsi="Courier New" w:hint="default"/>
      </w:rPr>
    </w:lvl>
    <w:lvl w:ilvl="2" w:tplc="4F04AFCE" w:tentative="1">
      <w:start w:val="1"/>
      <w:numFmt w:val="bullet"/>
      <w:lvlText w:val=""/>
      <w:lvlJc w:val="left"/>
      <w:pPr>
        <w:ind w:left="2160" w:hanging="360"/>
      </w:pPr>
      <w:rPr>
        <w:rFonts w:ascii="Wingdings" w:hAnsi="Wingdings" w:hint="default"/>
      </w:rPr>
    </w:lvl>
    <w:lvl w:ilvl="3" w:tplc="F0DA9822" w:tentative="1">
      <w:start w:val="1"/>
      <w:numFmt w:val="bullet"/>
      <w:lvlText w:val=""/>
      <w:lvlJc w:val="left"/>
      <w:pPr>
        <w:ind w:left="2880" w:hanging="360"/>
      </w:pPr>
      <w:rPr>
        <w:rFonts w:ascii="Symbol" w:hAnsi="Symbol" w:hint="default"/>
      </w:rPr>
    </w:lvl>
    <w:lvl w:ilvl="4" w:tplc="E59AC942" w:tentative="1">
      <w:start w:val="1"/>
      <w:numFmt w:val="bullet"/>
      <w:lvlText w:val="o"/>
      <w:lvlJc w:val="left"/>
      <w:pPr>
        <w:ind w:left="3600" w:hanging="360"/>
      </w:pPr>
      <w:rPr>
        <w:rFonts w:ascii="Courier New" w:hAnsi="Courier New" w:hint="default"/>
      </w:rPr>
    </w:lvl>
    <w:lvl w:ilvl="5" w:tplc="68749200" w:tentative="1">
      <w:start w:val="1"/>
      <w:numFmt w:val="bullet"/>
      <w:lvlText w:val=""/>
      <w:lvlJc w:val="left"/>
      <w:pPr>
        <w:ind w:left="4320" w:hanging="360"/>
      </w:pPr>
      <w:rPr>
        <w:rFonts w:ascii="Wingdings" w:hAnsi="Wingdings" w:hint="default"/>
      </w:rPr>
    </w:lvl>
    <w:lvl w:ilvl="6" w:tplc="AEFC9974" w:tentative="1">
      <w:start w:val="1"/>
      <w:numFmt w:val="bullet"/>
      <w:lvlText w:val=""/>
      <w:lvlJc w:val="left"/>
      <w:pPr>
        <w:ind w:left="5040" w:hanging="360"/>
      </w:pPr>
      <w:rPr>
        <w:rFonts w:ascii="Symbol" w:hAnsi="Symbol" w:hint="default"/>
      </w:rPr>
    </w:lvl>
    <w:lvl w:ilvl="7" w:tplc="9B08FA3E" w:tentative="1">
      <w:start w:val="1"/>
      <w:numFmt w:val="bullet"/>
      <w:lvlText w:val="o"/>
      <w:lvlJc w:val="left"/>
      <w:pPr>
        <w:ind w:left="5760" w:hanging="360"/>
      </w:pPr>
      <w:rPr>
        <w:rFonts w:ascii="Courier New" w:hAnsi="Courier New" w:hint="default"/>
      </w:rPr>
    </w:lvl>
    <w:lvl w:ilvl="8" w:tplc="D5DAA5D4" w:tentative="1">
      <w:start w:val="1"/>
      <w:numFmt w:val="bullet"/>
      <w:lvlText w:val=""/>
      <w:lvlJc w:val="left"/>
      <w:pPr>
        <w:ind w:left="6480" w:hanging="360"/>
      </w:pPr>
      <w:rPr>
        <w:rFonts w:ascii="Wingdings" w:hAnsi="Wingdings" w:hint="default"/>
      </w:rPr>
    </w:lvl>
  </w:abstractNum>
  <w:abstractNum w:abstractNumId="47" w15:restartNumberingAfterBreak="0">
    <w:nsid w:val="6EE51B32"/>
    <w:multiLevelType w:val="hybridMultilevel"/>
    <w:tmpl w:val="915C1D12"/>
    <w:lvl w:ilvl="0" w:tplc="0852999A">
      <w:start w:val="1"/>
      <w:numFmt w:val="decimal"/>
      <w:pStyle w:val="TBLNumberedList"/>
      <w:lvlText w:val="%1."/>
      <w:lvlJc w:val="left"/>
      <w:pPr>
        <w:ind w:left="720" w:hanging="360"/>
      </w:pPr>
    </w:lvl>
    <w:lvl w:ilvl="1" w:tplc="1A4C46EA" w:tentative="1">
      <w:start w:val="1"/>
      <w:numFmt w:val="lowerLetter"/>
      <w:lvlText w:val="%2."/>
      <w:lvlJc w:val="left"/>
      <w:pPr>
        <w:ind w:left="1440" w:hanging="360"/>
      </w:pPr>
    </w:lvl>
    <w:lvl w:ilvl="2" w:tplc="FE90662C" w:tentative="1">
      <w:start w:val="1"/>
      <w:numFmt w:val="lowerRoman"/>
      <w:lvlText w:val="%3."/>
      <w:lvlJc w:val="right"/>
      <w:pPr>
        <w:ind w:left="2160" w:hanging="180"/>
      </w:pPr>
    </w:lvl>
    <w:lvl w:ilvl="3" w:tplc="3C086B08" w:tentative="1">
      <w:start w:val="1"/>
      <w:numFmt w:val="decimal"/>
      <w:lvlText w:val="%4."/>
      <w:lvlJc w:val="left"/>
      <w:pPr>
        <w:ind w:left="2880" w:hanging="360"/>
      </w:pPr>
    </w:lvl>
    <w:lvl w:ilvl="4" w:tplc="6A7476B4" w:tentative="1">
      <w:start w:val="1"/>
      <w:numFmt w:val="lowerLetter"/>
      <w:lvlText w:val="%5."/>
      <w:lvlJc w:val="left"/>
      <w:pPr>
        <w:ind w:left="3600" w:hanging="360"/>
      </w:pPr>
    </w:lvl>
    <w:lvl w:ilvl="5" w:tplc="768E7FBA" w:tentative="1">
      <w:start w:val="1"/>
      <w:numFmt w:val="lowerRoman"/>
      <w:lvlText w:val="%6."/>
      <w:lvlJc w:val="right"/>
      <w:pPr>
        <w:ind w:left="4320" w:hanging="180"/>
      </w:pPr>
    </w:lvl>
    <w:lvl w:ilvl="6" w:tplc="8E5E1F22" w:tentative="1">
      <w:start w:val="1"/>
      <w:numFmt w:val="decimal"/>
      <w:lvlText w:val="%7."/>
      <w:lvlJc w:val="left"/>
      <w:pPr>
        <w:ind w:left="5040" w:hanging="360"/>
      </w:pPr>
    </w:lvl>
    <w:lvl w:ilvl="7" w:tplc="E20C68AA" w:tentative="1">
      <w:start w:val="1"/>
      <w:numFmt w:val="lowerLetter"/>
      <w:lvlText w:val="%8."/>
      <w:lvlJc w:val="left"/>
      <w:pPr>
        <w:ind w:left="5760" w:hanging="360"/>
      </w:pPr>
    </w:lvl>
    <w:lvl w:ilvl="8" w:tplc="A0961A8A" w:tentative="1">
      <w:start w:val="1"/>
      <w:numFmt w:val="lowerRoman"/>
      <w:lvlText w:val="%9."/>
      <w:lvlJc w:val="right"/>
      <w:pPr>
        <w:ind w:left="6480" w:hanging="180"/>
      </w:pPr>
    </w:lvl>
  </w:abstractNum>
  <w:abstractNum w:abstractNumId="48" w15:restartNumberingAfterBreak="0">
    <w:nsid w:val="77751CA9"/>
    <w:multiLevelType w:val="hybridMultilevel"/>
    <w:tmpl w:val="5A0CDED6"/>
    <w:lvl w:ilvl="0" w:tplc="1AD82704">
      <w:start w:val="1"/>
      <w:numFmt w:val="bullet"/>
      <w:lvlText w:val=""/>
      <w:lvlJc w:val="left"/>
      <w:pPr>
        <w:ind w:left="720" w:hanging="360"/>
      </w:pPr>
      <w:rPr>
        <w:rFonts w:ascii="Symbol" w:hAnsi="Symbol" w:hint="default"/>
      </w:rPr>
    </w:lvl>
    <w:lvl w:ilvl="1" w:tplc="4B68268A" w:tentative="1">
      <w:start w:val="1"/>
      <w:numFmt w:val="bullet"/>
      <w:lvlText w:val="o"/>
      <w:lvlJc w:val="left"/>
      <w:pPr>
        <w:ind w:left="1440" w:hanging="360"/>
      </w:pPr>
      <w:rPr>
        <w:rFonts w:ascii="Courier New" w:hAnsi="Courier New" w:hint="default"/>
      </w:rPr>
    </w:lvl>
    <w:lvl w:ilvl="2" w:tplc="D214DF1A" w:tentative="1">
      <w:start w:val="1"/>
      <w:numFmt w:val="bullet"/>
      <w:lvlText w:val=""/>
      <w:lvlJc w:val="left"/>
      <w:pPr>
        <w:ind w:left="2160" w:hanging="360"/>
      </w:pPr>
      <w:rPr>
        <w:rFonts w:ascii="Wingdings" w:hAnsi="Wingdings" w:hint="default"/>
      </w:rPr>
    </w:lvl>
    <w:lvl w:ilvl="3" w:tplc="A8CE7F36" w:tentative="1">
      <w:start w:val="1"/>
      <w:numFmt w:val="bullet"/>
      <w:lvlText w:val=""/>
      <w:lvlJc w:val="left"/>
      <w:pPr>
        <w:ind w:left="2880" w:hanging="360"/>
      </w:pPr>
      <w:rPr>
        <w:rFonts w:ascii="Symbol" w:hAnsi="Symbol" w:hint="default"/>
      </w:rPr>
    </w:lvl>
    <w:lvl w:ilvl="4" w:tplc="A770E9FA" w:tentative="1">
      <w:start w:val="1"/>
      <w:numFmt w:val="bullet"/>
      <w:lvlText w:val="o"/>
      <w:lvlJc w:val="left"/>
      <w:pPr>
        <w:ind w:left="3600" w:hanging="360"/>
      </w:pPr>
      <w:rPr>
        <w:rFonts w:ascii="Courier New" w:hAnsi="Courier New" w:hint="default"/>
      </w:rPr>
    </w:lvl>
    <w:lvl w:ilvl="5" w:tplc="D23CED0A" w:tentative="1">
      <w:start w:val="1"/>
      <w:numFmt w:val="bullet"/>
      <w:lvlText w:val=""/>
      <w:lvlJc w:val="left"/>
      <w:pPr>
        <w:ind w:left="4320" w:hanging="360"/>
      </w:pPr>
      <w:rPr>
        <w:rFonts w:ascii="Wingdings" w:hAnsi="Wingdings" w:hint="default"/>
      </w:rPr>
    </w:lvl>
    <w:lvl w:ilvl="6" w:tplc="4120EDC0" w:tentative="1">
      <w:start w:val="1"/>
      <w:numFmt w:val="bullet"/>
      <w:lvlText w:val=""/>
      <w:lvlJc w:val="left"/>
      <w:pPr>
        <w:ind w:left="5040" w:hanging="360"/>
      </w:pPr>
      <w:rPr>
        <w:rFonts w:ascii="Symbol" w:hAnsi="Symbol" w:hint="default"/>
      </w:rPr>
    </w:lvl>
    <w:lvl w:ilvl="7" w:tplc="831C5A8E" w:tentative="1">
      <w:start w:val="1"/>
      <w:numFmt w:val="bullet"/>
      <w:lvlText w:val="o"/>
      <w:lvlJc w:val="left"/>
      <w:pPr>
        <w:ind w:left="5760" w:hanging="360"/>
      </w:pPr>
      <w:rPr>
        <w:rFonts w:ascii="Courier New" w:hAnsi="Courier New" w:hint="default"/>
      </w:rPr>
    </w:lvl>
    <w:lvl w:ilvl="8" w:tplc="666481DC" w:tentative="1">
      <w:start w:val="1"/>
      <w:numFmt w:val="bullet"/>
      <w:lvlText w:val=""/>
      <w:lvlJc w:val="left"/>
      <w:pPr>
        <w:ind w:left="6480" w:hanging="360"/>
      </w:pPr>
      <w:rPr>
        <w:rFonts w:ascii="Wingdings" w:hAnsi="Wingdings" w:hint="default"/>
      </w:rPr>
    </w:lvl>
  </w:abstractNum>
  <w:abstractNum w:abstractNumId="49" w15:restartNumberingAfterBreak="0">
    <w:nsid w:val="781170D5"/>
    <w:multiLevelType w:val="hybridMultilevel"/>
    <w:tmpl w:val="3622095C"/>
    <w:lvl w:ilvl="0" w:tplc="F4805930">
      <w:start w:val="1"/>
      <w:numFmt w:val="decimal"/>
      <w:pStyle w:val="NumberedList-Level1"/>
      <w:lvlText w:val="%1."/>
      <w:lvlJc w:val="left"/>
      <w:pPr>
        <w:ind w:left="567" w:hanging="283"/>
      </w:pPr>
    </w:lvl>
    <w:lvl w:ilvl="1" w:tplc="154AFF3C">
      <w:start w:val="1"/>
      <w:numFmt w:val="lowerLetter"/>
      <w:pStyle w:val="NumberedList-level2"/>
      <w:lvlText w:val="%2."/>
      <w:lvlJc w:val="left"/>
      <w:pPr>
        <w:ind w:left="851" w:hanging="284"/>
      </w:pPr>
    </w:lvl>
    <w:lvl w:ilvl="2" w:tplc="56DA7496">
      <w:start w:val="1"/>
      <w:numFmt w:val="lowerRoman"/>
      <w:pStyle w:val="NumberedList-Level3"/>
      <w:lvlText w:val="%3."/>
      <w:lvlJc w:val="right"/>
      <w:pPr>
        <w:ind w:left="1134" w:hanging="170"/>
      </w:pPr>
    </w:lvl>
    <w:lvl w:ilvl="3" w:tplc="1548C510">
      <w:start w:val="1"/>
      <w:numFmt w:val="decimal"/>
      <w:lvlText w:val="%4."/>
      <w:lvlJc w:val="left"/>
      <w:pPr>
        <w:ind w:left="2880" w:hanging="360"/>
      </w:pPr>
    </w:lvl>
    <w:lvl w:ilvl="4" w:tplc="884A0720" w:tentative="1">
      <w:start w:val="1"/>
      <w:numFmt w:val="lowerLetter"/>
      <w:lvlText w:val="%5."/>
      <w:lvlJc w:val="left"/>
      <w:pPr>
        <w:ind w:left="3600" w:hanging="360"/>
      </w:pPr>
    </w:lvl>
    <w:lvl w:ilvl="5" w:tplc="D1AC5898" w:tentative="1">
      <w:start w:val="1"/>
      <w:numFmt w:val="lowerRoman"/>
      <w:lvlText w:val="%6."/>
      <w:lvlJc w:val="right"/>
      <w:pPr>
        <w:ind w:left="4320" w:hanging="180"/>
      </w:pPr>
    </w:lvl>
    <w:lvl w:ilvl="6" w:tplc="5B80B864" w:tentative="1">
      <w:start w:val="1"/>
      <w:numFmt w:val="decimal"/>
      <w:lvlText w:val="%7."/>
      <w:lvlJc w:val="left"/>
      <w:pPr>
        <w:ind w:left="5040" w:hanging="360"/>
      </w:pPr>
    </w:lvl>
    <w:lvl w:ilvl="7" w:tplc="88D28052" w:tentative="1">
      <w:start w:val="1"/>
      <w:numFmt w:val="lowerLetter"/>
      <w:lvlText w:val="%8."/>
      <w:lvlJc w:val="left"/>
      <w:pPr>
        <w:ind w:left="5760" w:hanging="360"/>
      </w:pPr>
    </w:lvl>
    <w:lvl w:ilvl="8" w:tplc="35CC2656" w:tentative="1">
      <w:start w:val="1"/>
      <w:numFmt w:val="lowerRoman"/>
      <w:lvlText w:val="%9."/>
      <w:lvlJc w:val="right"/>
      <w:pPr>
        <w:ind w:left="6480" w:hanging="180"/>
      </w:pPr>
    </w:lvl>
  </w:abstractNum>
  <w:abstractNum w:abstractNumId="50" w15:restartNumberingAfterBreak="0">
    <w:nsid w:val="78AF138E"/>
    <w:multiLevelType w:val="hybridMultilevel"/>
    <w:tmpl w:val="C5109DF8"/>
    <w:lvl w:ilvl="0" w:tplc="F056CC8E">
      <w:start w:val="1"/>
      <w:numFmt w:val="bullet"/>
      <w:lvlText w:val=""/>
      <w:lvlJc w:val="left"/>
      <w:pPr>
        <w:ind w:left="720" w:hanging="360"/>
      </w:pPr>
      <w:rPr>
        <w:rFonts w:ascii="Symbol" w:hAnsi="Symbol" w:hint="default"/>
      </w:rPr>
    </w:lvl>
    <w:lvl w:ilvl="1" w:tplc="209A0F64">
      <w:start w:val="1"/>
      <w:numFmt w:val="bullet"/>
      <w:lvlText w:val="o"/>
      <w:lvlJc w:val="left"/>
      <w:pPr>
        <w:ind w:left="1440" w:hanging="360"/>
      </w:pPr>
      <w:rPr>
        <w:rFonts w:ascii="Courier New" w:hAnsi="Courier New" w:hint="default"/>
      </w:rPr>
    </w:lvl>
    <w:lvl w:ilvl="2" w:tplc="F6B658EE" w:tentative="1">
      <w:start w:val="1"/>
      <w:numFmt w:val="bullet"/>
      <w:lvlText w:val=""/>
      <w:lvlJc w:val="left"/>
      <w:pPr>
        <w:ind w:left="2160" w:hanging="360"/>
      </w:pPr>
      <w:rPr>
        <w:rFonts w:ascii="Wingdings" w:hAnsi="Wingdings" w:hint="default"/>
      </w:rPr>
    </w:lvl>
    <w:lvl w:ilvl="3" w:tplc="12A6B496" w:tentative="1">
      <w:start w:val="1"/>
      <w:numFmt w:val="bullet"/>
      <w:lvlText w:val=""/>
      <w:lvlJc w:val="left"/>
      <w:pPr>
        <w:ind w:left="2880" w:hanging="360"/>
      </w:pPr>
      <w:rPr>
        <w:rFonts w:ascii="Symbol" w:hAnsi="Symbol" w:hint="default"/>
      </w:rPr>
    </w:lvl>
    <w:lvl w:ilvl="4" w:tplc="7EBEA376" w:tentative="1">
      <w:start w:val="1"/>
      <w:numFmt w:val="bullet"/>
      <w:lvlText w:val="o"/>
      <w:lvlJc w:val="left"/>
      <w:pPr>
        <w:ind w:left="3600" w:hanging="360"/>
      </w:pPr>
      <w:rPr>
        <w:rFonts w:ascii="Courier New" w:hAnsi="Courier New" w:hint="default"/>
      </w:rPr>
    </w:lvl>
    <w:lvl w:ilvl="5" w:tplc="79B80AB6" w:tentative="1">
      <w:start w:val="1"/>
      <w:numFmt w:val="bullet"/>
      <w:lvlText w:val=""/>
      <w:lvlJc w:val="left"/>
      <w:pPr>
        <w:ind w:left="4320" w:hanging="360"/>
      </w:pPr>
      <w:rPr>
        <w:rFonts w:ascii="Wingdings" w:hAnsi="Wingdings" w:hint="default"/>
      </w:rPr>
    </w:lvl>
    <w:lvl w:ilvl="6" w:tplc="4024F5A0" w:tentative="1">
      <w:start w:val="1"/>
      <w:numFmt w:val="bullet"/>
      <w:lvlText w:val=""/>
      <w:lvlJc w:val="left"/>
      <w:pPr>
        <w:ind w:left="5040" w:hanging="360"/>
      </w:pPr>
      <w:rPr>
        <w:rFonts w:ascii="Symbol" w:hAnsi="Symbol" w:hint="default"/>
      </w:rPr>
    </w:lvl>
    <w:lvl w:ilvl="7" w:tplc="7DA6E12C" w:tentative="1">
      <w:start w:val="1"/>
      <w:numFmt w:val="bullet"/>
      <w:lvlText w:val="o"/>
      <w:lvlJc w:val="left"/>
      <w:pPr>
        <w:ind w:left="5760" w:hanging="360"/>
      </w:pPr>
      <w:rPr>
        <w:rFonts w:ascii="Courier New" w:hAnsi="Courier New" w:hint="default"/>
      </w:rPr>
    </w:lvl>
    <w:lvl w:ilvl="8" w:tplc="0F9EA536" w:tentative="1">
      <w:start w:val="1"/>
      <w:numFmt w:val="bullet"/>
      <w:lvlText w:val=""/>
      <w:lvlJc w:val="left"/>
      <w:pPr>
        <w:ind w:left="6480" w:hanging="360"/>
      </w:pPr>
      <w:rPr>
        <w:rFonts w:ascii="Wingdings" w:hAnsi="Wingdings" w:hint="default"/>
      </w:rPr>
    </w:lvl>
  </w:abstractNum>
  <w:abstractNum w:abstractNumId="51" w15:restartNumberingAfterBreak="0">
    <w:nsid w:val="7B287442"/>
    <w:multiLevelType w:val="multilevel"/>
    <w:tmpl w:val="B2A63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833236"/>
    <w:multiLevelType w:val="hybridMultilevel"/>
    <w:tmpl w:val="E76CD632"/>
    <w:lvl w:ilvl="0" w:tplc="FAD0BAD4">
      <w:start w:val="1"/>
      <w:numFmt w:val="bullet"/>
      <w:lvlText w:val=""/>
      <w:lvlJc w:val="left"/>
      <w:pPr>
        <w:ind w:left="720" w:hanging="360"/>
      </w:pPr>
      <w:rPr>
        <w:rFonts w:ascii="Symbol" w:hAnsi="Symbol" w:hint="default"/>
      </w:rPr>
    </w:lvl>
    <w:lvl w:ilvl="1" w:tplc="E9E0EF68" w:tentative="1">
      <w:start w:val="1"/>
      <w:numFmt w:val="bullet"/>
      <w:lvlText w:val="o"/>
      <w:lvlJc w:val="left"/>
      <w:pPr>
        <w:ind w:left="1440" w:hanging="360"/>
      </w:pPr>
      <w:rPr>
        <w:rFonts w:ascii="Courier New" w:hAnsi="Courier New" w:hint="default"/>
      </w:rPr>
    </w:lvl>
    <w:lvl w:ilvl="2" w:tplc="0C36C288" w:tentative="1">
      <w:start w:val="1"/>
      <w:numFmt w:val="bullet"/>
      <w:lvlText w:val=""/>
      <w:lvlJc w:val="left"/>
      <w:pPr>
        <w:ind w:left="2160" w:hanging="360"/>
      </w:pPr>
      <w:rPr>
        <w:rFonts w:ascii="Wingdings" w:hAnsi="Wingdings" w:hint="default"/>
      </w:rPr>
    </w:lvl>
    <w:lvl w:ilvl="3" w:tplc="82C659B0" w:tentative="1">
      <w:start w:val="1"/>
      <w:numFmt w:val="bullet"/>
      <w:lvlText w:val=""/>
      <w:lvlJc w:val="left"/>
      <w:pPr>
        <w:ind w:left="2880" w:hanging="360"/>
      </w:pPr>
      <w:rPr>
        <w:rFonts w:ascii="Symbol" w:hAnsi="Symbol" w:hint="default"/>
      </w:rPr>
    </w:lvl>
    <w:lvl w:ilvl="4" w:tplc="2DD6DE9A" w:tentative="1">
      <w:start w:val="1"/>
      <w:numFmt w:val="bullet"/>
      <w:lvlText w:val="o"/>
      <w:lvlJc w:val="left"/>
      <w:pPr>
        <w:ind w:left="3600" w:hanging="360"/>
      </w:pPr>
      <w:rPr>
        <w:rFonts w:ascii="Courier New" w:hAnsi="Courier New" w:hint="default"/>
      </w:rPr>
    </w:lvl>
    <w:lvl w:ilvl="5" w:tplc="7D165A1A" w:tentative="1">
      <w:start w:val="1"/>
      <w:numFmt w:val="bullet"/>
      <w:lvlText w:val=""/>
      <w:lvlJc w:val="left"/>
      <w:pPr>
        <w:ind w:left="4320" w:hanging="360"/>
      </w:pPr>
      <w:rPr>
        <w:rFonts w:ascii="Wingdings" w:hAnsi="Wingdings" w:hint="default"/>
      </w:rPr>
    </w:lvl>
    <w:lvl w:ilvl="6" w:tplc="34F0672C" w:tentative="1">
      <w:start w:val="1"/>
      <w:numFmt w:val="bullet"/>
      <w:lvlText w:val=""/>
      <w:lvlJc w:val="left"/>
      <w:pPr>
        <w:ind w:left="5040" w:hanging="360"/>
      </w:pPr>
      <w:rPr>
        <w:rFonts w:ascii="Symbol" w:hAnsi="Symbol" w:hint="default"/>
      </w:rPr>
    </w:lvl>
    <w:lvl w:ilvl="7" w:tplc="848ED54E" w:tentative="1">
      <w:start w:val="1"/>
      <w:numFmt w:val="bullet"/>
      <w:lvlText w:val="o"/>
      <w:lvlJc w:val="left"/>
      <w:pPr>
        <w:ind w:left="5760" w:hanging="360"/>
      </w:pPr>
      <w:rPr>
        <w:rFonts w:ascii="Courier New" w:hAnsi="Courier New" w:hint="default"/>
      </w:rPr>
    </w:lvl>
    <w:lvl w:ilvl="8" w:tplc="9E48D8C8"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5"/>
  </w:num>
  <w:num w:numId="4">
    <w:abstractNumId w:val="45"/>
  </w:num>
  <w:num w:numId="5">
    <w:abstractNumId w:val="12"/>
  </w:num>
  <w:num w:numId="6">
    <w:abstractNumId w:val="23"/>
  </w:num>
  <w:num w:numId="7">
    <w:abstractNumId w:val="30"/>
  </w:num>
  <w:num w:numId="8">
    <w:abstractNumId w:val="31"/>
  </w:num>
  <w:num w:numId="9">
    <w:abstractNumId w:val="1"/>
  </w:num>
  <w:num w:numId="10">
    <w:abstractNumId w:val="36"/>
  </w:num>
  <w:num w:numId="11">
    <w:abstractNumId w:val="44"/>
  </w:num>
  <w:num w:numId="12">
    <w:abstractNumId w:val="8"/>
  </w:num>
  <w:num w:numId="13">
    <w:abstractNumId w:val="7"/>
  </w:num>
  <w:num w:numId="14">
    <w:abstractNumId w:val="47"/>
  </w:num>
  <w:num w:numId="15">
    <w:abstractNumId w:val="21"/>
  </w:num>
  <w:num w:numId="16">
    <w:abstractNumId w:val="49"/>
  </w:num>
  <w:num w:numId="17">
    <w:abstractNumId w:val="29"/>
  </w:num>
  <w:num w:numId="18">
    <w:abstractNumId w:val="11"/>
  </w:num>
  <w:num w:numId="19">
    <w:abstractNumId w:val="17"/>
  </w:num>
  <w:num w:numId="20">
    <w:abstractNumId w:val="10"/>
  </w:num>
  <w:num w:numId="21">
    <w:abstractNumId w:val="13"/>
  </w:num>
  <w:num w:numId="22">
    <w:abstractNumId w:val="6"/>
  </w:num>
  <w:num w:numId="23">
    <w:abstractNumId w:val="15"/>
  </w:num>
  <w:num w:numId="24">
    <w:abstractNumId w:val="40"/>
  </w:num>
  <w:num w:numId="25">
    <w:abstractNumId w:val="39"/>
  </w:num>
  <w:num w:numId="26">
    <w:abstractNumId w:val="46"/>
  </w:num>
  <w:num w:numId="27">
    <w:abstractNumId w:val="35"/>
  </w:num>
  <w:num w:numId="28">
    <w:abstractNumId w:val="43"/>
  </w:num>
  <w:num w:numId="29">
    <w:abstractNumId w:val="48"/>
  </w:num>
  <w:num w:numId="30">
    <w:abstractNumId w:val="52"/>
  </w:num>
  <w:num w:numId="31">
    <w:abstractNumId w:val="9"/>
  </w:num>
  <w:num w:numId="32">
    <w:abstractNumId w:val="0"/>
  </w:num>
  <w:num w:numId="33">
    <w:abstractNumId w:val="25"/>
  </w:num>
  <w:num w:numId="34">
    <w:abstractNumId w:val="41"/>
  </w:num>
  <w:num w:numId="35">
    <w:abstractNumId w:val="38"/>
  </w:num>
  <w:num w:numId="36">
    <w:abstractNumId w:val="18"/>
  </w:num>
  <w:num w:numId="37">
    <w:abstractNumId w:val="33"/>
  </w:num>
  <w:num w:numId="38">
    <w:abstractNumId w:val="20"/>
  </w:num>
  <w:num w:numId="39">
    <w:abstractNumId w:val="26"/>
  </w:num>
  <w:num w:numId="40">
    <w:abstractNumId w:val="42"/>
  </w:num>
  <w:num w:numId="41">
    <w:abstractNumId w:val="2"/>
  </w:num>
  <w:num w:numId="42">
    <w:abstractNumId w:val="50"/>
  </w:num>
  <w:num w:numId="43">
    <w:abstractNumId w:val="24"/>
  </w:num>
  <w:num w:numId="44">
    <w:abstractNumId w:val="22"/>
  </w:num>
  <w:num w:numId="45">
    <w:abstractNumId w:val="16"/>
  </w:num>
  <w:num w:numId="46">
    <w:abstractNumId w:val="37"/>
  </w:num>
  <w:num w:numId="47">
    <w:abstractNumId w:val="14"/>
  </w:num>
  <w:num w:numId="48">
    <w:abstractNumId w:val="51"/>
  </w:num>
  <w:num w:numId="49">
    <w:abstractNumId w:val="4"/>
  </w:num>
  <w:num w:numId="50">
    <w:abstractNumId w:val="27"/>
  </w:num>
  <w:num w:numId="51">
    <w:abstractNumId w:val="3"/>
  </w:num>
  <w:num w:numId="52">
    <w:abstractNumId w:val="19"/>
  </w:num>
  <w:num w:numId="53">
    <w:abstractNumId w:val="3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BC7"/>
    <w:rsid w:val="000002D2"/>
    <w:rsid w:val="0000608E"/>
    <w:rsid w:val="00007E51"/>
    <w:rsid w:val="0001094F"/>
    <w:rsid w:val="00010BE0"/>
    <w:rsid w:val="00011313"/>
    <w:rsid w:val="00013C3B"/>
    <w:rsid w:val="00015906"/>
    <w:rsid w:val="00016A64"/>
    <w:rsid w:val="000244FE"/>
    <w:rsid w:val="00025B5D"/>
    <w:rsid w:val="00027038"/>
    <w:rsid w:val="000302B4"/>
    <w:rsid w:val="0003154E"/>
    <w:rsid w:val="00031D61"/>
    <w:rsid w:val="00032075"/>
    <w:rsid w:val="00037513"/>
    <w:rsid w:val="000376AA"/>
    <w:rsid w:val="00037BD4"/>
    <w:rsid w:val="00041CA3"/>
    <w:rsid w:val="0004363D"/>
    <w:rsid w:val="00046499"/>
    <w:rsid w:val="000551F4"/>
    <w:rsid w:val="00057A02"/>
    <w:rsid w:val="00061B0B"/>
    <w:rsid w:val="00062946"/>
    <w:rsid w:val="00062F2E"/>
    <w:rsid w:val="000637DB"/>
    <w:rsid w:val="00064EF1"/>
    <w:rsid w:val="000657C5"/>
    <w:rsid w:val="000658E2"/>
    <w:rsid w:val="0006627F"/>
    <w:rsid w:val="000703D0"/>
    <w:rsid w:val="00071B99"/>
    <w:rsid w:val="00072600"/>
    <w:rsid w:val="00076E69"/>
    <w:rsid w:val="00080DF6"/>
    <w:rsid w:val="0008739B"/>
    <w:rsid w:val="000873CB"/>
    <w:rsid w:val="00090846"/>
    <w:rsid w:val="00090C29"/>
    <w:rsid w:val="000920F3"/>
    <w:rsid w:val="00096142"/>
    <w:rsid w:val="000969FE"/>
    <w:rsid w:val="00097792"/>
    <w:rsid w:val="000A1D5E"/>
    <w:rsid w:val="000A3B94"/>
    <w:rsid w:val="000A51FC"/>
    <w:rsid w:val="000A5596"/>
    <w:rsid w:val="000A59C1"/>
    <w:rsid w:val="000B240E"/>
    <w:rsid w:val="000B3417"/>
    <w:rsid w:val="000B5AB5"/>
    <w:rsid w:val="000B693B"/>
    <w:rsid w:val="000C118B"/>
    <w:rsid w:val="000C1B92"/>
    <w:rsid w:val="000C1C47"/>
    <w:rsid w:val="000C2F96"/>
    <w:rsid w:val="000C49A1"/>
    <w:rsid w:val="000C6F6D"/>
    <w:rsid w:val="000C741C"/>
    <w:rsid w:val="000D1A93"/>
    <w:rsid w:val="000D35B6"/>
    <w:rsid w:val="000D749D"/>
    <w:rsid w:val="000D78F2"/>
    <w:rsid w:val="000D7D70"/>
    <w:rsid w:val="000E0486"/>
    <w:rsid w:val="000E1694"/>
    <w:rsid w:val="000E1791"/>
    <w:rsid w:val="000E2E78"/>
    <w:rsid w:val="000E5D37"/>
    <w:rsid w:val="000E7CE5"/>
    <w:rsid w:val="000F2EA7"/>
    <w:rsid w:val="000F41B9"/>
    <w:rsid w:val="000F7E27"/>
    <w:rsid w:val="00100B14"/>
    <w:rsid w:val="00100FC5"/>
    <w:rsid w:val="00101566"/>
    <w:rsid w:val="001038D4"/>
    <w:rsid w:val="00104B9F"/>
    <w:rsid w:val="00105CC2"/>
    <w:rsid w:val="00106BE1"/>
    <w:rsid w:val="00111056"/>
    <w:rsid w:val="00112423"/>
    <w:rsid w:val="001135BB"/>
    <w:rsid w:val="00117A77"/>
    <w:rsid w:val="001231FF"/>
    <w:rsid w:val="00125BB5"/>
    <w:rsid w:val="001277DC"/>
    <w:rsid w:val="0013055F"/>
    <w:rsid w:val="0013330F"/>
    <w:rsid w:val="00133FB2"/>
    <w:rsid w:val="00136E23"/>
    <w:rsid w:val="00140771"/>
    <w:rsid w:val="001418FA"/>
    <w:rsid w:val="00142110"/>
    <w:rsid w:val="0014296C"/>
    <w:rsid w:val="00144E06"/>
    <w:rsid w:val="00146FF4"/>
    <w:rsid w:val="001512C8"/>
    <w:rsid w:val="001525F8"/>
    <w:rsid w:val="00152949"/>
    <w:rsid w:val="00154581"/>
    <w:rsid w:val="001573D5"/>
    <w:rsid w:val="00161902"/>
    <w:rsid w:val="001664BA"/>
    <w:rsid w:val="001707A0"/>
    <w:rsid w:val="00172A89"/>
    <w:rsid w:val="00173B30"/>
    <w:rsid w:val="0017419E"/>
    <w:rsid w:val="00180574"/>
    <w:rsid w:val="001810A6"/>
    <w:rsid w:val="00184CD3"/>
    <w:rsid w:val="00191F78"/>
    <w:rsid w:val="00194643"/>
    <w:rsid w:val="0019579E"/>
    <w:rsid w:val="00196651"/>
    <w:rsid w:val="0019779B"/>
    <w:rsid w:val="001A03AB"/>
    <w:rsid w:val="001A5755"/>
    <w:rsid w:val="001A7674"/>
    <w:rsid w:val="001B1FB2"/>
    <w:rsid w:val="001B2FA0"/>
    <w:rsid w:val="001B69E2"/>
    <w:rsid w:val="001B71EE"/>
    <w:rsid w:val="001B7C48"/>
    <w:rsid w:val="001C1A77"/>
    <w:rsid w:val="001C3BF2"/>
    <w:rsid w:val="001D0BF9"/>
    <w:rsid w:val="001D1E2E"/>
    <w:rsid w:val="001D313F"/>
    <w:rsid w:val="001D3FE5"/>
    <w:rsid w:val="001D4C66"/>
    <w:rsid w:val="001D6C3C"/>
    <w:rsid w:val="001D6FF2"/>
    <w:rsid w:val="001E0D42"/>
    <w:rsid w:val="001E2D21"/>
    <w:rsid w:val="001F16CB"/>
    <w:rsid w:val="001F2200"/>
    <w:rsid w:val="001F2ABB"/>
    <w:rsid w:val="001F344D"/>
    <w:rsid w:val="001F5277"/>
    <w:rsid w:val="002014C1"/>
    <w:rsid w:val="00201772"/>
    <w:rsid w:val="002061B3"/>
    <w:rsid w:val="00206F93"/>
    <w:rsid w:val="00207A5A"/>
    <w:rsid w:val="002109A5"/>
    <w:rsid w:val="00216A4D"/>
    <w:rsid w:val="00220DDA"/>
    <w:rsid w:val="002235FF"/>
    <w:rsid w:val="002244CB"/>
    <w:rsid w:val="002245C1"/>
    <w:rsid w:val="00226138"/>
    <w:rsid w:val="00227DB5"/>
    <w:rsid w:val="00230C79"/>
    <w:rsid w:val="00230E29"/>
    <w:rsid w:val="002355D0"/>
    <w:rsid w:val="002431A1"/>
    <w:rsid w:val="0024649C"/>
    <w:rsid w:val="00252FC8"/>
    <w:rsid w:val="00253DC5"/>
    <w:rsid w:val="00254993"/>
    <w:rsid w:val="00254BDF"/>
    <w:rsid w:val="00255FFC"/>
    <w:rsid w:val="00261136"/>
    <w:rsid w:val="00261374"/>
    <w:rsid w:val="00262D7B"/>
    <w:rsid w:val="00264D5F"/>
    <w:rsid w:val="00265112"/>
    <w:rsid w:val="00265A3B"/>
    <w:rsid w:val="00265E69"/>
    <w:rsid w:val="002664D2"/>
    <w:rsid w:val="00266CCC"/>
    <w:rsid w:val="002674AA"/>
    <w:rsid w:val="00267D4C"/>
    <w:rsid w:val="0027119B"/>
    <w:rsid w:val="00273F04"/>
    <w:rsid w:val="00274178"/>
    <w:rsid w:val="00274D42"/>
    <w:rsid w:val="002803E6"/>
    <w:rsid w:val="002840FF"/>
    <w:rsid w:val="00284109"/>
    <w:rsid w:val="00285CAF"/>
    <w:rsid w:val="00290473"/>
    <w:rsid w:val="00291686"/>
    <w:rsid w:val="002919C3"/>
    <w:rsid w:val="002A1B54"/>
    <w:rsid w:val="002A1BC7"/>
    <w:rsid w:val="002A1F0F"/>
    <w:rsid w:val="002A5756"/>
    <w:rsid w:val="002A680E"/>
    <w:rsid w:val="002A70E4"/>
    <w:rsid w:val="002B2AFD"/>
    <w:rsid w:val="002B3A70"/>
    <w:rsid w:val="002B3D96"/>
    <w:rsid w:val="002B3DC1"/>
    <w:rsid w:val="002B661A"/>
    <w:rsid w:val="002B67E4"/>
    <w:rsid w:val="002C4D2F"/>
    <w:rsid w:val="002C6070"/>
    <w:rsid w:val="002C7A05"/>
    <w:rsid w:val="002D083D"/>
    <w:rsid w:val="002D11A9"/>
    <w:rsid w:val="002D1239"/>
    <w:rsid w:val="002D6398"/>
    <w:rsid w:val="002D6B3D"/>
    <w:rsid w:val="002D76D0"/>
    <w:rsid w:val="002E1BCD"/>
    <w:rsid w:val="002E46F4"/>
    <w:rsid w:val="002F1FEC"/>
    <w:rsid w:val="002F2F08"/>
    <w:rsid w:val="002F494C"/>
    <w:rsid w:val="002F541B"/>
    <w:rsid w:val="002F69EF"/>
    <w:rsid w:val="00301A72"/>
    <w:rsid w:val="00303C55"/>
    <w:rsid w:val="00304824"/>
    <w:rsid w:val="00304D36"/>
    <w:rsid w:val="003053AA"/>
    <w:rsid w:val="003058F5"/>
    <w:rsid w:val="0030635D"/>
    <w:rsid w:val="0031018D"/>
    <w:rsid w:val="00310202"/>
    <w:rsid w:val="00310CF5"/>
    <w:rsid w:val="00311C2D"/>
    <w:rsid w:val="00313704"/>
    <w:rsid w:val="003157D7"/>
    <w:rsid w:val="0031604E"/>
    <w:rsid w:val="00317A04"/>
    <w:rsid w:val="0032097D"/>
    <w:rsid w:val="003215E0"/>
    <w:rsid w:val="00321626"/>
    <w:rsid w:val="00322B3D"/>
    <w:rsid w:val="00324EEE"/>
    <w:rsid w:val="00327135"/>
    <w:rsid w:val="003322D2"/>
    <w:rsid w:val="003361FC"/>
    <w:rsid w:val="003375EB"/>
    <w:rsid w:val="00337AA3"/>
    <w:rsid w:val="003434FE"/>
    <w:rsid w:val="00344B88"/>
    <w:rsid w:val="00346A3D"/>
    <w:rsid w:val="00350A63"/>
    <w:rsid w:val="00350AEB"/>
    <w:rsid w:val="0035168A"/>
    <w:rsid w:val="00353C61"/>
    <w:rsid w:val="00353E5E"/>
    <w:rsid w:val="00354954"/>
    <w:rsid w:val="00357216"/>
    <w:rsid w:val="003615F1"/>
    <w:rsid w:val="00363240"/>
    <w:rsid w:val="00366C83"/>
    <w:rsid w:val="00366ECA"/>
    <w:rsid w:val="00373204"/>
    <w:rsid w:val="0037322A"/>
    <w:rsid w:val="003735F0"/>
    <w:rsid w:val="00373873"/>
    <w:rsid w:val="003741C5"/>
    <w:rsid w:val="00374D1E"/>
    <w:rsid w:val="00374D2A"/>
    <w:rsid w:val="00376FE6"/>
    <w:rsid w:val="00384A6D"/>
    <w:rsid w:val="00385BD5"/>
    <w:rsid w:val="00385EAF"/>
    <w:rsid w:val="003867CB"/>
    <w:rsid w:val="003907E2"/>
    <w:rsid w:val="00390BC7"/>
    <w:rsid w:val="00391AAD"/>
    <w:rsid w:val="0039603B"/>
    <w:rsid w:val="003960DB"/>
    <w:rsid w:val="003967B6"/>
    <w:rsid w:val="003A3EBC"/>
    <w:rsid w:val="003A7CBD"/>
    <w:rsid w:val="003B210E"/>
    <w:rsid w:val="003B37A9"/>
    <w:rsid w:val="003B3D4E"/>
    <w:rsid w:val="003B4B40"/>
    <w:rsid w:val="003B4E49"/>
    <w:rsid w:val="003C49D0"/>
    <w:rsid w:val="003C4CB1"/>
    <w:rsid w:val="003C642C"/>
    <w:rsid w:val="003D1FEA"/>
    <w:rsid w:val="003D309F"/>
    <w:rsid w:val="003D4B0F"/>
    <w:rsid w:val="003D4C08"/>
    <w:rsid w:val="003D615B"/>
    <w:rsid w:val="003D676D"/>
    <w:rsid w:val="003D686A"/>
    <w:rsid w:val="003F1438"/>
    <w:rsid w:val="003F1E6B"/>
    <w:rsid w:val="003F23D2"/>
    <w:rsid w:val="003F23E9"/>
    <w:rsid w:val="003F34DF"/>
    <w:rsid w:val="003F4AF2"/>
    <w:rsid w:val="00405C27"/>
    <w:rsid w:val="004122CC"/>
    <w:rsid w:val="004140B0"/>
    <w:rsid w:val="00415EF3"/>
    <w:rsid w:val="00417368"/>
    <w:rsid w:val="0042016B"/>
    <w:rsid w:val="00420E05"/>
    <w:rsid w:val="00422FE0"/>
    <w:rsid w:val="00425E27"/>
    <w:rsid w:val="00430F7B"/>
    <w:rsid w:val="0043140E"/>
    <w:rsid w:val="00432D94"/>
    <w:rsid w:val="0043303E"/>
    <w:rsid w:val="004358FA"/>
    <w:rsid w:val="00436415"/>
    <w:rsid w:val="00436E9C"/>
    <w:rsid w:val="00437015"/>
    <w:rsid w:val="00440573"/>
    <w:rsid w:val="00441979"/>
    <w:rsid w:val="00446D99"/>
    <w:rsid w:val="00460D57"/>
    <w:rsid w:val="004611A8"/>
    <w:rsid w:val="0046179F"/>
    <w:rsid w:val="00461A9F"/>
    <w:rsid w:val="00463B11"/>
    <w:rsid w:val="00464C95"/>
    <w:rsid w:val="00474372"/>
    <w:rsid w:val="00474638"/>
    <w:rsid w:val="00474C86"/>
    <w:rsid w:val="0047596B"/>
    <w:rsid w:val="004767A6"/>
    <w:rsid w:val="004768F0"/>
    <w:rsid w:val="0047768A"/>
    <w:rsid w:val="00477B15"/>
    <w:rsid w:val="0048074B"/>
    <w:rsid w:val="00481471"/>
    <w:rsid w:val="00483BAB"/>
    <w:rsid w:val="00483E5C"/>
    <w:rsid w:val="00487614"/>
    <w:rsid w:val="004912F0"/>
    <w:rsid w:val="0049361D"/>
    <w:rsid w:val="004947E4"/>
    <w:rsid w:val="004A0B07"/>
    <w:rsid w:val="004A17D7"/>
    <w:rsid w:val="004B0D74"/>
    <w:rsid w:val="004B18E1"/>
    <w:rsid w:val="004B18FF"/>
    <w:rsid w:val="004B2C90"/>
    <w:rsid w:val="004B3821"/>
    <w:rsid w:val="004B515A"/>
    <w:rsid w:val="004B54CB"/>
    <w:rsid w:val="004C0641"/>
    <w:rsid w:val="004C0CD8"/>
    <w:rsid w:val="004C17DE"/>
    <w:rsid w:val="004C1F82"/>
    <w:rsid w:val="004C28BB"/>
    <w:rsid w:val="004C567E"/>
    <w:rsid w:val="004D0B63"/>
    <w:rsid w:val="004D2017"/>
    <w:rsid w:val="004D6E03"/>
    <w:rsid w:val="004E087B"/>
    <w:rsid w:val="004E1F45"/>
    <w:rsid w:val="004E3ECD"/>
    <w:rsid w:val="004E4AF1"/>
    <w:rsid w:val="004E4B9C"/>
    <w:rsid w:val="004E6DD2"/>
    <w:rsid w:val="004F0DCE"/>
    <w:rsid w:val="004F1812"/>
    <w:rsid w:val="004F2B62"/>
    <w:rsid w:val="004F35B7"/>
    <w:rsid w:val="004F4C4F"/>
    <w:rsid w:val="004F4EEF"/>
    <w:rsid w:val="004F70EA"/>
    <w:rsid w:val="00501820"/>
    <w:rsid w:val="00504E42"/>
    <w:rsid w:val="0050777F"/>
    <w:rsid w:val="005078D9"/>
    <w:rsid w:val="00507F0B"/>
    <w:rsid w:val="00515F09"/>
    <w:rsid w:val="00520EBA"/>
    <w:rsid w:val="005217D3"/>
    <w:rsid w:val="005226B9"/>
    <w:rsid w:val="005259AD"/>
    <w:rsid w:val="00526860"/>
    <w:rsid w:val="00527019"/>
    <w:rsid w:val="00530BF5"/>
    <w:rsid w:val="00532DE2"/>
    <w:rsid w:val="0053325F"/>
    <w:rsid w:val="00533D90"/>
    <w:rsid w:val="00534FBB"/>
    <w:rsid w:val="00544320"/>
    <w:rsid w:val="00550BBD"/>
    <w:rsid w:val="005526A8"/>
    <w:rsid w:val="00552DC6"/>
    <w:rsid w:val="00553002"/>
    <w:rsid w:val="005573EC"/>
    <w:rsid w:val="0056255E"/>
    <w:rsid w:val="00563969"/>
    <w:rsid w:val="00566803"/>
    <w:rsid w:val="00566F96"/>
    <w:rsid w:val="00576373"/>
    <w:rsid w:val="005772D9"/>
    <w:rsid w:val="00580F82"/>
    <w:rsid w:val="00581DBE"/>
    <w:rsid w:val="0058231E"/>
    <w:rsid w:val="00586FEC"/>
    <w:rsid w:val="00591288"/>
    <w:rsid w:val="005917FD"/>
    <w:rsid w:val="00592113"/>
    <w:rsid w:val="005969BB"/>
    <w:rsid w:val="00596AEB"/>
    <w:rsid w:val="00596B64"/>
    <w:rsid w:val="005A3E40"/>
    <w:rsid w:val="005A4AA1"/>
    <w:rsid w:val="005A6461"/>
    <w:rsid w:val="005A717A"/>
    <w:rsid w:val="005B4C3D"/>
    <w:rsid w:val="005B5536"/>
    <w:rsid w:val="005C0C98"/>
    <w:rsid w:val="005C0EAB"/>
    <w:rsid w:val="005C0F15"/>
    <w:rsid w:val="005C281C"/>
    <w:rsid w:val="005C3100"/>
    <w:rsid w:val="005C33B9"/>
    <w:rsid w:val="005C34AF"/>
    <w:rsid w:val="005C39AA"/>
    <w:rsid w:val="005C513B"/>
    <w:rsid w:val="005C7AFE"/>
    <w:rsid w:val="005C7E15"/>
    <w:rsid w:val="005C89CE"/>
    <w:rsid w:val="005D000F"/>
    <w:rsid w:val="005D3BC5"/>
    <w:rsid w:val="005D4706"/>
    <w:rsid w:val="005D7093"/>
    <w:rsid w:val="005E10C5"/>
    <w:rsid w:val="005F03B6"/>
    <w:rsid w:val="005F2B86"/>
    <w:rsid w:val="005F3389"/>
    <w:rsid w:val="005F4B91"/>
    <w:rsid w:val="005F66ED"/>
    <w:rsid w:val="005F683B"/>
    <w:rsid w:val="005F76BA"/>
    <w:rsid w:val="006004C3"/>
    <w:rsid w:val="00601AED"/>
    <w:rsid w:val="006032E1"/>
    <w:rsid w:val="00604819"/>
    <w:rsid w:val="00605398"/>
    <w:rsid w:val="00613549"/>
    <w:rsid w:val="0061678F"/>
    <w:rsid w:val="0061690C"/>
    <w:rsid w:val="00617B7D"/>
    <w:rsid w:val="006200EB"/>
    <w:rsid w:val="00621EA3"/>
    <w:rsid w:val="00622C04"/>
    <w:rsid w:val="006231F4"/>
    <w:rsid w:val="006236C2"/>
    <w:rsid w:val="00624A49"/>
    <w:rsid w:val="00627879"/>
    <w:rsid w:val="00630241"/>
    <w:rsid w:val="00631858"/>
    <w:rsid w:val="00634FDA"/>
    <w:rsid w:val="00640234"/>
    <w:rsid w:val="006428A9"/>
    <w:rsid w:val="0064343A"/>
    <w:rsid w:val="00643487"/>
    <w:rsid w:val="00644EB9"/>
    <w:rsid w:val="00645D09"/>
    <w:rsid w:val="00650A84"/>
    <w:rsid w:val="0065185A"/>
    <w:rsid w:val="0065475A"/>
    <w:rsid w:val="006548BB"/>
    <w:rsid w:val="00660A77"/>
    <w:rsid w:val="006614B1"/>
    <w:rsid w:val="00663A48"/>
    <w:rsid w:val="00664975"/>
    <w:rsid w:val="0066706B"/>
    <w:rsid w:val="00675ABD"/>
    <w:rsid w:val="00676333"/>
    <w:rsid w:val="00680DEA"/>
    <w:rsid w:val="00691CC6"/>
    <w:rsid w:val="00693726"/>
    <w:rsid w:val="00695E3C"/>
    <w:rsid w:val="006A008F"/>
    <w:rsid w:val="006A00C0"/>
    <w:rsid w:val="006A2914"/>
    <w:rsid w:val="006A465B"/>
    <w:rsid w:val="006A5AA6"/>
    <w:rsid w:val="006A5AC2"/>
    <w:rsid w:val="006B3940"/>
    <w:rsid w:val="006B4E20"/>
    <w:rsid w:val="006C0042"/>
    <w:rsid w:val="006C3E7F"/>
    <w:rsid w:val="006C684E"/>
    <w:rsid w:val="006C7C80"/>
    <w:rsid w:val="006D15DA"/>
    <w:rsid w:val="006D26FA"/>
    <w:rsid w:val="006D31BF"/>
    <w:rsid w:val="006D5A7C"/>
    <w:rsid w:val="006D63FF"/>
    <w:rsid w:val="006D708A"/>
    <w:rsid w:val="006D7281"/>
    <w:rsid w:val="006E170D"/>
    <w:rsid w:val="006E2C5E"/>
    <w:rsid w:val="006E461A"/>
    <w:rsid w:val="006E4C8E"/>
    <w:rsid w:val="006E5221"/>
    <w:rsid w:val="006E753E"/>
    <w:rsid w:val="006E7C4C"/>
    <w:rsid w:val="006F3D63"/>
    <w:rsid w:val="006F4BE6"/>
    <w:rsid w:val="006F6078"/>
    <w:rsid w:val="006F639F"/>
    <w:rsid w:val="006F7CA5"/>
    <w:rsid w:val="00701D43"/>
    <w:rsid w:val="00701EA1"/>
    <w:rsid w:val="00704771"/>
    <w:rsid w:val="00705EF0"/>
    <w:rsid w:val="007065C1"/>
    <w:rsid w:val="007101AF"/>
    <w:rsid w:val="00711317"/>
    <w:rsid w:val="00712810"/>
    <w:rsid w:val="00713554"/>
    <w:rsid w:val="0071548B"/>
    <w:rsid w:val="00716CF3"/>
    <w:rsid w:val="007200C8"/>
    <w:rsid w:val="007204A9"/>
    <w:rsid w:val="00722874"/>
    <w:rsid w:val="00722C6F"/>
    <w:rsid w:val="00723160"/>
    <w:rsid w:val="00724D88"/>
    <w:rsid w:val="00725547"/>
    <w:rsid w:val="00726DAD"/>
    <w:rsid w:val="007316E7"/>
    <w:rsid w:val="007317AC"/>
    <w:rsid w:val="00732A89"/>
    <w:rsid w:val="00734239"/>
    <w:rsid w:val="0073459B"/>
    <w:rsid w:val="0073595F"/>
    <w:rsid w:val="00735EAD"/>
    <w:rsid w:val="007415F4"/>
    <w:rsid w:val="0074469B"/>
    <w:rsid w:val="0074520C"/>
    <w:rsid w:val="0075048D"/>
    <w:rsid w:val="00752631"/>
    <w:rsid w:val="00753650"/>
    <w:rsid w:val="00756929"/>
    <w:rsid w:val="00756D56"/>
    <w:rsid w:val="007572DE"/>
    <w:rsid w:val="00763166"/>
    <w:rsid w:val="00763563"/>
    <w:rsid w:val="007646FC"/>
    <w:rsid w:val="00764FC9"/>
    <w:rsid w:val="00767DBB"/>
    <w:rsid w:val="00767E0A"/>
    <w:rsid w:val="00772136"/>
    <w:rsid w:val="00772A9A"/>
    <w:rsid w:val="00774646"/>
    <w:rsid w:val="00777511"/>
    <w:rsid w:val="00781695"/>
    <w:rsid w:val="00782281"/>
    <w:rsid w:val="0078553F"/>
    <w:rsid w:val="00790907"/>
    <w:rsid w:val="00793CA5"/>
    <w:rsid w:val="00795122"/>
    <w:rsid w:val="007A02A7"/>
    <w:rsid w:val="007A5DE6"/>
    <w:rsid w:val="007A74A5"/>
    <w:rsid w:val="007B0EB9"/>
    <w:rsid w:val="007B1C15"/>
    <w:rsid w:val="007B5589"/>
    <w:rsid w:val="007C02A3"/>
    <w:rsid w:val="007C0935"/>
    <w:rsid w:val="007C1FDC"/>
    <w:rsid w:val="007C79BA"/>
    <w:rsid w:val="007D0B59"/>
    <w:rsid w:val="007D1054"/>
    <w:rsid w:val="007D1497"/>
    <w:rsid w:val="007D4303"/>
    <w:rsid w:val="007D697C"/>
    <w:rsid w:val="007E3B9E"/>
    <w:rsid w:val="007E5F53"/>
    <w:rsid w:val="007E6D1A"/>
    <w:rsid w:val="007E70FE"/>
    <w:rsid w:val="007E7E11"/>
    <w:rsid w:val="007F0FDA"/>
    <w:rsid w:val="007F1754"/>
    <w:rsid w:val="007F1F8B"/>
    <w:rsid w:val="007F2EE7"/>
    <w:rsid w:val="007F3126"/>
    <w:rsid w:val="007F3CDA"/>
    <w:rsid w:val="007F5B72"/>
    <w:rsid w:val="007F69F4"/>
    <w:rsid w:val="0080006D"/>
    <w:rsid w:val="008008DF"/>
    <w:rsid w:val="00802724"/>
    <w:rsid w:val="008034A6"/>
    <w:rsid w:val="00804169"/>
    <w:rsid w:val="008046D4"/>
    <w:rsid w:val="008059D0"/>
    <w:rsid w:val="00810B07"/>
    <w:rsid w:val="00816FB2"/>
    <w:rsid w:val="00821A47"/>
    <w:rsid w:val="00822723"/>
    <w:rsid w:val="00822CC6"/>
    <w:rsid w:val="00822D14"/>
    <w:rsid w:val="00822EC3"/>
    <w:rsid w:val="00825287"/>
    <w:rsid w:val="00827845"/>
    <w:rsid w:val="00827A8A"/>
    <w:rsid w:val="008317D4"/>
    <w:rsid w:val="00832318"/>
    <w:rsid w:val="00833792"/>
    <w:rsid w:val="00833E8B"/>
    <w:rsid w:val="0083637F"/>
    <w:rsid w:val="00840D04"/>
    <w:rsid w:val="00841239"/>
    <w:rsid w:val="00841F41"/>
    <w:rsid w:val="00845013"/>
    <w:rsid w:val="00845C3D"/>
    <w:rsid w:val="00850CFE"/>
    <w:rsid w:val="00853F7B"/>
    <w:rsid w:val="00854534"/>
    <w:rsid w:val="0085475D"/>
    <w:rsid w:val="00854D0D"/>
    <w:rsid w:val="0087381D"/>
    <w:rsid w:val="00873BE0"/>
    <w:rsid w:val="00874C57"/>
    <w:rsid w:val="00876B44"/>
    <w:rsid w:val="008770F6"/>
    <w:rsid w:val="00880226"/>
    <w:rsid w:val="00881339"/>
    <w:rsid w:val="0088267D"/>
    <w:rsid w:val="008836A9"/>
    <w:rsid w:val="00884959"/>
    <w:rsid w:val="00886924"/>
    <w:rsid w:val="00887074"/>
    <w:rsid w:val="00890435"/>
    <w:rsid w:val="00890EEC"/>
    <w:rsid w:val="008929E8"/>
    <w:rsid w:val="008930EC"/>
    <w:rsid w:val="00893AC8"/>
    <w:rsid w:val="008956B4"/>
    <w:rsid w:val="00897BE9"/>
    <w:rsid w:val="008A05CE"/>
    <w:rsid w:val="008A0614"/>
    <w:rsid w:val="008A10D6"/>
    <w:rsid w:val="008A165D"/>
    <w:rsid w:val="008A397F"/>
    <w:rsid w:val="008A5C87"/>
    <w:rsid w:val="008A656C"/>
    <w:rsid w:val="008A7622"/>
    <w:rsid w:val="008AF727"/>
    <w:rsid w:val="008B19C1"/>
    <w:rsid w:val="008B2BB9"/>
    <w:rsid w:val="008B437C"/>
    <w:rsid w:val="008B4DAD"/>
    <w:rsid w:val="008C3B43"/>
    <w:rsid w:val="008C43E6"/>
    <w:rsid w:val="008C47A1"/>
    <w:rsid w:val="008C738F"/>
    <w:rsid w:val="008D1EB0"/>
    <w:rsid w:val="008D4E41"/>
    <w:rsid w:val="008D6B9E"/>
    <w:rsid w:val="008D74F6"/>
    <w:rsid w:val="008E09D5"/>
    <w:rsid w:val="008E1024"/>
    <w:rsid w:val="008E4734"/>
    <w:rsid w:val="008F1A67"/>
    <w:rsid w:val="008F1A9C"/>
    <w:rsid w:val="008F79FC"/>
    <w:rsid w:val="00900FE7"/>
    <w:rsid w:val="00907166"/>
    <w:rsid w:val="009113CC"/>
    <w:rsid w:val="0091368A"/>
    <w:rsid w:val="00913ED0"/>
    <w:rsid w:val="00916C3E"/>
    <w:rsid w:val="00916F8E"/>
    <w:rsid w:val="00927650"/>
    <w:rsid w:val="00932951"/>
    <w:rsid w:val="00936647"/>
    <w:rsid w:val="009366BC"/>
    <w:rsid w:val="00942CB6"/>
    <w:rsid w:val="00942CE9"/>
    <w:rsid w:val="00943F0F"/>
    <w:rsid w:val="00944B36"/>
    <w:rsid w:val="009525D0"/>
    <w:rsid w:val="0095299E"/>
    <w:rsid w:val="00952E9B"/>
    <w:rsid w:val="00954FF2"/>
    <w:rsid w:val="00956B7B"/>
    <w:rsid w:val="0095749A"/>
    <w:rsid w:val="00957823"/>
    <w:rsid w:val="0096271F"/>
    <w:rsid w:val="009627AE"/>
    <w:rsid w:val="00962EE8"/>
    <w:rsid w:val="009635FA"/>
    <w:rsid w:val="009654E2"/>
    <w:rsid w:val="009671FC"/>
    <w:rsid w:val="00970640"/>
    <w:rsid w:val="00973410"/>
    <w:rsid w:val="00973D8B"/>
    <w:rsid w:val="00976EE9"/>
    <w:rsid w:val="00984DAB"/>
    <w:rsid w:val="009903C7"/>
    <w:rsid w:val="009919C6"/>
    <w:rsid w:val="00993B3C"/>
    <w:rsid w:val="00993FBF"/>
    <w:rsid w:val="009978CC"/>
    <w:rsid w:val="009A04BB"/>
    <w:rsid w:val="009A097F"/>
    <w:rsid w:val="009A0C64"/>
    <w:rsid w:val="009A4A9E"/>
    <w:rsid w:val="009A520A"/>
    <w:rsid w:val="009A6D9C"/>
    <w:rsid w:val="009B1271"/>
    <w:rsid w:val="009B2C42"/>
    <w:rsid w:val="009B464B"/>
    <w:rsid w:val="009C0249"/>
    <w:rsid w:val="009C2CFF"/>
    <w:rsid w:val="009C3571"/>
    <w:rsid w:val="009C37CF"/>
    <w:rsid w:val="009C3EB8"/>
    <w:rsid w:val="009C60F6"/>
    <w:rsid w:val="009C64C9"/>
    <w:rsid w:val="009C7016"/>
    <w:rsid w:val="009C7704"/>
    <w:rsid w:val="009D0BD1"/>
    <w:rsid w:val="009D472D"/>
    <w:rsid w:val="009D6249"/>
    <w:rsid w:val="009E17FB"/>
    <w:rsid w:val="009E3A80"/>
    <w:rsid w:val="009E41C3"/>
    <w:rsid w:val="009E6B11"/>
    <w:rsid w:val="009E7E2E"/>
    <w:rsid w:val="009E7FAA"/>
    <w:rsid w:val="009F054E"/>
    <w:rsid w:val="009F0889"/>
    <w:rsid w:val="009F1B6A"/>
    <w:rsid w:val="009F201E"/>
    <w:rsid w:val="009F23B3"/>
    <w:rsid w:val="009F329B"/>
    <w:rsid w:val="009F4A04"/>
    <w:rsid w:val="009F5451"/>
    <w:rsid w:val="009F7780"/>
    <w:rsid w:val="00A008E6"/>
    <w:rsid w:val="00A026A6"/>
    <w:rsid w:val="00A02ABA"/>
    <w:rsid w:val="00A02B1B"/>
    <w:rsid w:val="00A04C5F"/>
    <w:rsid w:val="00A0604E"/>
    <w:rsid w:val="00A07819"/>
    <w:rsid w:val="00A1211B"/>
    <w:rsid w:val="00A12C83"/>
    <w:rsid w:val="00A16A40"/>
    <w:rsid w:val="00A17FAA"/>
    <w:rsid w:val="00A2545C"/>
    <w:rsid w:val="00A27154"/>
    <w:rsid w:val="00A30981"/>
    <w:rsid w:val="00A326EF"/>
    <w:rsid w:val="00A342E4"/>
    <w:rsid w:val="00A35606"/>
    <w:rsid w:val="00A35961"/>
    <w:rsid w:val="00A36119"/>
    <w:rsid w:val="00A36692"/>
    <w:rsid w:val="00A37A4B"/>
    <w:rsid w:val="00A414F1"/>
    <w:rsid w:val="00A44E0F"/>
    <w:rsid w:val="00A45118"/>
    <w:rsid w:val="00A451CC"/>
    <w:rsid w:val="00A521CE"/>
    <w:rsid w:val="00A53FB7"/>
    <w:rsid w:val="00A54EBF"/>
    <w:rsid w:val="00A64F7A"/>
    <w:rsid w:val="00A66EF3"/>
    <w:rsid w:val="00A67E1C"/>
    <w:rsid w:val="00A7086D"/>
    <w:rsid w:val="00A7463F"/>
    <w:rsid w:val="00A80066"/>
    <w:rsid w:val="00A82D8D"/>
    <w:rsid w:val="00A8327D"/>
    <w:rsid w:val="00A844EC"/>
    <w:rsid w:val="00A956F2"/>
    <w:rsid w:val="00A974AD"/>
    <w:rsid w:val="00AA1234"/>
    <w:rsid w:val="00AA705F"/>
    <w:rsid w:val="00AB0F87"/>
    <w:rsid w:val="00AB145E"/>
    <w:rsid w:val="00AB20B1"/>
    <w:rsid w:val="00AB3811"/>
    <w:rsid w:val="00AB454C"/>
    <w:rsid w:val="00AB49CE"/>
    <w:rsid w:val="00AB502C"/>
    <w:rsid w:val="00AC086A"/>
    <w:rsid w:val="00AC0D6C"/>
    <w:rsid w:val="00AC134E"/>
    <w:rsid w:val="00AC2EF4"/>
    <w:rsid w:val="00AC4EAA"/>
    <w:rsid w:val="00AD180B"/>
    <w:rsid w:val="00AD2778"/>
    <w:rsid w:val="00AD41B1"/>
    <w:rsid w:val="00AD6CC6"/>
    <w:rsid w:val="00AD7805"/>
    <w:rsid w:val="00AE10E6"/>
    <w:rsid w:val="00AE5FEF"/>
    <w:rsid w:val="00AE7678"/>
    <w:rsid w:val="00AF0A4D"/>
    <w:rsid w:val="00AF4684"/>
    <w:rsid w:val="00AF55BB"/>
    <w:rsid w:val="00AF5CBE"/>
    <w:rsid w:val="00AF666D"/>
    <w:rsid w:val="00B027A8"/>
    <w:rsid w:val="00B03E90"/>
    <w:rsid w:val="00B06029"/>
    <w:rsid w:val="00B06829"/>
    <w:rsid w:val="00B131C8"/>
    <w:rsid w:val="00B173F6"/>
    <w:rsid w:val="00B25486"/>
    <w:rsid w:val="00B342AA"/>
    <w:rsid w:val="00B35BAB"/>
    <w:rsid w:val="00B35F3C"/>
    <w:rsid w:val="00B363BE"/>
    <w:rsid w:val="00B41B5A"/>
    <w:rsid w:val="00B42188"/>
    <w:rsid w:val="00B42B80"/>
    <w:rsid w:val="00B4414A"/>
    <w:rsid w:val="00B501F0"/>
    <w:rsid w:val="00B50B05"/>
    <w:rsid w:val="00B53AFF"/>
    <w:rsid w:val="00B5445B"/>
    <w:rsid w:val="00B555FC"/>
    <w:rsid w:val="00B57CB4"/>
    <w:rsid w:val="00B60057"/>
    <w:rsid w:val="00B604F6"/>
    <w:rsid w:val="00B64DDD"/>
    <w:rsid w:val="00B6596F"/>
    <w:rsid w:val="00B67D5D"/>
    <w:rsid w:val="00B70248"/>
    <w:rsid w:val="00B7144B"/>
    <w:rsid w:val="00B73477"/>
    <w:rsid w:val="00B73AAA"/>
    <w:rsid w:val="00B76187"/>
    <w:rsid w:val="00B76652"/>
    <w:rsid w:val="00B76C0F"/>
    <w:rsid w:val="00B775CA"/>
    <w:rsid w:val="00B77EBF"/>
    <w:rsid w:val="00B819E9"/>
    <w:rsid w:val="00B854FD"/>
    <w:rsid w:val="00B85615"/>
    <w:rsid w:val="00B8583A"/>
    <w:rsid w:val="00B85906"/>
    <w:rsid w:val="00B86102"/>
    <w:rsid w:val="00B94783"/>
    <w:rsid w:val="00B961CA"/>
    <w:rsid w:val="00B96B23"/>
    <w:rsid w:val="00BA0956"/>
    <w:rsid w:val="00BA2254"/>
    <w:rsid w:val="00BA2CD1"/>
    <w:rsid w:val="00BA4608"/>
    <w:rsid w:val="00BA5092"/>
    <w:rsid w:val="00BA57B6"/>
    <w:rsid w:val="00BA5CF6"/>
    <w:rsid w:val="00BA5E41"/>
    <w:rsid w:val="00BA651F"/>
    <w:rsid w:val="00BA6614"/>
    <w:rsid w:val="00BA6839"/>
    <w:rsid w:val="00BA6B69"/>
    <w:rsid w:val="00BB1BEE"/>
    <w:rsid w:val="00BB5FFD"/>
    <w:rsid w:val="00BB65AC"/>
    <w:rsid w:val="00BB7503"/>
    <w:rsid w:val="00BC11CA"/>
    <w:rsid w:val="00BC156E"/>
    <w:rsid w:val="00BC1F2A"/>
    <w:rsid w:val="00BC4D45"/>
    <w:rsid w:val="00BC5639"/>
    <w:rsid w:val="00BD1FDD"/>
    <w:rsid w:val="00BD215E"/>
    <w:rsid w:val="00BD2C69"/>
    <w:rsid w:val="00BD39BF"/>
    <w:rsid w:val="00BD57F5"/>
    <w:rsid w:val="00BD6794"/>
    <w:rsid w:val="00BD6F65"/>
    <w:rsid w:val="00BD731E"/>
    <w:rsid w:val="00BE0119"/>
    <w:rsid w:val="00BE05C0"/>
    <w:rsid w:val="00BE451B"/>
    <w:rsid w:val="00BE48A4"/>
    <w:rsid w:val="00BE4A4B"/>
    <w:rsid w:val="00BE56F0"/>
    <w:rsid w:val="00BE6283"/>
    <w:rsid w:val="00BF318B"/>
    <w:rsid w:val="00BF40DD"/>
    <w:rsid w:val="00BF4331"/>
    <w:rsid w:val="00BF703E"/>
    <w:rsid w:val="00C006DD"/>
    <w:rsid w:val="00C057FC"/>
    <w:rsid w:val="00C065ED"/>
    <w:rsid w:val="00C12EA8"/>
    <w:rsid w:val="00C12F1A"/>
    <w:rsid w:val="00C141C1"/>
    <w:rsid w:val="00C2147A"/>
    <w:rsid w:val="00C22D30"/>
    <w:rsid w:val="00C22DA5"/>
    <w:rsid w:val="00C22F2D"/>
    <w:rsid w:val="00C2545A"/>
    <w:rsid w:val="00C256B0"/>
    <w:rsid w:val="00C25B79"/>
    <w:rsid w:val="00C25FAA"/>
    <w:rsid w:val="00C271AF"/>
    <w:rsid w:val="00C321C6"/>
    <w:rsid w:val="00C326F0"/>
    <w:rsid w:val="00C32D4E"/>
    <w:rsid w:val="00C33ABF"/>
    <w:rsid w:val="00C34112"/>
    <w:rsid w:val="00C35D23"/>
    <w:rsid w:val="00C36564"/>
    <w:rsid w:val="00C37506"/>
    <w:rsid w:val="00C406F4"/>
    <w:rsid w:val="00C41305"/>
    <w:rsid w:val="00C438FB"/>
    <w:rsid w:val="00C45E30"/>
    <w:rsid w:val="00C4610A"/>
    <w:rsid w:val="00C47620"/>
    <w:rsid w:val="00C47BA6"/>
    <w:rsid w:val="00C50ED7"/>
    <w:rsid w:val="00C5375B"/>
    <w:rsid w:val="00C54D1F"/>
    <w:rsid w:val="00C568C8"/>
    <w:rsid w:val="00C57FC8"/>
    <w:rsid w:val="00C6206B"/>
    <w:rsid w:val="00C627E9"/>
    <w:rsid w:val="00C6642A"/>
    <w:rsid w:val="00C708FA"/>
    <w:rsid w:val="00C7321F"/>
    <w:rsid w:val="00C73784"/>
    <w:rsid w:val="00C77476"/>
    <w:rsid w:val="00C77B32"/>
    <w:rsid w:val="00C86F41"/>
    <w:rsid w:val="00C90806"/>
    <w:rsid w:val="00C9369C"/>
    <w:rsid w:val="00C93B0D"/>
    <w:rsid w:val="00C95B68"/>
    <w:rsid w:val="00CA0B86"/>
    <w:rsid w:val="00CB03F1"/>
    <w:rsid w:val="00CB0D47"/>
    <w:rsid w:val="00CB5D91"/>
    <w:rsid w:val="00CB6B51"/>
    <w:rsid w:val="00CC08D4"/>
    <w:rsid w:val="00CC09A0"/>
    <w:rsid w:val="00CC1963"/>
    <w:rsid w:val="00CC6110"/>
    <w:rsid w:val="00CC63E1"/>
    <w:rsid w:val="00CD062C"/>
    <w:rsid w:val="00CD264E"/>
    <w:rsid w:val="00CD5974"/>
    <w:rsid w:val="00CD6310"/>
    <w:rsid w:val="00CE18F2"/>
    <w:rsid w:val="00CE2FD1"/>
    <w:rsid w:val="00CE3AFB"/>
    <w:rsid w:val="00CE7B06"/>
    <w:rsid w:val="00CF1E1D"/>
    <w:rsid w:val="00CF5C1E"/>
    <w:rsid w:val="00CF65F6"/>
    <w:rsid w:val="00CF7AF1"/>
    <w:rsid w:val="00D01088"/>
    <w:rsid w:val="00D02495"/>
    <w:rsid w:val="00D02A63"/>
    <w:rsid w:val="00D03799"/>
    <w:rsid w:val="00D03A87"/>
    <w:rsid w:val="00D04701"/>
    <w:rsid w:val="00D04E61"/>
    <w:rsid w:val="00D04F1F"/>
    <w:rsid w:val="00D057FB"/>
    <w:rsid w:val="00D05944"/>
    <w:rsid w:val="00D05F8A"/>
    <w:rsid w:val="00D061BD"/>
    <w:rsid w:val="00D10635"/>
    <w:rsid w:val="00D10C64"/>
    <w:rsid w:val="00D14F98"/>
    <w:rsid w:val="00D169ED"/>
    <w:rsid w:val="00D2267D"/>
    <w:rsid w:val="00D22B6F"/>
    <w:rsid w:val="00D23133"/>
    <w:rsid w:val="00D3515C"/>
    <w:rsid w:val="00D35A91"/>
    <w:rsid w:val="00D409F8"/>
    <w:rsid w:val="00D43347"/>
    <w:rsid w:val="00D4624D"/>
    <w:rsid w:val="00D501A2"/>
    <w:rsid w:val="00D507D8"/>
    <w:rsid w:val="00D51E35"/>
    <w:rsid w:val="00D525B8"/>
    <w:rsid w:val="00D622EC"/>
    <w:rsid w:val="00D6621B"/>
    <w:rsid w:val="00D7073D"/>
    <w:rsid w:val="00D72303"/>
    <w:rsid w:val="00D75186"/>
    <w:rsid w:val="00D755E3"/>
    <w:rsid w:val="00D75837"/>
    <w:rsid w:val="00D75E97"/>
    <w:rsid w:val="00D8357D"/>
    <w:rsid w:val="00D8387B"/>
    <w:rsid w:val="00D84169"/>
    <w:rsid w:val="00D865A5"/>
    <w:rsid w:val="00D86652"/>
    <w:rsid w:val="00D86DB0"/>
    <w:rsid w:val="00D87523"/>
    <w:rsid w:val="00D90604"/>
    <w:rsid w:val="00D922FC"/>
    <w:rsid w:val="00D92BDE"/>
    <w:rsid w:val="00D93859"/>
    <w:rsid w:val="00D957E4"/>
    <w:rsid w:val="00DA18A2"/>
    <w:rsid w:val="00DA3422"/>
    <w:rsid w:val="00DA3834"/>
    <w:rsid w:val="00DA4272"/>
    <w:rsid w:val="00DA4F38"/>
    <w:rsid w:val="00DB0E6B"/>
    <w:rsid w:val="00DB180B"/>
    <w:rsid w:val="00DC000A"/>
    <w:rsid w:val="00DC3979"/>
    <w:rsid w:val="00DC6355"/>
    <w:rsid w:val="00DC7124"/>
    <w:rsid w:val="00DD072E"/>
    <w:rsid w:val="00DD0C1D"/>
    <w:rsid w:val="00DD12C2"/>
    <w:rsid w:val="00DD6563"/>
    <w:rsid w:val="00DD6EBD"/>
    <w:rsid w:val="00DD7A02"/>
    <w:rsid w:val="00DE0E0C"/>
    <w:rsid w:val="00DE1897"/>
    <w:rsid w:val="00DE18CB"/>
    <w:rsid w:val="00DE246D"/>
    <w:rsid w:val="00DE6108"/>
    <w:rsid w:val="00DE6598"/>
    <w:rsid w:val="00DE6ACB"/>
    <w:rsid w:val="00DE7B6E"/>
    <w:rsid w:val="00DF0E85"/>
    <w:rsid w:val="00DF2F8D"/>
    <w:rsid w:val="00DF3EE7"/>
    <w:rsid w:val="00DF664E"/>
    <w:rsid w:val="00E00118"/>
    <w:rsid w:val="00E009FD"/>
    <w:rsid w:val="00E00C21"/>
    <w:rsid w:val="00E02AA2"/>
    <w:rsid w:val="00E05AF9"/>
    <w:rsid w:val="00E05E93"/>
    <w:rsid w:val="00E06CCB"/>
    <w:rsid w:val="00E0762A"/>
    <w:rsid w:val="00E1281D"/>
    <w:rsid w:val="00E12874"/>
    <w:rsid w:val="00E17AF6"/>
    <w:rsid w:val="00E17BF2"/>
    <w:rsid w:val="00E202EE"/>
    <w:rsid w:val="00E224F4"/>
    <w:rsid w:val="00E23560"/>
    <w:rsid w:val="00E23AB4"/>
    <w:rsid w:val="00E2753F"/>
    <w:rsid w:val="00E278CA"/>
    <w:rsid w:val="00E31F98"/>
    <w:rsid w:val="00E414DE"/>
    <w:rsid w:val="00E44616"/>
    <w:rsid w:val="00E4561E"/>
    <w:rsid w:val="00E45C4F"/>
    <w:rsid w:val="00E46749"/>
    <w:rsid w:val="00E47434"/>
    <w:rsid w:val="00E50862"/>
    <w:rsid w:val="00E50961"/>
    <w:rsid w:val="00E50ABE"/>
    <w:rsid w:val="00E50D43"/>
    <w:rsid w:val="00E5307B"/>
    <w:rsid w:val="00E55F30"/>
    <w:rsid w:val="00E57098"/>
    <w:rsid w:val="00E60984"/>
    <w:rsid w:val="00E612BB"/>
    <w:rsid w:val="00E67EE1"/>
    <w:rsid w:val="00E711B9"/>
    <w:rsid w:val="00E73E81"/>
    <w:rsid w:val="00E745F5"/>
    <w:rsid w:val="00E771E1"/>
    <w:rsid w:val="00E8277E"/>
    <w:rsid w:val="00E84F06"/>
    <w:rsid w:val="00E8522F"/>
    <w:rsid w:val="00E8568A"/>
    <w:rsid w:val="00E86E7B"/>
    <w:rsid w:val="00E87081"/>
    <w:rsid w:val="00E871A7"/>
    <w:rsid w:val="00E87339"/>
    <w:rsid w:val="00E90024"/>
    <w:rsid w:val="00E9084D"/>
    <w:rsid w:val="00E92551"/>
    <w:rsid w:val="00E92D5B"/>
    <w:rsid w:val="00E92F6A"/>
    <w:rsid w:val="00E93E0F"/>
    <w:rsid w:val="00E940F1"/>
    <w:rsid w:val="00E956AB"/>
    <w:rsid w:val="00E96433"/>
    <w:rsid w:val="00E96B87"/>
    <w:rsid w:val="00EA1232"/>
    <w:rsid w:val="00EA3698"/>
    <w:rsid w:val="00EA6AF1"/>
    <w:rsid w:val="00EA6FFE"/>
    <w:rsid w:val="00EB0EE1"/>
    <w:rsid w:val="00EB39DF"/>
    <w:rsid w:val="00EB6C48"/>
    <w:rsid w:val="00EC13D2"/>
    <w:rsid w:val="00EC2C57"/>
    <w:rsid w:val="00EC32EC"/>
    <w:rsid w:val="00EC3C89"/>
    <w:rsid w:val="00ED04A9"/>
    <w:rsid w:val="00ED0697"/>
    <w:rsid w:val="00ED0743"/>
    <w:rsid w:val="00ED3D8E"/>
    <w:rsid w:val="00ED76BD"/>
    <w:rsid w:val="00EE0074"/>
    <w:rsid w:val="00EE05B5"/>
    <w:rsid w:val="00EE1697"/>
    <w:rsid w:val="00EE3ABA"/>
    <w:rsid w:val="00EE4752"/>
    <w:rsid w:val="00EE47EB"/>
    <w:rsid w:val="00EE6974"/>
    <w:rsid w:val="00EF1366"/>
    <w:rsid w:val="00EF3670"/>
    <w:rsid w:val="00F0159E"/>
    <w:rsid w:val="00F01B98"/>
    <w:rsid w:val="00F03073"/>
    <w:rsid w:val="00F038B5"/>
    <w:rsid w:val="00F03E83"/>
    <w:rsid w:val="00F1099F"/>
    <w:rsid w:val="00F11D75"/>
    <w:rsid w:val="00F1407B"/>
    <w:rsid w:val="00F14658"/>
    <w:rsid w:val="00F15055"/>
    <w:rsid w:val="00F16466"/>
    <w:rsid w:val="00F21A82"/>
    <w:rsid w:val="00F221FB"/>
    <w:rsid w:val="00F23AF6"/>
    <w:rsid w:val="00F3004A"/>
    <w:rsid w:val="00F30AB4"/>
    <w:rsid w:val="00F323C0"/>
    <w:rsid w:val="00F32E5A"/>
    <w:rsid w:val="00F32FDD"/>
    <w:rsid w:val="00F35347"/>
    <w:rsid w:val="00F36D81"/>
    <w:rsid w:val="00F45787"/>
    <w:rsid w:val="00F503E5"/>
    <w:rsid w:val="00F51FAF"/>
    <w:rsid w:val="00F5210C"/>
    <w:rsid w:val="00F53F97"/>
    <w:rsid w:val="00F57CCC"/>
    <w:rsid w:val="00F60916"/>
    <w:rsid w:val="00F6101F"/>
    <w:rsid w:val="00F64814"/>
    <w:rsid w:val="00F6724C"/>
    <w:rsid w:val="00F7102C"/>
    <w:rsid w:val="00F73CDA"/>
    <w:rsid w:val="00F747D0"/>
    <w:rsid w:val="00F9307E"/>
    <w:rsid w:val="00F93E35"/>
    <w:rsid w:val="00F957C6"/>
    <w:rsid w:val="00F95B8C"/>
    <w:rsid w:val="00FA0A1F"/>
    <w:rsid w:val="00FA3F64"/>
    <w:rsid w:val="00FA74ED"/>
    <w:rsid w:val="00FA74FE"/>
    <w:rsid w:val="00FA77AD"/>
    <w:rsid w:val="00FB050D"/>
    <w:rsid w:val="00FB17C3"/>
    <w:rsid w:val="00FB3838"/>
    <w:rsid w:val="00FB4473"/>
    <w:rsid w:val="00FB4595"/>
    <w:rsid w:val="00FC0A61"/>
    <w:rsid w:val="00FC10AE"/>
    <w:rsid w:val="00FC27EA"/>
    <w:rsid w:val="00FC36D9"/>
    <w:rsid w:val="00FC39F1"/>
    <w:rsid w:val="00FC43F0"/>
    <w:rsid w:val="00FC49D0"/>
    <w:rsid w:val="00FC5BE7"/>
    <w:rsid w:val="00FC5D32"/>
    <w:rsid w:val="00FD0211"/>
    <w:rsid w:val="00FD1B6F"/>
    <w:rsid w:val="00FD2C22"/>
    <w:rsid w:val="00FD68F0"/>
    <w:rsid w:val="00FD7832"/>
    <w:rsid w:val="00FE2C7F"/>
    <w:rsid w:val="00FE600D"/>
    <w:rsid w:val="00FF1E81"/>
    <w:rsid w:val="00FF3BE5"/>
    <w:rsid w:val="00FF5074"/>
    <w:rsid w:val="00FF54F5"/>
    <w:rsid w:val="00FF6295"/>
    <w:rsid w:val="010A96CD"/>
    <w:rsid w:val="011DDF9A"/>
    <w:rsid w:val="01A1BA16"/>
    <w:rsid w:val="01C29489"/>
    <w:rsid w:val="01E1A2B5"/>
    <w:rsid w:val="0215B27D"/>
    <w:rsid w:val="0253751F"/>
    <w:rsid w:val="02A2E2A1"/>
    <w:rsid w:val="02E3DBB9"/>
    <w:rsid w:val="03051D12"/>
    <w:rsid w:val="031DF0A5"/>
    <w:rsid w:val="032D977E"/>
    <w:rsid w:val="03460268"/>
    <w:rsid w:val="034DE4C1"/>
    <w:rsid w:val="0351887C"/>
    <w:rsid w:val="0365F222"/>
    <w:rsid w:val="03C3B373"/>
    <w:rsid w:val="03F7FA98"/>
    <w:rsid w:val="044473B1"/>
    <w:rsid w:val="053B9981"/>
    <w:rsid w:val="0540E691"/>
    <w:rsid w:val="0566AB94"/>
    <w:rsid w:val="05F51D44"/>
    <w:rsid w:val="05F59819"/>
    <w:rsid w:val="061336F0"/>
    <w:rsid w:val="0667025E"/>
    <w:rsid w:val="068C8A0F"/>
    <w:rsid w:val="06B127C8"/>
    <w:rsid w:val="06B5B7F0"/>
    <w:rsid w:val="0726272F"/>
    <w:rsid w:val="073F3805"/>
    <w:rsid w:val="0790E64D"/>
    <w:rsid w:val="07D21C34"/>
    <w:rsid w:val="0808DF24"/>
    <w:rsid w:val="08142E3C"/>
    <w:rsid w:val="08158128"/>
    <w:rsid w:val="081E6A61"/>
    <w:rsid w:val="0843FB0D"/>
    <w:rsid w:val="08580717"/>
    <w:rsid w:val="090A12F8"/>
    <w:rsid w:val="095EAEDA"/>
    <w:rsid w:val="098AF7D0"/>
    <w:rsid w:val="09C07D86"/>
    <w:rsid w:val="09CA6695"/>
    <w:rsid w:val="09D4CD81"/>
    <w:rsid w:val="09FC0D52"/>
    <w:rsid w:val="0A975719"/>
    <w:rsid w:val="0B142550"/>
    <w:rsid w:val="0B73C04C"/>
    <w:rsid w:val="0BEEACBD"/>
    <w:rsid w:val="0C4B8A2C"/>
    <w:rsid w:val="0CC1BCDF"/>
    <w:rsid w:val="0CD10B66"/>
    <w:rsid w:val="0D1D60B5"/>
    <w:rsid w:val="0D98877A"/>
    <w:rsid w:val="0DC71E4F"/>
    <w:rsid w:val="0E4B9C63"/>
    <w:rsid w:val="0E565C3C"/>
    <w:rsid w:val="0EE19523"/>
    <w:rsid w:val="0EFA6F78"/>
    <w:rsid w:val="0EFE084F"/>
    <w:rsid w:val="0F1E1EF3"/>
    <w:rsid w:val="0F2EBA57"/>
    <w:rsid w:val="0F35DE5E"/>
    <w:rsid w:val="0F52458E"/>
    <w:rsid w:val="0FA60B9F"/>
    <w:rsid w:val="0FABC758"/>
    <w:rsid w:val="0FD5C237"/>
    <w:rsid w:val="10111903"/>
    <w:rsid w:val="1014A7C1"/>
    <w:rsid w:val="101C3B0E"/>
    <w:rsid w:val="10260683"/>
    <w:rsid w:val="1030E897"/>
    <w:rsid w:val="107ED88F"/>
    <w:rsid w:val="10CF4F7D"/>
    <w:rsid w:val="10EE6620"/>
    <w:rsid w:val="114104F5"/>
    <w:rsid w:val="115FD783"/>
    <w:rsid w:val="11BEE10F"/>
    <w:rsid w:val="11C6396C"/>
    <w:rsid w:val="11E9A917"/>
    <w:rsid w:val="11EF5523"/>
    <w:rsid w:val="1253CB16"/>
    <w:rsid w:val="12E66F20"/>
    <w:rsid w:val="12E7D7D9"/>
    <w:rsid w:val="131F6FB7"/>
    <w:rsid w:val="136B28A8"/>
    <w:rsid w:val="136CE864"/>
    <w:rsid w:val="13ADF0C3"/>
    <w:rsid w:val="13EA4B47"/>
    <w:rsid w:val="13F0C309"/>
    <w:rsid w:val="13FA94B7"/>
    <w:rsid w:val="1465C81D"/>
    <w:rsid w:val="14859EA0"/>
    <w:rsid w:val="14A8E9A0"/>
    <w:rsid w:val="14D9EA33"/>
    <w:rsid w:val="150607E5"/>
    <w:rsid w:val="15153A4D"/>
    <w:rsid w:val="1521882D"/>
    <w:rsid w:val="15401E42"/>
    <w:rsid w:val="154F201E"/>
    <w:rsid w:val="155033C6"/>
    <w:rsid w:val="15837DCB"/>
    <w:rsid w:val="15A450E2"/>
    <w:rsid w:val="15D7E0F4"/>
    <w:rsid w:val="15FD285B"/>
    <w:rsid w:val="160477CF"/>
    <w:rsid w:val="16156C2E"/>
    <w:rsid w:val="163BA79D"/>
    <w:rsid w:val="1652FFA4"/>
    <w:rsid w:val="169E3C4D"/>
    <w:rsid w:val="169F4258"/>
    <w:rsid w:val="16E25684"/>
    <w:rsid w:val="16FBFB02"/>
    <w:rsid w:val="170A9B38"/>
    <w:rsid w:val="17242D05"/>
    <w:rsid w:val="17EAB618"/>
    <w:rsid w:val="1823FF8D"/>
    <w:rsid w:val="183B1990"/>
    <w:rsid w:val="1882918F"/>
    <w:rsid w:val="189E373F"/>
    <w:rsid w:val="1933EEC6"/>
    <w:rsid w:val="19FD89F4"/>
    <w:rsid w:val="1A053974"/>
    <w:rsid w:val="1A1A9D00"/>
    <w:rsid w:val="1A5000ED"/>
    <w:rsid w:val="1A5E2B18"/>
    <w:rsid w:val="1A6503E8"/>
    <w:rsid w:val="1A81092C"/>
    <w:rsid w:val="1A95658E"/>
    <w:rsid w:val="1A95C1BA"/>
    <w:rsid w:val="1AC93927"/>
    <w:rsid w:val="1B185344"/>
    <w:rsid w:val="1B41C28C"/>
    <w:rsid w:val="1BBB885A"/>
    <w:rsid w:val="1C6D96CD"/>
    <w:rsid w:val="1CA01939"/>
    <w:rsid w:val="1CE2ACF8"/>
    <w:rsid w:val="1CEFCCBF"/>
    <w:rsid w:val="1D0245C2"/>
    <w:rsid w:val="1D088B77"/>
    <w:rsid w:val="1D0A0849"/>
    <w:rsid w:val="1D0F1D1E"/>
    <w:rsid w:val="1D13D435"/>
    <w:rsid w:val="1D2A1525"/>
    <w:rsid w:val="1D6D28A5"/>
    <w:rsid w:val="1D757866"/>
    <w:rsid w:val="1D962B85"/>
    <w:rsid w:val="1DAAF388"/>
    <w:rsid w:val="1DD65028"/>
    <w:rsid w:val="1E4B8B6A"/>
    <w:rsid w:val="1E51408F"/>
    <w:rsid w:val="1ECCE0E8"/>
    <w:rsid w:val="1F074D72"/>
    <w:rsid w:val="1F32C26F"/>
    <w:rsid w:val="1F4F10A7"/>
    <w:rsid w:val="1F55995A"/>
    <w:rsid w:val="1F772571"/>
    <w:rsid w:val="1F85C81A"/>
    <w:rsid w:val="1F8B5B3A"/>
    <w:rsid w:val="1F8F30FE"/>
    <w:rsid w:val="1FB2AF61"/>
    <w:rsid w:val="1FD599F0"/>
    <w:rsid w:val="1FD64D88"/>
    <w:rsid w:val="1FFD0E60"/>
    <w:rsid w:val="2004F4E3"/>
    <w:rsid w:val="206ADD53"/>
    <w:rsid w:val="20EDEE12"/>
    <w:rsid w:val="21B049AB"/>
    <w:rsid w:val="21B92EAA"/>
    <w:rsid w:val="21DAFED8"/>
    <w:rsid w:val="21E34FD0"/>
    <w:rsid w:val="221ED5BB"/>
    <w:rsid w:val="224AFE55"/>
    <w:rsid w:val="225F5FA3"/>
    <w:rsid w:val="22D0BB7F"/>
    <w:rsid w:val="22F13677"/>
    <w:rsid w:val="236461E8"/>
    <w:rsid w:val="23685AB4"/>
    <w:rsid w:val="2382FE45"/>
    <w:rsid w:val="2404D829"/>
    <w:rsid w:val="245A8506"/>
    <w:rsid w:val="246B6D79"/>
    <w:rsid w:val="24B25414"/>
    <w:rsid w:val="24BB07B2"/>
    <w:rsid w:val="24D56CEB"/>
    <w:rsid w:val="24F6DF93"/>
    <w:rsid w:val="254DE296"/>
    <w:rsid w:val="254FFA7A"/>
    <w:rsid w:val="257C485D"/>
    <w:rsid w:val="25A92EDB"/>
    <w:rsid w:val="25C8F355"/>
    <w:rsid w:val="2631A216"/>
    <w:rsid w:val="26C66576"/>
    <w:rsid w:val="26EDBE2B"/>
    <w:rsid w:val="2746B361"/>
    <w:rsid w:val="27754A29"/>
    <w:rsid w:val="27817CA4"/>
    <w:rsid w:val="27C5F2A9"/>
    <w:rsid w:val="27E6DE57"/>
    <w:rsid w:val="27EF9D9E"/>
    <w:rsid w:val="27EFE04F"/>
    <w:rsid w:val="280D4495"/>
    <w:rsid w:val="2842B0B3"/>
    <w:rsid w:val="28614391"/>
    <w:rsid w:val="2895B76C"/>
    <w:rsid w:val="28C5AFFE"/>
    <w:rsid w:val="28CEF631"/>
    <w:rsid w:val="290CBD9E"/>
    <w:rsid w:val="2934F050"/>
    <w:rsid w:val="2953703B"/>
    <w:rsid w:val="2A027D36"/>
    <w:rsid w:val="2A23F176"/>
    <w:rsid w:val="2A2E3AA0"/>
    <w:rsid w:val="2AD149EB"/>
    <w:rsid w:val="2AF2446D"/>
    <w:rsid w:val="2B3A150E"/>
    <w:rsid w:val="2B55CB1E"/>
    <w:rsid w:val="2B88FD0C"/>
    <w:rsid w:val="2C2742DC"/>
    <w:rsid w:val="2C515A06"/>
    <w:rsid w:val="2C731AE7"/>
    <w:rsid w:val="2CDCB38B"/>
    <w:rsid w:val="2D0E05C8"/>
    <w:rsid w:val="2D4DAEBD"/>
    <w:rsid w:val="2D9E321F"/>
    <w:rsid w:val="2E1ACD60"/>
    <w:rsid w:val="2E54093F"/>
    <w:rsid w:val="2E91102A"/>
    <w:rsid w:val="2E97715A"/>
    <w:rsid w:val="2E99E7D1"/>
    <w:rsid w:val="2EACBE2B"/>
    <w:rsid w:val="2EAF0AF0"/>
    <w:rsid w:val="2F4AE8E4"/>
    <w:rsid w:val="2F794297"/>
    <w:rsid w:val="2FC3A3FD"/>
    <w:rsid w:val="3056A14B"/>
    <w:rsid w:val="305D8740"/>
    <w:rsid w:val="30A90B3C"/>
    <w:rsid w:val="30C80A5C"/>
    <w:rsid w:val="30D5984C"/>
    <w:rsid w:val="30DBC3F3"/>
    <w:rsid w:val="31085CB3"/>
    <w:rsid w:val="312302A8"/>
    <w:rsid w:val="3127B391"/>
    <w:rsid w:val="314459D2"/>
    <w:rsid w:val="31D7BBC0"/>
    <w:rsid w:val="3221E9CB"/>
    <w:rsid w:val="32AD2AC2"/>
    <w:rsid w:val="32AEB9FA"/>
    <w:rsid w:val="32CF5879"/>
    <w:rsid w:val="330A5322"/>
    <w:rsid w:val="33267B5B"/>
    <w:rsid w:val="33288243"/>
    <w:rsid w:val="33764991"/>
    <w:rsid w:val="33D037D9"/>
    <w:rsid w:val="3401C243"/>
    <w:rsid w:val="34574C7C"/>
    <w:rsid w:val="349B2862"/>
    <w:rsid w:val="34BB976A"/>
    <w:rsid w:val="34FD77AB"/>
    <w:rsid w:val="35D7278F"/>
    <w:rsid w:val="35EF980C"/>
    <w:rsid w:val="366127B8"/>
    <w:rsid w:val="36753982"/>
    <w:rsid w:val="36818D3E"/>
    <w:rsid w:val="3681984C"/>
    <w:rsid w:val="36A6A487"/>
    <w:rsid w:val="36F2C65F"/>
    <w:rsid w:val="378D4968"/>
    <w:rsid w:val="37AB9789"/>
    <w:rsid w:val="37B0FE92"/>
    <w:rsid w:val="37DE6C55"/>
    <w:rsid w:val="383E4D38"/>
    <w:rsid w:val="384FFA81"/>
    <w:rsid w:val="389AB7AD"/>
    <w:rsid w:val="39A690B2"/>
    <w:rsid w:val="39D60A33"/>
    <w:rsid w:val="39D9C47C"/>
    <w:rsid w:val="39DE8426"/>
    <w:rsid w:val="3A680449"/>
    <w:rsid w:val="3B06FB13"/>
    <w:rsid w:val="3B6AF8DA"/>
    <w:rsid w:val="3B8F6146"/>
    <w:rsid w:val="3BE0D497"/>
    <w:rsid w:val="3C1A3B2D"/>
    <w:rsid w:val="3C5A9957"/>
    <w:rsid w:val="3C60FDDB"/>
    <w:rsid w:val="3CCC784A"/>
    <w:rsid w:val="3CD899A9"/>
    <w:rsid w:val="3D232947"/>
    <w:rsid w:val="3DB22483"/>
    <w:rsid w:val="3E10AAA4"/>
    <w:rsid w:val="3E133BC2"/>
    <w:rsid w:val="3E89633C"/>
    <w:rsid w:val="3EC45913"/>
    <w:rsid w:val="3ED83A70"/>
    <w:rsid w:val="3F39998D"/>
    <w:rsid w:val="3FD2570F"/>
    <w:rsid w:val="3FE22E5E"/>
    <w:rsid w:val="40121421"/>
    <w:rsid w:val="4034276F"/>
    <w:rsid w:val="40EF9CC3"/>
    <w:rsid w:val="411F5387"/>
    <w:rsid w:val="414AD666"/>
    <w:rsid w:val="417DE53C"/>
    <w:rsid w:val="41D2A4DA"/>
    <w:rsid w:val="42198367"/>
    <w:rsid w:val="42410C86"/>
    <w:rsid w:val="42BA5EC1"/>
    <w:rsid w:val="42FAC43B"/>
    <w:rsid w:val="434FA59D"/>
    <w:rsid w:val="435FBD51"/>
    <w:rsid w:val="4364BAA0"/>
    <w:rsid w:val="441675BF"/>
    <w:rsid w:val="4422596F"/>
    <w:rsid w:val="4429A125"/>
    <w:rsid w:val="443889AC"/>
    <w:rsid w:val="44533939"/>
    <w:rsid w:val="4463BEDF"/>
    <w:rsid w:val="4475E023"/>
    <w:rsid w:val="448970FF"/>
    <w:rsid w:val="4528CA9A"/>
    <w:rsid w:val="4585937B"/>
    <w:rsid w:val="45A40AD0"/>
    <w:rsid w:val="45B39559"/>
    <w:rsid w:val="461342BC"/>
    <w:rsid w:val="461E5112"/>
    <w:rsid w:val="46794B09"/>
    <w:rsid w:val="4684EE82"/>
    <w:rsid w:val="46A05BEF"/>
    <w:rsid w:val="46E3D25E"/>
    <w:rsid w:val="4720BA1F"/>
    <w:rsid w:val="474E839F"/>
    <w:rsid w:val="47C78987"/>
    <w:rsid w:val="484BFE26"/>
    <w:rsid w:val="4872FE41"/>
    <w:rsid w:val="4886A61E"/>
    <w:rsid w:val="48A2C64D"/>
    <w:rsid w:val="48DE14CC"/>
    <w:rsid w:val="48F2AB9E"/>
    <w:rsid w:val="4997F578"/>
    <w:rsid w:val="49A26BD7"/>
    <w:rsid w:val="49C3466B"/>
    <w:rsid w:val="4A2EF25A"/>
    <w:rsid w:val="4AFD82CF"/>
    <w:rsid w:val="4B03A126"/>
    <w:rsid w:val="4B266A66"/>
    <w:rsid w:val="4B3E6FCA"/>
    <w:rsid w:val="4B495CA9"/>
    <w:rsid w:val="4BD33365"/>
    <w:rsid w:val="4BD48857"/>
    <w:rsid w:val="4BE0FD86"/>
    <w:rsid w:val="4BFFF7D3"/>
    <w:rsid w:val="4C6835E9"/>
    <w:rsid w:val="4C7DF772"/>
    <w:rsid w:val="4CC79053"/>
    <w:rsid w:val="4CDAC978"/>
    <w:rsid w:val="4CEAC944"/>
    <w:rsid w:val="4CF97AC9"/>
    <w:rsid w:val="4D32D6FE"/>
    <w:rsid w:val="4D34068B"/>
    <w:rsid w:val="4D96F331"/>
    <w:rsid w:val="4DAABC16"/>
    <w:rsid w:val="4DE21905"/>
    <w:rsid w:val="4DED84DD"/>
    <w:rsid w:val="4E0AC77D"/>
    <w:rsid w:val="4E4759FA"/>
    <w:rsid w:val="4EBB6F0E"/>
    <w:rsid w:val="4EEB3E01"/>
    <w:rsid w:val="4F0A19C5"/>
    <w:rsid w:val="4F2ACB8C"/>
    <w:rsid w:val="4FC6DF69"/>
    <w:rsid w:val="4FE9A117"/>
    <w:rsid w:val="50803A29"/>
    <w:rsid w:val="5081F3C9"/>
    <w:rsid w:val="508B0CF3"/>
    <w:rsid w:val="509590DC"/>
    <w:rsid w:val="50A962E8"/>
    <w:rsid w:val="50AF39E6"/>
    <w:rsid w:val="50F45A66"/>
    <w:rsid w:val="5142BD78"/>
    <w:rsid w:val="515C4B4D"/>
    <w:rsid w:val="51A5B43F"/>
    <w:rsid w:val="523218C3"/>
    <w:rsid w:val="523E57BB"/>
    <w:rsid w:val="52E6BAB6"/>
    <w:rsid w:val="53084261"/>
    <w:rsid w:val="5329F1EA"/>
    <w:rsid w:val="53329AC5"/>
    <w:rsid w:val="5349E60F"/>
    <w:rsid w:val="53A03BB8"/>
    <w:rsid w:val="53BE5024"/>
    <w:rsid w:val="53D32964"/>
    <w:rsid w:val="53F68906"/>
    <w:rsid w:val="541C9F2D"/>
    <w:rsid w:val="542A4126"/>
    <w:rsid w:val="5435D2E9"/>
    <w:rsid w:val="543C198D"/>
    <w:rsid w:val="547AB765"/>
    <w:rsid w:val="54ABF93C"/>
    <w:rsid w:val="55097689"/>
    <w:rsid w:val="5526D175"/>
    <w:rsid w:val="553AC521"/>
    <w:rsid w:val="5571491A"/>
    <w:rsid w:val="55919301"/>
    <w:rsid w:val="563E14E7"/>
    <w:rsid w:val="56594916"/>
    <w:rsid w:val="566E60CB"/>
    <w:rsid w:val="5673C852"/>
    <w:rsid w:val="56AEF2EE"/>
    <w:rsid w:val="56DF33A9"/>
    <w:rsid w:val="57DB09F5"/>
    <w:rsid w:val="5819330E"/>
    <w:rsid w:val="581F6911"/>
    <w:rsid w:val="58451E98"/>
    <w:rsid w:val="5885A296"/>
    <w:rsid w:val="58AC7121"/>
    <w:rsid w:val="58D5A1C1"/>
    <w:rsid w:val="5921ACE7"/>
    <w:rsid w:val="59AA1F75"/>
    <w:rsid w:val="5ADD8E71"/>
    <w:rsid w:val="5B15F22A"/>
    <w:rsid w:val="5B72AE6D"/>
    <w:rsid w:val="5BA18526"/>
    <w:rsid w:val="5BBFBF72"/>
    <w:rsid w:val="5C61D415"/>
    <w:rsid w:val="5C868A6C"/>
    <w:rsid w:val="5C9111F4"/>
    <w:rsid w:val="5CAB270E"/>
    <w:rsid w:val="5CCF6F70"/>
    <w:rsid w:val="5CD03FE3"/>
    <w:rsid w:val="5CD8056D"/>
    <w:rsid w:val="5D37ACC3"/>
    <w:rsid w:val="5D3D59D8"/>
    <w:rsid w:val="5D9B705E"/>
    <w:rsid w:val="5DCF9C32"/>
    <w:rsid w:val="5DEF4C24"/>
    <w:rsid w:val="5DFADA93"/>
    <w:rsid w:val="5E1D5BE4"/>
    <w:rsid w:val="5E788DE2"/>
    <w:rsid w:val="5E82748F"/>
    <w:rsid w:val="5E8EC548"/>
    <w:rsid w:val="5E966333"/>
    <w:rsid w:val="5EAFE3D3"/>
    <w:rsid w:val="5EE4BA03"/>
    <w:rsid w:val="5EEDFE8D"/>
    <w:rsid w:val="5F1628AA"/>
    <w:rsid w:val="5F4C92B3"/>
    <w:rsid w:val="5F7A5396"/>
    <w:rsid w:val="5F7D9C00"/>
    <w:rsid w:val="5FDD7609"/>
    <w:rsid w:val="60029CB1"/>
    <w:rsid w:val="600D5828"/>
    <w:rsid w:val="6015DB9E"/>
    <w:rsid w:val="6084F5A3"/>
    <w:rsid w:val="60D76FDC"/>
    <w:rsid w:val="60E7CD1D"/>
    <w:rsid w:val="61051B30"/>
    <w:rsid w:val="61193685"/>
    <w:rsid w:val="611EBA50"/>
    <w:rsid w:val="61664971"/>
    <w:rsid w:val="618B7711"/>
    <w:rsid w:val="62580377"/>
    <w:rsid w:val="62BEAFC7"/>
    <w:rsid w:val="62DA512A"/>
    <w:rsid w:val="635F1CE1"/>
    <w:rsid w:val="636A7DF3"/>
    <w:rsid w:val="646FA89F"/>
    <w:rsid w:val="648BE43A"/>
    <w:rsid w:val="6550B8B1"/>
    <w:rsid w:val="6562F6B6"/>
    <w:rsid w:val="65C3438B"/>
    <w:rsid w:val="65F48033"/>
    <w:rsid w:val="66127DAE"/>
    <w:rsid w:val="6638B2DD"/>
    <w:rsid w:val="665855AB"/>
    <w:rsid w:val="665AF47E"/>
    <w:rsid w:val="665CD07E"/>
    <w:rsid w:val="66AA5F3D"/>
    <w:rsid w:val="66FAB0E6"/>
    <w:rsid w:val="6711B912"/>
    <w:rsid w:val="67286DA7"/>
    <w:rsid w:val="676CB6B7"/>
    <w:rsid w:val="6801859B"/>
    <w:rsid w:val="68846B88"/>
    <w:rsid w:val="689FFEF1"/>
    <w:rsid w:val="68A59799"/>
    <w:rsid w:val="68AFA6E3"/>
    <w:rsid w:val="68C1C2AD"/>
    <w:rsid w:val="68E345C3"/>
    <w:rsid w:val="69061742"/>
    <w:rsid w:val="6940C7ED"/>
    <w:rsid w:val="6951891A"/>
    <w:rsid w:val="69852BA3"/>
    <w:rsid w:val="69E2EC0F"/>
    <w:rsid w:val="6A31EA4D"/>
    <w:rsid w:val="6A3D6B3C"/>
    <w:rsid w:val="6A522FC8"/>
    <w:rsid w:val="6ADC9134"/>
    <w:rsid w:val="6AE9EB2D"/>
    <w:rsid w:val="6B4E44DA"/>
    <w:rsid w:val="6B881D8C"/>
    <w:rsid w:val="6BAA18F4"/>
    <w:rsid w:val="6BB8F718"/>
    <w:rsid w:val="6BBEDA10"/>
    <w:rsid w:val="6C2FB716"/>
    <w:rsid w:val="6C796F94"/>
    <w:rsid w:val="6CBF4FA3"/>
    <w:rsid w:val="6CE1CF47"/>
    <w:rsid w:val="6CFFA4BC"/>
    <w:rsid w:val="6D08485B"/>
    <w:rsid w:val="6D49FC47"/>
    <w:rsid w:val="6D91164A"/>
    <w:rsid w:val="6DC23BE2"/>
    <w:rsid w:val="6DD7A2BB"/>
    <w:rsid w:val="6E850D05"/>
    <w:rsid w:val="6ED0ECE9"/>
    <w:rsid w:val="6F2AE26C"/>
    <w:rsid w:val="6F6C95C5"/>
    <w:rsid w:val="6F9DF58E"/>
    <w:rsid w:val="6FB8CD82"/>
    <w:rsid w:val="6FD93DC4"/>
    <w:rsid w:val="6FE10B01"/>
    <w:rsid w:val="6FE68E5C"/>
    <w:rsid w:val="70193BC4"/>
    <w:rsid w:val="7019C9B6"/>
    <w:rsid w:val="7159E009"/>
    <w:rsid w:val="7277B09F"/>
    <w:rsid w:val="72B812FA"/>
    <w:rsid w:val="72C5504E"/>
    <w:rsid w:val="7321F6F9"/>
    <w:rsid w:val="733177D3"/>
    <w:rsid w:val="734AF285"/>
    <w:rsid w:val="73521331"/>
    <w:rsid w:val="73644DF4"/>
    <w:rsid w:val="7444769E"/>
    <w:rsid w:val="74BAC83B"/>
    <w:rsid w:val="74EA2A7C"/>
    <w:rsid w:val="74F1D39E"/>
    <w:rsid w:val="7504C01E"/>
    <w:rsid w:val="75137AEE"/>
    <w:rsid w:val="7543B27C"/>
    <w:rsid w:val="75806486"/>
    <w:rsid w:val="76284064"/>
    <w:rsid w:val="762E7DB2"/>
    <w:rsid w:val="768AB7B8"/>
    <w:rsid w:val="7717019C"/>
    <w:rsid w:val="77406629"/>
    <w:rsid w:val="77465279"/>
    <w:rsid w:val="785F3F0A"/>
    <w:rsid w:val="78DEA646"/>
    <w:rsid w:val="796A0B3F"/>
    <w:rsid w:val="7980163F"/>
    <w:rsid w:val="799F09E1"/>
    <w:rsid w:val="79A06BA0"/>
    <w:rsid w:val="79ABDE09"/>
    <w:rsid w:val="79E92520"/>
    <w:rsid w:val="79F10B80"/>
    <w:rsid w:val="7A253075"/>
    <w:rsid w:val="7A7AC190"/>
    <w:rsid w:val="7A899A10"/>
    <w:rsid w:val="7AACEC28"/>
    <w:rsid w:val="7AD36D2B"/>
    <w:rsid w:val="7B2B89FA"/>
    <w:rsid w:val="7B2C99D9"/>
    <w:rsid w:val="7B693C6C"/>
    <w:rsid w:val="7B955789"/>
    <w:rsid w:val="7BABA24B"/>
    <w:rsid w:val="7C4CC9C9"/>
    <w:rsid w:val="7CB29D4A"/>
    <w:rsid w:val="7CD86E2C"/>
    <w:rsid w:val="7CEB02D9"/>
    <w:rsid w:val="7CEBEBBE"/>
    <w:rsid w:val="7D3541E8"/>
    <w:rsid w:val="7D38A58E"/>
    <w:rsid w:val="7D414EE4"/>
    <w:rsid w:val="7D425C1E"/>
    <w:rsid w:val="7D76FA53"/>
    <w:rsid w:val="7DB82141"/>
    <w:rsid w:val="7DBB3512"/>
    <w:rsid w:val="7DDAD58F"/>
    <w:rsid w:val="7DF27CD1"/>
    <w:rsid w:val="7DF82822"/>
    <w:rsid w:val="7E22E91C"/>
    <w:rsid w:val="7E2761C4"/>
    <w:rsid w:val="7E357B2F"/>
    <w:rsid w:val="7E3B3EBD"/>
    <w:rsid w:val="7EEEDF9E"/>
    <w:rsid w:val="7EF0D76A"/>
    <w:rsid w:val="7EFB3E86"/>
    <w:rsid w:val="7F0937B3"/>
    <w:rsid w:val="7F5909AD"/>
    <w:rsid w:val="7FA1FC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FB067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635"/>
    <w:pPr>
      <w:spacing w:after="120"/>
    </w:pPr>
    <w:rPr>
      <w:sz w:val="22"/>
    </w:rPr>
  </w:style>
  <w:style w:type="paragraph" w:styleId="Heading1">
    <w:name w:val="heading 1"/>
    <w:basedOn w:val="Normal"/>
    <w:next w:val="Normal"/>
    <w:link w:val="Heading1Char"/>
    <w:uiPriority w:val="2"/>
    <w:qFormat/>
    <w:rsid w:val="00285CAF"/>
    <w:pPr>
      <w:keepNext/>
      <w:keepLines/>
      <w:spacing w:before="360" w:line="240" w:lineRule="auto"/>
      <w:outlineLvl w:val="0"/>
    </w:pPr>
    <w:rPr>
      <w:rFonts w:asciiTheme="majorHAnsi" w:eastAsiaTheme="majorEastAsia" w:hAnsiTheme="majorHAnsi" w:cstheme="majorBidi"/>
      <w:color w:val="192D56" w:themeColor="accent1"/>
      <w:sz w:val="40"/>
      <w:szCs w:val="40"/>
    </w:rPr>
  </w:style>
  <w:style w:type="paragraph" w:styleId="Heading2">
    <w:name w:val="heading 2"/>
    <w:basedOn w:val="Normal"/>
    <w:next w:val="Normal"/>
    <w:link w:val="Heading2Char"/>
    <w:uiPriority w:val="2"/>
    <w:qFormat/>
    <w:rsid w:val="00117A77"/>
    <w:pPr>
      <w:keepNext/>
      <w:keepLines/>
      <w:spacing w:before="240" w:line="240" w:lineRule="auto"/>
      <w:outlineLvl w:val="1"/>
    </w:pPr>
    <w:rPr>
      <w:rFonts w:asciiTheme="majorHAnsi" w:eastAsiaTheme="majorEastAsia" w:hAnsiTheme="majorHAnsi" w:cstheme="majorBidi"/>
      <w:color w:val="192D56" w:themeColor="accent1"/>
      <w:sz w:val="32"/>
      <w:szCs w:val="28"/>
    </w:rPr>
  </w:style>
  <w:style w:type="paragraph" w:styleId="Heading3">
    <w:name w:val="heading 3"/>
    <w:basedOn w:val="Heading4"/>
    <w:next w:val="Normal"/>
    <w:link w:val="Heading3Char"/>
    <w:uiPriority w:val="2"/>
    <w:qFormat/>
    <w:rsid w:val="00FE2C7F"/>
    <w:pPr>
      <w:outlineLvl w:val="2"/>
    </w:pPr>
    <w:rPr>
      <w:color w:val="192D56" w:themeColor="accent1"/>
      <w:sz w:val="26"/>
    </w:rPr>
  </w:style>
  <w:style w:type="paragraph" w:styleId="Heading4">
    <w:name w:val="heading 4"/>
    <w:basedOn w:val="Normal"/>
    <w:next w:val="Normal"/>
    <w:link w:val="Heading4Char"/>
    <w:uiPriority w:val="2"/>
    <w:qFormat/>
    <w:rsid w:val="006200EB"/>
    <w:pPr>
      <w:keepNext/>
      <w:keepLines/>
      <w:spacing w:before="240"/>
      <w:outlineLvl w:val="3"/>
    </w:pPr>
    <w:rPr>
      <w:rFonts w:asciiTheme="majorHAnsi" w:eastAsiaTheme="majorEastAsia" w:hAnsiTheme="majorHAnsi" w:cstheme="majorBidi"/>
      <w:color w:val="3266AB"/>
      <w:szCs w:val="22"/>
    </w:rPr>
  </w:style>
  <w:style w:type="paragraph" w:styleId="Heading5">
    <w:name w:val="heading 5"/>
    <w:basedOn w:val="Normal"/>
    <w:next w:val="Normal"/>
    <w:link w:val="Heading5Char"/>
    <w:uiPriority w:val="2"/>
    <w:unhideWhenUsed/>
    <w:rsid w:val="006200EB"/>
    <w:pPr>
      <w:keepNext/>
      <w:keepLines/>
      <w:spacing w:before="240"/>
      <w:outlineLvl w:val="4"/>
    </w:pPr>
    <w:rPr>
      <w:rFonts w:asciiTheme="majorHAnsi" w:eastAsiaTheme="majorEastAsia" w:hAnsiTheme="majorHAnsi" w:cstheme="majorBidi"/>
      <w:i/>
      <w:iCs/>
      <w:color w:val="3266AB"/>
      <w:szCs w:val="22"/>
    </w:rPr>
  </w:style>
  <w:style w:type="paragraph" w:styleId="Heading6">
    <w:name w:val="heading 6"/>
    <w:basedOn w:val="Normal"/>
    <w:next w:val="Normal"/>
    <w:link w:val="Heading6Char"/>
    <w:uiPriority w:val="2"/>
    <w:unhideWhenUsed/>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2"/>
    <w:unhideWhenUsed/>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2"/>
    <w:unhideWhenUsed/>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2"/>
    <w:unhideWhenUsed/>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12C83"/>
    <w:rPr>
      <w:rFonts w:asciiTheme="majorHAnsi" w:eastAsiaTheme="majorEastAsia" w:hAnsiTheme="majorHAnsi" w:cstheme="majorBidi"/>
      <w:color w:val="192D56" w:themeColor="accent1"/>
      <w:sz w:val="40"/>
      <w:szCs w:val="40"/>
    </w:rPr>
  </w:style>
  <w:style w:type="character" w:customStyle="1" w:styleId="Heading2Char">
    <w:name w:val="Heading 2 Char"/>
    <w:basedOn w:val="DefaultParagraphFont"/>
    <w:link w:val="Heading2"/>
    <w:uiPriority w:val="2"/>
    <w:rsid w:val="00A12C83"/>
    <w:rPr>
      <w:rFonts w:asciiTheme="majorHAnsi" w:eastAsiaTheme="majorEastAsia" w:hAnsiTheme="majorHAnsi" w:cstheme="majorBidi"/>
      <w:color w:val="192D56" w:themeColor="accent1"/>
      <w:sz w:val="32"/>
      <w:szCs w:val="28"/>
    </w:rPr>
  </w:style>
  <w:style w:type="character" w:customStyle="1" w:styleId="Heading4Char">
    <w:name w:val="Heading 4 Char"/>
    <w:basedOn w:val="DefaultParagraphFont"/>
    <w:link w:val="Heading4"/>
    <w:uiPriority w:val="2"/>
    <w:rsid w:val="006200EB"/>
    <w:rPr>
      <w:rFonts w:asciiTheme="majorHAnsi" w:eastAsiaTheme="majorEastAsia" w:hAnsiTheme="majorHAnsi" w:cstheme="majorBidi"/>
      <w:color w:val="3266AB"/>
      <w:sz w:val="22"/>
      <w:szCs w:val="22"/>
    </w:rPr>
  </w:style>
  <w:style w:type="character" w:customStyle="1" w:styleId="Heading3Char">
    <w:name w:val="Heading 3 Char"/>
    <w:basedOn w:val="DefaultParagraphFont"/>
    <w:link w:val="Heading3"/>
    <w:uiPriority w:val="2"/>
    <w:rsid w:val="00A12C83"/>
    <w:rPr>
      <w:rFonts w:asciiTheme="majorHAnsi" w:eastAsiaTheme="majorEastAsia" w:hAnsiTheme="majorHAnsi" w:cstheme="majorBidi"/>
      <w:color w:val="192D56" w:themeColor="accent1"/>
      <w:sz w:val="26"/>
      <w:szCs w:val="22"/>
    </w:rPr>
  </w:style>
  <w:style w:type="character" w:customStyle="1" w:styleId="Heading5Char">
    <w:name w:val="Heading 5 Char"/>
    <w:basedOn w:val="DefaultParagraphFont"/>
    <w:link w:val="Heading5"/>
    <w:uiPriority w:val="2"/>
    <w:rsid w:val="006200EB"/>
    <w:rPr>
      <w:rFonts w:asciiTheme="majorHAnsi" w:eastAsiaTheme="majorEastAsia" w:hAnsiTheme="majorHAnsi" w:cstheme="majorBidi"/>
      <w:i/>
      <w:iCs/>
      <w:color w:val="3266AB"/>
      <w:sz w:val="22"/>
      <w:szCs w:val="22"/>
    </w:rPr>
  </w:style>
  <w:style w:type="character" w:customStyle="1" w:styleId="Heading6Char">
    <w:name w:val="Heading 6 Char"/>
    <w:basedOn w:val="DefaultParagraphFont"/>
    <w:link w:val="Heading6"/>
    <w:uiPriority w:val="2"/>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2"/>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2"/>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2"/>
    <w:rsid w:val="006200EB"/>
    <w:rPr>
      <w:rFonts w:asciiTheme="majorHAnsi" w:eastAsiaTheme="majorEastAsia" w:hAnsiTheme="majorHAnsi" w:cstheme="majorBidi"/>
      <w:i/>
      <w:iCs/>
      <w:color w:val="3266AB"/>
      <w:sz w:val="20"/>
      <w:szCs w:val="2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unhideWhenUsed/>
    <w:qFormat/>
    <w:rsid w:val="00F0159E"/>
    <w:pPr>
      <w:spacing w:line="240" w:lineRule="auto"/>
    </w:pPr>
    <w:rPr>
      <w:rFonts w:ascii="Segoe UI" w:hAnsi="Segoe UI"/>
      <w:bCs/>
      <w:color w:val="3266AB"/>
    </w:rPr>
  </w:style>
  <w:style w:type="character" w:styleId="Strong">
    <w:name w:val="Strong"/>
    <w:basedOn w:val="DefaultParagraphFont"/>
    <w:uiPriority w:val="22"/>
    <w:unhideWhenUsed/>
    <w:qFormat/>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6200EB"/>
    <w:pPr>
      <w:spacing w:before="240"/>
      <w:ind w:left="720" w:right="720"/>
    </w:pPr>
    <w:rPr>
      <w:i/>
      <w:iCs/>
      <w:noProof/>
      <w:color w:val="3266AB"/>
    </w:rPr>
  </w:style>
  <w:style w:type="character" w:customStyle="1" w:styleId="QuoteChar">
    <w:name w:val="Quote Char"/>
    <w:basedOn w:val="DefaultParagraphFont"/>
    <w:link w:val="Quote"/>
    <w:uiPriority w:val="16"/>
    <w:rsid w:val="006200EB"/>
    <w:rPr>
      <w:i/>
      <w:iCs/>
      <w:noProof/>
      <w:color w:val="3266AB"/>
      <w:sz w:val="22"/>
    </w:rPr>
  </w:style>
  <w:style w:type="paragraph" w:styleId="IntenseQuote">
    <w:name w:val="Intense Quote"/>
    <w:basedOn w:val="Normal"/>
    <w:next w:val="Normal"/>
    <w:link w:val="IntenseQuoteChar"/>
    <w:uiPriority w:val="17"/>
    <w:qFormat/>
    <w:rsid w:val="006200EB"/>
    <w:pPr>
      <w:spacing w:before="120" w:line="264" w:lineRule="auto"/>
      <w:ind w:left="720" w:right="720"/>
    </w:pPr>
    <w:rPr>
      <w:rFonts w:asciiTheme="majorHAnsi" w:eastAsiaTheme="majorEastAsia" w:hAnsiTheme="majorHAnsi" w:cstheme="majorBidi"/>
      <w:i/>
      <w:iCs/>
      <w:color w:val="3266AB"/>
      <w:sz w:val="32"/>
      <w:szCs w:val="32"/>
    </w:rPr>
  </w:style>
  <w:style w:type="character" w:customStyle="1" w:styleId="IntenseQuoteChar">
    <w:name w:val="Intense Quote Char"/>
    <w:basedOn w:val="DefaultParagraphFont"/>
    <w:link w:val="IntenseQuote"/>
    <w:uiPriority w:val="17"/>
    <w:rsid w:val="006200EB"/>
    <w:rPr>
      <w:rFonts w:asciiTheme="majorHAnsi" w:eastAsiaTheme="majorEastAsia" w:hAnsiTheme="majorHAnsi" w:cstheme="majorBidi"/>
      <w:i/>
      <w:iCs/>
      <w:color w:val="3266AB"/>
      <w:sz w:val="32"/>
      <w:szCs w:val="32"/>
    </w:rPr>
  </w:style>
  <w:style w:type="character" w:styleId="SubtleEmphasis">
    <w:name w:val="Subtle Emphasis"/>
    <w:basedOn w:val="DefaultParagraphFont"/>
    <w:uiPriority w:val="19"/>
    <w:semiHidden/>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rsid w:val="006200EB"/>
    <w:rPr>
      <w:b/>
      <w:bCs/>
      <w:smallCaps/>
      <w:color w:val="3266AB"/>
    </w:rPr>
  </w:style>
  <w:style w:type="paragraph" w:styleId="TOCHeading">
    <w:name w:val="TOC Heading"/>
    <w:basedOn w:val="Heading1"/>
    <w:next w:val="Normal"/>
    <w:uiPriority w:val="39"/>
    <w:unhideWhenUsed/>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C7A05"/>
    <w:pPr>
      <w:jc w:val="center"/>
    </w:pPr>
    <w:rPr>
      <w:rFonts w:ascii="Segoe UI" w:hAnsi="Segoe UI"/>
      <w:caps/>
      <w:color w:val="C00000"/>
      <w:sz w:val="18"/>
    </w:rPr>
  </w:style>
  <w:style w:type="character" w:customStyle="1" w:styleId="CLASSIFICATIONChar">
    <w:name w:val="CLASSIFICATION Char"/>
    <w:basedOn w:val="DefaultParagraphFont"/>
    <w:link w:val="CLASSIFICATION"/>
    <w:uiPriority w:val="99"/>
    <w:rsid w:val="00E2753F"/>
    <w:rPr>
      <w:rFonts w:ascii="Segoe UI" w:hAnsi="Segoe UI"/>
      <w:caps/>
      <w:color w:val="C00000"/>
      <w:sz w:val="18"/>
    </w:rPr>
  </w:style>
  <w:style w:type="paragraph" w:customStyle="1" w:styleId="BOXHeading2">
    <w:name w:val="BOX Heading 2"/>
    <w:basedOn w:val="Heading2"/>
    <w:next w:val="BOXText"/>
    <w:uiPriority w:val="6"/>
    <w:qFormat/>
    <w:rsid w:val="004C17DE"/>
    <w:pPr>
      <w:pBdr>
        <w:top w:val="single" w:sz="48" w:space="1" w:color="E0E8F2"/>
        <w:left w:val="single" w:sz="48" w:space="4" w:color="E0E8F2"/>
        <w:bottom w:val="single" w:sz="48" w:space="1" w:color="E0E8F2"/>
        <w:right w:val="single" w:sz="48" w:space="4" w:color="E0E8F2"/>
      </w:pBdr>
      <w:shd w:val="clear" w:color="auto" w:fill="E0E8F2"/>
      <w:ind w:left="227" w:right="227"/>
    </w:pPr>
    <w:rPr>
      <w:noProof/>
    </w:rPr>
  </w:style>
  <w:style w:type="paragraph" w:customStyle="1" w:styleId="BOXText">
    <w:name w:val="BOX Text"/>
    <w:basedOn w:val="Normal"/>
    <w:uiPriority w:val="4"/>
    <w:qFormat/>
    <w:rsid w:val="004C17DE"/>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pPr>
    <w:rPr>
      <w:noProof/>
    </w:rPr>
  </w:style>
  <w:style w:type="paragraph" w:customStyle="1" w:styleId="BOXBulletedList">
    <w:name w:val="BOX Bulleted List"/>
    <w:basedOn w:val="BOXText"/>
    <w:uiPriority w:val="5"/>
    <w:qFormat/>
    <w:rsid w:val="00FE2C7F"/>
    <w:pPr>
      <w:numPr>
        <w:numId w:val="12"/>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4570C9" w:themeColor="accent1" w:themeTint="99"/>
        <w:left w:val="single" w:sz="4" w:space="0" w:color="4570C9" w:themeColor="accent1" w:themeTint="99"/>
        <w:bottom w:val="single" w:sz="4" w:space="0" w:color="4570C9" w:themeColor="accent1" w:themeTint="99"/>
        <w:right w:val="single" w:sz="4" w:space="0" w:color="4570C9" w:themeColor="accent1" w:themeTint="99"/>
        <w:insideH w:val="single" w:sz="4" w:space="0" w:color="4570C9" w:themeColor="accent1" w:themeTint="99"/>
      </w:tblBorders>
    </w:tblPr>
    <w:tblStylePr w:type="firstRow">
      <w:rPr>
        <w:b/>
        <w:bCs/>
        <w:color w:val="FFFFFF" w:themeColor="background1"/>
      </w:rPr>
      <w:tblPr/>
      <w:tcPr>
        <w:tcBorders>
          <w:top w:val="single" w:sz="4" w:space="0" w:color="192D56" w:themeColor="accent1"/>
          <w:left w:val="single" w:sz="4" w:space="0" w:color="192D56" w:themeColor="accent1"/>
          <w:bottom w:val="single" w:sz="4" w:space="0" w:color="192D56" w:themeColor="accent1"/>
          <w:right w:val="single" w:sz="4" w:space="0" w:color="192D56" w:themeColor="accent1"/>
          <w:insideH w:val="nil"/>
        </w:tcBorders>
        <w:shd w:val="clear" w:color="auto" w:fill="192D56" w:themeFill="accent1"/>
      </w:tcPr>
    </w:tblStylePr>
    <w:tblStylePr w:type="lastRow">
      <w:rPr>
        <w:b/>
        <w:bCs/>
      </w:rPr>
      <w:tblPr/>
      <w:tcPr>
        <w:tcBorders>
          <w:top w:val="double" w:sz="4" w:space="0" w:color="4570C9" w:themeColor="accent1" w:themeTint="99"/>
        </w:tcBorders>
      </w:tcPr>
    </w:tblStylePr>
    <w:tblStylePr w:type="firstCol">
      <w:rPr>
        <w:b/>
        <w:bCs/>
      </w:rPr>
    </w:tblStylePr>
    <w:tblStylePr w:type="lastCol">
      <w:rPr>
        <w:b/>
        <w:bCs/>
      </w:rPr>
    </w:tblStylePr>
    <w:tblStylePr w:type="band1Vert">
      <w:tblPr/>
      <w:tcPr>
        <w:shd w:val="clear" w:color="auto" w:fill="C1CFED" w:themeFill="accent1" w:themeFillTint="33"/>
      </w:tcPr>
    </w:tblStylePr>
    <w:tblStylePr w:type="band1Horz">
      <w:tblPr/>
      <w:tcPr>
        <w:shd w:val="clear" w:color="auto" w:fill="C1CFED" w:themeFill="accent1" w:themeFillTint="33"/>
      </w:tcPr>
    </w:tblStylePr>
  </w:style>
  <w:style w:type="paragraph" w:customStyle="1" w:styleId="Figure">
    <w:name w:val="Figure"/>
    <w:basedOn w:val="Normal"/>
    <w:uiPriority w:val="2"/>
    <w:qFormat/>
    <w:rsid w:val="006200EB"/>
    <w:pPr>
      <w:numPr>
        <w:numId w:val="21"/>
      </w:numPr>
      <w:spacing w:before="240"/>
    </w:pPr>
    <w:rPr>
      <w:rFonts w:ascii="Segoe UI" w:hAnsi="Segoe UI" w:cs="Segoe UI"/>
      <w:noProof/>
      <w:color w:val="3266AB"/>
    </w:rPr>
  </w:style>
  <w:style w:type="paragraph" w:customStyle="1" w:styleId="TBLHeading">
    <w:name w:val="TBL Heading"/>
    <w:basedOn w:val="Normal"/>
    <w:autoRedefine/>
    <w:uiPriority w:val="11"/>
    <w:qFormat/>
    <w:rsid w:val="007F69F4"/>
    <w:pPr>
      <w:spacing w:line="240" w:lineRule="auto"/>
      <w:jc w:val="center"/>
    </w:pPr>
    <w:rPr>
      <w:rFonts w:ascii="Segoe UI" w:hAnsi="Segoe UI" w:cs="Segoe UI"/>
      <w:b/>
      <w:bCs/>
      <w:noProof/>
      <w:color w:val="FFFFFF" w:themeColor="background1"/>
      <w:sz w:val="16"/>
    </w:rPr>
  </w:style>
  <w:style w:type="paragraph" w:customStyle="1" w:styleId="TBLText">
    <w:name w:val="TBL Text"/>
    <w:basedOn w:val="Normal"/>
    <w:uiPriority w:val="9"/>
    <w:qFormat/>
    <w:rsid w:val="006E170D"/>
    <w:pPr>
      <w:spacing w:line="240" w:lineRule="auto"/>
    </w:pPr>
    <w:rPr>
      <w:noProof/>
      <w:sz w:val="18"/>
      <w:szCs w:val="18"/>
    </w:rPr>
  </w:style>
  <w:style w:type="paragraph" w:customStyle="1" w:styleId="TBLBulletedList">
    <w:name w:val="TBL Bulleted List"/>
    <w:basedOn w:val="TBLText"/>
    <w:uiPriority w:val="10"/>
    <w:qFormat/>
    <w:rsid w:val="00374D2A"/>
    <w:pPr>
      <w:numPr>
        <w:numId w:val="13"/>
      </w:numPr>
      <w:ind w:left="357" w:hanging="357"/>
    </w:pPr>
  </w:style>
  <w:style w:type="paragraph" w:customStyle="1" w:styleId="TBLNumberedList">
    <w:name w:val="TBL Numbered List"/>
    <w:basedOn w:val="TBLText"/>
    <w:uiPriority w:val="10"/>
    <w:qFormat/>
    <w:rsid w:val="00374D2A"/>
    <w:pPr>
      <w:numPr>
        <w:numId w:val="14"/>
      </w:numPr>
      <w:ind w:left="357" w:hanging="357"/>
    </w:pPr>
  </w:style>
  <w:style w:type="paragraph" w:customStyle="1" w:styleId="BOXHeading3">
    <w:name w:val="BOX Heading 3"/>
    <w:basedOn w:val="BOXHeading2"/>
    <w:next w:val="BOXText"/>
    <w:uiPriority w:val="6"/>
    <w:qFormat/>
    <w:rsid w:val="00FE2C7F"/>
    <w:pPr>
      <w:outlineLvl w:val="2"/>
    </w:pPr>
    <w:rPr>
      <w:sz w:val="26"/>
      <w:szCs w:val="26"/>
    </w:rPr>
  </w:style>
  <w:style w:type="paragraph" w:styleId="ListParagraph">
    <w:name w:val="List Paragraph"/>
    <w:basedOn w:val="Normal"/>
    <w:uiPriority w:val="34"/>
    <w:unhideWhenUsed/>
    <w:qFormat/>
    <w:rsid w:val="005917FD"/>
    <w:pPr>
      <w:ind w:left="720"/>
      <w:contextualSpacing/>
    </w:pPr>
  </w:style>
  <w:style w:type="paragraph" w:customStyle="1" w:styleId="BulletedList-Level1">
    <w:name w:val="Bulleted List - Level 1"/>
    <w:basedOn w:val="ListParagraph"/>
    <w:uiPriority w:val="1"/>
    <w:qFormat/>
    <w:rsid w:val="00962EE8"/>
    <w:pPr>
      <w:numPr>
        <w:numId w:val="15"/>
      </w:numPr>
      <w:ind w:left="568" w:hanging="284"/>
    </w:pPr>
  </w:style>
  <w:style w:type="paragraph" w:customStyle="1" w:styleId="BulletedList-Level2">
    <w:name w:val="Bulleted List - Level 2"/>
    <w:basedOn w:val="BulletedList-Level1"/>
    <w:uiPriority w:val="1"/>
    <w:qFormat/>
    <w:rsid w:val="00962EE8"/>
    <w:pPr>
      <w:numPr>
        <w:numId w:val="19"/>
      </w:numPr>
    </w:pPr>
  </w:style>
  <w:style w:type="paragraph" w:customStyle="1" w:styleId="BulletedList-Level3">
    <w:name w:val="Bulleted List - Level 3"/>
    <w:basedOn w:val="ListParagraph"/>
    <w:uiPriority w:val="1"/>
    <w:qFormat/>
    <w:rsid w:val="00962EE8"/>
    <w:pPr>
      <w:numPr>
        <w:numId w:val="20"/>
      </w:numPr>
      <w:ind w:left="1135" w:hanging="284"/>
    </w:pPr>
  </w:style>
  <w:style w:type="paragraph" w:customStyle="1" w:styleId="NumberedList-Level1">
    <w:name w:val="Numbered List - Level 1"/>
    <w:basedOn w:val="ListParagraph"/>
    <w:uiPriority w:val="1"/>
    <w:qFormat/>
    <w:rsid w:val="00962EE8"/>
    <w:pPr>
      <w:numPr>
        <w:numId w:val="16"/>
      </w:numPr>
      <w:ind w:left="568" w:hanging="284"/>
    </w:pPr>
  </w:style>
  <w:style w:type="paragraph" w:customStyle="1" w:styleId="NumberedList-level2">
    <w:name w:val="Numbered List - level 2"/>
    <w:basedOn w:val="ListParagraph"/>
    <w:uiPriority w:val="1"/>
    <w:qFormat/>
    <w:rsid w:val="00962EE8"/>
    <w:pPr>
      <w:numPr>
        <w:ilvl w:val="1"/>
        <w:numId w:val="16"/>
      </w:numPr>
    </w:pPr>
  </w:style>
  <w:style w:type="paragraph" w:customStyle="1" w:styleId="NumberedList-Level3">
    <w:name w:val="Numbered List - Level 3"/>
    <w:basedOn w:val="ListParagraph"/>
    <w:uiPriority w:val="1"/>
    <w:qFormat/>
    <w:rsid w:val="00962EE8"/>
    <w:pPr>
      <w:numPr>
        <w:ilvl w:val="2"/>
        <w:numId w:val="16"/>
      </w:numPr>
    </w:pPr>
  </w:style>
  <w:style w:type="paragraph" w:customStyle="1" w:styleId="BoxDark-HeadingLevel1">
    <w:name w:val="Box Dark - Heading Level 1"/>
    <w:basedOn w:val="BOXHeading2"/>
    <w:uiPriority w:val="9"/>
    <w:rsid w:val="00311C2D"/>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color w:val="FFFFFF" w:themeColor="background1"/>
    </w:r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117A77"/>
    <w:rPr>
      <w:color w:val="1B375C" w:themeColor="hyperlink"/>
      <w:u w:val="single"/>
    </w:rPr>
  </w:style>
  <w:style w:type="paragraph" w:customStyle="1" w:styleId="BoxDark-HeadingLevel3">
    <w:name w:val="Box Dark - Heading Level 3"/>
    <w:basedOn w:val="BOXHeading3"/>
    <w:uiPriority w:val="9"/>
    <w:rsid w:val="00311C2D"/>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color w:val="FFFFFF" w:themeColor="background1"/>
    </w:rPr>
  </w:style>
  <w:style w:type="paragraph" w:customStyle="1" w:styleId="BoxDark-Text">
    <w:name w:val="Box Dark - Text"/>
    <w:basedOn w:val="BOXText"/>
    <w:uiPriority w:val="7"/>
    <w:rsid w:val="00FE2C7F"/>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rFonts w:ascii="Segoe UI Semilight" w:hAnsi="Segoe UI Semilight"/>
    </w:rPr>
  </w:style>
  <w:style w:type="paragraph" w:customStyle="1" w:styleId="BOXNumberedList">
    <w:name w:val="BOX Numbered List"/>
    <w:basedOn w:val="BOXText"/>
    <w:uiPriority w:val="5"/>
    <w:qFormat/>
    <w:rsid w:val="00FE2C7F"/>
    <w:pPr>
      <w:numPr>
        <w:numId w:val="17"/>
      </w:numPr>
      <w:ind w:left="584" w:hanging="357"/>
    </w:pPr>
  </w:style>
  <w:style w:type="paragraph" w:customStyle="1" w:styleId="BoxDark-NumberedList">
    <w:name w:val="Box Dark - Numbered List"/>
    <w:basedOn w:val="BOXNumberedList"/>
    <w:uiPriority w:val="8"/>
    <w:rsid w:val="00FE2C7F"/>
    <w:pPr>
      <w:numPr>
        <w:numId w:val="18"/>
      </w:num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ind w:left="584" w:hanging="357"/>
    </w:pPr>
  </w:style>
  <w:style w:type="paragraph" w:styleId="BodyText">
    <w:name w:val="Body Text"/>
    <w:basedOn w:val="Normal"/>
    <w:link w:val="BodyTextChar"/>
    <w:uiPriority w:val="1"/>
    <w:qFormat/>
    <w:rsid w:val="00AD2778"/>
    <w:pPr>
      <w:widowControl w:val="0"/>
      <w:autoSpaceDE w:val="0"/>
      <w:autoSpaceDN w:val="0"/>
      <w:spacing w:after="0" w:line="240" w:lineRule="auto"/>
    </w:pPr>
    <w:rPr>
      <w:rFonts w:ascii="Arial" w:eastAsia="Arial" w:hAnsi="Arial" w:cs="Arial"/>
      <w:sz w:val="18"/>
      <w:szCs w:val="18"/>
      <w:lang w:eastAsia="en-AU" w:bidi="en-AU"/>
    </w:rPr>
  </w:style>
  <w:style w:type="character" w:customStyle="1" w:styleId="BodyTextChar">
    <w:name w:val="Body Text Char"/>
    <w:basedOn w:val="DefaultParagraphFont"/>
    <w:link w:val="BodyText"/>
    <w:uiPriority w:val="1"/>
    <w:rsid w:val="00AD2778"/>
    <w:rPr>
      <w:rFonts w:ascii="Arial" w:eastAsia="Arial" w:hAnsi="Arial" w:cs="Arial"/>
      <w:sz w:val="18"/>
      <w:szCs w:val="18"/>
      <w:lang w:eastAsia="en-AU" w:bidi="en-AU"/>
    </w:rPr>
  </w:style>
  <w:style w:type="paragraph" w:styleId="NormalWeb">
    <w:name w:val="Normal (Web)"/>
    <w:basedOn w:val="Normal"/>
    <w:uiPriority w:val="99"/>
    <w:unhideWhenUsed/>
    <w:rsid w:val="00AD27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eld">
    <w:name w:val="field"/>
    <w:basedOn w:val="DefaultParagraphFont"/>
    <w:rsid w:val="00691CC6"/>
  </w:style>
  <w:style w:type="paragraph" w:styleId="TOC4">
    <w:name w:val="toc 4"/>
    <w:basedOn w:val="Normal"/>
    <w:next w:val="Normal"/>
    <w:autoRedefine/>
    <w:uiPriority w:val="39"/>
    <w:unhideWhenUsed/>
    <w:rsid w:val="00C065ED"/>
    <w:pPr>
      <w:spacing w:after="100" w:line="259" w:lineRule="auto"/>
      <w:ind w:left="660"/>
    </w:pPr>
    <w:rPr>
      <w:szCs w:val="22"/>
      <w:lang w:eastAsia="en-AU"/>
    </w:rPr>
  </w:style>
  <w:style w:type="paragraph" w:styleId="TOC5">
    <w:name w:val="toc 5"/>
    <w:basedOn w:val="Normal"/>
    <w:next w:val="Normal"/>
    <w:autoRedefine/>
    <w:uiPriority w:val="39"/>
    <w:unhideWhenUsed/>
    <w:rsid w:val="00C065ED"/>
    <w:pPr>
      <w:spacing w:after="100" w:line="259" w:lineRule="auto"/>
      <w:ind w:left="880"/>
    </w:pPr>
    <w:rPr>
      <w:szCs w:val="22"/>
      <w:lang w:eastAsia="en-AU"/>
    </w:rPr>
  </w:style>
  <w:style w:type="paragraph" w:styleId="TOC6">
    <w:name w:val="toc 6"/>
    <w:basedOn w:val="Normal"/>
    <w:next w:val="Normal"/>
    <w:autoRedefine/>
    <w:uiPriority w:val="39"/>
    <w:unhideWhenUsed/>
    <w:rsid w:val="00C065ED"/>
    <w:pPr>
      <w:spacing w:after="100" w:line="259" w:lineRule="auto"/>
      <w:ind w:left="1100"/>
    </w:pPr>
    <w:rPr>
      <w:szCs w:val="22"/>
      <w:lang w:eastAsia="en-AU"/>
    </w:rPr>
  </w:style>
  <w:style w:type="paragraph" w:styleId="TOC7">
    <w:name w:val="toc 7"/>
    <w:basedOn w:val="Normal"/>
    <w:next w:val="Normal"/>
    <w:autoRedefine/>
    <w:uiPriority w:val="39"/>
    <w:unhideWhenUsed/>
    <w:rsid w:val="00C065ED"/>
    <w:pPr>
      <w:spacing w:after="100" w:line="259" w:lineRule="auto"/>
      <w:ind w:left="1320"/>
    </w:pPr>
    <w:rPr>
      <w:szCs w:val="22"/>
      <w:lang w:eastAsia="en-AU"/>
    </w:rPr>
  </w:style>
  <w:style w:type="paragraph" w:styleId="TOC8">
    <w:name w:val="toc 8"/>
    <w:basedOn w:val="Normal"/>
    <w:next w:val="Normal"/>
    <w:autoRedefine/>
    <w:uiPriority w:val="39"/>
    <w:unhideWhenUsed/>
    <w:rsid w:val="00C065ED"/>
    <w:pPr>
      <w:spacing w:after="100" w:line="259" w:lineRule="auto"/>
      <w:ind w:left="1540"/>
    </w:pPr>
    <w:rPr>
      <w:szCs w:val="22"/>
      <w:lang w:eastAsia="en-AU"/>
    </w:rPr>
  </w:style>
  <w:style w:type="paragraph" w:styleId="TOC9">
    <w:name w:val="toc 9"/>
    <w:basedOn w:val="Normal"/>
    <w:next w:val="Normal"/>
    <w:autoRedefine/>
    <w:uiPriority w:val="39"/>
    <w:unhideWhenUsed/>
    <w:rsid w:val="00C065ED"/>
    <w:pPr>
      <w:spacing w:after="100" w:line="259" w:lineRule="auto"/>
      <w:ind w:left="1760"/>
    </w:pPr>
    <w:rPr>
      <w:szCs w:val="22"/>
      <w:lang w:eastAsia="en-AU"/>
    </w:rPr>
  </w:style>
  <w:style w:type="character" w:customStyle="1" w:styleId="ui-provider">
    <w:name w:val="ui-provider"/>
    <w:basedOn w:val="DefaultParagraphFont"/>
    <w:rsid w:val="00ED04A9"/>
  </w:style>
  <w:style w:type="character" w:styleId="CommentReference">
    <w:name w:val="annotation reference"/>
    <w:basedOn w:val="DefaultParagraphFont"/>
    <w:uiPriority w:val="99"/>
    <w:semiHidden/>
    <w:unhideWhenUsed/>
    <w:rsid w:val="00432D94"/>
    <w:rPr>
      <w:sz w:val="16"/>
      <w:szCs w:val="16"/>
    </w:rPr>
  </w:style>
  <w:style w:type="paragraph" w:styleId="CommentText">
    <w:name w:val="annotation text"/>
    <w:basedOn w:val="Normal"/>
    <w:link w:val="CommentTextChar"/>
    <w:uiPriority w:val="99"/>
    <w:unhideWhenUsed/>
    <w:rsid w:val="00432D94"/>
    <w:pPr>
      <w:spacing w:line="240" w:lineRule="auto"/>
    </w:pPr>
    <w:rPr>
      <w:sz w:val="20"/>
      <w:szCs w:val="20"/>
    </w:rPr>
  </w:style>
  <w:style w:type="character" w:customStyle="1" w:styleId="CommentTextChar">
    <w:name w:val="Comment Text Char"/>
    <w:basedOn w:val="DefaultParagraphFont"/>
    <w:link w:val="CommentText"/>
    <w:uiPriority w:val="99"/>
    <w:rsid w:val="00432D94"/>
    <w:rPr>
      <w:sz w:val="20"/>
      <w:szCs w:val="20"/>
    </w:rPr>
  </w:style>
  <w:style w:type="paragraph" w:styleId="CommentSubject">
    <w:name w:val="annotation subject"/>
    <w:basedOn w:val="CommentText"/>
    <w:next w:val="CommentText"/>
    <w:link w:val="CommentSubjectChar"/>
    <w:uiPriority w:val="99"/>
    <w:semiHidden/>
    <w:unhideWhenUsed/>
    <w:rsid w:val="00432D94"/>
    <w:rPr>
      <w:b/>
      <w:bCs/>
    </w:rPr>
  </w:style>
  <w:style w:type="character" w:customStyle="1" w:styleId="CommentSubjectChar">
    <w:name w:val="Comment Subject Char"/>
    <w:basedOn w:val="CommentTextChar"/>
    <w:link w:val="CommentSubject"/>
    <w:uiPriority w:val="99"/>
    <w:semiHidden/>
    <w:rsid w:val="00432D94"/>
    <w:rPr>
      <w:b/>
      <w:bCs/>
      <w:sz w:val="20"/>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sid w:val="004C1F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1F82"/>
    <w:rPr>
      <w:sz w:val="20"/>
      <w:szCs w:val="20"/>
    </w:rPr>
  </w:style>
  <w:style w:type="paragraph" w:customStyle="1" w:styleId="TBLFootnote">
    <w:name w:val="TBL Footnote"/>
    <w:basedOn w:val="Normal"/>
    <w:link w:val="TBLFootnoteChar"/>
    <w:uiPriority w:val="1"/>
    <w:qFormat/>
    <w:rsid w:val="00993B3C"/>
    <w:pPr>
      <w:spacing w:line="240" w:lineRule="auto"/>
      <w:contextualSpacing/>
    </w:pPr>
    <w:rPr>
      <w:sz w:val="14"/>
      <w:szCs w:val="14"/>
    </w:rPr>
  </w:style>
  <w:style w:type="character" w:customStyle="1" w:styleId="TBLFootnoteChar">
    <w:name w:val="TBL Footnote Char"/>
    <w:basedOn w:val="DefaultParagraphFont"/>
    <w:link w:val="TBLFootnote"/>
    <w:uiPriority w:val="1"/>
    <w:rsid w:val="00993B3C"/>
    <w:rPr>
      <w:sz w:val="14"/>
      <w:szCs w:val="14"/>
    </w:rPr>
  </w:style>
  <w:style w:type="character" w:styleId="FollowedHyperlink">
    <w:name w:val="FollowedHyperlink"/>
    <w:basedOn w:val="DefaultParagraphFont"/>
    <w:uiPriority w:val="99"/>
    <w:semiHidden/>
    <w:unhideWhenUsed/>
    <w:rsid w:val="000637DB"/>
    <w:rPr>
      <w:color w:val="1B375C" w:themeColor="followedHyperlink"/>
      <w:u w:val="single"/>
    </w:rPr>
  </w:style>
  <w:style w:type="paragraph" w:styleId="Revision">
    <w:name w:val="Revision"/>
    <w:hidden/>
    <w:uiPriority w:val="99"/>
    <w:semiHidden/>
    <w:rsid w:val="00DD12C2"/>
    <w:pPr>
      <w:spacing w:after="0" w:line="240"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792">
      <w:bodyDiv w:val="1"/>
      <w:marLeft w:val="0"/>
      <w:marRight w:val="0"/>
      <w:marTop w:val="0"/>
      <w:marBottom w:val="0"/>
      <w:divBdr>
        <w:top w:val="none" w:sz="0" w:space="0" w:color="auto"/>
        <w:left w:val="none" w:sz="0" w:space="0" w:color="auto"/>
        <w:bottom w:val="none" w:sz="0" w:space="0" w:color="auto"/>
        <w:right w:val="none" w:sz="0" w:space="0" w:color="auto"/>
      </w:divBdr>
    </w:div>
    <w:div w:id="4669717">
      <w:bodyDiv w:val="1"/>
      <w:marLeft w:val="0"/>
      <w:marRight w:val="0"/>
      <w:marTop w:val="0"/>
      <w:marBottom w:val="0"/>
      <w:divBdr>
        <w:top w:val="none" w:sz="0" w:space="0" w:color="auto"/>
        <w:left w:val="none" w:sz="0" w:space="0" w:color="auto"/>
        <w:bottom w:val="none" w:sz="0" w:space="0" w:color="auto"/>
        <w:right w:val="none" w:sz="0" w:space="0" w:color="auto"/>
      </w:divBdr>
    </w:div>
    <w:div w:id="11609059">
      <w:bodyDiv w:val="1"/>
      <w:marLeft w:val="0"/>
      <w:marRight w:val="0"/>
      <w:marTop w:val="0"/>
      <w:marBottom w:val="0"/>
      <w:divBdr>
        <w:top w:val="none" w:sz="0" w:space="0" w:color="auto"/>
        <w:left w:val="none" w:sz="0" w:space="0" w:color="auto"/>
        <w:bottom w:val="none" w:sz="0" w:space="0" w:color="auto"/>
        <w:right w:val="none" w:sz="0" w:space="0" w:color="auto"/>
      </w:divBdr>
    </w:div>
    <w:div w:id="18548435">
      <w:bodyDiv w:val="1"/>
      <w:marLeft w:val="0"/>
      <w:marRight w:val="0"/>
      <w:marTop w:val="0"/>
      <w:marBottom w:val="0"/>
      <w:divBdr>
        <w:top w:val="none" w:sz="0" w:space="0" w:color="auto"/>
        <w:left w:val="none" w:sz="0" w:space="0" w:color="auto"/>
        <w:bottom w:val="none" w:sz="0" w:space="0" w:color="auto"/>
        <w:right w:val="none" w:sz="0" w:space="0" w:color="auto"/>
      </w:divBdr>
    </w:div>
    <w:div w:id="27028971">
      <w:bodyDiv w:val="1"/>
      <w:marLeft w:val="0"/>
      <w:marRight w:val="0"/>
      <w:marTop w:val="0"/>
      <w:marBottom w:val="0"/>
      <w:divBdr>
        <w:top w:val="none" w:sz="0" w:space="0" w:color="auto"/>
        <w:left w:val="none" w:sz="0" w:space="0" w:color="auto"/>
        <w:bottom w:val="none" w:sz="0" w:space="0" w:color="auto"/>
        <w:right w:val="none" w:sz="0" w:space="0" w:color="auto"/>
      </w:divBdr>
    </w:div>
    <w:div w:id="29261790">
      <w:bodyDiv w:val="1"/>
      <w:marLeft w:val="0"/>
      <w:marRight w:val="0"/>
      <w:marTop w:val="0"/>
      <w:marBottom w:val="0"/>
      <w:divBdr>
        <w:top w:val="none" w:sz="0" w:space="0" w:color="auto"/>
        <w:left w:val="none" w:sz="0" w:space="0" w:color="auto"/>
        <w:bottom w:val="none" w:sz="0" w:space="0" w:color="auto"/>
        <w:right w:val="none" w:sz="0" w:space="0" w:color="auto"/>
      </w:divBdr>
    </w:div>
    <w:div w:id="55473454">
      <w:bodyDiv w:val="1"/>
      <w:marLeft w:val="0"/>
      <w:marRight w:val="0"/>
      <w:marTop w:val="0"/>
      <w:marBottom w:val="0"/>
      <w:divBdr>
        <w:top w:val="none" w:sz="0" w:space="0" w:color="auto"/>
        <w:left w:val="none" w:sz="0" w:space="0" w:color="auto"/>
        <w:bottom w:val="none" w:sz="0" w:space="0" w:color="auto"/>
        <w:right w:val="none" w:sz="0" w:space="0" w:color="auto"/>
      </w:divBdr>
    </w:div>
    <w:div w:id="55931410">
      <w:bodyDiv w:val="1"/>
      <w:marLeft w:val="0"/>
      <w:marRight w:val="0"/>
      <w:marTop w:val="0"/>
      <w:marBottom w:val="0"/>
      <w:divBdr>
        <w:top w:val="none" w:sz="0" w:space="0" w:color="auto"/>
        <w:left w:val="none" w:sz="0" w:space="0" w:color="auto"/>
        <w:bottom w:val="none" w:sz="0" w:space="0" w:color="auto"/>
        <w:right w:val="none" w:sz="0" w:space="0" w:color="auto"/>
      </w:divBdr>
    </w:div>
    <w:div w:id="112600469">
      <w:bodyDiv w:val="1"/>
      <w:marLeft w:val="0"/>
      <w:marRight w:val="0"/>
      <w:marTop w:val="0"/>
      <w:marBottom w:val="0"/>
      <w:divBdr>
        <w:top w:val="none" w:sz="0" w:space="0" w:color="auto"/>
        <w:left w:val="none" w:sz="0" w:space="0" w:color="auto"/>
        <w:bottom w:val="none" w:sz="0" w:space="0" w:color="auto"/>
        <w:right w:val="none" w:sz="0" w:space="0" w:color="auto"/>
      </w:divBdr>
      <w:divsChild>
        <w:div w:id="268440818">
          <w:marLeft w:val="0"/>
          <w:marRight w:val="0"/>
          <w:marTop w:val="0"/>
          <w:marBottom w:val="0"/>
          <w:divBdr>
            <w:top w:val="none" w:sz="0" w:space="0" w:color="auto"/>
            <w:left w:val="none" w:sz="0" w:space="0" w:color="auto"/>
            <w:bottom w:val="none" w:sz="0" w:space="0" w:color="auto"/>
            <w:right w:val="none" w:sz="0" w:space="0" w:color="auto"/>
          </w:divBdr>
        </w:div>
      </w:divsChild>
    </w:div>
    <w:div w:id="140118376">
      <w:bodyDiv w:val="1"/>
      <w:marLeft w:val="0"/>
      <w:marRight w:val="0"/>
      <w:marTop w:val="0"/>
      <w:marBottom w:val="0"/>
      <w:divBdr>
        <w:top w:val="none" w:sz="0" w:space="0" w:color="auto"/>
        <w:left w:val="none" w:sz="0" w:space="0" w:color="auto"/>
        <w:bottom w:val="none" w:sz="0" w:space="0" w:color="auto"/>
        <w:right w:val="none" w:sz="0" w:space="0" w:color="auto"/>
      </w:divBdr>
    </w:div>
    <w:div w:id="181821278">
      <w:bodyDiv w:val="1"/>
      <w:marLeft w:val="0"/>
      <w:marRight w:val="0"/>
      <w:marTop w:val="0"/>
      <w:marBottom w:val="0"/>
      <w:divBdr>
        <w:top w:val="none" w:sz="0" w:space="0" w:color="auto"/>
        <w:left w:val="none" w:sz="0" w:space="0" w:color="auto"/>
        <w:bottom w:val="none" w:sz="0" w:space="0" w:color="auto"/>
        <w:right w:val="none" w:sz="0" w:space="0" w:color="auto"/>
      </w:divBdr>
    </w:div>
    <w:div w:id="184179141">
      <w:bodyDiv w:val="1"/>
      <w:marLeft w:val="0"/>
      <w:marRight w:val="0"/>
      <w:marTop w:val="0"/>
      <w:marBottom w:val="0"/>
      <w:divBdr>
        <w:top w:val="none" w:sz="0" w:space="0" w:color="auto"/>
        <w:left w:val="none" w:sz="0" w:space="0" w:color="auto"/>
        <w:bottom w:val="none" w:sz="0" w:space="0" w:color="auto"/>
        <w:right w:val="none" w:sz="0" w:space="0" w:color="auto"/>
      </w:divBdr>
    </w:div>
    <w:div w:id="198469398">
      <w:bodyDiv w:val="1"/>
      <w:marLeft w:val="0"/>
      <w:marRight w:val="0"/>
      <w:marTop w:val="0"/>
      <w:marBottom w:val="0"/>
      <w:divBdr>
        <w:top w:val="none" w:sz="0" w:space="0" w:color="auto"/>
        <w:left w:val="none" w:sz="0" w:space="0" w:color="auto"/>
        <w:bottom w:val="none" w:sz="0" w:space="0" w:color="auto"/>
        <w:right w:val="none" w:sz="0" w:space="0" w:color="auto"/>
      </w:divBdr>
    </w:div>
    <w:div w:id="228269344">
      <w:bodyDiv w:val="1"/>
      <w:marLeft w:val="0"/>
      <w:marRight w:val="0"/>
      <w:marTop w:val="0"/>
      <w:marBottom w:val="0"/>
      <w:divBdr>
        <w:top w:val="none" w:sz="0" w:space="0" w:color="auto"/>
        <w:left w:val="none" w:sz="0" w:space="0" w:color="auto"/>
        <w:bottom w:val="none" w:sz="0" w:space="0" w:color="auto"/>
        <w:right w:val="none" w:sz="0" w:space="0" w:color="auto"/>
      </w:divBdr>
    </w:div>
    <w:div w:id="228804349">
      <w:bodyDiv w:val="1"/>
      <w:marLeft w:val="0"/>
      <w:marRight w:val="0"/>
      <w:marTop w:val="0"/>
      <w:marBottom w:val="0"/>
      <w:divBdr>
        <w:top w:val="none" w:sz="0" w:space="0" w:color="auto"/>
        <w:left w:val="none" w:sz="0" w:space="0" w:color="auto"/>
        <w:bottom w:val="none" w:sz="0" w:space="0" w:color="auto"/>
        <w:right w:val="none" w:sz="0" w:space="0" w:color="auto"/>
      </w:divBdr>
    </w:div>
    <w:div w:id="242683233">
      <w:bodyDiv w:val="1"/>
      <w:marLeft w:val="0"/>
      <w:marRight w:val="0"/>
      <w:marTop w:val="0"/>
      <w:marBottom w:val="0"/>
      <w:divBdr>
        <w:top w:val="none" w:sz="0" w:space="0" w:color="auto"/>
        <w:left w:val="none" w:sz="0" w:space="0" w:color="auto"/>
        <w:bottom w:val="none" w:sz="0" w:space="0" w:color="auto"/>
        <w:right w:val="none" w:sz="0" w:space="0" w:color="auto"/>
      </w:divBdr>
    </w:div>
    <w:div w:id="256250011">
      <w:bodyDiv w:val="1"/>
      <w:marLeft w:val="0"/>
      <w:marRight w:val="0"/>
      <w:marTop w:val="0"/>
      <w:marBottom w:val="0"/>
      <w:divBdr>
        <w:top w:val="none" w:sz="0" w:space="0" w:color="auto"/>
        <w:left w:val="none" w:sz="0" w:space="0" w:color="auto"/>
        <w:bottom w:val="none" w:sz="0" w:space="0" w:color="auto"/>
        <w:right w:val="none" w:sz="0" w:space="0" w:color="auto"/>
      </w:divBdr>
    </w:div>
    <w:div w:id="266432077">
      <w:bodyDiv w:val="1"/>
      <w:marLeft w:val="0"/>
      <w:marRight w:val="0"/>
      <w:marTop w:val="0"/>
      <w:marBottom w:val="0"/>
      <w:divBdr>
        <w:top w:val="none" w:sz="0" w:space="0" w:color="auto"/>
        <w:left w:val="none" w:sz="0" w:space="0" w:color="auto"/>
        <w:bottom w:val="none" w:sz="0" w:space="0" w:color="auto"/>
        <w:right w:val="none" w:sz="0" w:space="0" w:color="auto"/>
      </w:divBdr>
    </w:div>
    <w:div w:id="271325512">
      <w:bodyDiv w:val="1"/>
      <w:marLeft w:val="0"/>
      <w:marRight w:val="0"/>
      <w:marTop w:val="0"/>
      <w:marBottom w:val="0"/>
      <w:divBdr>
        <w:top w:val="none" w:sz="0" w:space="0" w:color="auto"/>
        <w:left w:val="none" w:sz="0" w:space="0" w:color="auto"/>
        <w:bottom w:val="none" w:sz="0" w:space="0" w:color="auto"/>
        <w:right w:val="none" w:sz="0" w:space="0" w:color="auto"/>
      </w:divBdr>
    </w:div>
    <w:div w:id="287591931">
      <w:bodyDiv w:val="1"/>
      <w:marLeft w:val="0"/>
      <w:marRight w:val="0"/>
      <w:marTop w:val="0"/>
      <w:marBottom w:val="0"/>
      <w:divBdr>
        <w:top w:val="none" w:sz="0" w:space="0" w:color="auto"/>
        <w:left w:val="none" w:sz="0" w:space="0" w:color="auto"/>
        <w:bottom w:val="none" w:sz="0" w:space="0" w:color="auto"/>
        <w:right w:val="none" w:sz="0" w:space="0" w:color="auto"/>
      </w:divBdr>
    </w:div>
    <w:div w:id="301808260">
      <w:bodyDiv w:val="1"/>
      <w:marLeft w:val="0"/>
      <w:marRight w:val="0"/>
      <w:marTop w:val="0"/>
      <w:marBottom w:val="0"/>
      <w:divBdr>
        <w:top w:val="none" w:sz="0" w:space="0" w:color="auto"/>
        <w:left w:val="none" w:sz="0" w:space="0" w:color="auto"/>
        <w:bottom w:val="none" w:sz="0" w:space="0" w:color="auto"/>
        <w:right w:val="none" w:sz="0" w:space="0" w:color="auto"/>
      </w:divBdr>
    </w:div>
    <w:div w:id="313141472">
      <w:bodyDiv w:val="1"/>
      <w:marLeft w:val="0"/>
      <w:marRight w:val="0"/>
      <w:marTop w:val="0"/>
      <w:marBottom w:val="0"/>
      <w:divBdr>
        <w:top w:val="none" w:sz="0" w:space="0" w:color="auto"/>
        <w:left w:val="none" w:sz="0" w:space="0" w:color="auto"/>
        <w:bottom w:val="none" w:sz="0" w:space="0" w:color="auto"/>
        <w:right w:val="none" w:sz="0" w:space="0" w:color="auto"/>
      </w:divBdr>
    </w:div>
    <w:div w:id="316032910">
      <w:bodyDiv w:val="1"/>
      <w:marLeft w:val="0"/>
      <w:marRight w:val="0"/>
      <w:marTop w:val="0"/>
      <w:marBottom w:val="0"/>
      <w:divBdr>
        <w:top w:val="none" w:sz="0" w:space="0" w:color="auto"/>
        <w:left w:val="none" w:sz="0" w:space="0" w:color="auto"/>
        <w:bottom w:val="none" w:sz="0" w:space="0" w:color="auto"/>
        <w:right w:val="none" w:sz="0" w:space="0" w:color="auto"/>
      </w:divBdr>
    </w:div>
    <w:div w:id="318310527">
      <w:bodyDiv w:val="1"/>
      <w:marLeft w:val="0"/>
      <w:marRight w:val="0"/>
      <w:marTop w:val="0"/>
      <w:marBottom w:val="0"/>
      <w:divBdr>
        <w:top w:val="none" w:sz="0" w:space="0" w:color="auto"/>
        <w:left w:val="none" w:sz="0" w:space="0" w:color="auto"/>
        <w:bottom w:val="none" w:sz="0" w:space="0" w:color="auto"/>
        <w:right w:val="none" w:sz="0" w:space="0" w:color="auto"/>
      </w:divBdr>
      <w:divsChild>
        <w:div w:id="625311496">
          <w:marLeft w:val="0"/>
          <w:marRight w:val="0"/>
          <w:marTop w:val="0"/>
          <w:marBottom w:val="0"/>
          <w:divBdr>
            <w:top w:val="none" w:sz="0" w:space="0" w:color="auto"/>
            <w:left w:val="none" w:sz="0" w:space="0" w:color="auto"/>
            <w:bottom w:val="none" w:sz="0" w:space="0" w:color="auto"/>
            <w:right w:val="none" w:sz="0" w:space="0" w:color="auto"/>
          </w:divBdr>
        </w:div>
      </w:divsChild>
    </w:div>
    <w:div w:id="352850654">
      <w:bodyDiv w:val="1"/>
      <w:marLeft w:val="0"/>
      <w:marRight w:val="0"/>
      <w:marTop w:val="0"/>
      <w:marBottom w:val="0"/>
      <w:divBdr>
        <w:top w:val="none" w:sz="0" w:space="0" w:color="auto"/>
        <w:left w:val="none" w:sz="0" w:space="0" w:color="auto"/>
        <w:bottom w:val="none" w:sz="0" w:space="0" w:color="auto"/>
        <w:right w:val="none" w:sz="0" w:space="0" w:color="auto"/>
      </w:divBdr>
    </w:div>
    <w:div w:id="414012474">
      <w:bodyDiv w:val="1"/>
      <w:marLeft w:val="0"/>
      <w:marRight w:val="0"/>
      <w:marTop w:val="0"/>
      <w:marBottom w:val="0"/>
      <w:divBdr>
        <w:top w:val="none" w:sz="0" w:space="0" w:color="auto"/>
        <w:left w:val="none" w:sz="0" w:space="0" w:color="auto"/>
        <w:bottom w:val="none" w:sz="0" w:space="0" w:color="auto"/>
        <w:right w:val="none" w:sz="0" w:space="0" w:color="auto"/>
      </w:divBdr>
    </w:div>
    <w:div w:id="420031891">
      <w:bodyDiv w:val="1"/>
      <w:marLeft w:val="0"/>
      <w:marRight w:val="0"/>
      <w:marTop w:val="0"/>
      <w:marBottom w:val="0"/>
      <w:divBdr>
        <w:top w:val="none" w:sz="0" w:space="0" w:color="auto"/>
        <w:left w:val="none" w:sz="0" w:space="0" w:color="auto"/>
        <w:bottom w:val="none" w:sz="0" w:space="0" w:color="auto"/>
        <w:right w:val="none" w:sz="0" w:space="0" w:color="auto"/>
      </w:divBdr>
    </w:div>
    <w:div w:id="426929238">
      <w:bodyDiv w:val="1"/>
      <w:marLeft w:val="0"/>
      <w:marRight w:val="0"/>
      <w:marTop w:val="0"/>
      <w:marBottom w:val="0"/>
      <w:divBdr>
        <w:top w:val="none" w:sz="0" w:space="0" w:color="auto"/>
        <w:left w:val="none" w:sz="0" w:space="0" w:color="auto"/>
        <w:bottom w:val="none" w:sz="0" w:space="0" w:color="auto"/>
        <w:right w:val="none" w:sz="0" w:space="0" w:color="auto"/>
      </w:divBdr>
    </w:div>
    <w:div w:id="433205493">
      <w:bodyDiv w:val="1"/>
      <w:marLeft w:val="0"/>
      <w:marRight w:val="0"/>
      <w:marTop w:val="0"/>
      <w:marBottom w:val="0"/>
      <w:divBdr>
        <w:top w:val="none" w:sz="0" w:space="0" w:color="auto"/>
        <w:left w:val="none" w:sz="0" w:space="0" w:color="auto"/>
        <w:bottom w:val="none" w:sz="0" w:space="0" w:color="auto"/>
        <w:right w:val="none" w:sz="0" w:space="0" w:color="auto"/>
      </w:divBdr>
    </w:div>
    <w:div w:id="435559863">
      <w:bodyDiv w:val="1"/>
      <w:marLeft w:val="0"/>
      <w:marRight w:val="0"/>
      <w:marTop w:val="0"/>
      <w:marBottom w:val="0"/>
      <w:divBdr>
        <w:top w:val="none" w:sz="0" w:space="0" w:color="auto"/>
        <w:left w:val="none" w:sz="0" w:space="0" w:color="auto"/>
        <w:bottom w:val="none" w:sz="0" w:space="0" w:color="auto"/>
        <w:right w:val="none" w:sz="0" w:space="0" w:color="auto"/>
      </w:divBdr>
    </w:div>
    <w:div w:id="445075563">
      <w:bodyDiv w:val="1"/>
      <w:marLeft w:val="0"/>
      <w:marRight w:val="0"/>
      <w:marTop w:val="0"/>
      <w:marBottom w:val="0"/>
      <w:divBdr>
        <w:top w:val="none" w:sz="0" w:space="0" w:color="auto"/>
        <w:left w:val="none" w:sz="0" w:space="0" w:color="auto"/>
        <w:bottom w:val="none" w:sz="0" w:space="0" w:color="auto"/>
        <w:right w:val="none" w:sz="0" w:space="0" w:color="auto"/>
      </w:divBdr>
    </w:div>
    <w:div w:id="447772896">
      <w:bodyDiv w:val="1"/>
      <w:marLeft w:val="0"/>
      <w:marRight w:val="0"/>
      <w:marTop w:val="0"/>
      <w:marBottom w:val="0"/>
      <w:divBdr>
        <w:top w:val="none" w:sz="0" w:space="0" w:color="auto"/>
        <w:left w:val="none" w:sz="0" w:space="0" w:color="auto"/>
        <w:bottom w:val="none" w:sz="0" w:space="0" w:color="auto"/>
        <w:right w:val="none" w:sz="0" w:space="0" w:color="auto"/>
      </w:divBdr>
    </w:div>
    <w:div w:id="473568979">
      <w:bodyDiv w:val="1"/>
      <w:marLeft w:val="0"/>
      <w:marRight w:val="0"/>
      <w:marTop w:val="0"/>
      <w:marBottom w:val="0"/>
      <w:divBdr>
        <w:top w:val="none" w:sz="0" w:space="0" w:color="auto"/>
        <w:left w:val="none" w:sz="0" w:space="0" w:color="auto"/>
        <w:bottom w:val="none" w:sz="0" w:space="0" w:color="auto"/>
        <w:right w:val="none" w:sz="0" w:space="0" w:color="auto"/>
      </w:divBdr>
    </w:div>
    <w:div w:id="478764121">
      <w:bodyDiv w:val="1"/>
      <w:marLeft w:val="0"/>
      <w:marRight w:val="0"/>
      <w:marTop w:val="0"/>
      <w:marBottom w:val="0"/>
      <w:divBdr>
        <w:top w:val="none" w:sz="0" w:space="0" w:color="auto"/>
        <w:left w:val="none" w:sz="0" w:space="0" w:color="auto"/>
        <w:bottom w:val="none" w:sz="0" w:space="0" w:color="auto"/>
        <w:right w:val="none" w:sz="0" w:space="0" w:color="auto"/>
      </w:divBdr>
    </w:div>
    <w:div w:id="488907328">
      <w:bodyDiv w:val="1"/>
      <w:marLeft w:val="0"/>
      <w:marRight w:val="0"/>
      <w:marTop w:val="0"/>
      <w:marBottom w:val="0"/>
      <w:divBdr>
        <w:top w:val="none" w:sz="0" w:space="0" w:color="auto"/>
        <w:left w:val="none" w:sz="0" w:space="0" w:color="auto"/>
        <w:bottom w:val="none" w:sz="0" w:space="0" w:color="auto"/>
        <w:right w:val="none" w:sz="0" w:space="0" w:color="auto"/>
      </w:divBdr>
    </w:div>
    <w:div w:id="491524906">
      <w:bodyDiv w:val="1"/>
      <w:marLeft w:val="0"/>
      <w:marRight w:val="0"/>
      <w:marTop w:val="0"/>
      <w:marBottom w:val="0"/>
      <w:divBdr>
        <w:top w:val="none" w:sz="0" w:space="0" w:color="auto"/>
        <w:left w:val="none" w:sz="0" w:space="0" w:color="auto"/>
        <w:bottom w:val="none" w:sz="0" w:space="0" w:color="auto"/>
        <w:right w:val="none" w:sz="0" w:space="0" w:color="auto"/>
      </w:divBdr>
    </w:div>
    <w:div w:id="505874542">
      <w:bodyDiv w:val="1"/>
      <w:marLeft w:val="0"/>
      <w:marRight w:val="0"/>
      <w:marTop w:val="0"/>
      <w:marBottom w:val="0"/>
      <w:divBdr>
        <w:top w:val="none" w:sz="0" w:space="0" w:color="auto"/>
        <w:left w:val="none" w:sz="0" w:space="0" w:color="auto"/>
        <w:bottom w:val="none" w:sz="0" w:space="0" w:color="auto"/>
        <w:right w:val="none" w:sz="0" w:space="0" w:color="auto"/>
      </w:divBdr>
    </w:div>
    <w:div w:id="510416260">
      <w:bodyDiv w:val="1"/>
      <w:marLeft w:val="0"/>
      <w:marRight w:val="0"/>
      <w:marTop w:val="0"/>
      <w:marBottom w:val="0"/>
      <w:divBdr>
        <w:top w:val="none" w:sz="0" w:space="0" w:color="auto"/>
        <w:left w:val="none" w:sz="0" w:space="0" w:color="auto"/>
        <w:bottom w:val="none" w:sz="0" w:space="0" w:color="auto"/>
        <w:right w:val="none" w:sz="0" w:space="0" w:color="auto"/>
      </w:divBdr>
    </w:div>
    <w:div w:id="514618953">
      <w:bodyDiv w:val="1"/>
      <w:marLeft w:val="0"/>
      <w:marRight w:val="0"/>
      <w:marTop w:val="0"/>
      <w:marBottom w:val="0"/>
      <w:divBdr>
        <w:top w:val="none" w:sz="0" w:space="0" w:color="auto"/>
        <w:left w:val="none" w:sz="0" w:space="0" w:color="auto"/>
        <w:bottom w:val="none" w:sz="0" w:space="0" w:color="auto"/>
        <w:right w:val="none" w:sz="0" w:space="0" w:color="auto"/>
      </w:divBdr>
    </w:div>
    <w:div w:id="527447540">
      <w:bodyDiv w:val="1"/>
      <w:marLeft w:val="0"/>
      <w:marRight w:val="0"/>
      <w:marTop w:val="0"/>
      <w:marBottom w:val="0"/>
      <w:divBdr>
        <w:top w:val="none" w:sz="0" w:space="0" w:color="auto"/>
        <w:left w:val="none" w:sz="0" w:space="0" w:color="auto"/>
        <w:bottom w:val="none" w:sz="0" w:space="0" w:color="auto"/>
        <w:right w:val="none" w:sz="0" w:space="0" w:color="auto"/>
      </w:divBdr>
    </w:div>
    <w:div w:id="544607245">
      <w:bodyDiv w:val="1"/>
      <w:marLeft w:val="0"/>
      <w:marRight w:val="0"/>
      <w:marTop w:val="0"/>
      <w:marBottom w:val="0"/>
      <w:divBdr>
        <w:top w:val="none" w:sz="0" w:space="0" w:color="auto"/>
        <w:left w:val="none" w:sz="0" w:space="0" w:color="auto"/>
        <w:bottom w:val="none" w:sz="0" w:space="0" w:color="auto"/>
        <w:right w:val="none" w:sz="0" w:space="0" w:color="auto"/>
      </w:divBdr>
    </w:div>
    <w:div w:id="565260878">
      <w:bodyDiv w:val="1"/>
      <w:marLeft w:val="0"/>
      <w:marRight w:val="0"/>
      <w:marTop w:val="0"/>
      <w:marBottom w:val="0"/>
      <w:divBdr>
        <w:top w:val="none" w:sz="0" w:space="0" w:color="auto"/>
        <w:left w:val="none" w:sz="0" w:space="0" w:color="auto"/>
        <w:bottom w:val="none" w:sz="0" w:space="0" w:color="auto"/>
        <w:right w:val="none" w:sz="0" w:space="0" w:color="auto"/>
      </w:divBdr>
      <w:divsChild>
        <w:div w:id="248663813">
          <w:marLeft w:val="0"/>
          <w:marRight w:val="0"/>
          <w:marTop w:val="0"/>
          <w:marBottom w:val="0"/>
          <w:divBdr>
            <w:top w:val="none" w:sz="0" w:space="0" w:color="auto"/>
            <w:left w:val="none" w:sz="0" w:space="0" w:color="auto"/>
            <w:bottom w:val="none" w:sz="0" w:space="0" w:color="auto"/>
            <w:right w:val="none" w:sz="0" w:space="0" w:color="auto"/>
          </w:divBdr>
        </w:div>
      </w:divsChild>
    </w:div>
    <w:div w:id="566307305">
      <w:bodyDiv w:val="1"/>
      <w:marLeft w:val="0"/>
      <w:marRight w:val="0"/>
      <w:marTop w:val="0"/>
      <w:marBottom w:val="0"/>
      <w:divBdr>
        <w:top w:val="none" w:sz="0" w:space="0" w:color="auto"/>
        <w:left w:val="none" w:sz="0" w:space="0" w:color="auto"/>
        <w:bottom w:val="none" w:sz="0" w:space="0" w:color="auto"/>
        <w:right w:val="none" w:sz="0" w:space="0" w:color="auto"/>
      </w:divBdr>
    </w:div>
    <w:div w:id="567348582">
      <w:bodyDiv w:val="1"/>
      <w:marLeft w:val="0"/>
      <w:marRight w:val="0"/>
      <w:marTop w:val="0"/>
      <w:marBottom w:val="0"/>
      <w:divBdr>
        <w:top w:val="none" w:sz="0" w:space="0" w:color="auto"/>
        <w:left w:val="none" w:sz="0" w:space="0" w:color="auto"/>
        <w:bottom w:val="none" w:sz="0" w:space="0" w:color="auto"/>
        <w:right w:val="none" w:sz="0" w:space="0" w:color="auto"/>
      </w:divBdr>
    </w:div>
    <w:div w:id="592666131">
      <w:bodyDiv w:val="1"/>
      <w:marLeft w:val="0"/>
      <w:marRight w:val="0"/>
      <w:marTop w:val="0"/>
      <w:marBottom w:val="0"/>
      <w:divBdr>
        <w:top w:val="none" w:sz="0" w:space="0" w:color="auto"/>
        <w:left w:val="none" w:sz="0" w:space="0" w:color="auto"/>
        <w:bottom w:val="none" w:sz="0" w:space="0" w:color="auto"/>
        <w:right w:val="none" w:sz="0" w:space="0" w:color="auto"/>
      </w:divBdr>
    </w:div>
    <w:div w:id="596866691">
      <w:bodyDiv w:val="1"/>
      <w:marLeft w:val="0"/>
      <w:marRight w:val="0"/>
      <w:marTop w:val="0"/>
      <w:marBottom w:val="0"/>
      <w:divBdr>
        <w:top w:val="none" w:sz="0" w:space="0" w:color="auto"/>
        <w:left w:val="none" w:sz="0" w:space="0" w:color="auto"/>
        <w:bottom w:val="none" w:sz="0" w:space="0" w:color="auto"/>
        <w:right w:val="none" w:sz="0" w:space="0" w:color="auto"/>
      </w:divBdr>
      <w:divsChild>
        <w:div w:id="1558783426">
          <w:marLeft w:val="0"/>
          <w:marRight w:val="0"/>
          <w:marTop w:val="0"/>
          <w:marBottom w:val="0"/>
          <w:divBdr>
            <w:top w:val="none" w:sz="0" w:space="0" w:color="auto"/>
            <w:left w:val="none" w:sz="0" w:space="0" w:color="auto"/>
            <w:bottom w:val="none" w:sz="0" w:space="0" w:color="auto"/>
            <w:right w:val="none" w:sz="0" w:space="0" w:color="auto"/>
          </w:divBdr>
        </w:div>
      </w:divsChild>
    </w:div>
    <w:div w:id="602808600">
      <w:bodyDiv w:val="1"/>
      <w:marLeft w:val="0"/>
      <w:marRight w:val="0"/>
      <w:marTop w:val="0"/>
      <w:marBottom w:val="0"/>
      <w:divBdr>
        <w:top w:val="none" w:sz="0" w:space="0" w:color="auto"/>
        <w:left w:val="none" w:sz="0" w:space="0" w:color="auto"/>
        <w:bottom w:val="none" w:sz="0" w:space="0" w:color="auto"/>
        <w:right w:val="none" w:sz="0" w:space="0" w:color="auto"/>
      </w:divBdr>
    </w:div>
    <w:div w:id="622466221">
      <w:bodyDiv w:val="1"/>
      <w:marLeft w:val="0"/>
      <w:marRight w:val="0"/>
      <w:marTop w:val="0"/>
      <w:marBottom w:val="0"/>
      <w:divBdr>
        <w:top w:val="none" w:sz="0" w:space="0" w:color="auto"/>
        <w:left w:val="none" w:sz="0" w:space="0" w:color="auto"/>
        <w:bottom w:val="none" w:sz="0" w:space="0" w:color="auto"/>
        <w:right w:val="none" w:sz="0" w:space="0" w:color="auto"/>
      </w:divBdr>
    </w:div>
    <w:div w:id="629483229">
      <w:bodyDiv w:val="1"/>
      <w:marLeft w:val="0"/>
      <w:marRight w:val="0"/>
      <w:marTop w:val="0"/>
      <w:marBottom w:val="0"/>
      <w:divBdr>
        <w:top w:val="none" w:sz="0" w:space="0" w:color="auto"/>
        <w:left w:val="none" w:sz="0" w:space="0" w:color="auto"/>
        <w:bottom w:val="none" w:sz="0" w:space="0" w:color="auto"/>
        <w:right w:val="none" w:sz="0" w:space="0" w:color="auto"/>
      </w:divBdr>
    </w:div>
    <w:div w:id="642778357">
      <w:bodyDiv w:val="1"/>
      <w:marLeft w:val="0"/>
      <w:marRight w:val="0"/>
      <w:marTop w:val="0"/>
      <w:marBottom w:val="0"/>
      <w:divBdr>
        <w:top w:val="none" w:sz="0" w:space="0" w:color="auto"/>
        <w:left w:val="none" w:sz="0" w:space="0" w:color="auto"/>
        <w:bottom w:val="none" w:sz="0" w:space="0" w:color="auto"/>
        <w:right w:val="none" w:sz="0" w:space="0" w:color="auto"/>
      </w:divBdr>
    </w:div>
    <w:div w:id="652754573">
      <w:bodyDiv w:val="1"/>
      <w:marLeft w:val="0"/>
      <w:marRight w:val="0"/>
      <w:marTop w:val="0"/>
      <w:marBottom w:val="0"/>
      <w:divBdr>
        <w:top w:val="none" w:sz="0" w:space="0" w:color="auto"/>
        <w:left w:val="none" w:sz="0" w:space="0" w:color="auto"/>
        <w:bottom w:val="none" w:sz="0" w:space="0" w:color="auto"/>
        <w:right w:val="none" w:sz="0" w:space="0" w:color="auto"/>
      </w:divBdr>
    </w:div>
    <w:div w:id="658266559">
      <w:bodyDiv w:val="1"/>
      <w:marLeft w:val="0"/>
      <w:marRight w:val="0"/>
      <w:marTop w:val="0"/>
      <w:marBottom w:val="0"/>
      <w:divBdr>
        <w:top w:val="none" w:sz="0" w:space="0" w:color="auto"/>
        <w:left w:val="none" w:sz="0" w:space="0" w:color="auto"/>
        <w:bottom w:val="none" w:sz="0" w:space="0" w:color="auto"/>
        <w:right w:val="none" w:sz="0" w:space="0" w:color="auto"/>
      </w:divBdr>
    </w:div>
    <w:div w:id="659114147">
      <w:bodyDiv w:val="1"/>
      <w:marLeft w:val="0"/>
      <w:marRight w:val="0"/>
      <w:marTop w:val="0"/>
      <w:marBottom w:val="0"/>
      <w:divBdr>
        <w:top w:val="none" w:sz="0" w:space="0" w:color="auto"/>
        <w:left w:val="none" w:sz="0" w:space="0" w:color="auto"/>
        <w:bottom w:val="none" w:sz="0" w:space="0" w:color="auto"/>
        <w:right w:val="none" w:sz="0" w:space="0" w:color="auto"/>
      </w:divBdr>
    </w:div>
    <w:div w:id="667096352">
      <w:bodyDiv w:val="1"/>
      <w:marLeft w:val="0"/>
      <w:marRight w:val="0"/>
      <w:marTop w:val="0"/>
      <w:marBottom w:val="0"/>
      <w:divBdr>
        <w:top w:val="none" w:sz="0" w:space="0" w:color="auto"/>
        <w:left w:val="none" w:sz="0" w:space="0" w:color="auto"/>
        <w:bottom w:val="none" w:sz="0" w:space="0" w:color="auto"/>
        <w:right w:val="none" w:sz="0" w:space="0" w:color="auto"/>
      </w:divBdr>
    </w:div>
    <w:div w:id="674114204">
      <w:bodyDiv w:val="1"/>
      <w:marLeft w:val="0"/>
      <w:marRight w:val="0"/>
      <w:marTop w:val="0"/>
      <w:marBottom w:val="0"/>
      <w:divBdr>
        <w:top w:val="none" w:sz="0" w:space="0" w:color="auto"/>
        <w:left w:val="none" w:sz="0" w:space="0" w:color="auto"/>
        <w:bottom w:val="none" w:sz="0" w:space="0" w:color="auto"/>
        <w:right w:val="none" w:sz="0" w:space="0" w:color="auto"/>
      </w:divBdr>
    </w:div>
    <w:div w:id="678042242">
      <w:bodyDiv w:val="1"/>
      <w:marLeft w:val="0"/>
      <w:marRight w:val="0"/>
      <w:marTop w:val="0"/>
      <w:marBottom w:val="0"/>
      <w:divBdr>
        <w:top w:val="none" w:sz="0" w:space="0" w:color="auto"/>
        <w:left w:val="none" w:sz="0" w:space="0" w:color="auto"/>
        <w:bottom w:val="none" w:sz="0" w:space="0" w:color="auto"/>
        <w:right w:val="none" w:sz="0" w:space="0" w:color="auto"/>
      </w:divBdr>
    </w:div>
    <w:div w:id="686516279">
      <w:bodyDiv w:val="1"/>
      <w:marLeft w:val="0"/>
      <w:marRight w:val="0"/>
      <w:marTop w:val="0"/>
      <w:marBottom w:val="0"/>
      <w:divBdr>
        <w:top w:val="none" w:sz="0" w:space="0" w:color="auto"/>
        <w:left w:val="none" w:sz="0" w:space="0" w:color="auto"/>
        <w:bottom w:val="none" w:sz="0" w:space="0" w:color="auto"/>
        <w:right w:val="none" w:sz="0" w:space="0" w:color="auto"/>
      </w:divBdr>
    </w:div>
    <w:div w:id="728039960">
      <w:bodyDiv w:val="1"/>
      <w:marLeft w:val="0"/>
      <w:marRight w:val="0"/>
      <w:marTop w:val="0"/>
      <w:marBottom w:val="0"/>
      <w:divBdr>
        <w:top w:val="none" w:sz="0" w:space="0" w:color="auto"/>
        <w:left w:val="none" w:sz="0" w:space="0" w:color="auto"/>
        <w:bottom w:val="none" w:sz="0" w:space="0" w:color="auto"/>
        <w:right w:val="none" w:sz="0" w:space="0" w:color="auto"/>
      </w:divBdr>
    </w:div>
    <w:div w:id="742489939">
      <w:bodyDiv w:val="1"/>
      <w:marLeft w:val="0"/>
      <w:marRight w:val="0"/>
      <w:marTop w:val="0"/>
      <w:marBottom w:val="0"/>
      <w:divBdr>
        <w:top w:val="none" w:sz="0" w:space="0" w:color="auto"/>
        <w:left w:val="none" w:sz="0" w:space="0" w:color="auto"/>
        <w:bottom w:val="none" w:sz="0" w:space="0" w:color="auto"/>
        <w:right w:val="none" w:sz="0" w:space="0" w:color="auto"/>
      </w:divBdr>
    </w:div>
    <w:div w:id="752510198">
      <w:bodyDiv w:val="1"/>
      <w:marLeft w:val="0"/>
      <w:marRight w:val="0"/>
      <w:marTop w:val="0"/>
      <w:marBottom w:val="0"/>
      <w:divBdr>
        <w:top w:val="none" w:sz="0" w:space="0" w:color="auto"/>
        <w:left w:val="none" w:sz="0" w:space="0" w:color="auto"/>
        <w:bottom w:val="none" w:sz="0" w:space="0" w:color="auto"/>
        <w:right w:val="none" w:sz="0" w:space="0" w:color="auto"/>
      </w:divBdr>
    </w:div>
    <w:div w:id="760837981">
      <w:bodyDiv w:val="1"/>
      <w:marLeft w:val="0"/>
      <w:marRight w:val="0"/>
      <w:marTop w:val="0"/>
      <w:marBottom w:val="0"/>
      <w:divBdr>
        <w:top w:val="none" w:sz="0" w:space="0" w:color="auto"/>
        <w:left w:val="none" w:sz="0" w:space="0" w:color="auto"/>
        <w:bottom w:val="none" w:sz="0" w:space="0" w:color="auto"/>
        <w:right w:val="none" w:sz="0" w:space="0" w:color="auto"/>
      </w:divBdr>
    </w:div>
    <w:div w:id="778305605">
      <w:bodyDiv w:val="1"/>
      <w:marLeft w:val="0"/>
      <w:marRight w:val="0"/>
      <w:marTop w:val="0"/>
      <w:marBottom w:val="0"/>
      <w:divBdr>
        <w:top w:val="none" w:sz="0" w:space="0" w:color="auto"/>
        <w:left w:val="none" w:sz="0" w:space="0" w:color="auto"/>
        <w:bottom w:val="none" w:sz="0" w:space="0" w:color="auto"/>
        <w:right w:val="none" w:sz="0" w:space="0" w:color="auto"/>
      </w:divBdr>
    </w:div>
    <w:div w:id="791434805">
      <w:bodyDiv w:val="1"/>
      <w:marLeft w:val="0"/>
      <w:marRight w:val="0"/>
      <w:marTop w:val="0"/>
      <w:marBottom w:val="0"/>
      <w:divBdr>
        <w:top w:val="none" w:sz="0" w:space="0" w:color="auto"/>
        <w:left w:val="none" w:sz="0" w:space="0" w:color="auto"/>
        <w:bottom w:val="none" w:sz="0" w:space="0" w:color="auto"/>
        <w:right w:val="none" w:sz="0" w:space="0" w:color="auto"/>
      </w:divBdr>
    </w:div>
    <w:div w:id="815488192">
      <w:bodyDiv w:val="1"/>
      <w:marLeft w:val="0"/>
      <w:marRight w:val="0"/>
      <w:marTop w:val="0"/>
      <w:marBottom w:val="0"/>
      <w:divBdr>
        <w:top w:val="none" w:sz="0" w:space="0" w:color="auto"/>
        <w:left w:val="none" w:sz="0" w:space="0" w:color="auto"/>
        <w:bottom w:val="none" w:sz="0" w:space="0" w:color="auto"/>
        <w:right w:val="none" w:sz="0" w:space="0" w:color="auto"/>
      </w:divBdr>
    </w:div>
    <w:div w:id="822351692">
      <w:bodyDiv w:val="1"/>
      <w:marLeft w:val="0"/>
      <w:marRight w:val="0"/>
      <w:marTop w:val="0"/>
      <w:marBottom w:val="0"/>
      <w:divBdr>
        <w:top w:val="none" w:sz="0" w:space="0" w:color="auto"/>
        <w:left w:val="none" w:sz="0" w:space="0" w:color="auto"/>
        <w:bottom w:val="none" w:sz="0" w:space="0" w:color="auto"/>
        <w:right w:val="none" w:sz="0" w:space="0" w:color="auto"/>
      </w:divBdr>
    </w:div>
    <w:div w:id="823164622">
      <w:bodyDiv w:val="1"/>
      <w:marLeft w:val="0"/>
      <w:marRight w:val="0"/>
      <w:marTop w:val="0"/>
      <w:marBottom w:val="0"/>
      <w:divBdr>
        <w:top w:val="none" w:sz="0" w:space="0" w:color="auto"/>
        <w:left w:val="none" w:sz="0" w:space="0" w:color="auto"/>
        <w:bottom w:val="none" w:sz="0" w:space="0" w:color="auto"/>
        <w:right w:val="none" w:sz="0" w:space="0" w:color="auto"/>
      </w:divBdr>
    </w:div>
    <w:div w:id="829516863">
      <w:bodyDiv w:val="1"/>
      <w:marLeft w:val="0"/>
      <w:marRight w:val="0"/>
      <w:marTop w:val="0"/>
      <w:marBottom w:val="0"/>
      <w:divBdr>
        <w:top w:val="none" w:sz="0" w:space="0" w:color="auto"/>
        <w:left w:val="none" w:sz="0" w:space="0" w:color="auto"/>
        <w:bottom w:val="none" w:sz="0" w:space="0" w:color="auto"/>
        <w:right w:val="none" w:sz="0" w:space="0" w:color="auto"/>
      </w:divBdr>
    </w:div>
    <w:div w:id="835150764">
      <w:bodyDiv w:val="1"/>
      <w:marLeft w:val="0"/>
      <w:marRight w:val="0"/>
      <w:marTop w:val="0"/>
      <w:marBottom w:val="0"/>
      <w:divBdr>
        <w:top w:val="none" w:sz="0" w:space="0" w:color="auto"/>
        <w:left w:val="none" w:sz="0" w:space="0" w:color="auto"/>
        <w:bottom w:val="none" w:sz="0" w:space="0" w:color="auto"/>
        <w:right w:val="none" w:sz="0" w:space="0" w:color="auto"/>
      </w:divBdr>
    </w:div>
    <w:div w:id="847255330">
      <w:bodyDiv w:val="1"/>
      <w:marLeft w:val="0"/>
      <w:marRight w:val="0"/>
      <w:marTop w:val="0"/>
      <w:marBottom w:val="0"/>
      <w:divBdr>
        <w:top w:val="none" w:sz="0" w:space="0" w:color="auto"/>
        <w:left w:val="none" w:sz="0" w:space="0" w:color="auto"/>
        <w:bottom w:val="none" w:sz="0" w:space="0" w:color="auto"/>
        <w:right w:val="none" w:sz="0" w:space="0" w:color="auto"/>
      </w:divBdr>
    </w:div>
    <w:div w:id="856390891">
      <w:bodyDiv w:val="1"/>
      <w:marLeft w:val="0"/>
      <w:marRight w:val="0"/>
      <w:marTop w:val="0"/>
      <w:marBottom w:val="0"/>
      <w:divBdr>
        <w:top w:val="none" w:sz="0" w:space="0" w:color="auto"/>
        <w:left w:val="none" w:sz="0" w:space="0" w:color="auto"/>
        <w:bottom w:val="none" w:sz="0" w:space="0" w:color="auto"/>
        <w:right w:val="none" w:sz="0" w:space="0" w:color="auto"/>
      </w:divBdr>
    </w:div>
    <w:div w:id="892666126">
      <w:bodyDiv w:val="1"/>
      <w:marLeft w:val="0"/>
      <w:marRight w:val="0"/>
      <w:marTop w:val="0"/>
      <w:marBottom w:val="0"/>
      <w:divBdr>
        <w:top w:val="none" w:sz="0" w:space="0" w:color="auto"/>
        <w:left w:val="none" w:sz="0" w:space="0" w:color="auto"/>
        <w:bottom w:val="none" w:sz="0" w:space="0" w:color="auto"/>
        <w:right w:val="none" w:sz="0" w:space="0" w:color="auto"/>
      </w:divBdr>
    </w:div>
    <w:div w:id="895707160">
      <w:bodyDiv w:val="1"/>
      <w:marLeft w:val="0"/>
      <w:marRight w:val="0"/>
      <w:marTop w:val="0"/>
      <w:marBottom w:val="0"/>
      <w:divBdr>
        <w:top w:val="none" w:sz="0" w:space="0" w:color="auto"/>
        <w:left w:val="none" w:sz="0" w:space="0" w:color="auto"/>
        <w:bottom w:val="none" w:sz="0" w:space="0" w:color="auto"/>
        <w:right w:val="none" w:sz="0" w:space="0" w:color="auto"/>
      </w:divBdr>
    </w:div>
    <w:div w:id="904995417">
      <w:bodyDiv w:val="1"/>
      <w:marLeft w:val="0"/>
      <w:marRight w:val="0"/>
      <w:marTop w:val="0"/>
      <w:marBottom w:val="0"/>
      <w:divBdr>
        <w:top w:val="none" w:sz="0" w:space="0" w:color="auto"/>
        <w:left w:val="none" w:sz="0" w:space="0" w:color="auto"/>
        <w:bottom w:val="none" w:sz="0" w:space="0" w:color="auto"/>
        <w:right w:val="none" w:sz="0" w:space="0" w:color="auto"/>
      </w:divBdr>
    </w:div>
    <w:div w:id="931670310">
      <w:bodyDiv w:val="1"/>
      <w:marLeft w:val="0"/>
      <w:marRight w:val="0"/>
      <w:marTop w:val="0"/>
      <w:marBottom w:val="0"/>
      <w:divBdr>
        <w:top w:val="none" w:sz="0" w:space="0" w:color="auto"/>
        <w:left w:val="none" w:sz="0" w:space="0" w:color="auto"/>
        <w:bottom w:val="none" w:sz="0" w:space="0" w:color="auto"/>
        <w:right w:val="none" w:sz="0" w:space="0" w:color="auto"/>
      </w:divBdr>
    </w:div>
    <w:div w:id="933438666">
      <w:bodyDiv w:val="1"/>
      <w:marLeft w:val="0"/>
      <w:marRight w:val="0"/>
      <w:marTop w:val="0"/>
      <w:marBottom w:val="0"/>
      <w:divBdr>
        <w:top w:val="none" w:sz="0" w:space="0" w:color="auto"/>
        <w:left w:val="none" w:sz="0" w:space="0" w:color="auto"/>
        <w:bottom w:val="none" w:sz="0" w:space="0" w:color="auto"/>
        <w:right w:val="none" w:sz="0" w:space="0" w:color="auto"/>
      </w:divBdr>
    </w:div>
    <w:div w:id="1000737024">
      <w:bodyDiv w:val="1"/>
      <w:marLeft w:val="0"/>
      <w:marRight w:val="0"/>
      <w:marTop w:val="0"/>
      <w:marBottom w:val="0"/>
      <w:divBdr>
        <w:top w:val="none" w:sz="0" w:space="0" w:color="auto"/>
        <w:left w:val="none" w:sz="0" w:space="0" w:color="auto"/>
        <w:bottom w:val="none" w:sz="0" w:space="0" w:color="auto"/>
        <w:right w:val="none" w:sz="0" w:space="0" w:color="auto"/>
      </w:divBdr>
    </w:div>
    <w:div w:id="1008141326">
      <w:bodyDiv w:val="1"/>
      <w:marLeft w:val="0"/>
      <w:marRight w:val="0"/>
      <w:marTop w:val="0"/>
      <w:marBottom w:val="0"/>
      <w:divBdr>
        <w:top w:val="none" w:sz="0" w:space="0" w:color="auto"/>
        <w:left w:val="none" w:sz="0" w:space="0" w:color="auto"/>
        <w:bottom w:val="none" w:sz="0" w:space="0" w:color="auto"/>
        <w:right w:val="none" w:sz="0" w:space="0" w:color="auto"/>
      </w:divBdr>
    </w:div>
    <w:div w:id="1011756567">
      <w:bodyDiv w:val="1"/>
      <w:marLeft w:val="0"/>
      <w:marRight w:val="0"/>
      <w:marTop w:val="0"/>
      <w:marBottom w:val="0"/>
      <w:divBdr>
        <w:top w:val="none" w:sz="0" w:space="0" w:color="auto"/>
        <w:left w:val="none" w:sz="0" w:space="0" w:color="auto"/>
        <w:bottom w:val="none" w:sz="0" w:space="0" w:color="auto"/>
        <w:right w:val="none" w:sz="0" w:space="0" w:color="auto"/>
      </w:divBdr>
    </w:div>
    <w:div w:id="1025447764">
      <w:bodyDiv w:val="1"/>
      <w:marLeft w:val="0"/>
      <w:marRight w:val="0"/>
      <w:marTop w:val="0"/>
      <w:marBottom w:val="0"/>
      <w:divBdr>
        <w:top w:val="none" w:sz="0" w:space="0" w:color="auto"/>
        <w:left w:val="none" w:sz="0" w:space="0" w:color="auto"/>
        <w:bottom w:val="none" w:sz="0" w:space="0" w:color="auto"/>
        <w:right w:val="none" w:sz="0" w:space="0" w:color="auto"/>
      </w:divBdr>
    </w:div>
    <w:div w:id="1078016410">
      <w:bodyDiv w:val="1"/>
      <w:marLeft w:val="0"/>
      <w:marRight w:val="0"/>
      <w:marTop w:val="0"/>
      <w:marBottom w:val="0"/>
      <w:divBdr>
        <w:top w:val="none" w:sz="0" w:space="0" w:color="auto"/>
        <w:left w:val="none" w:sz="0" w:space="0" w:color="auto"/>
        <w:bottom w:val="none" w:sz="0" w:space="0" w:color="auto"/>
        <w:right w:val="none" w:sz="0" w:space="0" w:color="auto"/>
      </w:divBdr>
    </w:div>
    <w:div w:id="1087384543">
      <w:bodyDiv w:val="1"/>
      <w:marLeft w:val="0"/>
      <w:marRight w:val="0"/>
      <w:marTop w:val="0"/>
      <w:marBottom w:val="0"/>
      <w:divBdr>
        <w:top w:val="none" w:sz="0" w:space="0" w:color="auto"/>
        <w:left w:val="none" w:sz="0" w:space="0" w:color="auto"/>
        <w:bottom w:val="none" w:sz="0" w:space="0" w:color="auto"/>
        <w:right w:val="none" w:sz="0" w:space="0" w:color="auto"/>
      </w:divBdr>
    </w:div>
    <w:div w:id="1088501018">
      <w:bodyDiv w:val="1"/>
      <w:marLeft w:val="0"/>
      <w:marRight w:val="0"/>
      <w:marTop w:val="0"/>
      <w:marBottom w:val="0"/>
      <w:divBdr>
        <w:top w:val="none" w:sz="0" w:space="0" w:color="auto"/>
        <w:left w:val="none" w:sz="0" w:space="0" w:color="auto"/>
        <w:bottom w:val="none" w:sz="0" w:space="0" w:color="auto"/>
        <w:right w:val="none" w:sz="0" w:space="0" w:color="auto"/>
      </w:divBdr>
    </w:div>
    <w:div w:id="1089040515">
      <w:bodyDiv w:val="1"/>
      <w:marLeft w:val="0"/>
      <w:marRight w:val="0"/>
      <w:marTop w:val="0"/>
      <w:marBottom w:val="0"/>
      <w:divBdr>
        <w:top w:val="none" w:sz="0" w:space="0" w:color="auto"/>
        <w:left w:val="none" w:sz="0" w:space="0" w:color="auto"/>
        <w:bottom w:val="none" w:sz="0" w:space="0" w:color="auto"/>
        <w:right w:val="none" w:sz="0" w:space="0" w:color="auto"/>
      </w:divBdr>
    </w:div>
    <w:div w:id="1118450733">
      <w:bodyDiv w:val="1"/>
      <w:marLeft w:val="0"/>
      <w:marRight w:val="0"/>
      <w:marTop w:val="0"/>
      <w:marBottom w:val="0"/>
      <w:divBdr>
        <w:top w:val="none" w:sz="0" w:space="0" w:color="auto"/>
        <w:left w:val="none" w:sz="0" w:space="0" w:color="auto"/>
        <w:bottom w:val="none" w:sz="0" w:space="0" w:color="auto"/>
        <w:right w:val="none" w:sz="0" w:space="0" w:color="auto"/>
      </w:divBdr>
    </w:div>
    <w:div w:id="1130049194">
      <w:bodyDiv w:val="1"/>
      <w:marLeft w:val="0"/>
      <w:marRight w:val="0"/>
      <w:marTop w:val="0"/>
      <w:marBottom w:val="0"/>
      <w:divBdr>
        <w:top w:val="none" w:sz="0" w:space="0" w:color="auto"/>
        <w:left w:val="none" w:sz="0" w:space="0" w:color="auto"/>
        <w:bottom w:val="none" w:sz="0" w:space="0" w:color="auto"/>
        <w:right w:val="none" w:sz="0" w:space="0" w:color="auto"/>
      </w:divBdr>
    </w:div>
    <w:div w:id="1138185702">
      <w:bodyDiv w:val="1"/>
      <w:marLeft w:val="0"/>
      <w:marRight w:val="0"/>
      <w:marTop w:val="0"/>
      <w:marBottom w:val="0"/>
      <w:divBdr>
        <w:top w:val="none" w:sz="0" w:space="0" w:color="auto"/>
        <w:left w:val="none" w:sz="0" w:space="0" w:color="auto"/>
        <w:bottom w:val="none" w:sz="0" w:space="0" w:color="auto"/>
        <w:right w:val="none" w:sz="0" w:space="0" w:color="auto"/>
      </w:divBdr>
    </w:div>
    <w:div w:id="1159540040">
      <w:bodyDiv w:val="1"/>
      <w:marLeft w:val="0"/>
      <w:marRight w:val="0"/>
      <w:marTop w:val="0"/>
      <w:marBottom w:val="0"/>
      <w:divBdr>
        <w:top w:val="none" w:sz="0" w:space="0" w:color="auto"/>
        <w:left w:val="none" w:sz="0" w:space="0" w:color="auto"/>
        <w:bottom w:val="none" w:sz="0" w:space="0" w:color="auto"/>
        <w:right w:val="none" w:sz="0" w:space="0" w:color="auto"/>
      </w:divBdr>
    </w:div>
    <w:div w:id="1215459878">
      <w:bodyDiv w:val="1"/>
      <w:marLeft w:val="0"/>
      <w:marRight w:val="0"/>
      <w:marTop w:val="0"/>
      <w:marBottom w:val="0"/>
      <w:divBdr>
        <w:top w:val="none" w:sz="0" w:space="0" w:color="auto"/>
        <w:left w:val="none" w:sz="0" w:space="0" w:color="auto"/>
        <w:bottom w:val="none" w:sz="0" w:space="0" w:color="auto"/>
        <w:right w:val="none" w:sz="0" w:space="0" w:color="auto"/>
      </w:divBdr>
      <w:divsChild>
        <w:div w:id="154955392">
          <w:marLeft w:val="0"/>
          <w:marRight w:val="0"/>
          <w:marTop w:val="0"/>
          <w:marBottom w:val="0"/>
          <w:divBdr>
            <w:top w:val="none" w:sz="0" w:space="0" w:color="auto"/>
            <w:left w:val="none" w:sz="0" w:space="0" w:color="auto"/>
            <w:bottom w:val="none" w:sz="0" w:space="0" w:color="auto"/>
            <w:right w:val="none" w:sz="0" w:space="0" w:color="auto"/>
          </w:divBdr>
        </w:div>
      </w:divsChild>
    </w:div>
    <w:div w:id="1243414736">
      <w:bodyDiv w:val="1"/>
      <w:marLeft w:val="0"/>
      <w:marRight w:val="0"/>
      <w:marTop w:val="0"/>
      <w:marBottom w:val="0"/>
      <w:divBdr>
        <w:top w:val="none" w:sz="0" w:space="0" w:color="auto"/>
        <w:left w:val="none" w:sz="0" w:space="0" w:color="auto"/>
        <w:bottom w:val="none" w:sz="0" w:space="0" w:color="auto"/>
        <w:right w:val="none" w:sz="0" w:space="0" w:color="auto"/>
      </w:divBdr>
    </w:div>
    <w:div w:id="1250237814">
      <w:bodyDiv w:val="1"/>
      <w:marLeft w:val="0"/>
      <w:marRight w:val="0"/>
      <w:marTop w:val="0"/>
      <w:marBottom w:val="0"/>
      <w:divBdr>
        <w:top w:val="none" w:sz="0" w:space="0" w:color="auto"/>
        <w:left w:val="none" w:sz="0" w:space="0" w:color="auto"/>
        <w:bottom w:val="none" w:sz="0" w:space="0" w:color="auto"/>
        <w:right w:val="none" w:sz="0" w:space="0" w:color="auto"/>
      </w:divBdr>
    </w:div>
    <w:div w:id="1267735090">
      <w:bodyDiv w:val="1"/>
      <w:marLeft w:val="0"/>
      <w:marRight w:val="0"/>
      <w:marTop w:val="0"/>
      <w:marBottom w:val="0"/>
      <w:divBdr>
        <w:top w:val="none" w:sz="0" w:space="0" w:color="auto"/>
        <w:left w:val="none" w:sz="0" w:space="0" w:color="auto"/>
        <w:bottom w:val="none" w:sz="0" w:space="0" w:color="auto"/>
        <w:right w:val="none" w:sz="0" w:space="0" w:color="auto"/>
      </w:divBdr>
    </w:div>
    <w:div w:id="1278179010">
      <w:bodyDiv w:val="1"/>
      <w:marLeft w:val="0"/>
      <w:marRight w:val="0"/>
      <w:marTop w:val="0"/>
      <w:marBottom w:val="0"/>
      <w:divBdr>
        <w:top w:val="none" w:sz="0" w:space="0" w:color="auto"/>
        <w:left w:val="none" w:sz="0" w:space="0" w:color="auto"/>
        <w:bottom w:val="none" w:sz="0" w:space="0" w:color="auto"/>
        <w:right w:val="none" w:sz="0" w:space="0" w:color="auto"/>
      </w:divBdr>
    </w:div>
    <w:div w:id="1300922135">
      <w:bodyDiv w:val="1"/>
      <w:marLeft w:val="0"/>
      <w:marRight w:val="0"/>
      <w:marTop w:val="0"/>
      <w:marBottom w:val="0"/>
      <w:divBdr>
        <w:top w:val="none" w:sz="0" w:space="0" w:color="auto"/>
        <w:left w:val="none" w:sz="0" w:space="0" w:color="auto"/>
        <w:bottom w:val="none" w:sz="0" w:space="0" w:color="auto"/>
        <w:right w:val="none" w:sz="0" w:space="0" w:color="auto"/>
      </w:divBdr>
    </w:div>
    <w:div w:id="1301612060">
      <w:bodyDiv w:val="1"/>
      <w:marLeft w:val="0"/>
      <w:marRight w:val="0"/>
      <w:marTop w:val="0"/>
      <w:marBottom w:val="0"/>
      <w:divBdr>
        <w:top w:val="none" w:sz="0" w:space="0" w:color="auto"/>
        <w:left w:val="none" w:sz="0" w:space="0" w:color="auto"/>
        <w:bottom w:val="none" w:sz="0" w:space="0" w:color="auto"/>
        <w:right w:val="none" w:sz="0" w:space="0" w:color="auto"/>
      </w:divBdr>
    </w:div>
    <w:div w:id="1304501511">
      <w:bodyDiv w:val="1"/>
      <w:marLeft w:val="0"/>
      <w:marRight w:val="0"/>
      <w:marTop w:val="0"/>
      <w:marBottom w:val="0"/>
      <w:divBdr>
        <w:top w:val="none" w:sz="0" w:space="0" w:color="auto"/>
        <w:left w:val="none" w:sz="0" w:space="0" w:color="auto"/>
        <w:bottom w:val="none" w:sz="0" w:space="0" w:color="auto"/>
        <w:right w:val="none" w:sz="0" w:space="0" w:color="auto"/>
      </w:divBdr>
    </w:div>
    <w:div w:id="1308507194">
      <w:bodyDiv w:val="1"/>
      <w:marLeft w:val="0"/>
      <w:marRight w:val="0"/>
      <w:marTop w:val="0"/>
      <w:marBottom w:val="0"/>
      <w:divBdr>
        <w:top w:val="none" w:sz="0" w:space="0" w:color="auto"/>
        <w:left w:val="none" w:sz="0" w:space="0" w:color="auto"/>
        <w:bottom w:val="none" w:sz="0" w:space="0" w:color="auto"/>
        <w:right w:val="none" w:sz="0" w:space="0" w:color="auto"/>
      </w:divBdr>
    </w:div>
    <w:div w:id="1309483070">
      <w:bodyDiv w:val="1"/>
      <w:marLeft w:val="0"/>
      <w:marRight w:val="0"/>
      <w:marTop w:val="0"/>
      <w:marBottom w:val="0"/>
      <w:divBdr>
        <w:top w:val="none" w:sz="0" w:space="0" w:color="auto"/>
        <w:left w:val="none" w:sz="0" w:space="0" w:color="auto"/>
        <w:bottom w:val="none" w:sz="0" w:space="0" w:color="auto"/>
        <w:right w:val="none" w:sz="0" w:space="0" w:color="auto"/>
      </w:divBdr>
    </w:div>
    <w:div w:id="1313296943">
      <w:bodyDiv w:val="1"/>
      <w:marLeft w:val="0"/>
      <w:marRight w:val="0"/>
      <w:marTop w:val="0"/>
      <w:marBottom w:val="0"/>
      <w:divBdr>
        <w:top w:val="none" w:sz="0" w:space="0" w:color="auto"/>
        <w:left w:val="none" w:sz="0" w:space="0" w:color="auto"/>
        <w:bottom w:val="none" w:sz="0" w:space="0" w:color="auto"/>
        <w:right w:val="none" w:sz="0" w:space="0" w:color="auto"/>
      </w:divBdr>
    </w:div>
    <w:div w:id="1320038346">
      <w:bodyDiv w:val="1"/>
      <w:marLeft w:val="0"/>
      <w:marRight w:val="0"/>
      <w:marTop w:val="0"/>
      <w:marBottom w:val="0"/>
      <w:divBdr>
        <w:top w:val="none" w:sz="0" w:space="0" w:color="auto"/>
        <w:left w:val="none" w:sz="0" w:space="0" w:color="auto"/>
        <w:bottom w:val="none" w:sz="0" w:space="0" w:color="auto"/>
        <w:right w:val="none" w:sz="0" w:space="0" w:color="auto"/>
      </w:divBdr>
    </w:div>
    <w:div w:id="1321353356">
      <w:bodyDiv w:val="1"/>
      <w:marLeft w:val="0"/>
      <w:marRight w:val="0"/>
      <w:marTop w:val="0"/>
      <w:marBottom w:val="0"/>
      <w:divBdr>
        <w:top w:val="none" w:sz="0" w:space="0" w:color="auto"/>
        <w:left w:val="none" w:sz="0" w:space="0" w:color="auto"/>
        <w:bottom w:val="none" w:sz="0" w:space="0" w:color="auto"/>
        <w:right w:val="none" w:sz="0" w:space="0" w:color="auto"/>
      </w:divBdr>
    </w:div>
    <w:div w:id="1339305871">
      <w:bodyDiv w:val="1"/>
      <w:marLeft w:val="0"/>
      <w:marRight w:val="0"/>
      <w:marTop w:val="0"/>
      <w:marBottom w:val="0"/>
      <w:divBdr>
        <w:top w:val="none" w:sz="0" w:space="0" w:color="auto"/>
        <w:left w:val="none" w:sz="0" w:space="0" w:color="auto"/>
        <w:bottom w:val="none" w:sz="0" w:space="0" w:color="auto"/>
        <w:right w:val="none" w:sz="0" w:space="0" w:color="auto"/>
      </w:divBdr>
    </w:div>
    <w:div w:id="1349412046">
      <w:bodyDiv w:val="1"/>
      <w:marLeft w:val="0"/>
      <w:marRight w:val="0"/>
      <w:marTop w:val="0"/>
      <w:marBottom w:val="0"/>
      <w:divBdr>
        <w:top w:val="none" w:sz="0" w:space="0" w:color="auto"/>
        <w:left w:val="none" w:sz="0" w:space="0" w:color="auto"/>
        <w:bottom w:val="none" w:sz="0" w:space="0" w:color="auto"/>
        <w:right w:val="none" w:sz="0" w:space="0" w:color="auto"/>
      </w:divBdr>
    </w:div>
    <w:div w:id="1355880175">
      <w:bodyDiv w:val="1"/>
      <w:marLeft w:val="0"/>
      <w:marRight w:val="0"/>
      <w:marTop w:val="0"/>
      <w:marBottom w:val="0"/>
      <w:divBdr>
        <w:top w:val="none" w:sz="0" w:space="0" w:color="auto"/>
        <w:left w:val="none" w:sz="0" w:space="0" w:color="auto"/>
        <w:bottom w:val="none" w:sz="0" w:space="0" w:color="auto"/>
        <w:right w:val="none" w:sz="0" w:space="0" w:color="auto"/>
      </w:divBdr>
    </w:div>
    <w:div w:id="1363169297">
      <w:bodyDiv w:val="1"/>
      <w:marLeft w:val="0"/>
      <w:marRight w:val="0"/>
      <w:marTop w:val="0"/>
      <w:marBottom w:val="0"/>
      <w:divBdr>
        <w:top w:val="none" w:sz="0" w:space="0" w:color="auto"/>
        <w:left w:val="none" w:sz="0" w:space="0" w:color="auto"/>
        <w:bottom w:val="none" w:sz="0" w:space="0" w:color="auto"/>
        <w:right w:val="none" w:sz="0" w:space="0" w:color="auto"/>
      </w:divBdr>
    </w:div>
    <w:div w:id="1367833660">
      <w:bodyDiv w:val="1"/>
      <w:marLeft w:val="0"/>
      <w:marRight w:val="0"/>
      <w:marTop w:val="0"/>
      <w:marBottom w:val="0"/>
      <w:divBdr>
        <w:top w:val="none" w:sz="0" w:space="0" w:color="auto"/>
        <w:left w:val="none" w:sz="0" w:space="0" w:color="auto"/>
        <w:bottom w:val="none" w:sz="0" w:space="0" w:color="auto"/>
        <w:right w:val="none" w:sz="0" w:space="0" w:color="auto"/>
      </w:divBdr>
    </w:div>
    <w:div w:id="1369061280">
      <w:bodyDiv w:val="1"/>
      <w:marLeft w:val="0"/>
      <w:marRight w:val="0"/>
      <w:marTop w:val="0"/>
      <w:marBottom w:val="0"/>
      <w:divBdr>
        <w:top w:val="none" w:sz="0" w:space="0" w:color="auto"/>
        <w:left w:val="none" w:sz="0" w:space="0" w:color="auto"/>
        <w:bottom w:val="none" w:sz="0" w:space="0" w:color="auto"/>
        <w:right w:val="none" w:sz="0" w:space="0" w:color="auto"/>
      </w:divBdr>
    </w:div>
    <w:div w:id="1387220056">
      <w:bodyDiv w:val="1"/>
      <w:marLeft w:val="0"/>
      <w:marRight w:val="0"/>
      <w:marTop w:val="0"/>
      <w:marBottom w:val="0"/>
      <w:divBdr>
        <w:top w:val="none" w:sz="0" w:space="0" w:color="auto"/>
        <w:left w:val="none" w:sz="0" w:space="0" w:color="auto"/>
        <w:bottom w:val="none" w:sz="0" w:space="0" w:color="auto"/>
        <w:right w:val="none" w:sz="0" w:space="0" w:color="auto"/>
      </w:divBdr>
    </w:div>
    <w:div w:id="1439372990">
      <w:bodyDiv w:val="1"/>
      <w:marLeft w:val="0"/>
      <w:marRight w:val="0"/>
      <w:marTop w:val="0"/>
      <w:marBottom w:val="0"/>
      <w:divBdr>
        <w:top w:val="none" w:sz="0" w:space="0" w:color="auto"/>
        <w:left w:val="none" w:sz="0" w:space="0" w:color="auto"/>
        <w:bottom w:val="none" w:sz="0" w:space="0" w:color="auto"/>
        <w:right w:val="none" w:sz="0" w:space="0" w:color="auto"/>
      </w:divBdr>
    </w:div>
    <w:div w:id="1445341184">
      <w:bodyDiv w:val="1"/>
      <w:marLeft w:val="0"/>
      <w:marRight w:val="0"/>
      <w:marTop w:val="0"/>
      <w:marBottom w:val="0"/>
      <w:divBdr>
        <w:top w:val="none" w:sz="0" w:space="0" w:color="auto"/>
        <w:left w:val="none" w:sz="0" w:space="0" w:color="auto"/>
        <w:bottom w:val="none" w:sz="0" w:space="0" w:color="auto"/>
        <w:right w:val="none" w:sz="0" w:space="0" w:color="auto"/>
      </w:divBdr>
    </w:div>
    <w:div w:id="1454203520">
      <w:bodyDiv w:val="1"/>
      <w:marLeft w:val="0"/>
      <w:marRight w:val="0"/>
      <w:marTop w:val="0"/>
      <w:marBottom w:val="0"/>
      <w:divBdr>
        <w:top w:val="none" w:sz="0" w:space="0" w:color="auto"/>
        <w:left w:val="none" w:sz="0" w:space="0" w:color="auto"/>
        <w:bottom w:val="none" w:sz="0" w:space="0" w:color="auto"/>
        <w:right w:val="none" w:sz="0" w:space="0" w:color="auto"/>
      </w:divBdr>
    </w:div>
    <w:div w:id="1462109143">
      <w:bodyDiv w:val="1"/>
      <w:marLeft w:val="0"/>
      <w:marRight w:val="0"/>
      <w:marTop w:val="0"/>
      <w:marBottom w:val="0"/>
      <w:divBdr>
        <w:top w:val="none" w:sz="0" w:space="0" w:color="auto"/>
        <w:left w:val="none" w:sz="0" w:space="0" w:color="auto"/>
        <w:bottom w:val="none" w:sz="0" w:space="0" w:color="auto"/>
        <w:right w:val="none" w:sz="0" w:space="0" w:color="auto"/>
      </w:divBdr>
    </w:div>
    <w:div w:id="1483157721">
      <w:bodyDiv w:val="1"/>
      <w:marLeft w:val="0"/>
      <w:marRight w:val="0"/>
      <w:marTop w:val="0"/>
      <w:marBottom w:val="0"/>
      <w:divBdr>
        <w:top w:val="none" w:sz="0" w:space="0" w:color="auto"/>
        <w:left w:val="none" w:sz="0" w:space="0" w:color="auto"/>
        <w:bottom w:val="none" w:sz="0" w:space="0" w:color="auto"/>
        <w:right w:val="none" w:sz="0" w:space="0" w:color="auto"/>
      </w:divBdr>
    </w:div>
    <w:div w:id="1488207400">
      <w:bodyDiv w:val="1"/>
      <w:marLeft w:val="0"/>
      <w:marRight w:val="0"/>
      <w:marTop w:val="0"/>
      <w:marBottom w:val="0"/>
      <w:divBdr>
        <w:top w:val="none" w:sz="0" w:space="0" w:color="auto"/>
        <w:left w:val="none" w:sz="0" w:space="0" w:color="auto"/>
        <w:bottom w:val="none" w:sz="0" w:space="0" w:color="auto"/>
        <w:right w:val="none" w:sz="0" w:space="0" w:color="auto"/>
      </w:divBdr>
    </w:div>
    <w:div w:id="1491865653">
      <w:bodyDiv w:val="1"/>
      <w:marLeft w:val="0"/>
      <w:marRight w:val="0"/>
      <w:marTop w:val="0"/>
      <w:marBottom w:val="0"/>
      <w:divBdr>
        <w:top w:val="none" w:sz="0" w:space="0" w:color="auto"/>
        <w:left w:val="none" w:sz="0" w:space="0" w:color="auto"/>
        <w:bottom w:val="none" w:sz="0" w:space="0" w:color="auto"/>
        <w:right w:val="none" w:sz="0" w:space="0" w:color="auto"/>
      </w:divBdr>
      <w:divsChild>
        <w:div w:id="443697803">
          <w:marLeft w:val="0"/>
          <w:marRight w:val="0"/>
          <w:marTop w:val="0"/>
          <w:marBottom w:val="0"/>
          <w:divBdr>
            <w:top w:val="none" w:sz="0" w:space="0" w:color="auto"/>
            <w:left w:val="none" w:sz="0" w:space="0" w:color="auto"/>
            <w:bottom w:val="none" w:sz="0" w:space="0" w:color="auto"/>
            <w:right w:val="none" w:sz="0" w:space="0" w:color="auto"/>
          </w:divBdr>
        </w:div>
      </w:divsChild>
    </w:div>
    <w:div w:id="1494759176">
      <w:bodyDiv w:val="1"/>
      <w:marLeft w:val="0"/>
      <w:marRight w:val="0"/>
      <w:marTop w:val="0"/>
      <w:marBottom w:val="0"/>
      <w:divBdr>
        <w:top w:val="none" w:sz="0" w:space="0" w:color="auto"/>
        <w:left w:val="none" w:sz="0" w:space="0" w:color="auto"/>
        <w:bottom w:val="none" w:sz="0" w:space="0" w:color="auto"/>
        <w:right w:val="none" w:sz="0" w:space="0" w:color="auto"/>
      </w:divBdr>
    </w:div>
    <w:div w:id="1501652249">
      <w:bodyDiv w:val="1"/>
      <w:marLeft w:val="0"/>
      <w:marRight w:val="0"/>
      <w:marTop w:val="0"/>
      <w:marBottom w:val="0"/>
      <w:divBdr>
        <w:top w:val="none" w:sz="0" w:space="0" w:color="auto"/>
        <w:left w:val="none" w:sz="0" w:space="0" w:color="auto"/>
        <w:bottom w:val="none" w:sz="0" w:space="0" w:color="auto"/>
        <w:right w:val="none" w:sz="0" w:space="0" w:color="auto"/>
      </w:divBdr>
    </w:div>
    <w:div w:id="1504204867">
      <w:bodyDiv w:val="1"/>
      <w:marLeft w:val="0"/>
      <w:marRight w:val="0"/>
      <w:marTop w:val="0"/>
      <w:marBottom w:val="0"/>
      <w:divBdr>
        <w:top w:val="none" w:sz="0" w:space="0" w:color="auto"/>
        <w:left w:val="none" w:sz="0" w:space="0" w:color="auto"/>
        <w:bottom w:val="none" w:sz="0" w:space="0" w:color="auto"/>
        <w:right w:val="none" w:sz="0" w:space="0" w:color="auto"/>
      </w:divBdr>
    </w:div>
    <w:div w:id="1505707315">
      <w:bodyDiv w:val="1"/>
      <w:marLeft w:val="0"/>
      <w:marRight w:val="0"/>
      <w:marTop w:val="0"/>
      <w:marBottom w:val="0"/>
      <w:divBdr>
        <w:top w:val="none" w:sz="0" w:space="0" w:color="auto"/>
        <w:left w:val="none" w:sz="0" w:space="0" w:color="auto"/>
        <w:bottom w:val="none" w:sz="0" w:space="0" w:color="auto"/>
        <w:right w:val="none" w:sz="0" w:space="0" w:color="auto"/>
      </w:divBdr>
    </w:div>
    <w:div w:id="1529292554">
      <w:bodyDiv w:val="1"/>
      <w:marLeft w:val="0"/>
      <w:marRight w:val="0"/>
      <w:marTop w:val="0"/>
      <w:marBottom w:val="0"/>
      <w:divBdr>
        <w:top w:val="none" w:sz="0" w:space="0" w:color="auto"/>
        <w:left w:val="none" w:sz="0" w:space="0" w:color="auto"/>
        <w:bottom w:val="none" w:sz="0" w:space="0" w:color="auto"/>
        <w:right w:val="none" w:sz="0" w:space="0" w:color="auto"/>
      </w:divBdr>
    </w:div>
    <w:div w:id="1554001609">
      <w:bodyDiv w:val="1"/>
      <w:marLeft w:val="0"/>
      <w:marRight w:val="0"/>
      <w:marTop w:val="0"/>
      <w:marBottom w:val="0"/>
      <w:divBdr>
        <w:top w:val="none" w:sz="0" w:space="0" w:color="auto"/>
        <w:left w:val="none" w:sz="0" w:space="0" w:color="auto"/>
        <w:bottom w:val="none" w:sz="0" w:space="0" w:color="auto"/>
        <w:right w:val="none" w:sz="0" w:space="0" w:color="auto"/>
      </w:divBdr>
      <w:divsChild>
        <w:div w:id="461385599">
          <w:marLeft w:val="0"/>
          <w:marRight w:val="0"/>
          <w:marTop w:val="0"/>
          <w:marBottom w:val="0"/>
          <w:divBdr>
            <w:top w:val="none" w:sz="0" w:space="0" w:color="auto"/>
            <w:left w:val="none" w:sz="0" w:space="0" w:color="auto"/>
            <w:bottom w:val="none" w:sz="0" w:space="0" w:color="auto"/>
            <w:right w:val="none" w:sz="0" w:space="0" w:color="auto"/>
          </w:divBdr>
          <w:divsChild>
            <w:div w:id="373819777">
              <w:marLeft w:val="0"/>
              <w:marRight w:val="0"/>
              <w:marTop w:val="0"/>
              <w:marBottom w:val="0"/>
              <w:divBdr>
                <w:top w:val="none" w:sz="0" w:space="0" w:color="auto"/>
                <w:left w:val="none" w:sz="0" w:space="0" w:color="auto"/>
                <w:bottom w:val="none" w:sz="0" w:space="0" w:color="auto"/>
                <w:right w:val="none" w:sz="0" w:space="0" w:color="auto"/>
              </w:divBdr>
            </w:div>
          </w:divsChild>
        </w:div>
        <w:div w:id="765804077">
          <w:marLeft w:val="0"/>
          <w:marRight w:val="0"/>
          <w:marTop w:val="0"/>
          <w:marBottom w:val="0"/>
          <w:divBdr>
            <w:top w:val="none" w:sz="0" w:space="0" w:color="auto"/>
            <w:left w:val="none" w:sz="0" w:space="0" w:color="auto"/>
            <w:bottom w:val="none" w:sz="0" w:space="0" w:color="auto"/>
            <w:right w:val="none" w:sz="0" w:space="0" w:color="auto"/>
          </w:divBdr>
          <w:divsChild>
            <w:div w:id="465196529">
              <w:marLeft w:val="0"/>
              <w:marRight w:val="0"/>
              <w:marTop w:val="0"/>
              <w:marBottom w:val="0"/>
              <w:divBdr>
                <w:top w:val="none" w:sz="0" w:space="0" w:color="auto"/>
                <w:left w:val="none" w:sz="0" w:space="0" w:color="auto"/>
                <w:bottom w:val="none" w:sz="0" w:space="0" w:color="auto"/>
                <w:right w:val="none" w:sz="0" w:space="0" w:color="auto"/>
              </w:divBdr>
              <w:divsChild>
                <w:div w:id="1048532642">
                  <w:marLeft w:val="0"/>
                  <w:marRight w:val="0"/>
                  <w:marTop w:val="0"/>
                  <w:marBottom w:val="0"/>
                  <w:divBdr>
                    <w:top w:val="none" w:sz="0" w:space="0" w:color="auto"/>
                    <w:left w:val="none" w:sz="0" w:space="0" w:color="auto"/>
                    <w:bottom w:val="none" w:sz="0" w:space="0" w:color="auto"/>
                    <w:right w:val="none" w:sz="0" w:space="0" w:color="auto"/>
                  </w:divBdr>
                  <w:divsChild>
                    <w:div w:id="9290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460934">
      <w:bodyDiv w:val="1"/>
      <w:marLeft w:val="0"/>
      <w:marRight w:val="0"/>
      <w:marTop w:val="0"/>
      <w:marBottom w:val="0"/>
      <w:divBdr>
        <w:top w:val="none" w:sz="0" w:space="0" w:color="auto"/>
        <w:left w:val="none" w:sz="0" w:space="0" w:color="auto"/>
        <w:bottom w:val="none" w:sz="0" w:space="0" w:color="auto"/>
        <w:right w:val="none" w:sz="0" w:space="0" w:color="auto"/>
      </w:divBdr>
    </w:div>
    <w:div w:id="1562251280">
      <w:bodyDiv w:val="1"/>
      <w:marLeft w:val="0"/>
      <w:marRight w:val="0"/>
      <w:marTop w:val="0"/>
      <w:marBottom w:val="0"/>
      <w:divBdr>
        <w:top w:val="none" w:sz="0" w:space="0" w:color="auto"/>
        <w:left w:val="none" w:sz="0" w:space="0" w:color="auto"/>
        <w:bottom w:val="none" w:sz="0" w:space="0" w:color="auto"/>
        <w:right w:val="none" w:sz="0" w:space="0" w:color="auto"/>
      </w:divBdr>
    </w:div>
    <w:div w:id="1578902418">
      <w:bodyDiv w:val="1"/>
      <w:marLeft w:val="0"/>
      <w:marRight w:val="0"/>
      <w:marTop w:val="0"/>
      <w:marBottom w:val="0"/>
      <w:divBdr>
        <w:top w:val="none" w:sz="0" w:space="0" w:color="auto"/>
        <w:left w:val="none" w:sz="0" w:space="0" w:color="auto"/>
        <w:bottom w:val="none" w:sz="0" w:space="0" w:color="auto"/>
        <w:right w:val="none" w:sz="0" w:space="0" w:color="auto"/>
      </w:divBdr>
    </w:div>
    <w:div w:id="1582569894">
      <w:bodyDiv w:val="1"/>
      <w:marLeft w:val="0"/>
      <w:marRight w:val="0"/>
      <w:marTop w:val="0"/>
      <w:marBottom w:val="0"/>
      <w:divBdr>
        <w:top w:val="none" w:sz="0" w:space="0" w:color="auto"/>
        <w:left w:val="none" w:sz="0" w:space="0" w:color="auto"/>
        <w:bottom w:val="none" w:sz="0" w:space="0" w:color="auto"/>
        <w:right w:val="none" w:sz="0" w:space="0" w:color="auto"/>
      </w:divBdr>
    </w:div>
    <w:div w:id="1584994240">
      <w:bodyDiv w:val="1"/>
      <w:marLeft w:val="0"/>
      <w:marRight w:val="0"/>
      <w:marTop w:val="0"/>
      <w:marBottom w:val="0"/>
      <w:divBdr>
        <w:top w:val="none" w:sz="0" w:space="0" w:color="auto"/>
        <w:left w:val="none" w:sz="0" w:space="0" w:color="auto"/>
        <w:bottom w:val="none" w:sz="0" w:space="0" w:color="auto"/>
        <w:right w:val="none" w:sz="0" w:space="0" w:color="auto"/>
      </w:divBdr>
    </w:div>
    <w:div w:id="1612081872">
      <w:bodyDiv w:val="1"/>
      <w:marLeft w:val="0"/>
      <w:marRight w:val="0"/>
      <w:marTop w:val="0"/>
      <w:marBottom w:val="0"/>
      <w:divBdr>
        <w:top w:val="none" w:sz="0" w:space="0" w:color="auto"/>
        <w:left w:val="none" w:sz="0" w:space="0" w:color="auto"/>
        <w:bottom w:val="none" w:sz="0" w:space="0" w:color="auto"/>
        <w:right w:val="none" w:sz="0" w:space="0" w:color="auto"/>
      </w:divBdr>
    </w:div>
    <w:div w:id="1633368744">
      <w:bodyDiv w:val="1"/>
      <w:marLeft w:val="0"/>
      <w:marRight w:val="0"/>
      <w:marTop w:val="0"/>
      <w:marBottom w:val="0"/>
      <w:divBdr>
        <w:top w:val="none" w:sz="0" w:space="0" w:color="auto"/>
        <w:left w:val="none" w:sz="0" w:space="0" w:color="auto"/>
        <w:bottom w:val="none" w:sz="0" w:space="0" w:color="auto"/>
        <w:right w:val="none" w:sz="0" w:space="0" w:color="auto"/>
      </w:divBdr>
    </w:div>
    <w:div w:id="1634872316">
      <w:bodyDiv w:val="1"/>
      <w:marLeft w:val="0"/>
      <w:marRight w:val="0"/>
      <w:marTop w:val="0"/>
      <w:marBottom w:val="0"/>
      <w:divBdr>
        <w:top w:val="none" w:sz="0" w:space="0" w:color="auto"/>
        <w:left w:val="none" w:sz="0" w:space="0" w:color="auto"/>
        <w:bottom w:val="none" w:sz="0" w:space="0" w:color="auto"/>
        <w:right w:val="none" w:sz="0" w:space="0" w:color="auto"/>
      </w:divBdr>
    </w:div>
    <w:div w:id="1652908485">
      <w:bodyDiv w:val="1"/>
      <w:marLeft w:val="0"/>
      <w:marRight w:val="0"/>
      <w:marTop w:val="0"/>
      <w:marBottom w:val="0"/>
      <w:divBdr>
        <w:top w:val="none" w:sz="0" w:space="0" w:color="auto"/>
        <w:left w:val="none" w:sz="0" w:space="0" w:color="auto"/>
        <w:bottom w:val="none" w:sz="0" w:space="0" w:color="auto"/>
        <w:right w:val="none" w:sz="0" w:space="0" w:color="auto"/>
      </w:divBdr>
    </w:div>
    <w:div w:id="1654528739">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676035293">
      <w:bodyDiv w:val="1"/>
      <w:marLeft w:val="0"/>
      <w:marRight w:val="0"/>
      <w:marTop w:val="0"/>
      <w:marBottom w:val="0"/>
      <w:divBdr>
        <w:top w:val="none" w:sz="0" w:space="0" w:color="auto"/>
        <w:left w:val="none" w:sz="0" w:space="0" w:color="auto"/>
        <w:bottom w:val="none" w:sz="0" w:space="0" w:color="auto"/>
        <w:right w:val="none" w:sz="0" w:space="0" w:color="auto"/>
      </w:divBdr>
    </w:div>
    <w:div w:id="1679500354">
      <w:bodyDiv w:val="1"/>
      <w:marLeft w:val="0"/>
      <w:marRight w:val="0"/>
      <w:marTop w:val="0"/>
      <w:marBottom w:val="0"/>
      <w:divBdr>
        <w:top w:val="none" w:sz="0" w:space="0" w:color="auto"/>
        <w:left w:val="none" w:sz="0" w:space="0" w:color="auto"/>
        <w:bottom w:val="none" w:sz="0" w:space="0" w:color="auto"/>
        <w:right w:val="none" w:sz="0" w:space="0" w:color="auto"/>
      </w:divBdr>
    </w:div>
    <w:div w:id="1702244732">
      <w:bodyDiv w:val="1"/>
      <w:marLeft w:val="0"/>
      <w:marRight w:val="0"/>
      <w:marTop w:val="0"/>
      <w:marBottom w:val="0"/>
      <w:divBdr>
        <w:top w:val="none" w:sz="0" w:space="0" w:color="auto"/>
        <w:left w:val="none" w:sz="0" w:space="0" w:color="auto"/>
        <w:bottom w:val="none" w:sz="0" w:space="0" w:color="auto"/>
        <w:right w:val="none" w:sz="0" w:space="0" w:color="auto"/>
      </w:divBdr>
    </w:div>
    <w:div w:id="1703628675">
      <w:bodyDiv w:val="1"/>
      <w:marLeft w:val="0"/>
      <w:marRight w:val="0"/>
      <w:marTop w:val="0"/>
      <w:marBottom w:val="0"/>
      <w:divBdr>
        <w:top w:val="none" w:sz="0" w:space="0" w:color="auto"/>
        <w:left w:val="none" w:sz="0" w:space="0" w:color="auto"/>
        <w:bottom w:val="none" w:sz="0" w:space="0" w:color="auto"/>
        <w:right w:val="none" w:sz="0" w:space="0" w:color="auto"/>
      </w:divBdr>
    </w:div>
    <w:div w:id="1730808649">
      <w:bodyDiv w:val="1"/>
      <w:marLeft w:val="0"/>
      <w:marRight w:val="0"/>
      <w:marTop w:val="0"/>
      <w:marBottom w:val="0"/>
      <w:divBdr>
        <w:top w:val="none" w:sz="0" w:space="0" w:color="auto"/>
        <w:left w:val="none" w:sz="0" w:space="0" w:color="auto"/>
        <w:bottom w:val="none" w:sz="0" w:space="0" w:color="auto"/>
        <w:right w:val="none" w:sz="0" w:space="0" w:color="auto"/>
      </w:divBdr>
    </w:div>
    <w:div w:id="1751727884">
      <w:bodyDiv w:val="1"/>
      <w:marLeft w:val="0"/>
      <w:marRight w:val="0"/>
      <w:marTop w:val="0"/>
      <w:marBottom w:val="0"/>
      <w:divBdr>
        <w:top w:val="none" w:sz="0" w:space="0" w:color="auto"/>
        <w:left w:val="none" w:sz="0" w:space="0" w:color="auto"/>
        <w:bottom w:val="none" w:sz="0" w:space="0" w:color="auto"/>
        <w:right w:val="none" w:sz="0" w:space="0" w:color="auto"/>
      </w:divBdr>
    </w:div>
    <w:div w:id="1762526934">
      <w:bodyDiv w:val="1"/>
      <w:marLeft w:val="0"/>
      <w:marRight w:val="0"/>
      <w:marTop w:val="0"/>
      <w:marBottom w:val="0"/>
      <w:divBdr>
        <w:top w:val="none" w:sz="0" w:space="0" w:color="auto"/>
        <w:left w:val="none" w:sz="0" w:space="0" w:color="auto"/>
        <w:bottom w:val="none" w:sz="0" w:space="0" w:color="auto"/>
        <w:right w:val="none" w:sz="0" w:space="0" w:color="auto"/>
      </w:divBdr>
    </w:div>
    <w:div w:id="1789665072">
      <w:bodyDiv w:val="1"/>
      <w:marLeft w:val="0"/>
      <w:marRight w:val="0"/>
      <w:marTop w:val="0"/>
      <w:marBottom w:val="0"/>
      <w:divBdr>
        <w:top w:val="none" w:sz="0" w:space="0" w:color="auto"/>
        <w:left w:val="none" w:sz="0" w:space="0" w:color="auto"/>
        <w:bottom w:val="none" w:sz="0" w:space="0" w:color="auto"/>
        <w:right w:val="none" w:sz="0" w:space="0" w:color="auto"/>
      </w:divBdr>
    </w:div>
    <w:div w:id="1804814108">
      <w:bodyDiv w:val="1"/>
      <w:marLeft w:val="0"/>
      <w:marRight w:val="0"/>
      <w:marTop w:val="0"/>
      <w:marBottom w:val="0"/>
      <w:divBdr>
        <w:top w:val="none" w:sz="0" w:space="0" w:color="auto"/>
        <w:left w:val="none" w:sz="0" w:space="0" w:color="auto"/>
        <w:bottom w:val="none" w:sz="0" w:space="0" w:color="auto"/>
        <w:right w:val="none" w:sz="0" w:space="0" w:color="auto"/>
      </w:divBdr>
    </w:div>
    <w:div w:id="1808279939">
      <w:bodyDiv w:val="1"/>
      <w:marLeft w:val="0"/>
      <w:marRight w:val="0"/>
      <w:marTop w:val="0"/>
      <w:marBottom w:val="0"/>
      <w:divBdr>
        <w:top w:val="none" w:sz="0" w:space="0" w:color="auto"/>
        <w:left w:val="none" w:sz="0" w:space="0" w:color="auto"/>
        <w:bottom w:val="none" w:sz="0" w:space="0" w:color="auto"/>
        <w:right w:val="none" w:sz="0" w:space="0" w:color="auto"/>
      </w:divBdr>
    </w:div>
    <w:div w:id="1814635459">
      <w:bodyDiv w:val="1"/>
      <w:marLeft w:val="0"/>
      <w:marRight w:val="0"/>
      <w:marTop w:val="0"/>
      <w:marBottom w:val="0"/>
      <w:divBdr>
        <w:top w:val="none" w:sz="0" w:space="0" w:color="auto"/>
        <w:left w:val="none" w:sz="0" w:space="0" w:color="auto"/>
        <w:bottom w:val="none" w:sz="0" w:space="0" w:color="auto"/>
        <w:right w:val="none" w:sz="0" w:space="0" w:color="auto"/>
      </w:divBdr>
    </w:div>
    <w:div w:id="1815563743">
      <w:bodyDiv w:val="1"/>
      <w:marLeft w:val="0"/>
      <w:marRight w:val="0"/>
      <w:marTop w:val="0"/>
      <w:marBottom w:val="0"/>
      <w:divBdr>
        <w:top w:val="none" w:sz="0" w:space="0" w:color="auto"/>
        <w:left w:val="none" w:sz="0" w:space="0" w:color="auto"/>
        <w:bottom w:val="none" w:sz="0" w:space="0" w:color="auto"/>
        <w:right w:val="none" w:sz="0" w:space="0" w:color="auto"/>
      </w:divBdr>
    </w:div>
    <w:div w:id="1827434349">
      <w:bodyDiv w:val="1"/>
      <w:marLeft w:val="0"/>
      <w:marRight w:val="0"/>
      <w:marTop w:val="0"/>
      <w:marBottom w:val="0"/>
      <w:divBdr>
        <w:top w:val="none" w:sz="0" w:space="0" w:color="auto"/>
        <w:left w:val="none" w:sz="0" w:space="0" w:color="auto"/>
        <w:bottom w:val="none" w:sz="0" w:space="0" w:color="auto"/>
        <w:right w:val="none" w:sz="0" w:space="0" w:color="auto"/>
      </w:divBdr>
    </w:div>
    <w:div w:id="1829905080">
      <w:bodyDiv w:val="1"/>
      <w:marLeft w:val="0"/>
      <w:marRight w:val="0"/>
      <w:marTop w:val="0"/>
      <w:marBottom w:val="0"/>
      <w:divBdr>
        <w:top w:val="none" w:sz="0" w:space="0" w:color="auto"/>
        <w:left w:val="none" w:sz="0" w:space="0" w:color="auto"/>
        <w:bottom w:val="none" w:sz="0" w:space="0" w:color="auto"/>
        <w:right w:val="none" w:sz="0" w:space="0" w:color="auto"/>
      </w:divBdr>
    </w:div>
    <w:div w:id="1830558099">
      <w:bodyDiv w:val="1"/>
      <w:marLeft w:val="0"/>
      <w:marRight w:val="0"/>
      <w:marTop w:val="0"/>
      <w:marBottom w:val="0"/>
      <w:divBdr>
        <w:top w:val="none" w:sz="0" w:space="0" w:color="auto"/>
        <w:left w:val="none" w:sz="0" w:space="0" w:color="auto"/>
        <w:bottom w:val="none" w:sz="0" w:space="0" w:color="auto"/>
        <w:right w:val="none" w:sz="0" w:space="0" w:color="auto"/>
      </w:divBdr>
    </w:div>
    <w:div w:id="1845700240">
      <w:bodyDiv w:val="1"/>
      <w:marLeft w:val="0"/>
      <w:marRight w:val="0"/>
      <w:marTop w:val="0"/>
      <w:marBottom w:val="0"/>
      <w:divBdr>
        <w:top w:val="none" w:sz="0" w:space="0" w:color="auto"/>
        <w:left w:val="none" w:sz="0" w:space="0" w:color="auto"/>
        <w:bottom w:val="none" w:sz="0" w:space="0" w:color="auto"/>
        <w:right w:val="none" w:sz="0" w:space="0" w:color="auto"/>
      </w:divBdr>
    </w:div>
    <w:div w:id="1871528252">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876384631">
      <w:bodyDiv w:val="1"/>
      <w:marLeft w:val="0"/>
      <w:marRight w:val="0"/>
      <w:marTop w:val="0"/>
      <w:marBottom w:val="0"/>
      <w:divBdr>
        <w:top w:val="none" w:sz="0" w:space="0" w:color="auto"/>
        <w:left w:val="none" w:sz="0" w:space="0" w:color="auto"/>
        <w:bottom w:val="none" w:sz="0" w:space="0" w:color="auto"/>
        <w:right w:val="none" w:sz="0" w:space="0" w:color="auto"/>
      </w:divBdr>
    </w:div>
    <w:div w:id="1877157792">
      <w:bodyDiv w:val="1"/>
      <w:marLeft w:val="0"/>
      <w:marRight w:val="0"/>
      <w:marTop w:val="0"/>
      <w:marBottom w:val="0"/>
      <w:divBdr>
        <w:top w:val="none" w:sz="0" w:space="0" w:color="auto"/>
        <w:left w:val="none" w:sz="0" w:space="0" w:color="auto"/>
        <w:bottom w:val="none" w:sz="0" w:space="0" w:color="auto"/>
        <w:right w:val="none" w:sz="0" w:space="0" w:color="auto"/>
      </w:divBdr>
    </w:div>
    <w:div w:id="1879196212">
      <w:bodyDiv w:val="1"/>
      <w:marLeft w:val="0"/>
      <w:marRight w:val="0"/>
      <w:marTop w:val="0"/>
      <w:marBottom w:val="0"/>
      <w:divBdr>
        <w:top w:val="none" w:sz="0" w:space="0" w:color="auto"/>
        <w:left w:val="none" w:sz="0" w:space="0" w:color="auto"/>
        <w:bottom w:val="none" w:sz="0" w:space="0" w:color="auto"/>
        <w:right w:val="none" w:sz="0" w:space="0" w:color="auto"/>
      </w:divBdr>
    </w:div>
    <w:div w:id="1883327432">
      <w:bodyDiv w:val="1"/>
      <w:marLeft w:val="0"/>
      <w:marRight w:val="0"/>
      <w:marTop w:val="0"/>
      <w:marBottom w:val="0"/>
      <w:divBdr>
        <w:top w:val="none" w:sz="0" w:space="0" w:color="auto"/>
        <w:left w:val="none" w:sz="0" w:space="0" w:color="auto"/>
        <w:bottom w:val="none" w:sz="0" w:space="0" w:color="auto"/>
        <w:right w:val="none" w:sz="0" w:space="0" w:color="auto"/>
      </w:divBdr>
    </w:div>
    <w:div w:id="1909345736">
      <w:bodyDiv w:val="1"/>
      <w:marLeft w:val="0"/>
      <w:marRight w:val="0"/>
      <w:marTop w:val="0"/>
      <w:marBottom w:val="0"/>
      <w:divBdr>
        <w:top w:val="none" w:sz="0" w:space="0" w:color="auto"/>
        <w:left w:val="none" w:sz="0" w:space="0" w:color="auto"/>
        <w:bottom w:val="none" w:sz="0" w:space="0" w:color="auto"/>
        <w:right w:val="none" w:sz="0" w:space="0" w:color="auto"/>
      </w:divBdr>
    </w:div>
    <w:div w:id="1919053709">
      <w:bodyDiv w:val="1"/>
      <w:marLeft w:val="0"/>
      <w:marRight w:val="0"/>
      <w:marTop w:val="0"/>
      <w:marBottom w:val="0"/>
      <w:divBdr>
        <w:top w:val="none" w:sz="0" w:space="0" w:color="auto"/>
        <w:left w:val="none" w:sz="0" w:space="0" w:color="auto"/>
        <w:bottom w:val="none" w:sz="0" w:space="0" w:color="auto"/>
        <w:right w:val="none" w:sz="0" w:space="0" w:color="auto"/>
      </w:divBdr>
    </w:div>
    <w:div w:id="1924340392">
      <w:bodyDiv w:val="1"/>
      <w:marLeft w:val="0"/>
      <w:marRight w:val="0"/>
      <w:marTop w:val="0"/>
      <w:marBottom w:val="0"/>
      <w:divBdr>
        <w:top w:val="none" w:sz="0" w:space="0" w:color="auto"/>
        <w:left w:val="none" w:sz="0" w:space="0" w:color="auto"/>
        <w:bottom w:val="none" w:sz="0" w:space="0" w:color="auto"/>
        <w:right w:val="none" w:sz="0" w:space="0" w:color="auto"/>
      </w:divBdr>
    </w:div>
    <w:div w:id="1946302045">
      <w:bodyDiv w:val="1"/>
      <w:marLeft w:val="0"/>
      <w:marRight w:val="0"/>
      <w:marTop w:val="0"/>
      <w:marBottom w:val="0"/>
      <w:divBdr>
        <w:top w:val="none" w:sz="0" w:space="0" w:color="auto"/>
        <w:left w:val="none" w:sz="0" w:space="0" w:color="auto"/>
        <w:bottom w:val="none" w:sz="0" w:space="0" w:color="auto"/>
        <w:right w:val="none" w:sz="0" w:space="0" w:color="auto"/>
      </w:divBdr>
    </w:div>
    <w:div w:id="1949728597">
      <w:bodyDiv w:val="1"/>
      <w:marLeft w:val="0"/>
      <w:marRight w:val="0"/>
      <w:marTop w:val="0"/>
      <w:marBottom w:val="0"/>
      <w:divBdr>
        <w:top w:val="none" w:sz="0" w:space="0" w:color="auto"/>
        <w:left w:val="none" w:sz="0" w:space="0" w:color="auto"/>
        <w:bottom w:val="none" w:sz="0" w:space="0" w:color="auto"/>
        <w:right w:val="none" w:sz="0" w:space="0" w:color="auto"/>
      </w:divBdr>
    </w:div>
    <w:div w:id="1963490143">
      <w:bodyDiv w:val="1"/>
      <w:marLeft w:val="0"/>
      <w:marRight w:val="0"/>
      <w:marTop w:val="0"/>
      <w:marBottom w:val="0"/>
      <w:divBdr>
        <w:top w:val="none" w:sz="0" w:space="0" w:color="auto"/>
        <w:left w:val="none" w:sz="0" w:space="0" w:color="auto"/>
        <w:bottom w:val="none" w:sz="0" w:space="0" w:color="auto"/>
        <w:right w:val="none" w:sz="0" w:space="0" w:color="auto"/>
      </w:divBdr>
    </w:div>
    <w:div w:id="1964724014">
      <w:bodyDiv w:val="1"/>
      <w:marLeft w:val="0"/>
      <w:marRight w:val="0"/>
      <w:marTop w:val="0"/>
      <w:marBottom w:val="0"/>
      <w:divBdr>
        <w:top w:val="none" w:sz="0" w:space="0" w:color="auto"/>
        <w:left w:val="none" w:sz="0" w:space="0" w:color="auto"/>
        <w:bottom w:val="none" w:sz="0" w:space="0" w:color="auto"/>
        <w:right w:val="none" w:sz="0" w:space="0" w:color="auto"/>
      </w:divBdr>
    </w:div>
    <w:div w:id="1981376211">
      <w:bodyDiv w:val="1"/>
      <w:marLeft w:val="0"/>
      <w:marRight w:val="0"/>
      <w:marTop w:val="0"/>
      <w:marBottom w:val="0"/>
      <w:divBdr>
        <w:top w:val="none" w:sz="0" w:space="0" w:color="auto"/>
        <w:left w:val="none" w:sz="0" w:space="0" w:color="auto"/>
        <w:bottom w:val="none" w:sz="0" w:space="0" w:color="auto"/>
        <w:right w:val="none" w:sz="0" w:space="0" w:color="auto"/>
      </w:divBdr>
    </w:div>
    <w:div w:id="1986079700">
      <w:bodyDiv w:val="1"/>
      <w:marLeft w:val="0"/>
      <w:marRight w:val="0"/>
      <w:marTop w:val="0"/>
      <w:marBottom w:val="0"/>
      <w:divBdr>
        <w:top w:val="none" w:sz="0" w:space="0" w:color="auto"/>
        <w:left w:val="none" w:sz="0" w:space="0" w:color="auto"/>
        <w:bottom w:val="none" w:sz="0" w:space="0" w:color="auto"/>
        <w:right w:val="none" w:sz="0" w:space="0" w:color="auto"/>
      </w:divBdr>
    </w:div>
    <w:div w:id="1989940810">
      <w:bodyDiv w:val="1"/>
      <w:marLeft w:val="0"/>
      <w:marRight w:val="0"/>
      <w:marTop w:val="0"/>
      <w:marBottom w:val="0"/>
      <w:divBdr>
        <w:top w:val="none" w:sz="0" w:space="0" w:color="auto"/>
        <w:left w:val="none" w:sz="0" w:space="0" w:color="auto"/>
        <w:bottom w:val="none" w:sz="0" w:space="0" w:color="auto"/>
        <w:right w:val="none" w:sz="0" w:space="0" w:color="auto"/>
      </w:divBdr>
    </w:div>
    <w:div w:id="1991056240">
      <w:bodyDiv w:val="1"/>
      <w:marLeft w:val="0"/>
      <w:marRight w:val="0"/>
      <w:marTop w:val="0"/>
      <w:marBottom w:val="0"/>
      <w:divBdr>
        <w:top w:val="none" w:sz="0" w:space="0" w:color="auto"/>
        <w:left w:val="none" w:sz="0" w:space="0" w:color="auto"/>
        <w:bottom w:val="none" w:sz="0" w:space="0" w:color="auto"/>
        <w:right w:val="none" w:sz="0" w:space="0" w:color="auto"/>
      </w:divBdr>
    </w:div>
    <w:div w:id="2011371638">
      <w:bodyDiv w:val="1"/>
      <w:marLeft w:val="0"/>
      <w:marRight w:val="0"/>
      <w:marTop w:val="0"/>
      <w:marBottom w:val="0"/>
      <w:divBdr>
        <w:top w:val="none" w:sz="0" w:space="0" w:color="auto"/>
        <w:left w:val="none" w:sz="0" w:space="0" w:color="auto"/>
        <w:bottom w:val="none" w:sz="0" w:space="0" w:color="auto"/>
        <w:right w:val="none" w:sz="0" w:space="0" w:color="auto"/>
      </w:divBdr>
    </w:div>
    <w:div w:id="2023239686">
      <w:bodyDiv w:val="1"/>
      <w:marLeft w:val="0"/>
      <w:marRight w:val="0"/>
      <w:marTop w:val="0"/>
      <w:marBottom w:val="0"/>
      <w:divBdr>
        <w:top w:val="none" w:sz="0" w:space="0" w:color="auto"/>
        <w:left w:val="none" w:sz="0" w:space="0" w:color="auto"/>
        <w:bottom w:val="none" w:sz="0" w:space="0" w:color="auto"/>
        <w:right w:val="none" w:sz="0" w:space="0" w:color="auto"/>
      </w:divBdr>
    </w:div>
    <w:div w:id="2046245711">
      <w:bodyDiv w:val="1"/>
      <w:marLeft w:val="0"/>
      <w:marRight w:val="0"/>
      <w:marTop w:val="0"/>
      <w:marBottom w:val="0"/>
      <w:divBdr>
        <w:top w:val="none" w:sz="0" w:space="0" w:color="auto"/>
        <w:left w:val="none" w:sz="0" w:space="0" w:color="auto"/>
        <w:bottom w:val="none" w:sz="0" w:space="0" w:color="auto"/>
        <w:right w:val="none" w:sz="0" w:space="0" w:color="auto"/>
      </w:divBdr>
    </w:div>
    <w:div w:id="2076391791">
      <w:bodyDiv w:val="1"/>
      <w:marLeft w:val="0"/>
      <w:marRight w:val="0"/>
      <w:marTop w:val="0"/>
      <w:marBottom w:val="0"/>
      <w:divBdr>
        <w:top w:val="none" w:sz="0" w:space="0" w:color="auto"/>
        <w:left w:val="none" w:sz="0" w:space="0" w:color="auto"/>
        <w:bottom w:val="none" w:sz="0" w:space="0" w:color="auto"/>
        <w:right w:val="none" w:sz="0" w:space="0" w:color="auto"/>
      </w:divBdr>
    </w:div>
    <w:div w:id="2085562773">
      <w:bodyDiv w:val="1"/>
      <w:marLeft w:val="0"/>
      <w:marRight w:val="0"/>
      <w:marTop w:val="0"/>
      <w:marBottom w:val="0"/>
      <w:divBdr>
        <w:top w:val="none" w:sz="0" w:space="0" w:color="auto"/>
        <w:left w:val="none" w:sz="0" w:space="0" w:color="auto"/>
        <w:bottom w:val="none" w:sz="0" w:space="0" w:color="auto"/>
        <w:right w:val="none" w:sz="0" w:space="0" w:color="auto"/>
      </w:divBdr>
    </w:div>
    <w:div w:id="2092967624">
      <w:bodyDiv w:val="1"/>
      <w:marLeft w:val="0"/>
      <w:marRight w:val="0"/>
      <w:marTop w:val="0"/>
      <w:marBottom w:val="0"/>
      <w:divBdr>
        <w:top w:val="none" w:sz="0" w:space="0" w:color="auto"/>
        <w:left w:val="none" w:sz="0" w:space="0" w:color="auto"/>
        <w:bottom w:val="none" w:sz="0" w:space="0" w:color="auto"/>
        <w:right w:val="none" w:sz="0" w:space="0" w:color="auto"/>
      </w:divBdr>
    </w:div>
    <w:div w:id="2096130024">
      <w:bodyDiv w:val="1"/>
      <w:marLeft w:val="0"/>
      <w:marRight w:val="0"/>
      <w:marTop w:val="0"/>
      <w:marBottom w:val="0"/>
      <w:divBdr>
        <w:top w:val="none" w:sz="0" w:space="0" w:color="auto"/>
        <w:left w:val="none" w:sz="0" w:space="0" w:color="auto"/>
        <w:bottom w:val="none" w:sz="0" w:space="0" w:color="auto"/>
        <w:right w:val="none" w:sz="0" w:space="0" w:color="auto"/>
      </w:divBdr>
    </w:div>
    <w:div w:id="2107918361">
      <w:bodyDiv w:val="1"/>
      <w:marLeft w:val="0"/>
      <w:marRight w:val="0"/>
      <w:marTop w:val="0"/>
      <w:marBottom w:val="0"/>
      <w:divBdr>
        <w:top w:val="none" w:sz="0" w:space="0" w:color="auto"/>
        <w:left w:val="none" w:sz="0" w:space="0" w:color="auto"/>
        <w:bottom w:val="none" w:sz="0" w:space="0" w:color="auto"/>
        <w:right w:val="none" w:sz="0" w:space="0" w:color="auto"/>
      </w:divBdr>
    </w:div>
    <w:div w:id="212653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oia.pmc.gov.au/published-impact-analyses-and-reports/critical-infrastructure-risk-management-program"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fea0c65978624a7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d8de320bd847417d"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oia.pmc.gov.au/published-impact-analyses-and-reports/closing-atos-small-business-superannuation-clearing-hous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E6A16A9C4E486DBEA852C178641D1D"/>
        <w:category>
          <w:name w:val="General"/>
          <w:gallery w:val="placeholder"/>
        </w:category>
        <w:types>
          <w:type w:val="bbPlcHdr"/>
        </w:types>
        <w:behaviors>
          <w:behavior w:val="content"/>
        </w:behaviors>
        <w:guid w:val="{4BCFFC7B-5AC7-477B-9263-9B55C01087F1}"/>
      </w:docPartPr>
      <w:docPartBody>
        <w:p w:rsidR="00AD66D9" w:rsidRDefault="001B1FB2">
          <w:pPr>
            <w:pStyle w:val="6FE6A16A9C4E486DBEA852C178641D1D"/>
          </w:pPr>
          <w:r w:rsidRPr="00B6525C">
            <w:rPr>
              <w:rStyle w:val="PlaceholderText"/>
            </w:rPr>
            <w:t>Choose an item.</w:t>
          </w:r>
        </w:p>
      </w:docPartBody>
    </w:docPart>
    <w:docPart>
      <w:docPartPr>
        <w:name w:val="5211D597AC3940B592065566A352D0E3"/>
        <w:category>
          <w:name w:val="General"/>
          <w:gallery w:val="placeholder"/>
        </w:category>
        <w:types>
          <w:type w:val="bbPlcHdr"/>
        </w:types>
        <w:behaviors>
          <w:behavior w:val="content"/>
        </w:behaviors>
        <w:guid w:val="{BB4D3058-256A-4ED3-A677-9D33318302CC}"/>
      </w:docPartPr>
      <w:docPartBody>
        <w:p w:rsidR="00AD66D9" w:rsidRDefault="001B1FB2">
          <w:pPr>
            <w:pStyle w:val="5211D597AC3940B592065566A352D0E3"/>
          </w:pPr>
          <w:r w:rsidRPr="00B6525C">
            <w:rPr>
              <w:rStyle w:val="PlaceholderText"/>
            </w:rPr>
            <w:t>Choose an item.</w:t>
          </w:r>
        </w:p>
      </w:docPartBody>
    </w:docPart>
    <w:docPart>
      <w:docPartPr>
        <w:name w:val="B9D1FFE9A19C443E92B61273893E3FEC"/>
        <w:category>
          <w:name w:val="General"/>
          <w:gallery w:val="placeholder"/>
        </w:category>
        <w:types>
          <w:type w:val="bbPlcHdr"/>
        </w:types>
        <w:behaviors>
          <w:behavior w:val="content"/>
        </w:behaviors>
        <w:guid w:val="{029FF96E-C7BC-47C1-B795-B2BCFD5FDB34}"/>
      </w:docPartPr>
      <w:docPartBody>
        <w:p w:rsidR="00AD66D9" w:rsidRDefault="001B1FB2">
          <w:pPr>
            <w:pStyle w:val="B9D1FFE9A19C443E92B61273893E3FEC"/>
          </w:pPr>
          <w:r w:rsidRPr="00B6525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FB2"/>
    <w:rsid w:val="00030AAE"/>
    <w:rsid w:val="0004626F"/>
    <w:rsid w:val="00051EA0"/>
    <w:rsid w:val="0005488C"/>
    <w:rsid w:val="000D7E30"/>
    <w:rsid w:val="001313DA"/>
    <w:rsid w:val="0013698A"/>
    <w:rsid w:val="0016632E"/>
    <w:rsid w:val="001B1FB2"/>
    <w:rsid w:val="00203800"/>
    <w:rsid w:val="00204C46"/>
    <w:rsid w:val="00204CC9"/>
    <w:rsid w:val="002B3245"/>
    <w:rsid w:val="002F5E54"/>
    <w:rsid w:val="00353656"/>
    <w:rsid w:val="0037649E"/>
    <w:rsid w:val="00381C0B"/>
    <w:rsid w:val="003909B0"/>
    <w:rsid w:val="0039149F"/>
    <w:rsid w:val="003B725A"/>
    <w:rsid w:val="003F1AE7"/>
    <w:rsid w:val="00411A05"/>
    <w:rsid w:val="0046644D"/>
    <w:rsid w:val="004802A7"/>
    <w:rsid w:val="004A02E3"/>
    <w:rsid w:val="004A492F"/>
    <w:rsid w:val="004A5623"/>
    <w:rsid w:val="004C15E9"/>
    <w:rsid w:val="004C63EE"/>
    <w:rsid w:val="00504B7D"/>
    <w:rsid w:val="005258F2"/>
    <w:rsid w:val="00534901"/>
    <w:rsid w:val="005370B6"/>
    <w:rsid w:val="00537A24"/>
    <w:rsid w:val="00554F08"/>
    <w:rsid w:val="00575A6F"/>
    <w:rsid w:val="005A0A9A"/>
    <w:rsid w:val="005A11FB"/>
    <w:rsid w:val="005C6F59"/>
    <w:rsid w:val="005C7F73"/>
    <w:rsid w:val="005D1399"/>
    <w:rsid w:val="0060565C"/>
    <w:rsid w:val="00610A6C"/>
    <w:rsid w:val="0063235B"/>
    <w:rsid w:val="0067139D"/>
    <w:rsid w:val="00681225"/>
    <w:rsid w:val="00690A42"/>
    <w:rsid w:val="00691B0B"/>
    <w:rsid w:val="006A5FF2"/>
    <w:rsid w:val="006D24E3"/>
    <w:rsid w:val="00753CE2"/>
    <w:rsid w:val="007A0B61"/>
    <w:rsid w:val="007D33E8"/>
    <w:rsid w:val="007E503E"/>
    <w:rsid w:val="007F24F2"/>
    <w:rsid w:val="00815F68"/>
    <w:rsid w:val="008169CE"/>
    <w:rsid w:val="00833631"/>
    <w:rsid w:val="00862A2A"/>
    <w:rsid w:val="00887B8A"/>
    <w:rsid w:val="00894FAD"/>
    <w:rsid w:val="008B084D"/>
    <w:rsid w:val="008B4D3F"/>
    <w:rsid w:val="008F137E"/>
    <w:rsid w:val="00914142"/>
    <w:rsid w:val="009510A0"/>
    <w:rsid w:val="009A7BC0"/>
    <w:rsid w:val="009B706E"/>
    <w:rsid w:val="009D0EA4"/>
    <w:rsid w:val="009E2581"/>
    <w:rsid w:val="00AA1BC8"/>
    <w:rsid w:val="00AA7077"/>
    <w:rsid w:val="00AD66D9"/>
    <w:rsid w:val="00B86397"/>
    <w:rsid w:val="00BD09FF"/>
    <w:rsid w:val="00BE5DF5"/>
    <w:rsid w:val="00C02E3B"/>
    <w:rsid w:val="00C116D8"/>
    <w:rsid w:val="00C129DE"/>
    <w:rsid w:val="00C40411"/>
    <w:rsid w:val="00C62D08"/>
    <w:rsid w:val="00C75349"/>
    <w:rsid w:val="00CA630B"/>
    <w:rsid w:val="00CB1780"/>
    <w:rsid w:val="00CC5FDF"/>
    <w:rsid w:val="00CE3B2C"/>
    <w:rsid w:val="00D22BCE"/>
    <w:rsid w:val="00D30F41"/>
    <w:rsid w:val="00D477DD"/>
    <w:rsid w:val="00D47E13"/>
    <w:rsid w:val="00D52529"/>
    <w:rsid w:val="00D56FC3"/>
    <w:rsid w:val="00D80E33"/>
    <w:rsid w:val="00DA3B9C"/>
    <w:rsid w:val="00DA5621"/>
    <w:rsid w:val="00DB75AB"/>
    <w:rsid w:val="00E17648"/>
    <w:rsid w:val="00E34456"/>
    <w:rsid w:val="00E8185C"/>
    <w:rsid w:val="00E85846"/>
    <w:rsid w:val="00E96D36"/>
    <w:rsid w:val="00EC73CE"/>
    <w:rsid w:val="00EF3755"/>
    <w:rsid w:val="00F916AA"/>
    <w:rsid w:val="00F923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02FB1DBD6674A118FB71DC02971D595">
    <w:name w:val="B02FB1DBD6674A118FB71DC02971D595"/>
  </w:style>
  <w:style w:type="paragraph" w:customStyle="1" w:styleId="CD1027D90386429C81AA0C7E21484294">
    <w:name w:val="CD1027D90386429C81AA0C7E21484294"/>
  </w:style>
  <w:style w:type="paragraph" w:customStyle="1" w:styleId="2A474DCD2D8B431AB894BDF07E1F17F1">
    <w:name w:val="2A474DCD2D8B431AB894BDF07E1F17F1"/>
  </w:style>
  <w:style w:type="paragraph" w:customStyle="1" w:styleId="6FE6A16A9C4E486DBEA852C178641D1D">
    <w:name w:val="6FE6A16A9C4E486DBEA852C178641D1D"/>
  </w:style>
  <w:style w:type="paragraph" w:customStyle="1" w:styleId="5211D597AC3940B592065566A352D0E3">
    <w:name w:val="5211D597AC3940B592065566A352D0E3"/>
  </w:style>
  <w:style w:type="paragraph" w:customStyle="1" w:styleId="AFF638AED00743E6ACF90F4D97EF2AC3">
    <w:name w:val="AFF638AED00743E6ACF90F4D97EF2AC3"/>
  </w:style>
  <w:style w:type="paragraph" w:customStyle="1" w:styleId="295C971A144B439DB3ED2980F15CD888">
    <w:name w:val="295C971A144B439DB3ED2980F15CD888"/>
  </w:style>
  <w:style w:type="paragraph" w:customStyle="1" w:styleId="B9D1FFE9A19C443E92B61273893E3FEC">
    <w:name w:val="B9D1FFE9A19C443E92B61273893E3F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ustom 12">
      <a:dk1>
        <a:srgbClr val="000000"/>
      </a:dk1>
      <a:lt1>
        <a:srgbClr val="FFFFFF"/>
      </a:lt1>
      <a:dk2>
        <a:srgbClr val="0F1F35"/>
      </a:dk2>
      <a:lt2>
        <a:srgbClr val="E0E8F2"/>
      </a:lt2>
      <a:accent1>
        <a:srgbClr val="192D56"/>
      </a:accent1>
      <a:accent2>
        <a:srgbClr val="778E61"/>
      </a:accent2>
      <a:accent3>
        <a:srgbClr val="F26337"/>
      </a:accent3>
      <a:accent4>
        <a:srgbClr val="4BADB0"/>
      </a:accent4>
      <a:accent5>
        <a:srgbClr val="B75B53"/>
      </a:accent5>
      <a:accent6>
        <a:srgbClr val="FCB76C"/>
      </a:accent6>
      <a:hlink>
        <a:srgbClr val="1B375C"/>
      </a:hlink>
      <a:folHlink>
        <a:srgbClr val="1B375C"/>
      </a:folHlink>
    </a:clrScheme>
    <a:fontScheme name="PM&amp;C 2022">
      <a:majorFont>
        <a:latin typeface="Times New Roman"/>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d0dfa800-9ef0-44cb-8a12-633e29de1e0b">PMCdoc-213507164-66285</_dlc_DocId>
    <TaxCatchAll xmlns="d0dfa800-9ef0-44cb-8a12-633e29de1e0b">
      <Value>4</Value>
    </TaxCatchAll>
    <_dlc_DocIdUrl xmlns="d0dfa800-9ef0-44cb-8a12-633e29de1e0b">
      <Url>https://pmc01.sharepoint.com/sites/pmc-ms-cb/_layouts/15/DocIdRedir.aspx?ID=PMCdoc-213507164-66285</Url>
      <Description>PMCdoc-213507164-66285</Description>
    </_dlc_DocIdUr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ShareHubID xmlns="e771ab56-0c5d-40e7-b080-2686d2b89623" xsi:nil="true"/>
    <lcf76f155ced4ddcb4097134ff3c332f xmlns="ce530a30-1469-477c-a42f-e412a5d2cfe7">
      <Terms xmlns="http://schemas.microsoft.com/office/infopath/2007/PartnerControls"/>
    </lcf76f155ced4ddcb4097134ff3c332f>
    <b3c0f3586e914200b73ee5084f8aea6e xmlns="d0dfa800-9ef0-44cb-8a12-633e29de1e0b">
      <Terms xmlns="http://schemas.microsoft.com/office/infopath/2007/PartnerControls"/>
    </b3c0f3586e914200b73ee5084f8aea6e>
    <Comment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359620c81b97637cbe42c57a53f8f632">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6167440c3b5fc6f15ef2d07217fb4b01"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DE8C0-06BE-4A39-AC30-96BFE0398141}">
  <ds:schemaRefs>
    <ds:schemaRef ds:uri="http://schemas.microsoft.com/sharepoint/v3/contenttype/forms"/>
  </ds:schemaRefs>
</ds:datastoreItem>
</file>

<file path=customXml/itemProps2.xml><?xml version="1.0" encoding="utf-8"?>
<ds:datastoreItem xmlns:ds="http://schemas.openxmlformats.org/officeDocument/2006/customXml" ds:itemID="{6BA1D410-1858-45D7-94B8-405A626907D3}">
  <ds:schemaRefs>
    <ds:schemaRef ds:uri="http://schemas.microsoft.com/office/2006/documentManagement/types"/>
    <ds:schemaRef ds:uri="http://schemas.microsoft.com/sharepoint/v3"/>
    <ds:schemaRef ds:uri="http://purl.org/dc/elements/1.1/"/>
    <ds:schemaRef ds:uri="d0dfa800-9ef0-44cb-8a12-633e29de1e0b"/>
    <ds:schemaRef ds:uri="http://schemas.microsoft.com/office/infopath/2007/PartnerControls"/>
    <ds:schemaRef ds:uri="http://www.w3.org/XML/1998/namespace"/>
    <ds:schemaRef ds:uri="ce530a30-1469-477c-a42f-e412a5d2cfe7"/>
    <ds:schemaRef ds:uri="http://purl.org/dc/terms/"/>
    <ds:schemaRef ds:uri="http://schemas.openxmlformats.org/package/2006/metadata/core-properties"/>
    <ds:schemaRef ds:uri="e771ab56-0c5d-40e7-b080-2686d2b8962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1ECAEF4-8FEA-4845-8198-6A2B92F26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892420-DC69-4AD5-81FC-CCDC2E3E754A}">
  <ds:schemaRefs>
    <ds:schemaRef ds:uri="http://schemas.microsoft.com/sharepoint/events"/>
  </ds:schemaRefs>
</ds:datastoreItem>
</file>

<file path=customXml/itemProps5.xml><?xml version="1.0" encoding="utf-8"?>
<ds:datastoreItem xmlns:ds="http://schemas.openxmlformats.org/officeDocument/2006/customXml" ds:itemID="{DAB9AAFD-8219-4521-BF96-D34E262D2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16816</Words>
  <Characters>95518</Characters>
  <Application>Microsoft Office Word</Application>
  <DocSecurity>0</DocSecurity>
  <Lines>2221</Lines>
  <Paragraphs>1158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2025-08-11T03:18:00Z</dcterms:created>
  <dcterms:modified xsi:type="dcterms:W3CDTF">2025-08-11T03:18:00Z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SecurityClassification">
    <vt:lpwstr>4;#OFFICIAL|9e0ec9cb-4e7f-4d4a-bd32-1ee7525c6d87</vt:lpwstr>
  </property>
  <property fmtid="{D5CDD505-2E9C-101B-9397-08002B2CF9AE}" pid="4" name="_dlc_DocIdItemGuid">
    <vt:lpwstr>8947f9d5-1865-4b57-b64f-a8dd68c89a32</vt:lpwstr>
  </property>
  <property fmtid="{D5CDD505-2E9C-101B-9397-08002B2CF9AE}" pid="5" name="TaxKeyword">
    <vt:lpwstr/>
  </property>
  <property fmtid="{D5CDD505-2E9C-101B-9397-08002B2CF9AE}" pid="6" name="InformationMarker">
    <vt:lpwstr/>
  </property>
  <property fmtid="{D5CDD505-2E9C-101B-9397-08002B2CF9AE}" pid="7" name="MediaServiceImageTags">
    <vt:lpwstr/>
  </property>
</Properties>
</file>