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DC361" w14:textId="760D4F8C" w:rsidR="00E92551" w:rsidRPr="00F957C6" w:rsidRDefault="00EE0074" w:rsidP="00C141C1">
      <w:pPr>
        <w:pStyle w:val="Title"/>
      </w:pPr>
      <w:r>
        <w:t xml:space="preserve">Australian Government Impact </w:t>
      </w:r>
      <w:r w:rsidR="006B4E20">
        <w:t xml:space="preserve">Analysis </w:t>
      </w:r>
      <w:r w:rsidR="00EF3670">
        <w:t>s</w:t>
      </w:r>
      <w:r>
        <w:t>tatus</w:t>
      </w:r>
      <w:r w:rsidR="00AC4EAA">
        <w:t>,</w:t>
      </w:r>
      <w:r>
        <w:t xml:space="preserve"> 202</w:t>
      </w:r>
      <w:r w:rsidR="007F69F4">
        <w:t>2</w:t>
      </w:r>
      <w:r>
        <w:t>-2</w:t>
      </w:r>
      <w:r w:rsidR="007F69F4">
        <w:t>3</w:t>
      </w:r>
    </w:p>
    <w:p w14:paraId="79AD446A" w14:textId="10F98047" w:rsidR="00725547" w:rsidRDefault="00EE0074" w:rsidP="00C141C1">
      <w:pPr>
        <w:rPr>
          <w:rFonts w:eastAsia="Arial"/>
          <w:lang w:eastAsia="en-AU" w:bidi="en-AU"/>
        </w:rPr>
      </w:pPr>
      <w:r w:rsidRPr="00EE0074">
        <w:rPr>
          <w:rFonts w:eastAsia="Arial"/>
          <w:lang w:eastAsia="en-AU" w:bidi="en-AU"/>
        </w:rPr>
        <w:t xml:space="preserve">The Office of </w:t>
      </w:r>
      <w:r w:rsidR="006B3940">
        <w:rPr>
          <w:rFonts w:eastAsia="Arial"/>
          <w:lang w:eastAsia="en-AU" w:bidi="en-AU"/>
        </w:rPr>
        <w:t>Impact Analysis</w:t>
      </w:r>
      <w:r w:rsidRPr="00EE0074">
        <w:rPr>
          <w:rFonts w:eastAsia="Arial"/>
          <w:lang w:eastAsia="en-AU" w:bidi="en-AU"/>
        </w:rPr>
        <w:t xml:space="preserve"> (O</w:t>
      </w:r>
      <w:r w:rsidR="006B3940">
        <w:rPr>
          <w:rFonts w:eastAsia="Arial"/>
          <w:lang w:eastAsia="en-AU" w:bidi="en-AU"/>
        </w:rPr>
        <w:t>IA</w:t>
      </w:r>
      <w:r w:rsidRPr="00EE0074">
        <w:rPr>
          <w:rFonts w:eastAsia="Arial"/>
          <w:lang w:eastAsia="en-AU" w:bidi="en-AU"/>
        </w:rPr>
        <w:t xml:space="preserve">) publishes </w:t>
      </w:r>
      <w:r w:rsidR="006B3940">
        <w:rPr>
          <w:rFonts w:eastAsia="Arial"/>
          <w:lang w:eastAsia="en-AU" w:bidi="en-AU"/>
        </w:rPr>
        <w:t>Impact Analyses (IAs) – formerly known as Regulation Impact Statements</w:t>
      </w:r>
      <w:r w:rsidRPr="00EE0074">
        <w:rPr>
          <w:rFonts w:eastAsia="Arial"/>
          <w:lang w:eastAsia="en-AU" w:bidi="en-AU"/>
        </w:rPr>
        <w:t xml:space="preserve"> (RISs)</w:t>
      </w:r>
      <w:r w:rsidR="006B4E20">
        <w:rPr>
          <w:rFonts w:eastAsia="Arial"/>
          <w:lang w:eastAsia="en-AU" w:bidi="en-AU"/>
        </w:rPr>
        <w:t xml:space="preserve"> -</w:t>
      </w:r>
      <w:r w:rsidRPr="00EE0074">
        <w:rPr>
          <w:rFonts w:eastAsia="Arial"/>
          <w:lang w:eastAsia="en-AU" w:bidi="en-AU"/>
        </w:rPr>
        <w:t xml:space="preserve"> on its website as soon as practicable after the date of regulatory announcements, in consultation with the relevant agency.</w:t>
      </w:r>
      <w:r>
        <w:rPr>
          <w:rFonts w:eastAsia="Arial"/>
          <w:lang w:eastAsia="en-AU" w:bidi="en-AU"/>
        </w:rPr>
        <w:t xml:space="preserve"> </w:t>
      </w:r>
    </w:p>
    <w:p w14:paraId="5988B831" w14:textId="3474C33E" w:rsidR="00101566" w:rsidRDefault="00EE0074" w:rsidP="00CF1E1D">
      <w:pPr>
        <w:rPr>
          <w:rFonts w:eastAsia="Arial"/>
          <w:lang w:eastAsia="en-AU" w:bidi="en-AU"/>
        </w:rPr>
      </w:pPr>
      <w:r w:rsidRPr="00EE0074">
        <w:rPr>
          <w:rFonts w:eastAsia="Arial"/>
          <w:lang w:eastAsia="en-AU" w:bidi="en-AU"/>
        </w:rPr>
        <w:t xml:space="preserve">This compliance report covers </w:t>
      </w:r>
      <w:r w:rsidR="006B3940">
        <w:rPr>
          <w:rFonts w:eastAsia="Arial"/>
          <w:lang w:eastAsia="en-AU" w:bidi="en-AU"/>
        </w:rPr>
        <w:t>IA</w:t>
      </w:r>
      <w:r w:rsidRPr="00EE0074">
        <w:rPr>
          <w:rFonts w:eastAsia="Arial"/>
          <w:lang w:eastAsia="en-AU" w:bidi="en-AU"/>
        </w:rPr>
        <w:t xml:space="preserve">s uploaded to the </w:t>
      </w:r>
      <w:r w:rsidR="00F03E83">
        <w:rPr>
          <w:rFonts w:eastAsia="Arial"/>
          <w:lang w:eastAsia="en-AU" w:bidi="en-AU"/>
        </w:rPr>
        <w:t>O</w:t>
      </w:r>
      <w:r w:rsidR="006B3940">
        <w:rPr>
          <w:rFonts w:eastAsia="Arial"/>
          <w:lang w:eastAsia="en-AU" w:bidi="en-AU"/>
        </w:rPr>
        <w:t>IA</w:t>
      </w:r>
      <w:r w:rsidRPr="00EE0074">
        <w:rPr>
          <w:rFonts w:eastAsia="Arial"/>
          <w:lang w:eastAsia="en-AU" w:bidi="en-AU"/>
        </w:rPr>
        <w:t xml:space="preserve"> website in the period 1 July 202</w:t>
      </w:r>
      <w:r w:rsidR="007F69F4">
        <w:rPr>
          <w:rFonts w:eastAsia="Arial"/>
          <w:lang w:eastAsia="en-AU" w:bidi="en-AU"/>
        </w:rPr>
        <w:t>2</w:t>
      </w:r>
      <w:r w:rsidRPr="00EE0074">
        <w:rPr>
          <w:rFonts w:eastAsia="Arial"/>
          <w:lang w:eastAsia="en-AU" w:bidi="en-AU"/>
        </w:rPr>
        <w:t xml:space="preserve"> </w:t>
      </w:r>
      <w:r w:rsidRPr="009A097F">
        <w:rPr>
          <w:rFonts w:eastAsia="Arial"/>
          <w:lang w:eastAsia="en-AU" w:bidi="en-AU"/>
        </w:rPr>
        <w:t xml:space="preserve">to </w:t>
      </w:r>
      <w:r w:rsidR="00AB3811">
        <w:rPr>
          <w:rFonts w:eastAsia="Arial"/>
          <w:lang w:eastAsia="en-AU" w:bidi="en-AU"/>
        </w:rPr>
        <w:t>30 June</w:t>
      </w:r>
      <w:r w:rsidR="007E3B9E" w:rsidRPr="009A097F">
        <w:rPr>
          <w:rFonts w:eastAsia="Arial"/>
          <w:lang w:eastAsia="en-AU" w:bidi="en-AU"/>
        </w:rPr>
        <w:t xml:space="preserve"> 2023</w:t>
      </w:r>
      <w:r w:rsidRPr="00EE0074">
        <w:rPr>
          <w:rFonts w:eastAsia="Arial"/>
          <w:lang w:eastAsia="en-AU" w:bidi="en-AU"/>
        </w:rPr>
        <w:t xml:space="preserve">. </w:t>
      </w:r>
      <w:r w:rsidR="006B3940">
        <w:rPr>
          <w:rFonts w:eastAsia="Arial"/>
          <w:lang w:eastAsia="en-AU" w:bidi="en-AU"/>
        </w:rPr>
        <w:t>IA</w:t>
      </w:r>
      <w:r w:rsidRPr="00EE0074">
        <w:rPr>
          <w:rFonts w:eastAsia="Arial"/>
          <w:lang w:eastAsia="en-AU" w:bidi="en-AU"/>
        </w:rPr>
        <w:t xml:space="preserve"> compliance reports for previous years are </w:t>
      </w:r>
      <w:r w:rsidR="00F03E83">
        <w:rPr>
          <w:rFonts w:eastAsia="Arial"/>
          <w:lang w:eastAsia="en-AU" w:bidi="en-AU"/>
        </w:rPr>
        <w:t xml:space="preserve">also </w:t>
      </w:r>
      <w:r w:rsidRPr="00EE0074">
        <w:rPr>
          <w:rFonts w:eastAsia="Arial"/>
          <w:lang w:eastAsia="en-AU" w:bidi="en-AU"/>
        </w:rPr>
        <w:t>available on the O</w:t>
      </w:r>
      <w:r w:rsidR="006B3940">
        <w:rPr>
          <w:rFonts w:eastAsia="Arial"/>
          <w:lang w:eastAsia="en-AU" w:bidi="en-AU"/>
        </w:rPr>
        <w:t>IA</w:t>
      </w:r>
      <w:r w:rsidRPr="00EE0074">
        <w:rPr>
          <w:rFonts w:eastAsia="Arial"/>
          <w:lang w:eastAsia="en-AU" w:bidi="en-AU"/>
        </w:rPr>
        <w:t xml:space="preserve"> website.</w:t>
      </w:r>
      <w:r>
        <w:rPr>
          <w:rFonts w:eastAsia="Arial"/>
          <w:lang w:eastAsia="en-AU" w:bidi="en-AU"/>
        </w:rPr>
        <w:t xml:space="preserve"> </w:t>
      </w:r>
    </w:p>
    <w:p w14:paraId="1604A7A9" w14:textId="1E8092C9" w:rsidR="00CF1E1D" w:rsidRPr="00CF1E1D" w:rsidRDefault="00CF1E1D" w:rsidP="00CF1E1D">
      <w:pPr>
        <w:rPr>
          <w:rFonts w:eastAsia="Arial"/>
          <w:lang w:eastAsia="en-AU" w:bidi="en-AU"/>
        </w:rPr>
      </w:pPr>
      <w:r>
        <w:t>Please note that all Department and Agency names in this report reflect t</w:t>
      </w:r>
      <w:r w:rsidR="006B3940">
        <w:t>heir name at the time that the IA</w:t>
      </w:r>
      <w:r w:rsidR="006B4E20">
        <w:t xml:space="preserve"> </w:t>
      </w:r>
      <w:r>
        <w:t>was published.</w:t>
      </w:r>
    </w:p>
    <w:p w14:paraId="6D98FF7C" w14:textId="3C256E13" w:rsidR="00725547" w:rsidRPr="00061B0B" w:rsidRDefault="00CF1E1D" w:rsidP="00C141C1">
      <w:pPr>
        <w:rPr>
          <w:rFonts w:eastAsia="Arial"/>
          <w:lang w:eastAsia="en-AU" w:bidi="en-AU"/>
        </w:rPr>
      </w:pPr>
      <w:r>
        <w:rPr>
          <w:rFonts w:eastAsia="Arial"/>
          <w:lang w:eastAsia="en-AU" w:bidi="en-AU"/>
        </w:rPr>
        <w:t>U</w:t>
      </w:r>
      <w:r w:rsidR="00EE0074" w:rsidRPr="00EE0074">
        <w:rPr>
          <w:rFonts w:eastAsia="Arial"/>
          <w:lang w:eastAsia="en-AU" w:bidi="en-AU"/>
        </w:rPr>
        <w:t>nder the current settings, the O</w:t>
      </w:r>
      <w:r w:rsidR="006B3940">
        <w:rPr>
          <w:rFonts w:eastAsia="Arial"/>
          <w:lang w:eastAsia="en-AU" w:bidi="en-AU"/>
        </w:rPr>
        <w:t>IA</w:t>
      </w:r>
      <w:r w:rsidR="00EE0074" w:rsidRPr="00EE0074">
        <w:rPr>
          <w:rFonts w:eastAsia="Arial"/>
          <w:lang w:eastAsia="en-AU" w:bidi="en-AU"/>
        </w:rPr>
        <w:t xml:space="preserve"> publishes each </w:t>
      </w:r>
      <w:r w:rsidR="006B3940">
        <w:rPr>
          <w:rFonts w:eastAsia="Arial"/>
          <w:lang w:eastAsia="en-AU" w:bidi="en-AU"/>
        </w:rPr>
        <w:t>IA</w:t>
      </w:r>
      <w:r w:rsidR="00C22F2D">
        <w:rPr>
          <w:rFonts w:eastAsia="Arial"/>
          <w:lang w:eastAsia="en-AU" w:bidi="en-AU"/>
        </w:rPr>
        <w:t xml:space="preserve"> document</w:t>
      </w:r>
      <w:r w:rsidR="00EE0074" w:rsidRPr="00EE0074">
        <w:rPr>
          <w:rFonts w:eastAsia="Arial"/>
          <w:lang w:eastAsia="en-AU" w:bidi="en-AU"/>
        </w:rPr>
        <w:t xml:space="preserve">, the associated agency certification letter and the </w:t>
      </w:r>
      <w:r w:rsidR="006B3940">
        <w:rPr>
          <w:rFonts w:eastAsia="Arial"/>
          <w:lang w:eastAsia="en-AU" w:bidi="en-AU"/>
        </w:rPr>
        <w:t>OIA a</w:t>
      </w:r>
      <w:r w:rsidR="00EE0074" w:rsidRPr="00EE0074">
        <w:rPr>
          <w:rFonts w:eastAsia="Arial"/>
          <w:lang w:eastAsia="en-AU" w:bidi="en-AU"/>
        </w:rPr>
        <w:t>ssessment letter</w:t>
      </w:r>
      <w:r w:rsidR="00F03E83">
        <w:rPr>
          <w:rFonts w:eastAsia="Arial"/>
          <w:lang w:eastAsia="en-AU" w:bidi="en-AU"/>
        </w:rPr>
        <w:t xml:space="preserve"> on its website</w:t>
      </w:r>
      <w:r w:rsidR="00EE0074" w:rsidRPr="00EE0074">
        <w:rPr>
          <w:rFonts w:eastAsia="Arial"/>
          <w:lang w:eastAsia="en-AU" w:bidi="en-AU"/>
        </w:rPr>
        <w:t>. A</w:t>
      </w:r>
      <w:r w:rsidR="006B3940">
        <w:rPr>
          <w:rFonts w:eastAsia="Arial"/>
          <w:lang w:eastAsia="en-AU" w:bidi="en-AU"/>
        </w:rPr>
        <w:t>n</w:t>
      </w:r>
      <w:r w:rsidR="00EE0074" w:rsidRPr="00EE0074">
        <w:rPr>
          <w:rFonts w:eastAsia="Arial"/>
          <w:lang w:eastAsia="en-AU" w:bidi="en-AU"/>
        </w:rPr>
        <w:t xml:space="preserve"> </w:t>
      </w:r>
      <w:r w:rsidR="006B3940">
        <w:rPr>
          <w:rFonts w:eastAsia="Arial"/>
          <w:lang w:eastAsia="en-AU" w:bidi="en-AU"/>
        </w:rPr>
        <w:t>IA</w:t>
      </w:r>
      <w:r w:rsidR="00EE0074" w:rsidRPr="00EE0074">
        <w:rPr>
          <w:rFonts w:eastAsia="Arial"/>
          <w:lang w:eastAsia="en-AU" w:bidi="en-AU"/>
        </w:rPr>
        <w:t xml:space="preserve"> can evolve during the policy development process, and can also be published for consultation at an early stage. The O</w:t>
      </w:r>
      <w:r w:rsidR="006B3940">
        <w:rPr>
          <w:rFonts w:eastAsia="Arial"/>
          <w:lang w:eastAsia="en-AU" w:bidi="en-AU"/>
        </w:rPr>
        <w:t>IA</w:t>
      </w:r>
      <w:r w:rsidR="00EE0074" w:rsidRPr="00EE0074">
        <w:rPr>
          <w:rFonts w:eastAsia="Arial"/>
          <w:lang w:eastAsia="en-AU" w:bidi="en-AU"/>
        </w:rPr>
        <w:t xml:space="preserve"> assesses </w:t>
      </w:r>
      <w:r w:rsidR="006B3940">
        <w:rPr>
          <w:rFonts w:eastAsia="Arial"/>
          <w:lang w:eastAsia="en-AU" w:bidi="en-AU"/>
        </w:rPr>
        <w:t>IA</w:t>
      </w:r>
      <w:r w:rsidR="00EE0074" w:rsidRPr="00EE0074">
        <w:rPr>
          <w:rFonts w:eastAsia="Arial"/>
          <w:lang w:eastAsia="en-AU" w:bidi="en-AU"/>
        </w:rPr>
        <w:t xml:space="preserve">s for compliance at the final </w:t>
      </w:r>
      <w:r w:rsidR="00EE0074" w:rsidRPr="00061B0B">
        <w:rPr>
          <w:rFonts w:eastAsia="Arial"/>
          <w:lang w:eastAsia="en-AU" w:bidi="en-AU"/>
        </w:rPr>
        <w:t xml:space="preserve">decision point. </w:t>
      </w:r>
    </w:p>
    <w:p w14:paraId="218E39FA" w14:textId="126DBD68" w:rsidR="00725547" w:rsidRPr="001573D5" w:rsidRDefault="006B3940" w:rsidP="00C141C1">
      <w:pPr>
        <w:rPr>
          <w:rFonts w:eastAsia="Arial"/>
          <w:lang w:eastAsia="en-AU" w:bidi="en-AU"/>
        </w:rPr>
      </w:pPr>
      <w:r w:rsidRPr="00D86652">
        <w:rPr>
          <w:rFonts w:eastAsia="Arial"/>
          <w:lang w:eastAsia="en-AU" w:bidi="en-AU"/>
        </w:rPr>
        <w:t>IA</w:t>
      </w:r>
      <w:r w:rsidR="00EE0074" w:rsidRPr="00D86652">
        <w:rPr>
          <w:rFonts w:eastAsia="Arial"/>
          <w:lang w:eastAsia="en-AU" w:bidi="en-AU"/>
        </w:rPr>
        <w:t xml:space="preserve">s were required </w:t>
      </w:r>
      <w:r w:rsidR="00EE0074" w:rsidRPr="001573D5">
        <w:rPr>
          <w:rFonts w:eastAsia="Arial"/>
          <w:lang w:eastAsia="en-AU" w:bidi="en-AU"/>
        </w:rPr>
        <w:t xml:space="preserve">for </w:t>
      </w:r>
      <w:r w:rsidR="00AB3811" w:rsidRPr="001573D5">
        <w:rPr>
          <w:rFonts w:eastAsia="Arial"/>
          <w:lang w:eastAsia="en-AU" w:bidi="en-AU"/>
        </w:rPr>
        <w:t>4</w:t>
      </w:r>
      <w:r w:rsidR="00A24692">
        <w:rPr>
          <w:rFonts w:eastAsia="Arial"/>
          <w:lang w:eastAsia="en-AU" w:bidi="en-AU"/>
        </w:rPr>
        <w:t>6</w:t>
      </w:r>
      <w:r w:rsidR="00EE0074" w:rsidRPr="001573D5">
        <w:rPr>
          <w:rFonts w:eastAsia="Arial"/>
          <w:lang w:eastAsia="en-AU" w:bidi="en-AU"/>
        </w:rPr>
        <w:t xml:space="preserve"> proposals finalised between 1 July 202</w:t>
      </w:r>
      <w:r w:rsidR="007F69F4" w:rsidRPr="001573D5">
        <w:rPr>
          <w:rFonts w:eastAsia="Arial"/>
          <w:lang w:eastAsia="en-AU" w:bidi="en-AU"/>
        </w:rPr>
        <w:t>2</w:t>
      </w:r>
      <w:r w:rsidR="00EE0074" w:rsidRPr="001573D5">
        <w:rPr>
          <w:rFonts w:eastAsia="Arial"/>
          <w:lang w:eastAsia="en-AU" w:bidi="en-AU"/>
        </w:rPr>
        <w:t xml:space="preserve"> and </w:t>
      </w:r>
      <w:r w:rsidR="00AB3811" w:rsidRPr="001573D5">
        <w:rPr>
          <w:rFonts w:eastAsia="Arial"/>
          <w:lang w:eastAsia="en-AU" w:bidi="en-AU"/>
        </w:rPr>
        <w:t>30</w:t>
      </w:r>
      <w:r w:rsidR="007E3B9E" w:rsidRPr="001573D5">
        <w:rPr>
          <w:rFonts w:eastAsia="Arial"/>
          <w:lang w:eastAsia="en-AU" w:bidi="en-AU"/>
        </w:rPr>
        <w:t xml:space="preserve"> </w:t>
      </w:r>
      <w:r w:rsidR="00AB3811" w:rsidRPr="001573D5">
        <w:rPr>
          <w:rFonts w:eastAsia="Arial"/>
          <w:lang w:eastAsia="en-AU" w:bidi="en-AU"/>
        </w:rPr>
        <w:t>June</w:t>
      </w:r>
      <w:r w:rsidR="007E3B9E" w:rsidRPr="001573D5">
        <w:rPr>
          <w:rFonts w:eastAsia="Arial"/>
          <w:lang w:eastAsia="en-AU" w:bidi="en-AU"/>
        </w:rPr>
        <w:t xml:space="preserve"> 2023</w:t>
      </w:r>
      <w:r w:rsidR="00EE0074" w:rsidRPr="001573D5">
        <w:rPr>
          <w:rFonts w:eastAsia="Arial"/>
          <w:lang w:eastAsia="en-AU" w:bidi="en-AU"/>
        </w:rPr>
        <w:t>.</w:t>
      </w:r>
    </w:p>
    <w:p w14:paraId="6852DE18" w14:textId="6B68553F" w:rsidR="00725547" w:rsidRPr="001573D5" w:rsidRDefault="00EE0074" w:rsidP="00C141C1">
      <w:pPr>
        <w:rPr>
          <w:rFonts w:eastAsia="Arial"/>
          <w:lang w:eastAsia="en-AU" w:bidi="en-AU"/>
        </w:rPr>
      </w:pPr>
      <w:r w:rsidRPr="001573D5">
        <w:rPr>
          <w:rFonts w:eastAsia="Arial"/>
          <w:lang w:eastAsia="en-AU" w:bidi="en-AU"/>
        </w:rPr>
        <w:t xml:space="preserve">For </w:t>
      </w:r>
      <w:r w:rsidR="00324EEE" w:rsidRPr="001573D5">
        <w:rPr>
          <w:rFonts w:eastAsia="Arial"/>
          <w:lang w:eastAsia="en-AU" w:bidi="en-AU"/>
        </w:rPr>
        <w:t>1</w:t>
      </w:r>
      <w:r w:rsidR="00D01088">
        <w:rPr>
          <w:rFonts w:eastAsia="Arial"/>
          <w:lang w:eastAsia="en-AU" w:bidi="en-AU"/>
        </w:rPr>
        <w:t>5</w:t>
      </w:r>
      <w:r w:rsidRPr="001573D5">
        <w:rPr>
          <w:rFonts w:eastAsia="Arial"/>
          <w:lang w:eastAsia="en-AU" w:bidi="en-AU"/>
        </w:rPr>
        <w:t xml:space="preserve"> of these proposals, the </w:t>
      </w:r>
      <w:r w:rsidR="006B3940" w:rsidRPr="001573D5">
        <w:rPr>
          <w:rFonts w:eastAsia="Arial"/>
          <w:lang w:eastAsia="en-AU" w:bidi="en-AU"/>
        </w:rPr>
        <w:t>IA</w:t>
      </w:r>
      <w:r w:rsidRPr="001573D5">
        <w:rPr>
          <w:rFonts w:eastAsia="Arial"/>
          <w:lang w:eastAsia="en-AU" w:bidi="en-AU"/>
        </w:rPr>
        <w:t xml:space="preserve"> requirements were met by certifying an independent review or </w:t>
      </w:r>
      <w:r w:rsidR="006B3940" w:rsidRPr="001573D5">
        <w:rPr>
          <w:rFonts w:eastAsia="Arial"/>
          <w:lang w:eastAsia="en-AU" w:bidi="en-AU"/>
        </w:rPr>
        <w:t>IA</w:t>
      </w:r>
      <w:r w:rsidRPr="001573D5">
        <w:rPr>
          <w:rFonts w:eastAsia="Arial"/>
          <w:lang w:eastAsia="en-AU" w:bidi="en-AU"/>
        </w:rPr>
        <w:t>-like process. The O</w:t>
      </w:r>
      <w:r w:rsidR="006B3940" w:rsidRPr="001573D5">
        <w:rPr>
          <w:rFonts w:eastAsia="Arial"/>
          <w:lang w:eastAsia="en-AU" w:bidi="en-AU"/>
        </w:rPr>
        <w:t>IA</w:t>
      </w:r>
      <w:r w:rsidRPr="001573D5">
        <w:rPr>
          <w:rFonts w:eastAsia="Arial"/>
          <w:lang w:eastAsia="en-AU" w:bidi="en-AU"/>
        </w:rPr>
        <w:t xml:space="preserve"> does not assess these certifications for quality, only for relevance. </w:t>
      </w:r>
    </w:p>
    <w:p w14:paraId="4E1F3A5A" w14:textId="477471A1" w:rsidR="005226B9" w:rsidRPr="00D86652" w:rsidRDefault="00EE0074" w:rsidP="00C141C1">
      <w:pPr>
        <w:rPr>
          <w:rFonts w:eastAsia="Arial"/>
          <w:lang w:eastAsia="en-AU" w:bidi="en-AU"/>
        </w:rPr>
      </w:pPr>
      <w:r w:rsidRPr="001573D5">
        <w:rPr>
          <w:rFonts w:eastAsia="Arial"/>
          <w:lang w:eastAsia="en-AU" w:bidi="en-AU"/>
        </w:rPr>
        <w:t>In the reporting period, O</w:t>
      </w:r>
      <w:r w:rsidR="006B3940" w:rsidRPr="001573D5">
        <w:rPr>
          <w:rFonts w:eastAsia="Arial"/>
          <w:lang w:eastAsia="en-AU" w:bidi="en-AU"/>
        </w:rPr>
        <w:t>IA</w:t>
      </w:r>
      <w:r w:rsidRPr="001573D5">
        <w:rPr>
          <w:rFonts w:eastAsia="Arial"/>
          <w:lang w:eastAsia="en-AU" w:bidi="en-AU"/>
        </w:rPr>
        <w:t xml:space="preserve"> also assessed and released </w:t>
      </w:r>
      <w:r w:rsidR="002F541B" w:rsidRPr="001573D5">
        <w:rPr>
          <w:rFonts w:eastAsia="Arial"/>
          <w:lang w:eastAsia="en-AU" w:bidi="en-AU"/>
        </w:rPr>
        <w:t>two</w:t>
      </w:r>
      <w:r w:rsidRPr="001573D5">
        <w:rPr>
          <w:rFonts w:eastAsia="Arial"/>
          <w:lang w:eastAsia="en-AU" w:bidi="en-AU"/>
        </w:rPr>
        <w:t xml:space="preserve"> Early</w:t>
      </w:r>
      <w:r w:rsidRPr="00D86652">
        <w:rPr>
          <w:rFonts w:eastAsia="Arial"/>
          <w:lang w:eastAsia="en-AU" w:bidi="en-AU"/>
        </w:rPr>
        <w:t xml:space="preserve"> Assessment </w:t>
      </w:r>
      <w:r w:rsidR="006B3940" w:rsidRPr="00D86652">
        <w:rPr>
          <w:rFonts w:eastAsia="Arial"/>
          <w:lang w:eastAsia="en-AU" w:bidi="en-AU"/>
        </w:rPr>
        <w:t>IA</w:t>
      </w:r>
      <w:r w:rsidR="002F541B" w:rsidRPr="00D86652">
        <w:rPr>
          <w:rFonts w:eastAsia="Arial"/>
          <w:lang w:eastAsia="en-AU" w:bidi="en-AU"/>
        </w:rPr>
        <w:t>s</w:t>
      </w:r>
      <w:r w:rsidRPr="00D86652">
        <w:rPr>
          <w:rFonts w:eastAsia="Arial"/>
          <w:lang w:eastAsia="en-AU" w:bidi="en-AU"/>
        </w:rPr>
        <w:t xml:space="preserve"> for consultation.</w:t>
      </w:r>
    </w:p>
    <w:p w14:paraId="78336380" w14:textId="528E6568" w:rsidR="00586FEC" w:rsidRPr="002D76D0" w:rsidRDefault="00586FEC" w:rsidP="00586FEC">
      <w:pPr>
        <w:rPr>
          <w:rFonts w:eastAsia="Arial"/>
          <w:lang w:eastAsia="en-AU" w:bidi="en-AU"/>
        </w:rPr>
      </w:pPr>
      <w:r w:rsidRPr="00D86652">
        <w:rPr>
          <w:rFonts w:eastAsia="Arial"/>
          <w:lang w:eastAsia="en-AU" w:bidi="en-AU"/>
        </w:rPr>
        <w:t xml:space="preserve">One Prime Minister’s Exemption was also </w:t>
      </w:r>
      <w:r w:rsidR="00C22F2D" w:rsidRPr="00D86652">
        <w:rPr>
          <w:rFonts w:eastAsia="Arial"/>
          <w:lang w:eastAsia="en-AU" w:bidi="en-AU"/>
        </w:rPr>
        <w:t>published</w:t>
      </w:r>
      <w:r w:rsidRPr="00D86652">
        <w:rPr>
          <w:rFonts w:eastAsia="Arial"/>
          <w:lang w:eastAsia="en-AU" w:bidi="en-AU"/>
        </w:rPr>
        <w:t>.</w:t>
      </w:r>
    </w:p>
    <w:p w14:paraId="26803BCD" w14:textId="77777777" w:rsidR="00586FEC" w:rsidRDefault="00586FEC" w:rsidP="00C141C1">
      <w:pPr>
        <w:sectPr w:rsidR="00586FEC" w:rsidSect="00C141C1">
          <w:headerReference w:type="default" r:id="rId11"/>
          <w:headerReference w:type="first" r:id="rId12"/>
          <w:footerReference w:type="first" r:id="rId13"/>
          <w:pgSz w:w="11906" w:h="16838"/>
          <w:pgMar w:top="2835" w:right="964" w:bottom="1701" w:left="964" w:header="709" w:footer="709" w:gutter="0"/>
          <w:cols w:space="708"/>
          <w:docGrid w:linePitch="360"/>
        </w:sectPr>
      </w:pPr>
    </w:p>
    <w:sdt>
      <w:sdtPr>
        <w:rPr>
          <w:rFonts w:asciiTheme="minorHAnsi" w:eastAsiaTheme="minorEastAsia" w:hAnsiTheme="minorHAnsi" w:cstheme="minorBidi"/>
          <w:color w:val="auto"/>
          <w:sz w:val="22"/>
          <w:szCs w:val="22"/>
        </w:rPr>
        <w:id w:val="-1632619507"/>
        <w:docPartObj>
          <w:docPartGallery w:val="Table of Contents"/>
          <w:docPartUnique/>
        </w:docPartObj>
      </w:sdtPr>
      <w:sdtEndPr>
        <w:rPr>
          <w:b/>
          <w:bCs/>
          <w:noProof/>
        </w:rPr>
      </w:sdtEndPr>
      <w:sdtContent>
        <w:p w14:paraId="50C08E16" w14:textId="77777777" w:rsidR="00117A77" w:rsidRDefault="00117A77">
          <w:pPr>
            <w:pStyle w:val="TOCHeading"/>
          </w:pPr>
          <w:r>
            <w:t>Contents</w:t>
          </w:r>
        </w:p>
        <w:p w14:paraId="1219BBBF" w14:textId="5F69F07A" w:rsidR="00543937" w:rsidRDefault="00117A77">
          <w:pPr>
            <w:pStyle w:val="TOC1"/>
            <w:tabs>
              <w:tab w:val="right" w:leader="dot" w:pos="9968"/>
            </w:tabs>
            <w:rPr>
              <w:noProof/>
              <w:szCs w:val="22"/>
              <w:lang w:eastAsia="en-AU"/>
            </w:rPr>
          </w:pPr>
          <w:r>
            <w:fldChar w:fldCharType="begin"/>
          </w:r>
          <w:r>
            <w:instrText xml:space="preserve"> TOC \o "1-3" \h \z \u </w:instrText>
          </w:r>
          <w:r>
            <w:fldChar w:fldCharType="separate"/>
          </w:r>
          <w:bookmarkStart w:id="0" w:name="_GoBack"/>
          <w:bookmarkEnd w:id="0"/>
          <w:r w:rsidR="00543937" w:rsidRPr="0053450A">
            <w:rPr>
              <w:rStyle w:val="Hyperlink"/>
              <w:noProof/>
            </w:rPr>
            <w:fldChar w:fldCharType="begin"/>
          </w:r>
          <w:r w:rsidR="00543937" w:rsidRPr="0053450A">
            <w:rPr>
              <w:rStyle w:val="Hyperlink"/>
              <w:noProof/>
            </w:rPr>
            <w:instrText xml:space="preserve"> </w:instrText>
          </w:r>
          <w:r w:rsidR="00543937">
            <w:rPr>
              <w:noProof/>
            </w:rPr>
            <w:instrText>HYPERLINK \l "_Toc200111063"</w:instrText>
          </w:r>
          <w:r w:rsidR="00543937" w:rsidRPr="0053450A">
            <w:rPr>
              <w:rStyle w:val="Hyperlink"/>
              <w:noProof/>
            </w:rPr>
            <w:instrText xml:space="preserve"> </w:instrText>
          </w:r>
          <w:r w:rsidR="00543937" w:rsidRPr="0053450A">
            <w:rPr>
              <w:rStyle w:val="Hyperlink"/>
              <w:noProof/>
            </w:rPr>
          </w:r>
          <w:r w:rsidR="00543937" w:rsidRPr="0053450A">
            <w:rPr>
              <w:rStyle w:val="Hyperlink"/>
              <w:noProof/>
            </w:rPr>
            <w:fldChar w:fldCharType="separate"/>
          </w:r>
          <w:r w:rsidR="00543937" w:rsidRPr="0053450A">
            <w:rPr>
              <w:rStyle w:val="Hyperlink"/>
              <w:noProof/>
            </w:rPr>
            <w:t>Summary of compliance</w:t>
          </w:r>
          <w:r w:rsidR="00543937">
            <w:rPr>
              <w:noProof/>
              <w:webHidden/>
            </w:rPr>
            <w:tab/>
          </w:r>
          <w:r w:rsidR="00543937">
            <w:rPr>
              <w:noProof/>
              <w:webHidden/>
            </w:rPr>
            <w:fldChar w:fldCharType="begin"/>
          </w:r>
          <w:r w:rsidR="00543937">
            <w:rPr>
              <w:noProof/>
              <w:webHidden/>
            </w:rPr>
            <w:instrText xml:space="preserve"> PAGEREF _Toc200111063 \h </w:instrText>
          </w:r>
          <w:r w:rsidR="00543937">
            <w:rPr>
              <w:noProof/>
              <w:webHidden/>
            </w:rPr>
          </w:r>
          <w:r w:rsidR="00543937">
            <w:rPr>
              <w:noProof/>
              <w:webHidden/>
            </w:rPr>
            <w:fldChar w:fldCharType="separate"/>
          </w:r>
          <w:r w:rsidR="00543937">
            <w:rPr>
              <w:noProof/>
              <w:webHidden/>
            </w:rPr>
            <w:t>6</w:t>
          </w:r>
          <w:r w:rsidR="00543937">
            <w:rPr>
              <w:noProof/>
              <w:webHidden/>
            </w:rPr>
            <w:fldChar w:fldCharType="end"/>
          </w:r>
          <w:r w:rsidR="00543937" w:rsidRPr="0053450A">
            <w:rPr>
              <w:rStyle w:val="Hyperlink"/>
              <w:noProof/>
            </w:rPr>
            <w:fldChar w:fldCharType="end"/>
          </w:r>
        </w:p>
        <w:p w14:paraId="00443B7F" w14:textId="6247BD6C" w:rsidR="00543937" w:rsidRDefault="00543937">
          <w:pPr>
            <w:pStyle w:val="TOC1"/>
            <w:tabs>
              <w:tab w:val="right" w:leader="dot" w:pos="9968"/>
            </w:tabs>
            <w:rPr>
              <w:noProof/>
              <w:szCs w:val="22"/>
              <w:lang w:eastAsia="en-AU"/>
            </w:rPr>
          </w:pPr>
          <w:hyperlink w:anchor="_Toc200111064" w:history="1">
            <w:r w:rsidRPr="0053450A">
              <w:rPr>
                <w:rStyle w:val="Hyperlink"/>
                <w:noProof/>
              </w:rPr>
              <w:t>Impact Analysis compliance summary by Department or Agency, 2022-23</w:t>
            </w:r>
            <w:r>
              <w:rPr>
                <w:noProof/>
                <w:webHidden/>
              </w:rPr>
              <w:tab/>
            </w:r>
            <w:r>
              <w:rPr>
                <w:noProof/>
                <w:webHidden/>
              </w:rPr>
              <w:fldChar w:fldCharType="begin"/>
            </w:r>
            <w:r>
              <w:rPr>
                <w:noProof/>
                <w:webHidden/>
              </w:rPr>
              <w:instrText xml:space="preserve"> PAGEREF _Toc200111064 \h </w:instrText>
            </w:r>
            <w:r>
              <w:rPr>
                <w:noProof/>
                <w:webHidden/>
              </w:rPr>
            </w:r>
            <w:r>
              <w:rPr>
                <w:noProof/>
                <w:webHidden/>
              </w:rPr>
              <w:fldChar w:fldCharType="separate"/>
            </w:r>
            <w:r>
              <w:rPr>
                <w:noProof/>
                <w:webHidden/>
              </w:rPr>
              <w:t>6</w:t>
            </w:r>
            <w:r>
              <w:rPr>
                <w:noProof/>
                <w:webHidden/>
              </w:rPr>
              <w:fldChar w:fldCharType="end"/>
            </w:r>
          </w:hyperlink>
        </w:p>
        <w:p w14:paraId="54AB37F3" w14:textId="41AF45E6" w:rsidR="00543937" w:rsidRDefault="00543937">
          <w:pPr>
            <w:pStyle w:val="TOC2"/>
            <w:tabs>
              <w:tab w:val="right" w:leader="dot" w:pos="9968"/>
            </w:tabs>
            <w:rPr>
              <w:noProof/>
              <w:szCs w:val="22"/>
              <w:lang w:eastAsia="en-AU"/>
            </w:rPr>
          </w:pPr>
          <w:hyperlink w:anchor="_Toc200111065" w:history="1">
            <w:r w:rsidRPr="0053450A">
              <w:rPr>
                <w:rStyle w:val="Hyperlink"/>
                <w:noProof/>
              </w:rPr>
              <w:t>Prime Minister’s Exemptions</w:t>
            </w:r>
            <w:r>
              <w:rPr>
                <w:noProof/>
                <w:webHidden/>
              </w:rPr>
              <w:tab/>
            </w:r>
            <w:r>
              <w:rPr>
                <w:noProof/>
                <w:webHidden/>
              </w:rPr>
              <w:fldChar w:fldCharType="begin"/>
            </w:r>
            <w:r>
              <w:rPr>
                <w:noProof/>
                <w:webHidden/>
              </w:rPr>
              <w:instrText xml:space="preserve"> PAGEREF _Toc200111065 \h </w:instrText>
            </w:r>
            <w:r>
              <w:rPr>
                <w:noProof/>
                <w:webHidden/>
              </w:rPr>
            </w:r>
            <w:r>
              <w:rPr>
                <w:noProof/>
                <w:webHidden/>
              </w:rPr>
              <w:fldChar w:fldCharType="separate"/>
            </w:r>
            <w:r>
              <w:rPr>
                <w:noProof/>
                <w:webHidden/>
              </w:rPr>
              <w:t>6</w:t>
            </w:r>
            <w:r>
              <w:rPr>
                <w:noProof/>
                <w:webHidden/>
              </w:rPr>
              <w:fldChar w:fldCharType="end"/>
            </w:r>
          </w:hyperlink>
        </w:p>
        <w:p w14:paraId="478E43B0" w14:textId="0018B791" w:rsidR="00543937" w:rsidRDefault="00543937">
          <w:pPr>
            <w:pStyle w:val="TOC2"/>
            <w:tabs>
              <w:tab w:val="right" w:leader="dot" w:pos="9968"/>
            </w:tabs>
            <w:rPr>
              <w:noProof/>
              <w:szCs w:val="22"/>
              <w:lang w:eastAsia="en-AU"/>
            </w:rPr>
          </w:pPr>
          <w:hyperlink w:anchor="_Toc200111066" w:history="1">
            <w:r w:rsidRPr="0053450A">
              <w:rPr>
                <w:rStyle w:val="Hyperlink"/>
                <w:noProof/>
              </w:rPr>
              <w:t>Attorney-General’s Department</w:t>
            </w:r>
            <w:r>
              <w:rPr>
                <w:noProof/>
                <w:webHidden/>
              </w:rPr>
              <w:tab/>
            </w:r>
            <w:r>
              <w:rPr>
                <w:noProof/>
                <w:webHidden/>
              </w:rPr>
              <w:fldChar w:fldCharType="begin"/>
            </w:r>
            <w:r>
              <w:rPr>
                <w:noProof/>
                <w:webHidden/>
              </w:rPr>
              <w:instrText xml:space="preserve"> PAGEREF _Toc200111066 \h </w:instrText>
            </w:r>
            <w:r>
              <w:rPr>
                <w:noProof/>
                <w:webHidden/>
              </w:rPr>
            </w:r>
            <w:r>
              <w:rPr>
                <w:noProof/>
                <w:webHidden/>
              </w:rPr>
              <w:fldChar w:fldCharType="separate"/>
            </w:r>
            <w:r>
              <w:rPr>
                <w:noProof/>
                <w:webHidden/>
              </w:rPr>
              <w:t>7</w:t>
            </w:r>
            <w:r>
              <w:rPr>
                <w:noProof/>
                <w:webHidden/>
              </w:rPr>
              <w:fldChar w:fldCharType="end"/>
            </w:r>
          </w:hyperlink>
        </w:p>
        <w:p w14:paraId="37C79A12" w14:textId="1803D8C4" w:rsidR="00543937" w:rsidRDefault="00543937">
          <w:pPr>
            <w:pStyle w:val="TOC2"/>
            <w:tabs>
              <w:tab w:val="right" w:leader="dot" w:pos="9968"/>
            </w:tabs>
            <w:rPr>
              <w:noProof/>
              <w:szCs w:val="22"/>
              <w:lang w:eastAsia="en-AU"/>
            </w:rPr>
          </w:pPr>
          <w:hyperlink w:anchor="_Toc200111067" w:history="1">
            <w:r w:rsidRPr="0053450A">
              <w:rPr>
                <w:rStyle w:val="Hyperlink"/>
                <w:noProof/>
              </w:rPr>
              <w:t>Australian Communications and Media Authority</w:t>
            </w:r>
            <w:r>
              <w:rPr>
                <w:noProof/>
                <w:webHidden/>
              </w:rPr>
              <w:tab/>
            </w:r>
            <w:r>
              <w:rPr>
                <w:noProof/>
                <w:webHidden/>
              </w:rPr>
              <w:fldChar w:fldCharType="begin"/>
            </w:r>
            <w:r>
              <w:rPr>
                <w:noProof/>
                <w:webHidden/>
              </w:rPr>
              <w:instrText xml:space="preserve"> PAGEREF _Toc200111067 \h </w:instrText>
            </w:r>
            <w:r>
              <w:rPr>
                <w:noProof/>
                <w:webHidden/>
              </w:rPr>
            </w:r>
            <w:r>
              <w:rPr>
                <w:noProof/>
                <w:webHidden/>
              </w:rPr>
              <w:fldChar w:fldCharType="separate"/>
            </w:r>
            <w:r>
              <w:rPr>
                <w:noProof/>
                <w:webHidden/>
              </w:rPr>
              <w:t>7</w:t>
            </w:r>
            <w:r>
              <w:rPr>
                <w:noProof/>
                <w:webHidden/>
              </w:rPr>
              <w:fldChar w:fldCharType="end"/>
            </w:r>
          </w:hyperlink>
        </w:p>
        <w:p w14:paraId="7F6E63ED" w14:textId="009ECA36" w:rsidR="00543937" w:rsidRDefault="00543937">
          <w:pPr>
            <w:pStyle w:val="TOC2"/>
            <w:tabs>
              <w:tab w:val="right" w:leader="dot" w:pos="9968"/>
            </w:tabs>
            <w:rPr>
              <w:noProof/>
              <w:szCs w:val="22"/>
              <w:lang w:eastAsia="en-AU"/>
            </w:rPr>
          </w:pPr>
          <w:hyperlink w:anchor="_Toc200111068" w:history="1">
            <w:r w:rsidRPr="0053450A">
              <w:rPr>
                <w:rStyle w:val="Hyperlink"/>
                <w:noProof/>
              </w:rPr>
              <w:t>Australian Competition and Consumer Commission</w:t>
            </w:r>
            <w:r>
              <w:rPr>
                <w:noProof/>
                <w:webHidden/>
              </w:rPr>
              <w:tab/>
            </w:r>
            <w:r>
              <w:rPr>
                <w:noProof/>
                <w:webHidden/>
              </w:rPr>
              <w:fldChar w:fldCharType="begin"/>
            </w:r>
            <w:r>
              <w:rPr>
                <w:noProof/>
                <w:webHidden/>
              </w:rPr>
              <w:instrText xml:space="preserve"> PAGEREF _Toc200111068 \h </w:instrText>
            </w:r>
            <w:r>
              <w:rPr>
                <w:noProof/>
                <w:webHidden/>
              </w:rPr>
            </w:r>
            <w:r>
              <w:rPr>
                <w:noProof/>
                <w:webHidden/>
              </w:rPr>
              <w:fldChar w:fldCharType="separate"/>
            </w:r>
            <w:r>
              <w:rPr>
                <w:noProof/>
                <w:webHidden/>
              </w:rPr>
              <w:t>7</w:t>
            </w:r>
            <w:r>
              <w:rPr>
                <w:noProof/>
                <w:webHidden/>
              </w:rPr>
              <w:fldChar w:fldCharType="end"/>
            </w:r>
          </w:hyperlink>
        </w:p>
        <w:p w14:paraId="48FC6E90" w14:textId="10C425DA" w:rsidR="00543937" w:rsidRDefault="00543937">
          <w:pPr>
            <w:pStyle w:val="TOC3"/>
            <w:tabs>
              <w:tab w:val="right" w:leader="dot" w:pos="9968"/>
            </w:tabs>
            <w:rPr>
              <w:noProof/>
              <w:szCs w:val="22"/>
              <w:lang w:eastAsia="en-AU"/>
            </w:rPr>
          </w:pPr>
          <w:hyperlink w:anchor="_Toc200111069" w:history="1">
            <w:r w:rsidRPr="0053450A">
              <w:rPr>
                <w:rStyle w:val="Hyperlink"/>
                <w:noProof/>
              </w:rPr>
              <w:t>Early Assessment IA - Infant Inclined Products and Infant Sleep Products</w:t>
            </w:r>
            <w:r>
              <w:rPr>
                <w:noProof/>
                <w:webHidden/>
              </w:rPr>
              <w:tab/>
            </w:r>
            <w:r>
              <w:rPr>
                <w:noProof/>
                <w:webHidden/>
              </w:rPr>
              <w:fldChar w:fldCharType="begin"/>
            </w:r>
            <w:r>
              <w:rPr>
                <w:noProof/>
                <w:webHidden/>
              </w:rPr>
              <w:instrText xml:space="preserve"> PAGEREF _Toc200111069 \h </w:instrText>
            </w:r>
            <w:r>
              <w:rPr>
                <w:noProof/>
                <w:webHidden/>
              </w:rPr>
            </w:r>
            <w:r>
              <w:rPr>
                <w:noProof/>
                <w:webHidden/>
              </w:rPr>
              <w:fldChar w:fldCharType="separate"/>
            </w:r>
            <w:r>
              <w:rPr>
                <w:noProof/>
                <w:webHidden/>
              </w:rPr>
              <w:t>7</w:t>
            </w:r>
            <w:r>
              <w:rPr>
                <w:noProof/>
                <w:webHidden/>
              </w:rPr>
              <w:fldChar w:fldCharType="end"/>
            </w:r>
          </w:hyperlink>
        </w:p>
        <w:p w14:paraId="172A60B5" w14:textId="0EB66F57" w:rsidR="00543937" w:rsidRDefault="00543937">
          <w:pPr>
            <w:pStyle w:val="TOC2"/>
            <w:tabs>
              <w:tab w:val="right" w:leader="dot" w:pos="9968"/>
            </w:tabs>
            <w:rPr>
              <w:noProof/>
              <w:szCs w:val="22"/>
              <w:lang w:eastAsia="en-AU"/>
            </w:rPr>
          </w:pPr>
          <w:hyperlink w:anchor="_Toc200111070" w:history="1">
            <w:r w:rsidRPr="0053450A">
              <w:rPr>
                <w:rStyle w:val="Hyperlink"/>
                <w:noProof/>
              </w:rPr>
              <w:t>Australian Prudential Regulation Authority</w:t>
            </w:r>
            <w:r>
              <w:rPr>
                <w:noProof/>
                <w:webHidden/>
              </w:rPr>
              <w:tab/>
            </w:r>
            <w:r>
              <w:rPr>
                <w:noProof/>
                <w:webHidden/>
              </w:rPr>
              <w:fldChar w:fldCharType="begin"/>
            </w:r>
            <w:r>
              <w:rPr>
                <w:noProof/>
                <w:webHidden/>
              </w:rPr>
              <w:instrText xml:space="preserve"> PAGEREF _Toc200111070 \h </w:instrText>
            </w:r>
            <w:r>
              <w:rPr>
                <w:noProof/>
                <w:webHidden/>
              </w:rPr>
            </w:r>
            <w:r>
              <w:rPr>
                <w:noProof/>
                <w:webHidden/>
              </w:rPr>
              <w:fldChar w:fldCharType="separate"/>
            </w:r>
            <w:r>
              <w:rPr>
                <w:noProof/>
                <w:webHidden/>
              </w:rPr>
              <w:t>7</w:t>
            </w:r>
            <w:r>
              <w:rPr>
                <w:noProof/>
                <w:webHidden/>
              </w:rPr>
              <w:fldChar w:fldCharType="end"/>
            </w:r>
          </w:hyperlink>
        </w:p>
        <w:p w14:paraId="4FCCC3CA" w14:textId="5C798EA7" w:rsidR="00543937" w:rsidRDefault="00543937">
          <w:pPr>
            <w:pStyle w:val="TOC2"/>
            <w:tabs>
              <w:tab w:val="right" w:leader="dot" w:pos="9968"/>
            </w:tabs>
            <w:rPr>
              <w:noProof/>
              <w:szCs w:val="22"/>
              <w:lang w:eastAsia="en-AU"/>
            </w:rPr>
          </w:pPr>
          <w:hyperlink w:anchor="_Toc200111071" w:history="1">
            <w:r w:rsidRPr="0053450A">
              <w:rPr>
                <w:rStyle w:val="Hyperlink"/>
                <w:noProof/>
              </w:rPr>
              <w:t>Australian Securities and Investment Commission</w:t>
            </w:r>
            <w:r>
              <w:rPr>
                <w:noProof/>
                <w:webHidden/>
              </w:rPr>
              <w:tab/>
            </w:r>
            <w:r>
              <w:rPr>
                <w:noProof/>
                <w:webHidden/>
              </w:rPr>
              <w:fldChar w:fldCharType="begin"/>
            </w:r>
            <w:r>
              <w:rPr>
                <w:noProof/>
                <w:webHidden/>
              </w:rPr>
              <w:instrText xml:space="preserve"> PAGEREF _Toc200111071 \h </w:instrText>
            </w:r>
            <w:r>
              <w:rPr>
                <w:noProof/>
                <w:webHidden/>
              </w:rPr>
            </w:r>
            <w:r>
              <w:rPr>
                <w:noProof/>
                <w:webHidden/>
              </w:rPr>
              <w:fldChar w:fldCharType="separate"/>
            </w:r>
            <w:r>
              <w:rPr>
                <w:noProof/>
                <w:webHidden/>
              </w:rPr>
              <w:t>8</w:t>
            </w:r>
            <w:r>
              <w:rPr>
                <w:noProof/>
                <w:webHidden/>
              </w:rPr>
              <w:fldChar w:fldCharType="end"/>
            </w:r>
          </w:hyperlink>
        </w:p>
        <w:p w14:paraId="7D7FF385" w14:textId="7096F79F" w:rsidR="00543937" w:rsidRDefault="00543937">
          <w:pPr>
            <w:pStyle w:val="TOC2"/>
            <w:tabs>
              <w:tab w:val="right" w:leader="dot" w:pos="9968"/>
            </w:tabs>
            <w:rPr>
              <w:noProof/>
              <w:szCs w:val="22"/>
              <w:lang w:eastAsia="en-AU"/>
            </w:rPr>
          </w:pPr>
          <w:hyperlink w:anchor="_Toc200111072" w:history="1">
            <w:r w:rsidRPr="0053450A">
              <w:rPr>
                <w:rStyle w:val="Hyperlink"/>
                <w:noProof/>
              </w:rPr>
              <w:t>Department of Agriculture, Fisheries and Forestry</w:t>
            </w:r>
            <w:r>
              <w:rPr>
                <w:noProof/>
                <w:webHidden/>
              </w:rPr>
              <w:tab/>
            </w:r>
            <w:r>
              <w:rPr>
                <w:noProof/>
                <w:webHidden/>
              </w:rPr>
              <w:fldChar w:fldCharType="begin"/>
            </w:r>
            <w:r>
              <w:rPr>
                <w:noProof/>
                <w:webHidden/>
              </w:rPr>
              <w:instrText xml:space="preserve"> PAGEREF _Toc200111072 \h </w:instrText>
            </w:r>
            <w:r>
              <w:rPr>
                <w:noProof/>
                <w:webHidden/>
              </w:rPr>
            </w:r>
            <w:r>
              <w:rPr>
                <w:noProof/>
                <w:webHidden/>
              </w:rPr>
              <w:fldChar w:fldCharType="separate"/>
            </w:r>
            <w:r>
              <w:rPr>
                <w:noProof/>
                <w:webHidden/>
              </w:rPr>
              <w:t>8</w:t>
            </w:r>
            <w:r>
              <w:rPr>
                <w:noProof/>
                <w:webHidden/>
              </w:rPr>
              <w:fldChar w:fldCharType="end"/>
            </w:r>
          </w:hyperlink>
        </w:p>
        <w:p w14:paraId="30AE3F09" w14:textId="1F3A2C79" w:rsidR="00543937" w:rsidRDefault="00543937">
          <w:pPr>
            <w:pStyle w:val="TOC2"/>
            <w:tabs>
              <w:tab w:val="right" w:leader="dot" w:pos="9968"/>
            </w:tabs>
            <w:rPr>
              <w:noProof/>
              <w:szCs w:val="22"/>
              <w:lang w:eastAsia="en-AU"/>
            </w:rPr>
          </w:pPr>
          <w:hyperlink w:anchor="_Toc200111073" w:history="1">
            <w:r w:rsidRPr="0053450A">
              <w:rPr>
                <w:rStyle w:val="Hyperlink"/>
                <w:noProof/>
              </w:rPr>
              <w:t>Department of Climate Change, Energy, the Environment and Water</w:t>
            </w:r>
            <w:r>
              <w:rPr>
                <w:noProof/>
                <w:webHidden/>
              </w:rPr>
              <w:tab/>
            </w:r>
            <w:r>
              <w:rPr>
                <w:noProof/>
                <w:webHidden/>
              </w:rPr>
              <w:fldChar w:fldCharType="begin"/>
            </w:r>
            <w:r>
              <w:rPr>
                <w:noProof/>
                <w:webHidden/>
              </w:rPr>
              <w:instrText xml:space="preserve"> PAGEREF _Toc200111073 \h </w:instrText>
            </w:r>
            <w:r>
              <w:rPr>
                <w:noProof/>
                <w:webHidden/>
              </w:rPr>
            </w:r>
            <w:r>
              <w:rPr>
                <w:noProof/>
                <w:webHidden/>
              </w:rPr>
              <w:fldChar w:fldCharType="separate"/>
            </w:r>
            <w:r>
              <w:rPr>
                <w:noProof/>
                <w:webHidden/>
              </w:rPr>
              <w:t>8</w:t>
            </w:r>
            <w:r>
              <w:rPr>
                <w:noProof/>
                <w:webHidden/>
              </w:rPr>
              <w:fldChar w:fldCharType="end"/>
            </w:r>
          </w:hyperlink>
        </w:p>
        <w:p w14:paraId="27B510B7" w14:textId="0CEE30E3" w:rsidR="00543937" w:rsidRDefault="00543937">
          <w:pPr>
            <w:pStyle w:val="TOC2"/>
            <w:tabs>
              <w:tab w:val="right" w:leader="dot" w:pos="9968"/>
            </w:tabs>
            <w:rPr>
              <w:noProof/>
              <w:szCs w:val="22"/>
              <w:lang w:eastAsia="en-AU"/>
            </w:rPr>
          </w:pPr>
          <w:hyperlink w:anchor="_Toc200111074" w:history="1">
            <w:r w:rsidRPr="0053450A">
              <w:rPr>
                <w:rStyle w:val="Hyperlink"/>
                <w:noProof/>
              </w:rPr>
              <w:t>Department of Defence</w:t>
            </w:r>
            <w:r>
              <w:rPr>
                <w:noProof/>
                <w:webHidden/>
              </w:rPr>
              <w:tab/>
            </w:r>
            <w:r>
              <w:rPr>
                <w:noProof/>
                <w:webHidden/>
              </w:rPr>
              <w:fldChar w:fldCharType="begin"/>
            </w:r>
            <w:r>
              <w:rPr>
                <w:noProof/>
                <w:webHidden/>
              </w:rPr>
              <w:instrText xml:space="preserve"> PAGEREF _Toc200111074 \h </w:instrText>
            </w:r>
            <w:r>
              <w:rPr>
                <w:noProof/>
                <w:webHidden/>
              </w:rPr>
            </w:r>
            <w:r>
              <w:rPr>
                <w:noProof/>
                <w:webHidden/>
              </w:rPr>
              <w:fldChar w:fldCharType="separate"/>
            </w:r>
            <w:r>
              <w:rPr>
                <w:noProof/>
                <w:webHidden/>
              </w:rPr>
              <w:t>9</w:t>
            </w:r>
            <w:r>
              <w:rPr>
                <w:noProof/>
                <w:webHidden/>
              </w:rPr>
              <w:fldChar w:fldCharType="end"/>
            </w:r>
          </w:hyperlink>
        </w:p>
        <w:p w14:paraId="684F0B27" w14:textId="381CF169" w:rsidR="00543937" w:rsidRDefault="00543937">
          <w:pPr>
            <w:pStyle w:val="TOC3"/>
            <w:tabs>
              <w:tab w:val="right" w:leader="dot" w:pos="9968"/>
            </w:tabs>
            <w:rPr>
              <w:noProof/>
              <w:szCs w:val="22"/>
              <w:lang w:eastAsia="en-AU"/>
            </w:rPr>
          </w:pPr>
          <w:hyperlink w:anchor="_Toc200111075" w:history="1">
            <w:r w:rsidRPr="0053450A">
              <w:rPr>
                <w:rStyle w:val="Hyperlink"/>
                <w:noProof/>
              </w:rPr>
              <w:t>Early Assessment IA - Regulation of Commonwealth Explosives</w:t>
            </w:r>
            <w:r>
              <w:rPr>
                <w:noProof/>
                <w:webHidden/>
              </w:rPr>
              <w:tab/>
            </w:r>
            <w:r>
              <w:rPr>
                <w:noProof/>
                <w:webHidden/>
              </w:rPr>
              <w:fldChar w:fldCharType="begin"/>
            </w:r>
            <w:r>
              <w:rPr>
                <w:noProof/>
                <w:webHidden/>
              </w:rPr>
              <w:instrText xml:space="preserve"> PAGEREF _Toc200111075 \h </w:instrText>
            </w:r>
            <w:r>
              <w:rPr>
                <w:noProof/>
                <w:webHidden/>
              </w:rPr>
            </w:r>
            <w:r>
              <w:rPr>
                <w:noProof/>
                <w:webHidden/>
              </w:rPr>
              <w:fldChar w:fldCharType="separate"/>
            </w:r>
            <w:r>
              <w:rPr>
                <w:noProof/>
                <w:webHidden/>
              </w:rPr>
              <w:t>9</w:t>
            </w:r>
            <w:r>
              <w:rPr>
                <w:noProof/>
                <w:webHidden/>
              </w:rPr>
              <w:fldChar w:fldCharType="end"/>
            </w:r>
          </w:hyperlink>
        </w:p>
        <w:p w14:paraId="3B6BCCBB" w14:textId="76413938" w:rsidR="00543937" w:rsidRDefault="00543937">
          <w:pPr>
            <w:pStyle w:val="TOC2"/>
            <w:tabs>
              <w:tab w:val="right" w:leader="dot" w:pos="9968"/>
            </w:tabs>
            <w:rPr>
              <w:noProof/>
              <w:szCs w:val="22"/>
              <w:lang w:eastAsia="en-AU"/>
            </w:rPr>
          </w:pPr>
          <w:hyperlink w:anchor="_Toc200111076" w:history="1">
            <w:r w:rsidRPr="0053450A">
              <w:rPr>
                <w:rStyle w:val="Hyperlink"/>
                <w:noProof/>
              </w:rPr>
              <w:t>Department of Employment and Workplace Relations</w:t>
            </w:r>
            <w:r>
              <w:rPr>
                <w:noProof/>
                <w:webHidden/>
              </w:rPr>
              <w:tab/>
            </w:r>
            <w:r>
              <w:rPr>
                <w:noProof/>
                <w:webHidden/>
              </w:rPr>
              <w:fldChar w:fldCharType="begin"/>
            </w:r>
            <w:r>
              <w:rPr>
                <w:noProof/>
                <w:webHidden/>
              </w:rPr>
              <w:instrText xml:space="preserve"> PAGEREF _Toc200111076 \h </w:instrText>
            </w:r>
            <w:r>
              <w:rPr>
                <w:noProof/>
                <w:webHidden/>
              </w:rPr>
            </w:r>
            <w:r>
              <w:rPr>
                <w:noProof/>
                <w:webHidden/>
              </w:rPr>
              <w:fldChar w:fldCharType="separate"/>
            </w:r>
            <w:r>
              <w:rPr>
                <w:noProof/>
                <w:webHidden/>
              </w:rPr>
              <w:t>9</w:t>
            </w:r>
            <w:r>
              <w:rPr>
                <w:noProof/>
                <w:webHidden/>
              </w:rPr>
              <w:fldChar w:fldCharType="end"/>
            </w:r>
          </w:hyperlink>
        </w:p>
        <w:p w14:paraId="3199FB8D" w14:textId="3A0F1A3D" w:rsidR="00543937" w:rsidRDefault="00543937">
          <w:pPr>
            <w:pStyle w:val="TOC2"/>
            <w:tabs>
              <w:tab w:val="right" w:leader="dot" w:pos="9968"/>
            </w:tabs>
            <w:rPr>
              <w:noProof/>
              <w:szCs w:val="22"/>
              <w:lang w:eastAsia="en-AU"/>
            </w:rPr>
          </w:pPr>
          <w:hyperlink w:anchor="_Toc200111077" w:history="1">
            <w:r w:rsidRPr="0053450A">
              <w:rPr>
                <w:rStyle w:val="Hyperlink"/>
                <w:noProof/>
              </w:rPr>
              <w:t>Department of Foreign Affairs and Trade</w:t>
            </w:r>
            <w:r>
              <w:rPr>
                <w:noProof/>
                <w:webHidden/>
              </w:rPr>
              <w:tab/>
            </w:r>
            <w:r>
              <w:rPr>
                <w:noProof/>
                <w:webHidden/>
              </w:rPr>
              <w:fldChar w:fldCharType="begin"/>
            </w:r>
            <w:r>
              <w:rPr>
                <w:noProof/>
                <w:webHidden/>
              </w:rPr>
              <w:instrText xml:space="preserve"> PAGEREF _Toc200111077 \h </w:instrText>
            </w:r>
            <w:r>
              <w:rPr>
                <w:noProof/>
                <w:webHidden/>
              </w:rPr>
            </w:r>
            <w:r>
              <w:rPr>
                <w:noProof/>
                <w:webHidden/>
              </w:rPr>
              <w:fldChar w:fldCharType="separate"/>
            </w:r>
            <w:r>
              <w:rPr>
                <w:noProof/>
                <w:webHidden/>
              </w:rPr>
              <w:t>9</w:t>
            </w:r>
            <w:r>
              <w:rPr>
                <w:noProof/>
                <w:webHidden/>
              </w:rPr>
              <w:fldChar w:fldCharType="end"/>
            </w:r>
          </w:hyperlink>
        </w:p>
        <w:p w14:paraId="7B540CFC" w14:textId="1EA3CE2A" w:rsidR="00543937" w:rsidRDefault="00543937">
          <w:pPr>
            <w:pStyle w:val="TOC2"/>
            <w:tabs>
              <w:tab w:val="right" w:leader="dot" w:pos="9968"/>
            </w:tabs>
            <w:rPr>
              <w:noProof/>
              <w:szCs w:val="22"/>
              <w:lang w:eastAsia="en-AU"/>
            </w:rPr>
          </w:pPr>
          <w:hyperlink w:anchor="_Toc200111078" w:history="1">
            <w:r w:rsidRPr="0053450A">
              <w:rPr>
                <w:rStyle w:val="Hyperlink"/>
                <w:noProof/>
              </w:rPr>
              <w:t>Department of Health and Aged Care</w:t>
            </w:r>
            <w:r>
              <w:rPr>
                <w:noProof/>
                <w:webHidden/>
              </w:rPr>
              <w:tab/>
            </w:r>
            <w:r>
              <w:rPr>
                <w:noProof/>
                <w:webHidden/>
              </w:rPr>
              <w:fldChar w:fldCharType="begin"/>
            </w:r>
            <w:r>
              <w:rPr>
                <w:noProof/>
                <w:webHidden/>
              </w:rPr>
              <w:instrText xml:space="preserve"> PAGEREF _Toc200111078 \h </w:instrText>
            </w:r>
            <w:r>
              <w:rPr>
                <w:noProof/>
                <w:webHidden/>
              </w:rPr>
            </w:r>
            <w:r>
              <w:rPr>
                <w:noProof/>
                <w:webHidden/>
              </w:rPr>
              <w:fldChar w:fldCharType="separate"/>
            </w:r>
            <w:r>
              <w:rPr>
                <w:noProof/>
                <w:webHidden/>
              </w:rPr>
              <w:t>10</w:t>
            </w:r>
            <w:r>
              <w:rPr>
                <w:noProof/>
                <w:webHidden/>
              </w:rPr>
              <w:fldChar w:fldCharType="end"/>
            </w:r>
          </w:hyperlink>
        </w:p>
        <w:p w14:paraId="62832BA9" w14:textId="2B216C76" w:rsidR="00543937" w:rsidRDefault="00543937">
          <w:pPr>
            <w:pStyle w:val="TOC2"/>
            <w:tabs>
              <w:tab w:val="right" w:leader="dot" w:pos="9968"/>
            </w:tabs>
            <w:rPr>
              <w:noProof/>
              <w:szCs w:val="22"/>
              <w:lang w:eastAsia="en-AU"/>
            </w:rPr>
          </w:pPr>
          <w:hyperlink w:anchor="_Toc200111079" w:history="1">
            <w:r w:rsidRPr="0053450A">
              <w:rPr>
                <w:rStyle w:val="Hyperlink"/>
                <w:noProof/>
              </w:rPr>
              <w:t>Department of Home Affairs</w:t>
            </w:r>
            <w:r>
              <w:rPr>
                <w:noProof/>
                <w:webHidden/>
              </w:rPr>
              <w:tab/>
            </w:r>
            <w:r>
              <w:rPr>
                <w:noProof/>
                <w:webHidden/>
              </w:rPr>
              <w:fldChar w:fldCharType="begin"/>
            </w:r>
            <w:r>
              <w:rPr>
                <w:noProof/>
                <w:webHidden/>
              </w:rPr>
              <w:instrText xml:space="preserve"> PAGEREF _Toc200111079 \h </w:instrText>
            </w:r>
            <w:r>
              <w:rPr>
                <w:noProof/>
                <w:webHidden/>
              </w:rPr>
            </w:r>
            <w:r>
              <w:rPr>
                <w:noProof/>
                <w:webHidden/>
              </w:rPr>
              <w:fldChar w:fldCharType="separate"/>
            </w:r>
            <w:r>
              <w:rPr>
                <w:noProof/>
                <w:webHidden/>
              </w:rPr>
              <w:t>10</w:t>
            </w:r>
            <w:r>
              <w:rPr>
                <w:noProof/>
                <w:webHidden/>
              </w:rPr>
              <w:fldChar w:fldCharType="end"/>
            </w:r>
          </w:hyperlink>
        </w:p>
        <w:p w14:paraId="5D2EE602" w14:textId="4F3FB47E" w:rsidR="00543937" w:rsidRDefault="00543937">
          <w:pPr>
            <w:pStyle w:val="TOC2"/>
            <w:tabs>
              <w:tab w:val="right" w:leader="dot" w:pos="9968"/>
            </w:tabs>
            <w:rPr>
              <w:noProof/>
              <w:szCs w:val="22"/>
              <w:lang w:eastAsia="en-AU"/>
            </w:rPr>
          </w:pPr>
          <w:hyperlink w:anchor="_Toc200111080" w:history="1">
            <w:r w:rsidRPr="0053450A">
              <w:rPr>
                <w:rStyle w:val="Hyperlink"/>
                <w:noProof/>
              </w:rPr>
              <w:t>Department of Industry, Science, Energy and Resources</w:t>
            </w:r>
            <w:r>
              <w:rPr>
                <w:noProof/>
                <w:webHidden/>
              </w:rPr>
              <w:tab/>
            </w:r>
            <w:r>
              <w:rPr>
                <w:noProof/>
                <w:webHidden/>
              </w:rPr>
              <w:fldChar w:fldCharType="begin"/>
            </w:r>
            <w:r>
              <w:rPr>
                <w:noProof/>
                <w:webHidden/>
              </w:rPr>
              <w:instrText xml:space="preserve"> PAGEREF _Toc200111080 \h </w:instrText>
            </w:r>
            <w:r>
              <w:rPr>
                <w:noProof/>
                <w:webHidden/>
              </w:rPr>
            </w:r>
            <w:r>
              <w:rPr>
                <w:noProof/>
                <w:webHidden/>
              </w:rPr>
              <w:fldChar w:fldCharType="separate"/>
            </w:r>
            <w:r>
              <w:rPr>
                <w:noProof/>
                <w:webHidden/>
              </w:rPr>
              <w:t>10</w:t>
            </w:r>
            <w:r>
              <w:rPr>
                <w:noProof/>
                <w:webHidden/>
              </w:rPr>
              <w:fldChar w:fldCharType="end"/>
            </w:r>
          </w:hyperlink>
        </w:p>
        <w:p w14:paraId="6B3ABEFA" w14:textId="28E5BE49" w:rsidR="00543937" w:rsidRDefault="00543937">
          <w:pPr>
            <w:pStyle w:val="TOC2"/>
            <w:tabs>
              <w:tab w:val="right" w:leader="dot" w:pos="9968"/>
            </w:tabs>
            <w:rPr>
              <w:noProof/>
              <w:szCs w:val="22"/>
              <w:lang w:eastAsia="en-AU"/>
            </w:rPr>
          </w:pPr>
          <w:hyperlink w:anchor="_Toc200111081" w:history="1">
            <w:r w:rsidRPr="0053450A">
              <w:rPr>
                <w:rStyle w:val="Hyperlink"/>
                <w:noProof/>
              </w:rPr>
              <w:t>Department of Industry, Science and Resources</w:t>
            </w:r>
            <w:r>
              <w:rPr>
                <w:noProof/>
                <w:webHidden/>
              </w:rPr>
              <w:tab/>
            </w:r>
            <w:r>
              <w:rPr>
                <w:noProof/>
                <w:webHidden/>
              </w:rPr>
              <w:fldChar w:fldCharType="begin"/>
            </w:r>
            <w:r>
              <w:rPr>
                <w:noProof/>
                <w:webHidden/>
              </w:rPr>
              <w:instrText xml:space="preserve"> PAGEREF _Toc200111081 \h </w:instrText>
            </w:r>
            <w:r>
              <w:rPr>
                <w:noProof/>
                <w:webHidden/>
              </w:rPr>
            </w:r>
            <w:r>
              <w:rPr>
                <w:noProof/>
                <w:webHidden/>
              </w:rPr>
              <w:fldChar w:fldCharType="separate"/>
            </w:r>
            <w:r>
              <w:rPr>
                <w:noProof/>
                <w:webHidden/>
              </w:rPr>
              <w:t>11</w:t>
            </w:r>
            <w:r>
              <w:rPr>
                <w:noProof/>
                <w:webHidden/>
              </w:rPr>
              <w:fldChar w:fldCharType="end"/>
            </w:r>
          </w:hyperlink>
        </w:p>
        <w:p w14:paraId="47BD7E5F" w14:textId="6F11DFC8" w:rsidR="00543937" w:rsidRDefault="00543937">
          <w:pPr>
            <w:pStyle w:val="TOC2"/>
            <w:tabs>
              <w:tab w:val="right" w:leader="dot" w:pos="9968"/>
            </w:tabs>
            <w:rPr>
              <w:noProof/>
              <w:szCs w:val="22"/>
              <w:lang w:eastAsia="en-AU"/>
            </w:rPr>
          </w:pPr>
          <w:hyperlink w:anchor="_Toc200111082" w:history="1">
            <w:r w:rsidRPr="0053450A">
              <w:rPr>
                <w:rStyle w:val="Hyperlink"/>
                <w:noProof/>
              </w:rPr>
              <w:t>Department of Infrastructure, Transport, Regional Development, Communications and the Arts</w:t>
            </w:r>
            <w:r>
              <w:rPr>
                <w:noProof/>
                <w:webHidden/>
              </w:rPr>
              <w:tab/>
            </w:r>
            <w:r>
              <w:rPr>
                <w:noProof/>
                <w:webHidden/>
              </w:rPr>
              <w:fldChar w:fldCharType="begin"/>
            </w:r>
            <w:r>
              <w:rPr>
                <w:noProof/>
                <w:webHidden/>
              </w:rPr>
              <w:instrText xml:space="preserve"> PAGEREF _Toc200111082 \h </w:instrText>
            </w:r>
            <w:r>
              <w:rPr>
                <w:noProof/>
                <w:webHidden/>
              </w:rPr>
            </w:r>
            <w:r>
              <w:rPr>
                <w:noProof/>
                <w:webHidden/>
              </w:rPr>
              <w:fldChar w:fldCharType="separate"/>
            </w:r>
            <w:r>
              <w:rPr>
                <w:noProof/>
                <w:webHidden/>
              </w:rPr>
              <w:t>11</w:t>
            </w:r>
            <w:r>
              <w:rPr>
                <w:noProof/>
                <w:webHidden/>
              </w:rPr>
              <w:fldChar w:fldCharType="end"/>
            </w:r>
          </w:hyperlink>
        </w:p>
        <w:p w14:paraId="4BA5DE99" w14:textId="171A4A21" w:rsidR="00543937" w:rsidRDefault="00543937">
          <w:pPr>
            <w:pStyle w:val="TOC2"/>
            <w:tabs>
              <w:tab w:val="right" w:leader="dot" w:pos="9968"/>
            </w:tabs>
            <w:rPr>
              <w:noProof/>
              <w:szCs w:val="22"/>
              <w:lang w:eastAsia="en-AU"/>
            </w:rPr>
          </w:pPr>
          <w:hyperlink w:anchor="_Toc200111083" w:history="1">
            <w:r w:rsidRPr="0053450A">
              <w:rPr>
                <w:rStyle w:val="Hyperlink"/>
                <w:noProof/>
              </w:rPr>
              <w:t>Department of the Prime Minister and Cabinet</w:t>
            </w:r>
            <w:r>
              <w:rPr>
                <w:noProof/>
                <w:webHidden/>
              </w:rPr>
              <w:tab/>
            </w:r>
            <w:r>
              <w:rPr>
                <w:noProof/>
                <w:webHidden/>
              </w:rPr>
              <w:fldChar w:fldCharType="begin"/>
            </w:r>
            <w:r>
              <w:rPr>
                <w:noProof/>
                <w:webHidden/>
              </w:rPr>
              <w:instrText xml:space="preserve"> PAGEREF _Toc200111083 \h </w:instrText>
            </w:r>
            <w:r>
              <w:rPr>
                <w:noProof/>
                <w:webHidden/>
              </w:rPr>
            </w:r>
            <w:r>
              <w:rPr>
                <w:noProof/>
                <w:webHidden/>
              </w:rPr>
              <w:fldChar w:fldCharType="separate"/>
            </w:r>
            <w:r>
              <w:rPr>
                <w:noProof/>
                <w:webHidden/>
              </w:rPr>
              <w:t>11</w:t>
            </w:r>
            <w:r>
              <w:rPr>
                <w:noProof/>
                <w:webHidden/>
              </w:rPr>
              <w:fldChar w:fldCharType="end"/>
            </w:r>
          </w:hyperlink>
        </w:p>
        <w:p w14:paraId="3559767D" w14:textId="2AA7D053" w:rsidR="00543937" w:rsidRDefault="00543937">
          <w:pPr>
            <w:pStyle w:val="TOC2"/>
            <w:tabs>
              <w:tab w:val="right" w:leader="dot" w:pos="9968"/>
            </w:tabs>
            <w:rPr>
              <w:noProof/>
              <w:szCs w:val="22"/>
              <w:lang w:eastAsia="en-AU"/>
            </w:rPr>
          </w:pPr>
          <w:hyperlink w:anchor="_Toc200111084" w:history="1">
            <w:r w:rsidRPr="0053450A">
              <w:rPr>
                <w:rStyle w:val="Hyperlink"/>
                <w:noProof/>
              </w:rPr>
              <w:t>Department of Social Services</w:t>
            </w:r>
            <w:r>
              <w:rPr>
                <w:noProof/>
                <w:webHidden/>
              </w:rPr>
              <w:tab/>
            </w:r>
            <w:r>
              <w:rPr>
                <w:noProof/>
                <w:webHidden/>
              </w:rPr>
              <w:fldChar w:fldCharType="begin"/>
            </w:r>
            <w:r>
              <w:rPr>
                <w:noProof/>
                <w:webHidden/>
              </w:rPr>
              <w:instrText xml:space="preserve"> PAGEREF _Toc200111084 \h </w:instrText>
            </w:r>
            <w:r>
              <w:rPr>
                <w:noProof/>
                <w:webHidden/>
              </w:rPr>
            </w:r>
            <w:r>
              <w:rPr>
                <w:noProof/>
                <w:webHidden/>
              </w:rPr>
              <w:fldChar w:fldCharType="separate"/>
            </w:r>
            <w:r>
              <w:rPr>
                <w:noProof/>
                <w:webHidden/>
              </w:rPr>
              <w:t>11</w:t>
            </w:r>
            <w:r>
              <w:rPr>
                <w:noProof/>
                <w:webHidden/>
              </w:rPr>
              <w:fldChar w:fldCharType="end"/>
            </w:r>
          </w:hyperlink>
        </w:p>
        <w:p w14:paraId="44236A42" w14:textId="4FFFBB5C" w:rsidR="00543937" w:rsidRDefault="00543937">
          <w:pPr>
            <w:pStyle w:val="TOC2"/>
            <w:tabs>
              <w:tab w:val="right" w:leader="dot" w:pos="9968"/>
            </w:tabs>
            <w:rPr>
              <w:noProof/>
              <w:szCs w:val="22"/>
              <w:lang w:eastAsia="en-AU"/>
            </w:rPr>
          </w:pPr>
          <w:hyperlink w:anchor="_Toc200111085" w:history="1">
            <w:r w:rsidRPr="0053450A">
              <w:rPr>
                <w:rStyle w:val="Hyperlink"/>
                <w:noProof/>
              </w:rPr>
              <w:t>Department of the Treasury</w:t>
            </w:r>
            <w:r>
              <w:rPr>
                <w:noProof/>
                <w:webHidden/>
              </w:rPr>
              <w:tab/>
            </w:r>
            <w:r>
              <w:rPr>
                <w:noProof/>
                <w:webHidden/>
              </w:rPr>
              <w:fldChar w:fldCharType="begin"/>
            </w:r>
            <w:r>
              <w:rPr>
                <w:noProof/>
                <w:webHidden/>
              </w:rPr>
              <w:instrText xml:space="preserve"> PAGEREF _Toc200111085 \h </w:instrText>
            </w:r>
            <w:r>
              <w:rPr>
                <w:noProof/>
                <w:webHidden/>
              </w:rPr>
            </w:r>
            <w:r>
              <w:rPr>
                <w:noProof/>
                <w:webHidden/>
              </w:rPr>
              <w:fldChar w:fldCharType="separate"/>
            </w:r>
            <w:r>
              <w:rPr>
                <w:noProof/>
                <w:webHidden/>
              </w:rPr>
              <w:t>12</w:t>
            </w:r>
            <w:r>
              <w:rPr>
                <w:noProof/>
                <w:webHidden/>
              </w:rPr>
              <w:fldChar w:fldCharType="end"/>
            </w:r>
          </w:hyperlink>
        </w:p>
        <w:p w14:paraId="1DB03F72" w14:textId="009DAFF9" w:rsidR="00543937" w:rsidRDefault="00543937">
          <w:pPr>
            <w:pStyle w:val="TOC1"/>
            <w:tabs>
              <w:tab w:val="right" w:leader="dot" w:pos="9968"/>
            </w:tabs>
            <w:rPr>
              <w:noProof/>
              <w:szCs w:val="22"/>
              <w:lang w:eastAsia="en-AU"/>
            </w:rPr>
          </w:pPr>
          <w:hyperlink w:anchor="_Toc200111086" w:history="1">
            <w:r w:rsidRPr="0053450A">
              <w:rPr>
                <w:rStyle w:val="Hyperlink"/>
                <w:noProof/>
              </w:rPr>
              <w:t>Detailed information on proposals requiring Impact Analysis, 2022-23</w:t>
            </w:r>
            <w:r>
              <w:rPr>
                <w:noProof/>
                <w:webHidden/>
              </w:rPr>
              <w:tab/>
            </w:r>
            <w:r>
              <w:rPr>
                <w:noProof/>
                <w:webHidden/>
              </w:rPr>
              <w:fldChar w:fldCharType="begin"/>
            </w:r>
            <w:r>
              <w:rPr>
                <w:noProof/>
                <w:webHidden/>
              </w:rPr>
              <w:instrText xml:space="preserve"> PAGEREF _Toc200111086 \h </w:instrText>
            </w:r>
            <w:r>
              <w:rPr>
                <w:noProof/>
                <w:webHidden/>
              </w:rPr>
            </w:r>
            <w:r>
              <w:rPr>
                <w:noProof/>
                <w:webHidden/>
              </w:rPr>
              <w:fldChar w:fldCharType="separate"/>
            </w:r>
            <w:r>
              <w:rPr>
                <w:noProof/>
                <w:webHidden/>
              </w:rPr>
              <w:t>13</w:t>
            </w:r>
            <w:r>
              <w:rPr>
                <w:noProof/>
                <w:webHidden/>
              </w:rPr>
              <w:fldChar w:fldCharType="end"/>
            </w:r>
          </w:hyperlink>
        </w:p>
        <w:p w14:paraId="0D7EA73F" w14:textId="139242A3" w:rsidR="00543937" w:rsidRDefault="00543937">
          <w:pPr>
            <w:pStyle w:val="TOC2"/>
            <w:tabs>
              <w:tab w:val="right" w:leader="dot" w:pos="9968"/>
            </w:tabs>
            <w:rPr>
              <w:noProof/>
              <w:szCs w:val="22"/>
              <w:lang w:eastAsia="en-AU"/>
            </w:rPr>
          </w:pPr>
          <w:hyperlink w:anchor="_Toc200111087" w:history="1">
            <w:r w:rsidRPr="0053450A">
              <w:rPr>
                <w:rStyle w:val="Hyperlink"/>
                <w:noProof/>
              </w:rPr>
              <w:t>Prime Minister’s Exemptions</w:t>
            </w:r>
            <w:r>
              <w:rPr>
                <w:noProof/>
                <w:webHidden/>
              </w:rPr>
              <w:tab/>
            </w:r>
            <w:r>
              <w:rPr>
                <w:noProof/>
                <w:webHidden/>
              </w:rPr>
              <w:fldChar w:fldCharType="begin"/>
            </w:r>
            <w:r>
              <w:rPr>
                <w:noProof/>
                <w:webHidden/>
              </w:rPr>
              <w:instrText xml:space="preserve"> PAGEREF _Toc200111087 \h </w:instrText>
            </w:r>
            <w:r>
              <w:rPr>
                <w:noProof/>
                <w:webHidden/>
              </w:rPr>
            </w:r>
            <w:r>
              <w:rPr>
                <w:noProof/>
                <w:webHidden/>
              </w:rPr>
              <w:fldChar w:fldCharType="separate"/>
            </w:r>
            <w:r>
              <w:rPr>
                <w:noProof/>
                <w:webHidden/>
              </w:rPr>
              <w:t>13</w:t>
            </w:r>
            <w:r>
              <w:rPr>
                <w:noProof/>
                <w:webHidden/>
              </w:rPr>
              <w:fldChar w:fldCharType="end"/>
            </w:r>
          </w:hyperlink>
        </w:p>
        <w:p w14:paraId="4EE2E385" w14:textId="2F767DC4" w:rsidR="00543937" w:rsidRDefault="00543937">
          <w:pPr>
            <w:pStyle w:val="TOC2"/>
            <w:tabs>
              <w:tab w:val="right" w:leader="dot" w:pos="9968"/>
            </w:tabs>
            <w:rPr>
              <w:noProof/>
              <w:szCs w:val="22"/>
              <w:lang w:eastAsia="en-AU"/>
            </w:rPr>
          </w:pPr>
          <w:hyperlink w:anchor="_Toc200111088" w:history="1">
            <w:r w:rsidRPr="0053450A">
              <w:rPr>
                <w:rStyle w:val="Hyperlink"/>
                <w:noProof/>
              </w:rPr>
              <w:t>Attorney-General’s Department</w:t>
            </w:r>
            <w:r>
              <w:rPr>
                <w:noProof/>
                <w:webHidden/>
              </w:rPr>
              <w:tab/>
            </w:r>
            <w:r>
              <w:rPr>
                <w:noProof/>
                <w:webHidden/>
              </w:rPr>
              <w:fldChar w:fldCharType="begin"/>
            </w:r>
            <w:r>
              <w:rPr>
                <w:noProof/>
                <w:webHidden/>
              </w:rPr>
              <w:instrText xml:space="preserve"> PAGEREF _Toc200111088 \h </w:instrText>
            </w:r>
            <w:r>
              <w:rPr>
                <w:noProof/>
                <w:webHidden/>
              </w:rPr>
            </w:r>
            <w:r>
              <w:rPr>
                <w:noProof/>
                <w:webHidden/>
              </w:rPr>
              <w:fldChar w:fldCharType="separate"/>
            </w:r>
            <w:r>
              <w:rPr>
                <w:noProof/>
                <w:webHidden/>
              </w:rPr>
              <w:t>13</w:t>
            </w:r>
            <w:r>
              <w:rPr>
                <w:noProof/>
                <w:webHidden/>
              </w:rPr>
              <w:fldChar w:fldCharType="end"/>
            </w:r>
          </w:hyperlink>
        </w:p>
        <w:p w14:paraId="713F31AA" w14:textId="5A808B81" w:rsidR="00543937" w:rsidRDefault="00543937">
          <w:pPr>
            <w:pStyle w:val="TOC3"/>
            <w:tabs>
              <w:tab w:val="right" w:leader="dot" w:pos="9968"/>
            </w:tabs>
            <w:rPr>
              <w:noProof/>
              <w:szCs w:val="22"/>
              <w:lang w:eastAsia="en-AU"/>
            </w:rPr>
          </w:pPr>
          <w:hyperlink w:anchor="_Toc200111089" w:history="1">
            <w:r w:rsidRPr="0053450A">
              <w:rPr>
                <w:rStyle w:val="Hyperlink"/>
                <w:rFonts w:eastAsia="MS Mincho"/>
                <w:noProof/>
              </w:rPr>
              <w:t>Legislating a right to ten days paid family and domestic violence leave</w:t>
            </w:r>
            <w:r>
              <w:rPr>
                <w:noProof/>
                <w:webHidden/>
              </w:rPr>
              <w:tab/>
            </w:r>
            <w:r>
              <w:rPr>
                <w:noProof/>
                <w:webHidden/>
              </w:rPr>
              <w:fldChar w:fldCharType="begin"/>
            </w:r>
            <w:r>
              <w:rPr>
                <w:noProof/>
                <w:webHidden/>
              </w:rPr>
              <w:instrText xml:space="preserve"> PAGEREF _Toc200111089 \h </w:instrText>
            </w:r>
            <w:r>
              <w:rPr>
                <w:noProof/>
                <w:webHidden/>
              </w:rPr>
            </w:r>
            <w:r>
              <w:rPr>
                <w:noProof/>
                <w:webHidden/>
              </w:rPr>
              <w:fldChar w:fldCharType="separate"/>
            </w:r>
            <w:r>
              <w:rPr>
                <w:noProof/>
                <w:webHidden/>
              </w:rPr>
              <w:t>13</w:t>
            </w:r>
            <w:r>
              <w:rPr>
                <w:noProof/>
                <w:webHidden/>
              </w:rPr>
              <w:fldChar w:fldCharType="end"/>
            </w:r>
          </w:hyperlink>
        </w:p>
        <w:p w14:paraId="20614A7C" w14:textId="3EB5FD4F" w:rsidR="00543937" w:rsidRDefault="00543937">
          <w:pPr>
            <w:pStyle w:val="TOC3"/>
            <w:tabs>
              <w:tab w:val="right" w:leader="dot" w:pos="9968"/>
            </w:tabs>
            <w:rPr>
              <w:noProof/>
              <w:szCs w:val="22"/>
              <w:lang w:eastAsia="en-AU"/>
            </w:rPr>
          </w:pPr>
          <w:hyperlink w:anchor="_Toc200111090" w:history="1">
            <w:r w:rsidRPr="0053450A">
              <w:rPr>
                <w:rStyle w:val="Hyperlink"/>
                <w:rFonts w:eastAsia="MS Mincho"/>
                <w:noProof/>
              </w:rPr>
              <w:t>Fully Implement the Respect at Work Report Package</w:t>
            </w:r>
            <w:r>
              <w:rPr>
                <w:noProof/>
                <w:webHidden/>
              </w:rPr>
              <w:tab/>
            </w:r>
            <w:r>
              <w:rPr>
                <w:noProof/>
                <w:webHidden/>
              </w:rPr>
              <w:fldChar w:fldCharType="begin"/>
            </w:r>
            <w:r>
              <w:rPr>
                <w:noProof/>
                <w:webHidden/>
              </w:rPr>
              <w:instrText xml:space="preserve"> PAGEREF _Toc200111090 \h </w:instrText>
            </w:r>
            <w:r>
              <w:rPr>
                <w:noProof/>
                <w:webHidden/>
              </w:rPr>
            </w:r>
            <w:r>
              <w:rPr>
                <w:noProof/>
                <w:webHidden/>
              </w:rPr>
              <w:fldChar w:fldCharType="separate"/>
            </w:r>
            <w:r>
              <w:rPr>
                <w:noProof/>
                <w:webHidden/>
              </w:rPr>
              <w:t>14</w:t>
            </w:r>
            <w:r>
              <w:rPr>
                <w:noProof/>
                <w:webHidden/>
              </w:rPr>
              <w:fldChar w:fldCharType="end"/>
            </w:r>
          </w:hyperlink>
        </w:p>
        <w:p w14:paraId="4F73371C" w14:textId="266C8776" w:rsidR="00543937" w:rsidRDefault="00543937">
          <w:pPr>
            <w:pStyle w:val="TOC2"/>
            <w:tabs>
              <w:tab w:val="right" w:leader="dot" w:pos="9968"/>
            </w:tabs>
            <w:rPr>
              <w:noProof/>
              <w:szCs w:val="22"/>
              <w:lang w:eastAsia="en-AU"/>
            </w:rPr>
          </w:pPr>
          <w:hyperlink w:anchor="_Toc200111091" w:history="1">
            <w:r w:rsidRPr="0053450A">
              <w:rPr>
                <w:rStyle w:val="Hyperlink"/>
                <w:noProof/>
              </w:rPr>
              <w:t>Australian Communications and Media Authority</w:t>
            </w:r>
            <w:r>
              <w:rPr>
                <w:noProof/>
                <w:webHidden/>
              </w:rPr>
              <w:tab/>
            </w:r>
            <w:r>
              <w:rPr>
                <w:noProof/>
                <w:webHidden/>
              </w:rPr>
              <w:fldChar w:fldCharType="begin"/>
            </w:r>
            <w:r>
              <w:rPr>
                <w:noProof/>
                <w:webHidden/>
              </w:rPr>
              <w:instrText xml:space="preserve"> PAGEREF _Toc200111091 \h </w:instrText>
            </w:r>
            <w:r>
              <w:rPr>
                <w:noProof/>
                <w:webHidden/>
              </w:rPr>
            </w:r>
            <w:r>
              <w:rPr>
                <w:noProof/>
                <w:webHidden/>
              </w:rPr>
              <w:fldChar w:fldCharType="separate"/>
            </w:r>
            <w:r>
              <w:rPr>
                <w:noProof/>
                <w:webHidden/>
              </w:rPr>
              <w:t>14</w:t>
            </w:r>
            <w:r>
              <w:rPr>
                <w:noProof/>
                <w:webHidden/>
              </w:rPr>
              <w:fldChar w:fldCharType="end"/>
            </w:r>
          </w:hyperlink>
        </w:p>
        <w:p w14:paraId="121612A1" w14:textId="57D9F33A" w:rsidR="00543937" w:rsidRDefault="00543937">
          <w:pPr>
            <w:pStyle w:val="TOC3"/>
            <w:tabs>
              <w:tab w:val="right" w:leader="dot" w:pos="9968"/>
            </w:tabs>
            <w:rPr>
              <w:noProof/>
              <w:szCs w:val="22"/>
              <w:lang w:eastAsia="en-AU"/>
            </w:rPr>
          </w:pPr>
          <w:hyperlink w:anchor="_Toc200111092" w:history="1">
            <w:r w:rsidRPr="0053450A">
              <w:rPr>
                <w:rStyle w:val="Hyperlink"/>
                <w:rFonts w:eastAsia="MS Mincho"/>
                <w:noProof/>
              </w:rPr>
              <w:t>Reducing the impact of SMS scams</w:t>
            </w:r>
            <w:r>
              <w:rPr>
                <w:noProof/>
                <w:webHidden/>
              </w:rPr>
              <w:tab/>
            </w:r>
            <w:r>
              <w:rPr>
                <w:noProof/>
                <w:webHidden/>
              </w:rPr>
              <w:fldChar w:fldCharType="begin"/>
            </w:r>
            <w:r>
              <w:rPr>
                <w:noProof/>
                <w:webHidden/>
              </w:rPr>
              <w:instrText xml:space="preserve"> PAGEREF _Toc200111092 \h </w:instrText>
            </w:r>
            <w:r>
              <w:rPr>
                <w:noProof/>
                <w:webHidden/>
              </w:rPr>
            </w:r>
            <w:r>
              <w:rPr>
                <w:noProof/>
                <w:webHidden/>
              </w:rPr>
              <w:fldChar w:fldCharType="separate"/>
            </w:r>
            <w:r>
              <w:rPr>
                <w:noProof/>
                <w:webHidden/>
              </w:rPr>
              <w:t>14</w:t>
            </w:r>
            <w:r>
              <w:rPr>
                <w:noProof/>
                <w:webHidden/>
              </w:rPr>
              <w:fldChar w:fldCharType="end"/>
            </w:r>
          </w:hyperlink>
        </w:p>
        <w:p w14:paraId="73D55BB7" w14:textId="5CD0CEA1" w:rsidR="00543937" w:rsidRDefault="00543937">
          <w:pPr>
            <w:pStyle w:val="TOC3"/>
            <w:tabs>
              <w:tab w:val="right" w:leader="dot" w:pos="9968"/>
            </w:tabs>
            <w:rPr>
              <w:noProof/>
              <w:szCs w:val="22"/>
              <w:lang w:eastAsia="en-AU"/>
            </w:rPr>
          </w:pPr>
          <w:hyperlink w:anchor="_Toc200111093" w:history="1">
            <w:r w:rsidRPr="0053450A">
              <w:rPr>
                <w:rStyle w:val="Hyperlink"/>
                <w:rFonts w:eastAsia="MS Mincho"/>
                <w:noProof/>
              </w:rPr>
              <w:t>Spectrum Pricing Review: 2nd Tranche of Reform Options</w:t>
            </w:r>
            <w:r>
              <w:rPr>
                <w:noProof/>
                <w:webHidden/>
              </w:rPr>
              <w:tab/>
            </w:r>
            <w:r>
              <w:rPr>
                <w:noProof/>
                <w:webHidden/>
              </w:rPr>
              <w:fldChar w:fldCharType="begin"/>
            </w:r>
            <w:r>
              <w:rPr>
                <w:noProof/>
                <w:webHidden/>
              </w:rPr>
              <w:instrText xml:space="preserve"> PAGEREF _Toc200111093 \h </w:instrText>
            </w:r>
            <w:r>
              <w:rPr>
                <w:noProof/>
                <w:webHidden/>
              </w:rPr>
            </w:r>
            <w:r>
              <w:rPr>
                <w:noProof/>
                <w:webHidden/>
              </w:rPr>
              <w:fldChar w:fldCharType="separate"/>
            </w:r>
            <w:r>
              <w:rPr>
                <w:noProof/>
                <w:webHidden/>
              </w:rPr>
              <w:t>15</w:t>
            </w:r>
            <w:r>
              <w:rPr>
                <w:noProof/>
                <w:webHidden/>
              </w:rPr>
              <w:fldChar w:fldCharType="end"/>
            </w:r>
          </w:hyperlink>
        </w:p>
        <w:p w14:paraId="5B2C6248" w14:textId="25248244" w:rsidR="00543937" w:rsidRDefault="00543937">
          <w:pPr>
            <w:pStyle w:val="TOC3"/>
            <w:tabs>
              <w:tab w:val="right" w:leader="dot" w:pos="9968"/>
            </w:tabs>
            <w:rPr>
              <w:noProof/>
              <w:szCs w:val="22"/>
              <w:lang w:eastAsia="en-AU"/>
            </w:rPr>
          </w:pPr>
          <w:hyperlink w:anchor="_Toc200111094" w:history="1">
            <w:r w:rsidRPr="0053450A">
              <w:rPr>
                <w:rStyle w:val="Hyperlink"/>
                <w:noProof/>
              </w:rPr>
              <w:t>3.4-4 GHz remote allocation of area-wide licences</w:t>
            </w:r>
            <w:r>
              <w:rPr>
                <w:noProof/>
                <w:webHidden/>
              </w:rPr>
              <w:tab/>
            </w:r>
            <w:r>
              <w:rPr>
                <w:noProof/>
                <w:webHidden/>
              </w:rPr>
              <w:fldChar w:fldCharType="begin"/>
            </w:r>
            <w:r>
              <w:rPr>
                <w:noProof/>
                <w:webHidden/>
              </w:rPr>
              <w:instrText xml:space="preserve"> PAGEREF _Toc200111094 \h </w:instrText>
            </w:r>
            <w:r>
              <w:rPr>
                <w:noProof/>
                <w:webHidden/>
              </w:rPr>
            </w:r>
            <w:r>
              <w:rPr>
                <w:noProof/>
                <w:webHidden/>
              </w:rPr>
              <w:fldChar w:fldCharType="separate"/>
            </w:r>
            <w:r>
              <w:rPr>
                <w:noProof/>
                <w:webHidden/>
              </w:rPr>
              <w:t>15</w:t>
            </w:r>
            <w:r>
              <w:rPr>
                <w:noProof/>
                <w:webHidden/>
              </w:rPr>
              <w:fldChar w:fldCharType="end"/>
            </w:r>
          </w:hyperlink>
        </w:p>
        <w:p w14:paraId="50C34616" w14:textId="2B877258" w:rsidR="00543937" w:rsidRDefault="00543937">
          <w:pPr>
            <w:pStyle w:val="TOC2"/>
            <w:tabs>
              <w:tab w:val="right" w:leader="dot" w:pos="9968"/>
            </w:tabs>
            <w:rPr>
              <w:noProof/>
              <w:szCs w:val="22"/>
              <w:lang w:eastAsia="en-AU"/>
            </w:rPr>
          </w:pPr>
          <w:hyperlink w:anchor="_Toc200111095" w:history="1">
            <w:r w:rsidRPr="0053450A">
              <w:rPr>
                <w:rStyle w:val="Hyperlink"/>
                <w:noProof/>
              </w:rPr>
              <w:t>Australian Prudential Regulation Authority</w:t>
            </w:r>
            <w:r>
              <w:rPr>
                <w:noProof/>
                <w:webHidden/>
              </w:rPr>
              <w:tab/>
            </w:r>
            <w:r>
              <w:rPr>
                <w:noProof/>
                <w:webHidden/>
              </w:rPr>
              <w:fldChar w:fldCharType="begin"/>
            </w:r>
            <w:r>
              <w:rPr>
                <w:noProof/>
                <w:webHidden/>
              </w:rPr>
              <w:instrText xml:space="preserve"> PAGEREF _Toc200111095 \h </w:instrText>
            </w:r>
            <w:r>
              <w:rPr>
                <w:noProof/>
                <w:webHidden/>
              </w:rPr>
            </w:r>
            <w:r>
              <w:rPr>
                <w:noProof/>
                <w:webHidden/>
              </w:rPr>
              <w:fldChar w:fldCharType="separate"/>
            </w:r>
            <w:r>
              <w:rPr>
                <w:noProof/>
                <w:webHidden/>
              </w:rPr>
              <w:t>16</w:t>
            </w:r>
            <w:r>
              <w:rPr>
                <w:noProof/>
                <w:webHidden/>
              </w:rPr>
              <w:fldChar w:fldCharType="end"/>
            </w:r>
          </w:hyperlink>
        </w:p>
        <w:p w14:paraId="6E64A357" w14:textId="4FBC0A86" w:rsidR="00543937" w:rsidRDefault="00543937">
          <w:pPr>
            <w:pStyle w:val="TOC3"/>
            <w:tabs>
              <w:tab w:val="right" w:leader="dot" w:pos="9968"/>
            </w:tabs>
            <w:rPr>
              <w:noProof/>
              <w:szCs w:val="22"/>
              <w:lang w:eastAsia="en-AU"/>
            </w:rPr>
          </w:pPr>
          <w:hyperlink w:anchor="_Toc200111096" w:history="1">
            <w:r w:rsidRPr="0053450A">
              <w:rPr>
                <w:rStyle w:val="Hyperlink"/>
                <w:rFonts w:eastAsia="MS Mincho"/>
                <w:noProof/>
              </w:rPr>
              <w:t>Review of Prudential Standard APS 111 Capital Adequacy</w:t>
            </w:r>
            <w:r>
              <w:rPr>
                <w:noProof/>
                <w:webHidden/>
              </w:rPr>
              <w:tab/>
            </w:r>
            <w:r>
              <w:rPr>
                <w:noProof/>
                <w:webHidden/>
              </w:rPr>
              <w:fldChar w:fldCharType="begin"/>
            </w:r>
            <w:r>
              <w:rPr>
                <w:noProof/>
                <w:webHidden/>
              </w:rPr>
              <w:instrText xml:space="preserve"> PAGEREF _Toc200111096 \h </w:instrText>
            </w:r>
            <w:r>
              <w:rPr>
                <w:noProof/>
                <w:webHidden/>
              </w:rPr>
            </w:r>
            <w:r>
              <w:rPr>
                <w:noProof/>
                <w:webHidden/>
              </w:rPr>
              <w:fldChar w:fldCharType="separate"/>
            </w:r>
            <w:r>
              <w:rPr>
                <w:noProof/>
                <w:webHidden/>
              </w:rPr>
              <w:t>16</w:t>
            </w:r>
            <w:r>
              <w:rPr>
                <w:noProof/>
                <w:webHidden/>
              </w:rPr>
              <w:fldChar w:fldCharType="end"/>
            </w:r>
          </w:hyperlink>
        </w:p>
        <w:p w14:paraId="25DB2948" w14:textId="31FD3D32" w:rsidR="00543937" w:rsidRDefault="00543937">
          <w:pPr>
            <w:pStyle w:val="TOC3"/>
            <w:tabs>
              <w:tab w:val="right" w:leader="dot" w:pos="9968"/>
            </w:tabs>
            <w:rPr>
              <w:noProof/>
              <w:szCs w:val="22"/>
              <w:lang w:eastAsia="en-AU"/>
            </w:rPr>
          </w:pPr>
          <w:hyperlink w:anchor="_Toc200111097" w:history="1">
            <w:r w:rsidRPr="0053450A">
              <w:rPr>
                <w:rStyle w:val="Hyperlink"/>
                <w:rFonts w:eastAsia="MS Mincho"/>
                <w:noProof/>
              </w:rPr>
              <w:t>Certification of APRA’s Review of the Private Health Insurance Capital Framework</w:t>
            </w:r>
            <w:r>
              <w:rPr>
                <w:noProof/>
                <w:webHidden/>
              </w:rPr>
              <w:tab/>
            </w:r>
            <w:r>
              <w:rPr>
                <w:noProof/>
                <w:webHidden/>
              </w:rPr>
              <w:fldChar w:fldCharType="begin"/>
            </w:r>
            <w:r>
              <w:rPr>
                <w:noProof/>
                <w:webHidden/>
              </w:rPr>
              <w:instrText xml:space="preserve"> PAGEREF _Toc200111097 \h </w:instrText>
            </w:r>
            <w:r>
              <w:rPr>
                <w:noProof/>
                <w:webHidden/>
              </w:rPr>
            </w:r>
            <w:r>
              <w:rPr>
                <w:noProof/>
                <w:webHidden/>
              </w:rPr>
              <w:fldChar w:fldCharType="separate"/>
            </w:r>
            <w:r>
              <w:rPr>
                <w:noProof/>
                <w:webHidden/>
              </w:rPr>
              <w:t>16</w:t>
            </w:r>
            <w:r>
              <w:rPr>
                <w:noProof/>
                <w:webHidden/>
              </w:rPr>
              <w:fldChar w:fldCharType="end"/>
            </w:r>
          </w:hyperlink>
        </w:p>
        <w:p w14:paraId="63CB7F8D" w14:textId="39A14718" w:rsidR="00543937" w:rsidRDefault="00543937">
          <w:pPr>
            <w:pStyle w:val="TOC2"/>
            <w:tabs>
              <w:tab w:val="right" w:leader="dot" w:pos="9968"/>
            </w:tabs>
            <w:rPr>
              <w:noProof/>
              <w:szCs w:val="22"/>
              <w:lang w:eastAsia="en-AU"/>
            </w:rPr>
          </w:pPr>
          <w:hyperlink w:anchor="_Toc200111098" w:history="1">
            <w:r w:rsidRPr="0053450A">
              <w:rPr>
                <w:rStyle w:val="Hyperlink"/>
                <w:noProof/>
              </w:rPr>
              <w:t>Australian Securities and Investment Commission</w:t>
            </w:r>
            <w:r>
              <w:rPr>
                <w:noProof/>
                <w:webHidden/>
              </w:rPr>
              <w:tab/>
            </w:r>
            <w:r>
              <w:rPr>
                <w:noProof/>
                <w:webHidden/>
              </w:rPr>
              <w:fldChar w:fldCharType="begin"/>
            </w:r>
            <w:r>
              <w:rPr>
                <w:noProof/>
                <w:webHidden/>
              </w:rPr>
              <w:instrText xml:space="preserve"> PAGEREF _Toc200111098 \h </w:instrText>
            </w:r>
            <w:r>
              <w:rPr>
                <w:noProof/>
                <w:webHidden/>
              </w:rPr>
            </w:r>
            <w:r>
              <w:rPr>
                <w:noProof/>
                <w:webHidden/>
              </w:rPr>
              <w:fldChar w:fldCharType="separate"/>
            </w:r>
            <w:r>
              <w:rPr>
                <w:noProof/>
                <w:webHidden/>
              </w:rPr>
              <w:t>16</w:t>
            </w:r>
            <w:r>
              <w:rPr>
                <w:noProof/>
                <w:webHidden/>
              </w:rPr>
              <w:fldChar w:fldCharType="end"/>
            </w:r>
          </w:hyperlink>
        </w:p>
        <w:p w14:paraId="10E9409B" w14:textId="0B509B79" w:rsidR="00543937" w:rsidRDefault="00543937">
          <w:pPr>
            <w:pStyle w:val="TOC3"/>
            <w:tabs>
              <w:tab w:val="right" w:leader="dot" w:pos="9968"/>
            </w:tabs>
            <w:rPr>
              <w:noProof/>
              <w:szCs w:val="22"/>
              <w:lang w:eastAsia="en-AU"/>
            </w:rPr>
          </w:pPr>
          <w:hyperlink w:anchor="_Toc200111099" w:history="1">
            <w:r w:rsidRPr="0053450A">
              <w:rPr>
                <w:rStyle w:val="Hyperlink"/>
                <w:noProof/>
              </w:rPr>
              <w:t>Updating the ASIC Derivative Transaction Rules (Reporting) 2013</w:t>
            </w:r>
            <w:r>
              <w:rPr>
                <w:noProof/>
                <w:webHidden/>
              </w:rPr>
              <w:tab/>
            </w:r>
            <w:r>
              <w:rPr>
                <w:noProof/>
                <w:webHidden/>
              </w:rPr>
              <w:fldChar w:fldCharType="begin"/>
            </w:r>
            <w:r>
              <w:rPr>
                <w:noProof/>
                <w:webHidden/>
              </w:rPr>
              <w:instrText xml:space="preserve"> PAGEREF _Toc200111099 \h </w:instrText>
            </w:r>
            <w:r>
              <w:rPr>
                <w:noProof/>
                <w:webHidden/>
              </w:rPr>
            </w:r>
            <w:r>
              <w:rPr>
                <w:noProof/>
                <w:webHidden/>
              </w:rPr>
              <w:fldChar w:fldCharType="separate"/>
            </w:r>
            <w:r>
              <w:rPr>
                <w:noProof/>
                <w:webHidden/>
              </w:rPr>
              <w:t>16</w:t>
            </w:r>
            <w:r>
              <w:rPr>
                <w:noProof/>
                <w:webHidden/>
              </w:rPr>
              <w:fldChar w:fldCharType="end"/>
            </w:r>
          </w:hyperlink>
        </w:p>
        <w:p w14:paraId="5F6041DD" w14:textId="70C39A65" w:rsidR="00543937" w:rsidRDefault="00543937">
          <w:pPr>
            <w:pStyle w:val="TOC2"/>
            <w:tabs>
              <w:tab w:val="right" w:leader="dot" w:pos="9968"/>
            </w:tabs>
            <w:rPr>
              <w:noProof/>
              <w:szCs w:val="22"/>
              <w:lang w:eastAsia="en-AU"/>
            </w:rPr>
          </w:pPr>
          <w:hyperlink w:anchor="_Toc200111100" w:history="1">
            <w:r w:rsidRPr="0053450A">
              <w:rPr>
                <w:rStyle w:val="Hyperlink"/>
                <w:noProof/>
              </w:rPr>
              <w:t>Department of Agriculture, Fisheries and Forestry</w:t>
            </w:r>
            <w:r>
              <w:rPr>
                <w:noProof/>
                <w:webHidden/>
              </w:rPr>
              <w:tab/>
            </w:r>
            <w:r>
              <w:rPr>
                <w:noProof/>
                <w:webHidden/>
              </w:rPr>
              <w:fldChar w:fldCharType="begin"/>
            </w:r>
            <w:r>
              <w:rPr>
                <w:noProof/>
                <w:webHidden/>
              </w:rPr>
              <w:instrText xml:space="preserve"> PAGEREF _Toc200111100 \h </w:instrText>
            </w:r>
            <w:r>
              <w:rPr>
                <w:noProof/>
                <w:webHidden/>
              </w:rPr>
            </w:r>
            <w:r>
              <w:rPr>
                <w:noProof/>
                <w:webHidden/>
              </w:rPr>
              <w:fldChar w:fldCharType="separate"/>
            </w:r>
            <w:r>
              <w:rPr>
                <w:noProof/>
                <w:webHidden/>
              </w:rPr>
              <w:t>17</w:t>
            </w:r>
            <w:r>
              <w:rPr>
                <w:noProof/>
                <w:webHidden/>
              </w:rPr>
              <w:fldChar w:fldCharType="end"/>
            </w:r>
          </w:hyperlink>
        </w:p>
        <w:p w14:paraId="0ACBA709" w14:textId="049F520D" w:rsidR="00543937" w:rsidRDefault="00543937">
          <w:pPr>
            <w:pStyle w:val="TOC3"/>
            <w:tabs>
              <w:tab w:val="right" w:leader="dot" w:pos="9968"/>
            </w:tabs>
            <w:rPr>
              <w:noProof/>
              <w:szCs w:val="22"/>
              <w:lang w:eastAsia="en-AU"/>
            </w:rPr>
          </w:pPr>
          <w:hyperlink w:anchor="_Toc200111101" w:history="1">
            <w:r w:rsidRPr="0053450A">
              <w:rPr>
                <w:rStyle w:val="Hyperlink"/>
                <w:noProof/>
              </w:rPr>
              <w:t>Biosecurity sustainable funding submission</w:t>
            </w:r>
            <w:r>
              <w:rPr>
                <w:noProof/>
                <w:webHidden/>
              </w:rPr>
              <w:tab/>
            </w:r>
            <w:r>
              <w:rPr>
                <w:noProof/>
                <w:webHidden/>
              </w:rPr>
              <w:fldChar w:fldCharType="begin"/>
            </w:r>
            <w:r>
              <w:rPr>
                <w:noProof/>
                <w:webHidden/>
              </w:rPr>
              <w:instrText xml:space="preserve"> PAGEREF _Toc200111101 \h </w:instrText>
            </w:r>
            <w:r>
              <w:rPr>
                <w:noProof/>
                <w:webHidden/>
              </w:rPr>
            </w:r>
            <w:r>
              <w:rPr>
                <w:noProof/>
                <w:webHidden/>
              </w:rPr>
              <w:fldChar w:fldCharType="separate"/>
            </w:r>
            <w:r>
              <w:rPr>
                <w:noProof/>
                <w:webHidden/>
              </w:rPr>
              <w:t>17</w:t>
            </w:r>
            <w:r>
              <w:rPr>
                <w:noProof/>
                <w:webHidden/>
              </w:rPr>
              <w:fldChar w:fldCharType="end"/>
            </w:r>
          </w:hyperlink>
        </w:p>
        <w:p w14:paraId="41D3BF63" w14:textId="0BCB04A3" w:rsidR="00543937" w:rsidRDefault="00543937">
          <w:pPr>
            <w:pStyle w:val="TOC3"/>
            <w:tabs>
              <w:tab w:val="right" w:leader="dot" w:pos="9968"/>
            </w:tabs>
            <w:rPr>
              <w:noProof/>
              <w:szCs w:val="22"/>
              <w:lang w:eastAsia="en-AU"/>
            </w:rPr>
          </w:pPr>
          <w:hyperlink w:anchor="_Toc200111102" w:history="1">
            <w:r w:rsidRPr="0053450A">
              <w:rPr>
                <w:rStyle w:val="Hyperlink"/>
                <w:noProof/>
              </w:rPr>
              <w:t>Improving illegal logging traceability and timber identification testing</w:t>
            </w:r>
            <w:r>
              <w:rPr>
                <w:noProof/>
                <w:webHidden/>
              </w:rPr>
              <w:tab/>
            </w:r>
            <w:r>
              <w:rPr>
                <w:noProof/>
                <w:webHidden/>
              </w:rPr>
              <w:fldChar w:fldCharType="begin"/>
            </w:r>
            <w:r>
              <w:rPr>
                <w:noProof/>
                <w:webHidden/>
              </w:rPr>
              <w:instrText xml:space="preserve"> PAGEREF _Toc200111102 \h </w:instrText>
            </w:r>
            <w:r>
              <w:rPr>
                <w:noProof/>
                <w:webHidden/>
              </w:rPr>
            </w:r>
            <w:r>
              <w:rPr>
                <w:noProof/>
                <w:webHidden/>
              </w:rPr>
              <w:fldChar w:fldCharType="separate"/>
            </w:r>
            <w:r>
              <w:rPr>
                <w:noProof/>
                <w:webHidden/>
              </w:rPr>
              <w:t>17</w:t>
            </w:r>
            <w:r>
              <w:rPr>
                <w:noProof/>
                <w:webHidden/>
              </w:rPr>
              <w:fldChar w:fldCharType="end"/>
            </w:r>
          </w:hyperlink>
        </w:p>
        <w:p w14:paraId="73621EDD" w14:textId="78FB87FE" w:rsidR="00543937" w:rsidRDefault="00543937">
          <w:pPr>
            <w:pStyle w:val="TOC3"/>
            <w:tabs>
              <w:tab w:val="right" w:leader="dot" w:pos="9968"/>
            </w:tabs>
            <w:rPr>
              <w:noProof/>
              <w:szCs w:val="22"/>
              <w:lang w:eastAsia="en-AU"/>
            </w:rPr>
          </w:pPr>
          <w:hyperlink w:anchor="_Toc200111103" w:history="1">
            <w:r w:rsidRPr="0053450A">
              <w:rPr>
                <w:rStyle w:val="Hyperlink"/>
                <w:noProof/>
              </w:rPr>
              <w:t>Changes to regulatory charging for biosecurity activities</w:t>
            </w:r>
            <w:r>
              <w:rPr>
                <w:noProof/>
                <w:webHidden/>
              </w:rPr>
              <w:tab/>
            </w:r>
            <w:r>
              <w:rPr>
                <w:noProof/>
                <w:webHidden/>
              </w:rPr>
              <w:fldChar w:fldCharType="begin"/>
            </w:r>
            <w:r>
              <w:rPr>
                <w:noProof/>
                <w:webHidden/>
              </w:rPr>
              <w:instrText xml:space="preserve"> PAGEREF _Toc200111103 \h </w:instrText>
            </w:r>
            <w:r>
              <w:rPr>
                <w:noProof/>
                <w:webHidden/>
              </w:rPr>
            </w:r>
            <w:r>
              <w:rPr>
                <w:noProof/>
                <w:webHidden/>
              </w:rPr>
              <w:fldChar w:fldCharType="separate"/>
            </w:r>
            <w:r>
              <w:rPr>
                <w:noProof/>
                <w:webHidden/>
              </w:rPr>
              <w:t>18</w:t>
            </w:r>
            <w:r>
              <w:rPr>
                <w:noProof/>
                <w:webHidden/>
              </w:rPr>
              <w:fldChar w:fldCharType="end"/>
            </w:r>
          </w:hyperlink>
        </w:p>
        <w:p w14:paraId="164705B0" w14:textId="5BB4CC1F" w:rsidR="00543937" w:rsidRDefault="00543937">
          <w:pPr>
            <w:pStyle w:val="TOC2"/>
            <w:tabs>
              <w:tab w:val="right" w:leader="dot" w:pos="9968"/>
            </w:tabs>
            <w:rPr>
              <w:noProof/>
              <w:szCs w:val="22"/>
              <w:lang w:eastAsia="en-AU"/>
            </w:rPr>
          </w:pPr>
          <w:hyperlink w:anchor="_Toc200111104" w:history="1">
            <w:r w:rsidRPr="0053450A">
              <w:rPr>
                <w:rStyle w:val="Hyperlink"/>
                <w:noProof/>
              </w:rPr>
              <w:t>Department of Climate Change, Energy, the Environment and Water</w:t>
            </w:r>
            <w:r>
              <w:rPr>
                <w:noProof/>
                <w:webHidden/>
              </w:rPr>
              <w:tab/>
            </w:r>
            <w:r>
              <w:rPr>
                <w:noProof/>
                <w:webHidden/>
              </w:rPr>
              <w:fldChar w:fldCharType="begin"/>
            </w:r>
            <w:r>
              <w:rPr>
                <w:noProof/>
                <w:webHidden/>
              </w:rPr>
              <w:instrText xml:space="preserve"> PAGEREF _Toc200111104 \h </w:instrText>
            </w:r>
            <w:r>
              <w:rPr>
                <w:noProof/>
                <w:webHidden/>
              </w:rPr>
            </w:r>
            <w:r>
              <w:rPr>
                <w:noProof/>
                <w:webHidden/>
              </w:rPr>
              <w:fldChar w:fldCharType="separate"/>
            </w:r>
            <w:r>
              <w:rPr>
                <w:noProof/>
                <w:webHidden/>
              </w:rPr>
              <w:t>19</w:t>
            </w:r>
            <w:r>
              <w:rPr>
                <w:noProof/>
                <w:webHidden/>
              </w:rPr>
              <w:fldChar w:fldCharType="end"/>
            </w:r>
          </w:hyperlink>
        </w:p>
        <w:p w14:paraId="3DB1FF17" w14:textId="5E1ED2D9" w:rsidR="00543937" w:rsidRDefault="00543937">
          <w:pPr>
            <w:pStyle w:val="TOC3"/>
            <w:tabs>
              <w:tab w:val="right" w:leader="dot" w:pos="9968"/>
            </w:tabs>
            <w:rPr>
              <w:noProof/>
              <w:szCs w:val="22"/>
              <w:lang w:eastAsia="en-AU"/>
            </w:rPr>
          </w:pPr>
          <w:hyperlink w:anchor="_Toc200111105" w:history="1">
            <w:r w:rsidRPr="0053450A">
              <w:rPr>
                <w:rStyle w:val="Hyperlink"/>
                <w:noProof/>
              </w:rPr>
              <w:t>Certification of Final Report of the EPBC Act Review</w:t>
            </w:r>
            <w:r>
              <w:rPr>
                <w:noProof/>
                <w:webHidden/>
              </w:rPr>
              <w:tab/>
            </w:r>
            <w:r>
              <w:rPr>
                <w:noProof/>
                <w:webHidden/>
              </w:rPr>
              <w:fldChar w:fldCharType="begin"/>
            </w:r>
            <w:r>
              <w:rPr>
                <w:noProof/>
                <w:webHidden/>
              </w:rPr>
              <w:instrText xml:space="preserve"> PAGEREF _Toc200111105 \h </w:instrText>
            </w:r>
            <w:r>
              <w:rPr>
                <w:noProof/>
                <w:webHidden/>
              </w:rPr>
            </w:r>
            <w:r>
              <w:rPr>
                <w:noProof/>
                <w:webHidden/>
              </w:rPr>
              <w:fldChar w:fldCharType="separate"/>
            </w:r>
            <w:r>
              <w:rPr>
                <w:noProof/>
                <w:webHidden/>
              </w:rPr>
              <w:t>19</w:t>
            </w:r>
            <w:r>
              <w:rPr>
                <w:noProof/>
                <w:webHidden/>
              </w:rPr>
              <w:fldChar w:fldCharType="end"/>
            </w:r>
          </w:hyperlink>
        </w:p>
        <w:p w14:paraId="7093DA23" w14:textId="47E7A20B" w:rsidR="00543937" w:rsidRDefault="00543937">
          <w:pPr>
            <w:pStyle w:val="TOC3"/>
            <w:tabs>
              <w:tab w:val="right" w:leader="dot" w:pos="9968"/>
            </w:tabs>
            <w:rPr>
              <w:noProof/>
              <w:szCs w:val="22"/>
              <w:lang w:eastAsia="en-AU"/>
            </w:rPr>
          </w:pPr>
          <w:hyperlink w:anchor="_Toc200111106" w:history="1">
            <w:r w:rsidRPr="0053450A">
              <w:rPr>
                <w:rStyle w:val="Hyperlink"/>
                <w:noProof/>
              </w:rPr>
              <w:t>Options for Energy Price Relief</w:t>
            </w:r>
            <w:r>
              <w:rPr>
                <w:noProof/>
                <w:webHidden/>
              </w:rPr>
              <w:tab/>
            </w:r>
            <w:r>
              <w:rPr>
                <w:noProof/>
                <w:webHidden/>
              </w:rPr>
              <w:fldChar w:fldCharType="begin"/>
            </w:r>
            <w:r>
              <w:rPr>
                <w:noProof/>
                <w:webHidden/>
              </w:rPr>
              <w:instrText xml:space="preserve"> PAGEREF _Toc200111106 \h </w:instrText>
            </w:r>
            <w:r>
              <w:rPr>
                <w:noProof/>
                <w:webHidden/>
              </w:rPr>
            </w:r>
            <w:r>
              <w:rPr>
                <w:noProof/>
                <w:webHidden/>
              </w:rPr>
              <w:fldChar w:fldCharType="separate"/>
            </w:r>
            <w:r>
              <w:rPr>
                <w:noProof/>
                <w:webHidden/>
              </w:rPr>
              <w:t>19</w:t>
            </w:r>
            <w:r>
              <w:rPr>
                <w:noProof/>
                <w:webHidden/>
              </w:rPr>
              <w:fldChar w:fldCharType="end"/>
            </w:r>
          </w:hyperlink>
        </w:p>
        <w:p w14:paraId="7324672C" w14:textId="53E7471D" w:rsidR="00543937" w:rsidRDefault="00543937">
          <w:pPr>
            <w:pStyle w:val="TOC3"/>
            <w:tabs>
              <w:tab w:val="right" w:leader="dot" w:pos="9968"/>
            </w:tabs>
            <w:rPr>
              <w:noProof/>
              <w:szCs w:val="22"/>
              <w:lang w:eastAsia="en-AU"/>
            </w:rPr>
          </w:pPr>
          <w:hyperlink w:anchor="_Toc200111107" w:history="1">
            <w:r w:rsidRPr="0053450A">
              <w:rPr>
                <w:rStyle w:val="Hyperlink"/>
                <w:noProof/>
              </w:rPr>
              <w:t>Chubb Review of Australian Carbon Credit Units</w:t>
            </w:r>
            <w:r>
              <w:rPr>
                <w:noProof/>
                <w:webHidden/>
              </w:rPr>
              <w:tab/>
            </w:r>
            <w:r>
              <w:rPr>
                <w:noProof/>
                <w:webHidden/>
              </w:rPr>
              <w:fldChar w:fldCharType="begin"/>
            </w:r>
            <w:r>
              <w:rPr>
                <w:noProof/>
                <w:webHidden/>
              </w:rPr>
              <w:instrText xml:space="preserve"> PAGEREF _Toc200111107 \h </w:instrText>
            </w:r>
            <w:r>
              <w:rPr>
                <w:noProof/>
                <w:webHidden/>
              </w:rPr>
            </w:r>
            <w:r>
              <w:rPr>
                <w:noProof/>
                <w:webHidden/>
              </w:rPr>
              <w:fldChar w:fldCharType="separate"/>
            </w:r>
            <w:r>
              <w:rPr>
                <w:noProof/>
                <w:webHidden/>
              </w:rPr>
              <w:t>20</w:t>
            </w:r>
            <w:r>
              <w:rPr>
                <w:noProof/>
                <w:webHidden/>
              </w:rPr>
              <w:fldChar w:fldCharType="end"/>
            </w:r>
          </w:hyperlink>
        </w:p>
        <w:p w14:paraId="569709EE" w14:textId="6F663851" w:rsidR="00543937" w:rsidRDefault="00543937">
          <w:pPr>
            <w:pStyle w:val="TOC3"/>
            <w:tabs>
              <w:tab w:val="right" w:leader="dot" w:pos="9968"/>
            </w:tabs>
            <w:rPr>
              <w:noProof/>
              <w:szCs w:val="22"/>
              <w:lang w:eastAsia="en-AU"/>
            </w:rPr>
          </w:pPr>
          <w:hyperlink w:anchor="_Toc200111108" w:history="1">
            <w:r w:rsidRPr="0053450A">
              <w:rPr>
                <w:rStyle w:val="Hyperlink"/>
                <w:noProof/>
              </w:rPr>
              <w:t>Reforms to the Safeguard Mechanism</w:t>
            </w:r>
            <w:r>
              <w:rPr>
                <w:noProof/>
                <w:webHidden/>
              </w:rPr>
              <w:tab/>
            </w:r>
            <w:r>
              <w:rPr>
                <w:noProof/>
                <w:webHidden/>
              </w:rPr>
              <w:fldChar w:fldCharType="begin"/>
            </w:r>
            <w:r>
              <w:rPr>
                <w:noProof/>
                <w:webHidden/>
              </w:rPr>
              <w:instrText xml:space="preserve"> PAGEREF _Toc200111108 \h </w:instrText>
            </w:r>
            <w:r>
              <w:rPr>
                <w:noProof/>
                <w:webHidden/>
              </w:rPr>
            </w:r>
            <w:r>
              <w:rPr>
                <w:noProof/>
                <w:webHidden/>
              </w:rPr>
              <w:fldChar w:fldCharType="separate"/>
            </w:r>
            <w:r>
              <w:rPr>
                <w:noProof/>
                <w:webHidden/>
              </w:rPr>
              <w:t>20</w:t>
            </w:r>
            <w:r>
              <w:rPr>
                <w:noProof/>
                <w:webHidden/>
              </w:rPr>
              <w:fldChar w:fldCharType="end"/>
            </w:r>
          </w:hyperlink>
        </w:p>
        <w:p w14:paraId="7B64CE8B" w14:textId="33A8C315" w:rsidR="00543937" w:rsidRDefault="00543937">
          <w:pPr>
            <w:pStyle w:val="TOC3"/>
            <w:tabs>
              <w:tab w:val="right" w:leader="dot" w:pos="9968"/>
            </w:tabs>
            <w:rPr>
              <w:noProof/>
              <w:szCs w:val="22"/>
              <w:lang w:eastAsia="en-AU"/>
            </w:rPr>
          </w:pPr>
          <w:hyperlink w:anchor="_Toc200111109" w:history="1">
            <w:r w:rsidRPr="0053450A">
              <w:rPr>
                <w:rStyle w:val="Hyperlink"/>
                <w:noProof/>
              </w:rPr>
              <w:t>Product Stewardship for Oil scheme</w:t>
            </w:r>
            <w:r>
              <w:rPr>
                <w:noProof/>
                <w:webHidden/>
              </w:rPr>
              <w:tab/>
            </w:r>
            <w:r>
              <w:rPr>
                <w:noProof/>
                <w:webHidden/>
              </w:rPr>
              <w:fldChar w:fldCharType="begin"/>
            </w:r>
            <w:r>
              <w:rPr>
                <w:noProof/>
                <w:webHidden/>
              </w:rPr>
              <w:instrText xml:space="preserve"> PAGEREF _Toc200111109 \h </w:instrText>
            </w:r>
            <w:r>
              <w:rPr>
                <w:noProof/>
                <w:webHidden/>
              </w:rPr>
            </w:r>
            <w:r>
              <w:rPr>
                <w:noProof/>
                <w:webHidden/>
              </w:rPr>
              <w:fldChar w:fldCharType="separate"/>
            </w:r>
            <w:r>
              <w:rPr>
                <w:noProof/>
                <w:webHidden/>
              </w:rPr>
              <w:t>20</w:t>
            </w:r>
            <w:r>
              <w:rPr>
                <w:noProof/>
                <w:webHidden/>
              </w:rPr>
              <w:fldChar w:fldCharType="end"/>
            </w:r>
          </w:hyperlink>
        </w:p>
        <w:p w14:paraId="65549797" w14:textId="3A6A34CA" w:rsidR="00543937" w:rsidRDefault="00543937">
          <w:pPr>
            <w:pStyle w:val="TOC3"/>
            <w:tabs>
              <w:tab w:val="right" w:leader="dot" w:pos="9968"/>
            </w:tabs>
            <w:rPr>
              <w:noProof/>
              <w:szCs w:val="22"/>
              <w:lang w:eastAsia="en-AU"/>
            </w:rPr>
          </w:pPr>
          <w:hyperlink w:anchor="_Toc200111110" w:history="1">
            <w:r w:rsidRPr="0053450A">
              <w:rPr>
                <w:rStyle w:val="Hyperlink"/>
                <w:noProof/>
              </w:rPr>
              <w:t>Certification of Independent Review of the Greenhouse and Energy Minimum Standards (GEMS) Act 2012</w:t>
            </w:r>
            <w:r>
              <w:rPr>
                <w:noProof/>
                <w:webHidden/>
              </w:rPr>
              <w:tab/>
            </w:r>
            <w:r>
              <w:rPr>
                <w:noProof/>
                <w:webHidden/>
              </w:rPr>
              <w:fldChar w:fldCharType="begin"/>
            </w:r>
            <w:r>
              <w:rPr>
                <w:noProof/>
                <w:webHidden/>
              </w:rPr>
              <w:instrText xml:space="preserve"> PAGEREF _Toc200111110 \h </w:instrText>
            </w:r>
            <w:r>
              <w:rPr>
                <w:noProof/>
                <w:webHidden/>
              </w:rPr>
            </w:r>
            <w:r>
              <w:rPr>
                <w:noProof/>
                <w:webHidden/>
              </w:rPr>
              <w:fldChar w:fldCharType="separate"/>
            </w:r>
            <w:r>
              <w:rPr>
                <w:noProof/>
                <w:webHidden/>
              </w:rPr>
              <w:t>21</w:t>
            </w:r>
            <w:r>
              <w:rPr>
                <w:noProof/>
                <w:webHidden/>
              </w:rPr>
              <w:fldChar w:fldCharType="end"/>
            </w:r>
          </w:hyperlink>
        </w:p>
        <w:p w14:paraId="794867AD" w14:textId="29066A01" w:rsidR="00543937" w:rsidRDefault="00543937">
          <w:pPr>
            <w:pStyle w:val="TOC3"/>
            <w:tabs>
              <w:tab w:val="right" w:leader="dot" w:pos="9968"/>
            </w:tabs>
            <w:rPr>
              <w:noProof/>
              <w:szCs w:val="22"/>
              <w:lang w:eastAsia="en-AU"/>
            </w:rPr>
          </w:pPr>
          <w:hyperlink w:anchor="_Toc200111111" w:history="1">
            <w:r w:rsidRPr="0053450A">
              <w:rPr>
                <w:rStyle w:val="Hyperlink"/>
                <w:noProof/>
              </w:rPr>
              <w:t>Commencing a Nature Repair Market</w:t>
            </w:r>
            <w:r>
              <w:rPr>
                <w:noProof/>
                <w:webHidden/>
              </w:rPr>
              <w:tab/>
            </w:r>
            <w:r>
              <w:rPr>
                <w:noProof/>
                <w:webHidden/>
              </w:rPr>
              <w:fldChar w:fldCharType="begin"/>
            </w:r>
            <w:r>
              <w:rPr>
                <w:noProof/>
                <w:webHidden/>
              </w:rPr>
              <w:instrText xml:space="preserve"> PAGEREF _Toc200111111 \h </w:instrText>
            </w:r>
            <w:r>
              <w:rPr>
                <w:noProof/>
                <w:webHidden/>
              </w:rPr>
            </w:r>
            <w:r>
              <w:rPr>
                <w:noProof/>
                <w:webHidden/>
              </w:rPr>
              <w:fldChar w:fldCharType="separate"/>
            </w:r>
            <w:r>
              <w:rPr>
                <w:noProof/>
                <w:webHidden/>
              </w:rPr>
              <w:t>22</w:t>
            </w:r>
            <w:r>
              <w:rPr>
                <w:noProof/>
                <w:webHidden/>
              </w:rPr>
              <w:fldChar w:fldCharType="end"/>
            </w:r>
          </w:hyperlink>
        </w:p>
        <w:p w14:paraId="69BE404C" w14:textId="22F8E762" w:rsidR="00543937" w:rsidRDefault="00543937">
          <w:pPr>
            <w:pStyle w:val="TOC2"/>
            <w:tabs>
              <w:tab w:val="right" w:leader="dot" w:pos="9968"/>
            </w:tabs>
            <w:rPr>
              <w:noProof/>
              <w:szCs w:val="22"/>
              <w:lang w:eastAsia="en-AU"/>
            </w:rPr>
          </w:pPr>
          <w:hyperlink w:anchor="_Toc200111112" w:history="1">
            <w:r w:rsidRPr="0053450A">
              <w:rPr>
                <w:rStyle w:val="Hyperlink"/>
                <w:noProof/>
              </w:rPr>
              <w:t>Department of Employment and Workplace Relations</w:t>
            </w:r>
            <w:r>
              <w:rPr>
                <w:noProof/>
                <w:webHidden/>
              </w:rPr>
              <w:tab/>
            </w:r>
            <w:r>
              <w:rPr>
                <w:noProof/>
                <w:webHidden/>
              </w:rPr>
              <w:fldChar w:fldCharType="begin"/>
            </w:r>
            <w:r>
              <w:rPr>
                <w:noProof/>
                <w:webHidden/>
              </w:rPr>
              <w:instrText xml:space="preserve"> PAGEREF _Toc200111112 \h </w:instrText>
            </w:r>
            <w:r>
              <w:rPr>
                <w:noProof/>
                <w:webHidden/>
              </w:rPr>
            </w:r>
            <w:r>
              <w:rPr>
                <w:noProof/>
                <w:webHidden/>
              </w:rPr>
              <w:fldChar w:fldCharType="separate"/>
            </w:r>
            <w:r>
              <w:rPr>
                <w:noProof/>
                <w:webHidden/>
              </w:rPr>
              <w:t>22</w:t>
            </w:r>
            <w:r>
              <w:rPr>
                <w:noProof/>
                <w:webHidden/>
              </w:rPr>
              <w:fldChar w:fldCharType="end"/>
            </w:r>
          </w:hyperlink>
        </w:p>
        <w:p w14:paraId="42B5858A" w14:textId="79BC332E" w:rsidR="00543937" w:rsidRDefault="00543937">
          <w:pPr>
            <w:pStyle w:val="TOC3"/>
            <w:tabs>
              <w:tab w:val="right" w:leader="dot" w:pos="9968"/>
            </w:tabs>
            <w:rPr>
              <w:noProof/>
              <w:szCs w:val="22"/>
              <w:lang w:eastAsia="en-AU"/>
            </w:rPr>
          </w:pPr>
          <w:hyperlink w:anchor="_Toc200111113" w:history="1">
            <w:r w:rsidRPr="0053450A">
              <w:rPr>
                <w:rStyle w:val="Hyperlink"/>
                <w:noProof/>
              </w:rPr>
              <w:t>Fair Work Legislation Amendment (Secure Jobs, Better Pay) Bill</w:t>
            </w:r>
            <w:r>
              <w:rPr>
                <w:noProof/>
                <w:webHidden/>
              </w:rPr>
              <w:tab/>
            </w:r>
            <w:r>
              <w:rPr>
                <w:noProof/>
                <w:webHidden/>
              </w:rPr>
              <w:fldChar w:fldCharType="begin"/>
            </w:r>
            <w:r>
              <w:rPr>
                <w:noProof/>
                <w:webHidden/>
              </w:rPr>
              <w:instrText xml:space="preserve"> PAGEREF _Toc200111113 \h </w:instrText>
            </w:r>
            <w:r>
              <w:rPr>
                <w:noProof/>
                <w:webHidden/>
              </w:rPr>
            </w:r>
            <w:r>
              <w:rPr>
                <w:noProof/>
                <w:webHidden/>
              </w:rPr>
              <w:fldChar w:fldCharType="separate"/>
            </w:r>
            <w:r>
              <w:rPr>
                <w:noProof/>
                <w:webHidden/>
              </w:rPr>
              <w:t>22</w:t>
            </w:r>
            <w:r>
              <w:rPr>
                <w:noProof/>
                <w:webHidden/>
              </w:rPr>
              <w:fldChar w:fldCharType="end"/>
            </w:r>
          </w:hyperlink>
        </w:p>
        <w:p w14:paraId="48D0E87B" w14:textId="6CCC37BE" w:rsidR="00543937" w:rsidRDefault="00543937">
          <w:pPr>
            <w:pStyle w:val="TOC2"/>
            <w:tabs>
              <w:tab w:val="right" w:leader="dot" w:pos="9968"/>
            </w:tabs>
            <w:rPr>
              <w:noProof/>
              <w:szCs w:val="22"/>
              <w:lang w:eastAsia="en-AU"/>
            </w:rPr>
          </w:pPr>
          <w:hyperlink w:anchor="_Toc200111114" w:history="1">
            <w:r w:rsidRPr="0053450A">
              <w:rPr>
                <w:rStyle w:val="Hyperlink"/>
                <w:noProof/>
              </w:rPr>
              <w:t>Department of Foreign Affairs and Trade</w:t>
            </w:r>
            <w:r>
              <w:rPr>
                <w:noProof/>
                <w:webHidden/>
              </w:rPr>
              <w:tab/>
            </w:r>
            <w:r>
              <w:rPr>
                <w:noProof/>
                <w:webHidden/>
              </w:rPr>
              <w:fldChar w:fldCharType="begin"/>
            </w:r>
            <w:r>
              <w:rPr>
                <w:noProof/>
                <w:webHidden/>
              </w:rPr>
              <w:instrText xml:space="preserve"> PAGEREF _Toc200111114 \h </w:instrText>
            </w:r>
            <w:r>
              <w:rPr>
                <w:noProof/>
                <w:webHidden/>
              </w:rPr>
            </w:r>
            <w:r>
              <w:rPr>
                <w:noProof/>
                <w:webHidden/>
              </w:rPr>
              <w:fldChar w:fldCharType="separate"/>
            </w:r>
            <w:r>
              <w:rPr>
                <w:noProof/>
                <w:webHidden/>
              </w:rPr>
              <w:t>23</w:t>
            </w:r>
            <w:r>
              <w:rPr>
                <w:noProof/>
                <w:webHidden/>
              </w:rPr>
              <w:fldChar w:fldCharType="end"/>
            </w:r>
          </w:hyperlink>
        </w:p>
        <w:p w14:paraId="11739F5D" w14:textId="01A65299" w:rsidR="00543937" w:rsidRDefault="00543937">
          <w:pPr>
            <w:pStyle w:val="TOC3"/>
            <w:tabs>
              <w:tab w:val="right" w:leader="dot" w:pos="9968"/>
            </w:tabs>
            <w:rPr>
              <w:noProof/>
              <w:szCs w:val="22"/>
              <w:lang w:eastAsia="en-AU"/>
            </w:rPr>
          </w:pPr>
          <w:hyperlink w:anchor="_Toc200111115" w:history="1">
            <w:r w:rsidRPr="0053450A">
              <w:rPr>
                <w:rStyle w:val="Hyperlink"/>
                <w:noProof/>
              </w:rPr>
              <w:t>WTO Services Domestic Regulation Joint Statement Initiative</w:t>
            </w:r>
            <w:r>
              <w:rPr>
                <w:noProof/>
                <w:webHidden/>
              </w:rPr>
              <w:tab/>
            </w:r>
            <w:r>
              <w:rPr>
                <w:noProof/>
                <w:webHidden/>
              </w:rPr>
              <w:fldChar w:fldCharType="begin"/>
            </w:r>
            <w:r>
              <w:rPr>
                <w:noProof/>
                <w:webHidden/>
              </w:rPr>
              <w:instrText xml:space="preserve"> PAGEREF _Toc200111115 \h </w:instrText>
            </w:r>
            <w:r>
              <w:rPr>
                <w:noProof/>
                <w:webHidden/>
              </w:rPr>
            </w:r>
            <w:r>
              <w:rPr>
                <w:noProof/>
                <w:webHidden/>
              </w:rPr>
              <w:fldChar w:fldCharType="separate"/>
            </w:r>
            <w:r>
              <w:rPr>
                <w:noProof/>
                <w:webHidden/>
              </w:rPr>
              <w:t>23</w:t>
            </w:r>
            <w:r>
              <w:rPr>
                <w:noProof/>
                <w:webHidden/>
              </w:rPr>
              <w:fldChar w:fldCharType="end"/>
            </w:r>
          </w:hyperlink>
        </w:p>
        <w:p w14:paraId="1BB55CBF" w14:textId="08BE67C4" w:rsidR="00543937" w:rsidRDefault="00543937">
          <w:pPr>
            <w:pStyle w:val="TOC2"/>
            <w:tabs>
              <w:tab w:val="right" w:leader="dot" w:pos="9968"/>
            </w:tabs>
            <w:rPr>
              <w:noProof/>
              <w:szCs w:val="22"/>
              <w:lang w:eastAsia="en-AU"/>
            </w:rPr>
          </w:pPr>
          <w:hyperlink w:anchor="_Toc200111116" w:history="1">
            <w:r w:rsidRPr="0053450A">
              <w:rPr>
                <w:rStyle w:val="Hyperlink"/>
                <w:noProof/>
              </w:rPr>
              <w:t>Department of Health and Aged Care</w:t>
            </w:r>
            <w:r>
              <w:rPr>
                <w:noProof/>
                <w:webHidden/>
              </w:rPr>
              <w:tab/>
            </w:r>
            <w:r>
              <w:rPr>
                <w:noProof/>
                <w:webHidden/>
              </w:rPr>
              <w:fldChar w:fldCharType="begin"/>
            </w:r>
            <w:r>
              <w:rPr>
                <w:noProof/>
                <w:webHidden/>
              </w:rPr>
              <w:instrText xml:space="preserve"> PAGEREF _Toc200111116 \h </w:instrText>
            </w:r>
            <w:r>
              <w:rPr>
                <w:noProof/>
                <w:webHidden/>
              </w:rPr>
            </w:r>
            <w:r>
              <w:rPr>
                <w:noProof/>
                <w:webHidden/>
              </w:rPr>
              <w:fldChar w:fldCharType="separate"/>
            </w:r>
            <w:r>
              <w:rPr>
                <w:noProof/>
                <w:webHidden/>
              </w:rPr>
              <w:t>23</w:t>
            </w:r>
            <w:r>
              <w:rPr>
                <w:noProof/>
                <w:webHidden/>
              </w:rPr>
              <w:fldChar w:fldCharType="end"/>
            </w:r>
          </w:hyperlink>
        </w:p>
        <w:p w14:paraId="17B3DA70" w14:textId="21BAEF3E" w:rsidR="00543937" w:rsidRDefault="00543937">
          <w:pPr>
            <w:pStyle w:val="TOC3"/>
            <w:tabs>
              <w:tab w:val="right" w:leader="dot" w:pos="9968"/>
            </w:tabs>
            <w:rPr>
              <w:noProof/>
              <w:szCs w:val="22"/>
              <w:lang w:eastAsia="en-AU"/>
            </w:rPr>
          </w:pPr>
          <w:hyperlink w:anchor="_Toc200111117" w:history="1">
            <w:r w:rsidRPr="0053450A">
              <w:rPr>
                <w:rStyle w:val="Hyperlink"/>
                <w:rFonts w:eastAsia="Times New Roman"/>
                <w:noProof/>
                <w:lang w:eastAsia="en-AU"/>
              </w:rPr>
              <w:t>Capping Home Care Administration and Management Charges</w:t>
            </w:r>
            <w:r>
              <w:rPr>
                <w:noProof/>
                <w:webHidden/>
              </w:rPr>
              <w:tab/>
            </w:r>
            <w:r>
              <w:rPr>
                <w:noProof/>
                <w:webHidden/>
              </w:rPr>
              <w:fldChar w:fldCharType="begin"/>
            </w:r>
            <w:r>
              <w:rPr>
                <w:noProof/>
                <w:webHidden/>
              </w:rPr>
              <w:instrText xml:space="preserve"> PAGEREF _Toc200111117 \h </w:instrText>
            </w:r>
            <w:r>
              <w:rPr>
                <w:noProof/>
                <w:webHidden/>
              </w:rPr>
            </w:r>
            <w:r>
              <w:rPr>
                <w:noProof/>
                <w:webHidden/>
              </w:rPr>
              <w:fldChar w:fldCharType="separate"/>
            </w:r>
            <w:r>
              <w:rPr>
                <w:noProof/>
                <w:webHidden/>
              </w:rPr>
              <w:t>23</w:t>
            </w:r>
            <w:r>
              <w:rPr>
                <w:noProof/>
                <w:webHidden/>
              </w:rPr>
              <w:fldChar w:fldCharType="end"/>
            </w:r>
          </w:hyperlink>
        </w:p>
        <w:p w14:paraId="69CFC65D" w14:textId="0C565964" w:rsidR="00543937" w:rsidRDefault="00543937">
          <w:pPr>
            <w:pStyle w:val="TOC3"/>
            <w:tabs>
              <w:tab w:val="right" w:leader="dot" w:pos="9968"/>
            </w:tabs>
            <w:rPr>
              <w:noProof/>
              <w:szCs w:val="22"/>
              <w:lang w:eastAsia="en-AU"/>
            </w:rPr>
          </w:pPr>
          <w:hyperlink w:anchor="_Toc200111118" w:history="1">
            <w:r w:rsidRPr="0053450A">
              <w:rPr>
                <w:rStyle w:val="Hyperlink"/>
                <w:noProof/>
              </w:rPr>
              <w:t>Lowering the Costs of Medicines through Changes to Maximum Dispensing Quantities</w:t>
            </w:r>
            <w:r>
              <w:rPr>
                <w:noProof/>
                <w:webHidden/>
              </w:rPr>
              <w:tab/>
            </w:r>
            <w:r>
              <w:rPr>
                <w:noProof/>
                <w:webHidden/>
              </w:rPr>
              <w:fldChar w:fldCharType="begin"/>
            </w:r>
            <w:r>
              <w:rPr>
                <w:noProof/>
                <w:webHidden/>
              </w:rPr>
              <w:instrText xml:space="preserve"> PAGEREF _Toc200111118 \h </w:instrText>
            </w:r>
            <w:r>
              <w:rPr>
                <w:noProof/>
                <w:webHidden/>
              </w:rPr>
            </w:r>
            <w:r>
              <w:rPr>
                <w:noProof/>
                <w:webHidden/>
              </w:rPr>
              <w:fldChar w:fldCharType="separate"/>
            </w:r>
            <w:r>
              <w:rPr>
                <w:noProof/>
                <w:webHidden/>
              </w:rPr>
              <w:t>24</w:t>
            </w:r>
            <w:r>
              <w:rPr>
                <w:noProof/>
                <w:webHidden/>
              </w:rPr>
              <w:fldChar w:fldCharType="end"/>
            </w:r>
          </w:hyperlink>
        </w:p>
        <w:p w14:paraId="62F9C928" w14:textId="75CA5E6D" w:rsidR="00543937" w:rsidRDefault="00543937">
          <w:pPr>
            <w:pStyle w:val="TOC3"/>
            <w:tabs>
              <w:tab w:val="right" w:leader="dot" w:pos="9968"/>
            </w:tabs>
            <w:rPr>
              <w:noProof/>
              <w:szCs w:val="22"/>
              <w:lang w:eastAsia="en-AU"/>
            </w:rPr>
          </w:pPr>
          <w:hyperlink w:anchor="_Toc200111119" w:history="1">
            <w:r w:rsidRPr="0053450A">
              <w:rPr>
                <w:rStyle w:val="Hyperlink"/>
                <w:noProof/>
              </w:rPr>
              <w:t>Primary Health Care Reform (Voluntary Patient Registration)</w:t>
            </w:r>
            <w:r>
              <w:rPr>
                <w:noProof/>
                <w:webHidden/>
              </w:rPr>
              <w:tab/>
            </w:r>
            <w:r>
              <w:rPr>
                <w:noProof/>
                <w:webHidden/>
              </w:rPr>
              <w:fldChar w:fldCharType="begin"/>
            </w:r>
            <w:r>
              <w:rPr>
                <w:noProof/>
                <w:webHidden/>
              </w:rPr>
              <w:instrText xml:space="preserve"> PAGEREF _Toc200111119 \h </w:instrText>
            </w:r>
            <w:r>
              <w:rPr>
                <w:noProof/>
                <w:webHidden/>
              </w:rPr>
            </w:r>
            <w:r>
              <w:rPr>
                <w:noProof/>
                <w:webHidden/>
              </w:rPr>
              <w:fldChar w:fldCharType="separate"/>
            </w:r>
            <w:r>
              <w:rPr>
                <w:noProof/>
                <w:webHidden/>
              </w:rPr>
              <w:t>24</w:t>
            </w:r>
            <w:r>
              <w:rPr>
                <w:noProof/>
                <w:webHidden/>
              </w:rPr>
              <w:fldChar w:fldCharType="end"/>
            </w:r>
          </w:hyperlink>
        </w:p>
        <w:p w14:paraId="23A6E889" w14:textId="2178247D" w:rsidR="00543937" w:rsidRDefault="00543937">
          <w:pPr>
            <w:pStyle w:val="TOC3"/>
            <w:tabs>
              <w:tab w:val="right" w:leader="dot" w:pos="9968"/>
            </w:tabs>
            <w:rPr>
              <w:noProof/>
              <w:szCs w:val="22"/>
              <w:lang w:eastAsia="en-AU"/>
            </w:rPr>
          </w:pPr>
          <w:hyperlink w:anchor="_Toc200111120" w:history="1">
            <w:r w:rsidRPr="0053450A">
              <w:rPr>
                <w:rStyle w:val="Hyperlink"/>
                <w:noProof/>
              </w:rPr>
              <w:t>Support at Home Single Comprehensive Assessment System</w:t>
            </w:r>
            <w:r>
              <w:rPr>
                <w:noProof/>
                <w:webHidden/>
              </w:rPr>
              <w:tab/>
            </w:r>
            <w:r>
              <w:rPr>
                <w:noProof/>
                <w:webHidden/>
              </w:rPr>
              <w:fldChar w:fldCharType="begin"/>
            </w:r>
            <w:r>
              <w:rPr>
                <w:noProof/>
                <w:webHidden/>
              </w:rPr>
              <w:instrText xml:space="preserve"> PAGEREF _Toc200111120 \h </w:instrText>
            </w:r>
            <w:r>
              <w:rPr>
                <w:noProof/>
                <w:webHidden/>
              </w:rPr>
            </w:r>
            <w:r>
              <w:rPr>
                <w:noProof/>
                <w:webHidden/>
              </w:rPr>
              <w:fldChar w:fldCharType="separate"/>
            </w:r>
            <w:r>
              <w:rPr>
                <w:noProof/>
                <w:webHidden/>
              </w:rPr>
              <w:t>25</w:t>
            </w:r>
            <w:r>
              <w:rPr>
                <w:noProof/>
                <w:webHidden/>
              </w:rPr>
              <w:fldChar w:fldCharType="end"/>
            </w:r>
          </w:hyperlink>
        </w:p>
        <w:p w14:paraId="5533A3EA" w14:textId="0BA92F8D" w:rsidR="00543937" w:rsidRDefault="00543937">
          <w:pPr>
            <w:pStyle w:val="TOC2"/>
            <w:tabs>
              <w:tab w:val="right" w:leader="dot" w:pos="9968"/>
            </w:tabs>
            <w:rPr>
              <w:noProof/>
              <w:szCs w:val="22"/>
              <w:lang w:eastAsia="en-AU"/>
            </w:rPr>
          </w:pPr>
          <w:hyperlink w:anchor="_Toc200111121" w:history="1">
            <w:r w:rsidRPr="0053450A">
              <w:rPr>
                <w:rStyle w:val="Hyperlink"/>
                <w:noProof/>
              </w:rPr>
              <w:t>Department of Home Affairs</w:t>
            </w:r>
            <w:r>
              <w:rPr>
                <w:noProof/>
                <w:webHidden/>
              </w:rPr>
              <w:tab/>
            </w:r>
            <w:r>
              <w:rPr>
                <w:noProof/>
                <w:webHidden/>
              </w:rPr>
              <w:fldChar w:fldCharType="begin"/>
            </w:r>
            <w:r>
              <w:rPr>
                <w:noProof/>
                <w:webHidden/>
              </w:rPr>
              <w:instrText xml:space="preserve"> PAGEREF _Toc200111121 \h </w:instrText>
            </w:r>
            <w:r>
              <w:rPr>
                <w:noProof/>
                <w:webHidden/>
              </w:rPr>
            </w:r>
            <w:r>
              <w:rPr>
                <w:noProof/>
                <w:webHidden/>
              </w:rPr>
              <w:fldChar w:fldCharType="separate"/>
            </w:r>
            <w:r>
              <w:rPr>
                <w:noProof/>
                <w:webHidden/>
              </w:rPr>
              <w:t>25</w:t>
            </w:r>
            <w:r>
              <w:rPr>
                <w:noProof/>
                <w:webHidden/>
              </w:rPr>
              <w:fldChar w:fldCharType="end"/>
            </w:r>
          </w:hyperlink>
        </w:p>
        <w:p w14:paraId="3924212C" w14:textId="48722FCF" w:rsidR="00543937" w:rsidRDefault="00543937">
          <w:pPr>
            <w:pStyle w:val="TOC3"/>
            <w:tabs>
              <w:tab w:val="right" w:leader="dot" w:pos="9968"/>
            </w:tabs>
            <w:rPr>
              <w:noProof/>
              <w:szCs w:val="22"/>
              <w:lang w:eastAsia="en-AU"/>
            </w:rPr>
          </w:pPr>
          <w:hyperlink w:anchor="_Toc200111122" w:history="1">
            <w:r w:rsidRPr="0053450A">
              <w:rPr>
                <w:rStyle w:val="Hyperlink"/>
                <w:rFonts w:eastAsia="Times New Roman"/>
                <w:noProof/>
                <w:lang w:eastAsia="en-AU"/>
              </w:rPr>
              <w:t>Critical Infrastructure Risk Management Program</w:t>
            </w:r>
            <w:r>
              <w:rPr>
                <w:noProof/>
                <w:webHidden/>
              </w:rPr>
              <w:tab/>
            </w:r>
            <w:r>
              <w:rPr>
                <w:noProof/>
                <w:webHidden/>
              </w:rPr>
              <w:fldChar w:fldCharType="begin"/>
            </w:r>
            <w:r>
              <w:rPr>
                <w:noProof/>
                <w:webHidden/>
              </w:rPr>
              <w:instrText xml:space="preserve"> PAGEREF _Toc200111122 \h </w:instrText>
            </w:r>
            <w:r>
              <w:rPr>
                <w:noProof/>
                <w:webHidden/>
              </w:rPr>
            </w:r>
            <w:r>
              <w:rPr>
                <w:noProof/>
                <w:webHidden/>
              </w:rPr>
              <w:fldChar w:fldCharType="separate"/>
            </w:r>
            <w:r>
              <w:rPr>
                <w:noProof/>
                <w:webHidden/>
              </w:rPr>
              <w:t>25</w:t>
            </w:r>
            <w:r>
              <w:rPr>
                <w:noProof/>
                <w:webHidden/>
              </w:rPr>
              <w:fldChar w:fldCharType="end"/>
            </w:r>
          </w:hyperlink>
        </w:p>
        <w:p w14:paraId="3A1974AB" w14:textId="425E7D06" w:rsidR="00543937" w:rsidRDefault="00543937">
          <w:pPr>
            <w:pStyle w:val="TOC3"/>
            <w:tabs>
              <w:tab w:val="right" w:leader="dot" w:pos="9968"/>
            </w:tabs>
            <w:rPr>
              <w:noProof/>
              <w:szCs w:val="22"/>
              <w:lang w:eastAsia="en-AU"/>
            </w:rPr>
          </w:pPr>
          <w:hyperlink w:anchor="_Toc200111123" w:history="1">
            <w:r w:rsidRPr="0053450A">
              <w:rPr>
                <w:rStyle w:val="Hyperlink"/>
                <w:rFonts w:eastAsia="Times New Roman"/>
                <w:noProof/>
                <w:lang w:eastAsia="en-AU"/>
              </w:rPr>
              <w:t>Securing Australia’s Domestic Fuel Stocks and Refining Capacity – Addendum</w:t>
            </w:r>
            <w:r>
              <w:rPr>
                <w:noProof/>
                <w:webHidden/>
              </w:rPr>
              <w:tab/>
            </w:r>
            <w:r>
              <w:rPr>
                <w:noProof/>
                <w:webHidden/>
              </w:rPr>
              <w:fldChar w:fldCharType="begin"/>
            </w:r>
            <w:r>
              <w:rPr>
                <w:noProof/>
                <w:webHidden/>
              </w:rPr>
              <w:instrText xml:space="preserve"> PAGEREF _Toc200111123 \h </w:instrText>
            </w:r>
            <w:r>
              <w:rPr>
                <w:noProof/>
                <w:webHidden/>
              </w:rPr>
            </w:r>
            <w:r>
              <w:rPr>
                <w:noProof/>
                <w:webHidden/>
              </w:rPr>
              <w:fldChar w:fldCharType="separate"/>
            </w:r>
            <w:r>
              <w:rPr>
                <w:noProof/>
                <w:webHidden/>
              </w:rPr>
              <w:t>26</w:t>
            </w:r>
            <w:r>
              <w:rPr>
                <w:noProof/>
                <w:webHidden/>
              </w:rPr>
              <w:fldChar w:fldCharType="end"/>
            </w:r>
          </w:hyperlink>
        </w:p>
        <w:p w14:paraId="7D9D9C3C" w14:textId="7F529931" w:rsidR="00543937" w:rsidRDefault="00543937">
          <w:pPr>
            <w:pStyle w:val="TOC2"/>
            <w:tabs>
              <w:tab w:val="right" w:leader="dot" w:pos="9968"/>
            </w:tabs>
            <w:rPr>
              <w:noProof/>
              <w:szCs w:val="22"/>
              <w:lang w:eastAsia="en-AU"/>
            </w:rPr>
          </w:pPr>
          <w:hyperlink w:anchor="_Toc200111124" w:history="1">
            <w:r w:rsidRPr="0053450A">
              <w:rPr>
                <w:rStyle w:val="Hyperlink"/>
                <w:noProof/>
              </w:rPr>
              <w:t>Department of Industry, Science and Resources</w:t>
            </w:r>
            <w:r>
              <w:rPr>
                <w:noProof/>
                <w:webHidden/>
              </w:rPr>
              <w:tab/>
            </w:r>
            <w:r>
              <w:rPr>
                <w:noProof/>
                <w:webHidden/>
              </w:rPr>
              <w:fldChar w:fldCharType="begin"/>
            </w:r>
            <w:r>
              <w:rPr>
                <w:noProof/>
                <w:webHidden/>
              </w:rPr>
              <w:instrText xml:space="preserve"> PAGEREF _Toc200111124 \h </w:instrText>
            </w:r>
            <w:r>
              <w:rPr>
                <w:noProof/>
                <w:webHidden/>
              </w:rPr>
            </w:r>
            <w:r>
              <w:rPr>
                <w:noProof/>
                <w:webHidden/>
              </w:rPr>
              <w:fldChar w:fldCharType="separate"/>
            </w:r>
            <w:r>
              <w:rPr>
                <w:noProof/>
                <w:webHidden/>
              </w:rPr>
              <w:t>26</w:t>
            </w:r>
            <w:r>
              <w:rPr>
                <w:noProof/>
                <w:webHidden/>
              </w:rPr>
              <w:fldChar w:fldCharType="end"/>
            </w:r>
          </w:hyperlink>
        </w:p>
        <w:p w14:paraId="227F9B04" w14:textId="6D938775" w:rsidR="00543937" w:rsidRDefault="00543937">
          <w:pPr>
            <w:pStyle w:val="TOC3"/>
            <w:tabs>
              <w:tab w:val="right" w:leader="dot" w:pos="9968"/>
            </w:tabs>
            <w:rPr>
              <w:noProof/>
              <w:szCs w:val="22"/>
              <w:lang w:eastAsia="en-AU"/>
            </w:rPr>
          </w:pPr>
          <w:hyperlink w:anchor="_Toc200111125" w:history="1">
            <w:r w:rsidRPr="0053450A">
              <w:rPr>
                <w:rStyle w:val="Hyperlink"/>
                <w:rFonts w:eastAsia="Times New Roman"/>
                <w:noProof/>
                <w:lang w:eastAsia="en-AU"/>
              </w:rPr>
              <w:t>ADGSM - Refining the Australian Domestic Gas Security Mechanism</w:t>
            </w:r>
            <w:r>
              <w:rPr>
                <w:noProof/>
                <w:webHidden/>
              </w:rPr>
              <w:tab/>
            </w:r>
            <w:r>
              <w:rPr>
                <w:noProof/>
                <w:webHidden/>
              </w:rPr>
              <w:fldChar w:fldCharType="begin"/>
            </w:r>
            <w:r>
              <w:rPr>
                <w:noProof/>
                <w:webHidden/>
              </w:rPr>
              <w:instrText xml:space="preserve"> PAGEREF _Toc200111125 \h </w:instrText>
            </w:r>
            <w:r>
              <w:rPr>
                <w:noProof/>
                <w:webHidden/>
              </w:rPr>
            </w:r>
            <w:r>
              <w:rPr>
                <w:noProof/>
                <w:webHidden/>
              </w:rPr>
              <w:fldChar w:fldCharType="separate"/>
            </w:r>
            <w:r>
              <w:rPr>
                <w:noProof/>
                <w:webHidden/>
              </w:rPr>
              <w:t>26</w:t>
            </w:r>
            <w:r>
              <w:rPr>
                <w:noProof/>
                <w:webHidden/>
              </w:rPr>
              <w:fldChar w:fldCharType="end"/>
            </w:r>
          </w:hyperlink>
        </w:p>
        <w:p w14:paraId="146AAD9D" w14:textId="14765D2F" w:rsidR="00543937" w:rsidRDefault="00543937">
          <w:pPr>
            <w:pStyle w:val="TOC3"/>
            <w:tabs>
              <w:tab w:val="right" w:leader="dot" w:pos="9968"/>
            </w:tabs>
            <w:rPr>
              <w:noProof/>
              <w:szCs w:val="22"/>
              <w:lang w:eastAsia="en-AU"/>
            </w:rPr>
          </w:pPr>
          <w:hyperlink w:anchor="_Toc200111126" w:history="1">
            <w:r w:rsidRPr="0053450A">
              <w:rPr>
                <w:rStyle w:val="Hyperlink"/>
                <w:noProof/>
              </w:rPr>
              <w:t>Measurement Law Review</w:t>
            </w:r>
            <w:r>
              <w:rPr>
                <w:noProof/>
                <w:webHidden/>
              </w:rPr>
              <w:tab/>
            </w:r>
            <w:r>
              <w:rPr>
                <w:noProof/>
                <w:webHidden/>
              </w:rPr>
              <w:fldChar w:fldCharType="begin"/>
            </w:r>
            <w:r>
              <w:rPr>
                <w:noProof/>
                <w:webHidden/>
              </w:rPr>
              <w:instrText xml:space="preserve"> PAGEREF _Toc200111126 \h </w:instrText>
            </w:r>
            <w:r>
              <w:rPr>
                <w:noProof/>
                <w:webHidden/>
              </w:rPr>
            </w:r>
            <w:r>
              <w:rPr>
                <w:noProof/>
                <w:webHidden/>
              </w:rPr>
              <w:fldChar w:fldCharType="separate"/>
            </w:r>
            <w:r>
              <w:rPr>
                <w:noProof/>
                <w:webHidden/>
              </w:rPr>
              <w:t>27</w:t>
            </w:r>
            <w:r>
              <w:rPr>
                <w:noProof/>
                <w:webHidden/>
              </w:rPr>
              <w:fldChar w:fldCharType="end"/>
            </w:r>
          </w:hyperlink>
        </w:p>
        <w:p w14:paraId="5B932C9C" w14:textId="12701605" w:rsidR="00543937" w:rsidRDefault="00543937">
          <w:pPr>
            <w:pStyle w:val="TOC2"/>
            <w:tabs>
              <w:tab w:val="right" w:leader="dot" w:pos="9968"/>
            </w:tabs>
            <w:rPr>
              <w:noProof/>
              <w:szCs w:val="22"/>
              <w:lang w:eastAsia="en-AU"/>
            </w:rPr>
          </w:pPr>
          <w:hyperlink w:anchor="_Toc200111127" w:history="1">
            <w:r w:rsidRPr="0053450A">
              <w:rPr>
                <w:rStyle w:val="Hyperlink"/>
                <w:noProof/>
              </w:rPr>
              <w:t>Department of Infrastructure, Transport, Regional Development, Communications and the Arts</w:t>
            </w:r>
            <w:r>
              <w:rPr>
                <w:noProof/>
                <w:webHidden/>
              </w:rPr>
              <w:tab/>
            </w:r>
            <w:r>
              <w:rPr>
                <w:noProof/>
                <w:webHidden/>
              </w:rPr>
              <w:fldChar w:fldCharType="begin"/>
            </w:r>
            <w:r>
              <w:rPr>
                <w:noProof/>
                <w:webHidden/>
              </w:rPr>
              <w:instrText xml:space="preserve"> PAGEREF _Toc200111127 \h </w:instrText>
            </w:r>
            <w:r>
              <w:rPr>
                <w:noProof/>
                <w:webHidden/>
              </w:rPr>
            </w:r>
            <w:r>
              <w:rPr>
                <w:noProof/>
                <w:webHidden/>
              </w:rPr>
              <w:fldChar w:fldCharType="separate"/>
            </w:r>
            <w:r>
              <w:rPr>
                <w:noProof/>
                <w:webHidden/>
              </w:rPr>
              <w:t>28</w:t>
            </w:r>
            <w:r>
              <w:rPr>
                <w:noProof/>
                <w:webHidden/>
              </w:rPr>
              <w:fldChar w:fldCharType="end"/>
            </w:r>
          </w:hyperlink>
        </w:p>
        <w:p w14:paraId="38234EF0" w14:textId="6333A122" w:rsidR="00543937" w:rsidRDefault="00543937">
          <w:pPr>
            <w:pStyle w:val="TOC3"/>
            <w:tabs>
              <w:tab w:val="right" w:leader="dot" w:pos="9968"/>
            </w:tabs>
            <w:rPr>
              <w:noProof/>
              <w:szCs w:val="22"/>
              <w:lang w:eastAsia="en-AU"/>
            </w:rPr>
          </w:pPr>
          <w:hyperlink w:anchor="_Toc200111128" w:history="1">
            <w:r w:rsidRPr="0053450A">
              <w:rPr>
                <w:rStyle w:val="Hyperlink"/>
                <w:noProof/>
              </w:rPr>
              <w:t>Heavy Vehicle Emission Standards for Cleaner Air</w:t>
            </w:r>
            <w:r>
              <w:rPr>
                <w:noProof/>
                <w:webHidden/>
              </w:rPr>
              <w:tab/>
            </w:r>
            <w:r>
              <w:rPr>
                <w:noProof/>
                <w:webHidden/>
              </w:rPr>
              <w:fldChar w:fldCharType="begin"/>
            </w:r>
            <w:r>
              <w:rPr>
                <w:noProof/>
                <w:webHidden/>
              </w:rPr>
              <w:instrText xml:space="preserve"> PAGEREF _Toc200111128 \h </w:instrText>
            </w:r>
            <w:r>
              <w:rPr>
                <w:noProof/>
                <w:webHidden/>
              </w:rPr>
            </w:r>
            <w:r>
              <w:rPr>
                <w:noProof/>
                <w:webHidden/>
              </w:rPr>
              <w:fldChar w:fldCharType="separate"/>
            </w:r>
            <w:r>
              <w:rPr>
                <w:noProof/>
                <w:webHidden/>
              </w:rPr>
              <w:t>28</w:t>
            </w:r>
            <w:r>
              <w:rPr>
                <w:noProof/>
                <w:webHidden/>
              </w:rPr>
              <w:fldChar w:fldCharType="end"/>
            </w:r>
          </w:hyperlink>
        </w:p>
        <w:p w14:paraId="3D98271A" w14:textId="5661236F" w:rsidR="00543937" w:rsidRDefault="00543937">
          <w:pPr>
            <w:pStyle w:val="TOC3"/>
            <w:tabs>
              <w:tab w:val="right" w:leader="dot" w:pos="9968"/>
            </w:tabs>
            <w:rPr>
              <w:noProof/>
              <w:szCs w:val="22"/>
              <w:lang w:eastAsia="en-AU"/>
            </w:rPr>
          </w:pPr>
          <w:hyperlink w:anchor="_Toc200111129" w:history="1">
            <w:r w:rsidRPr="0053450A">
              <w:rPr>
                <w:rStyle w:val="Hyperlink"/>
                <w:rFonts w:eastAsia="Times New Roman"/>
                <w:noProof/>
                <w:lang w:eastAsia="en-AU"/>
              </w:rPr>
              <w:t>Remaking the Broadcasting Services Exclusion Determination</w:t>
            </w:r>
            <w:r>
              <w:rPr>
                <w:noProof/>
                <w:webHidden/>
              </w:rPr>
              <w:tab/>
            </w:r>
            <w:r>
              <w:rPr>
                <w:noProof/>
                <w:webHidden/>
              </w:rPr>
              <w:fldChar w:fldCharType="begin"/>
            </w:r>
            <w:r>
              <w:rPr>
                <w:noProof/>
                <w:webHidden/>
              </w:rPr>
              <w:instrText xml:space="preserve"> PAGEREF _Toc200111129 \h </w:instrText>
            </w:r>
            <w:r>
              <w:rPr>
                <w:noProof/>
                <w:webHidden/>
              </w:rPr>
            </w:r>
            <w:r>
              <w:rPr>
                <w:noProof/>
                <w:webHidden/>
              </w:rPr>
              <w:fldChar w:fldCharType="separate"/>
            </w:r>
            <w:r>
              <w:rPr>
                <w:noProof/>
                <w:webHidden/>
              </w:rPr>
              <w:t>28</w:t>
            </w:r>
            <w:r>
              <w:rPr>
                <w:noProof/>
                <w:webHidden/>
              </w:rPr>
              <w:fldChar w:fldCharType="end"/>
            </w:r>
          </w:hyperlink>
        </w:p>
        <w:p w14:paraId="1120E917" w14:textId="4F10BD31" w:rsidR="00543937" w:rsidRDefault="00543937">
          <w:pPr>
            <w:pStyle w:val="TOC3"/>
            <w:tabs>
              <w:tab w:val="right" w:leader="dot" w:pos="9968"/>
            </w:tabs>
            <w:rPr>
              <w:noProof/>
              <w:szCs w:val="22"/>
              <w:lang w:eastAsia="en-AU"/>
            </w:rPr>
          </w:pPr>
          <w:hyperlink w:anchor="_Toc200111130" w:history="1">
            <w:r w:rsidRPr="0053450A">
              <w:rPr>
                <w:rStyle w:val="Hyperlink"/>
                <w:noProof/>
              </w:rPr>
              <w:t>Australia’s Accession to the Nairobi International Convention on the Removal of Wrecks</w:t>
            </w:r>
            <w:r>
              <w:rPr>
                <w:noProof/>
                <w:webHidden/>
              </w:rPr>
              <w:tab/>
            </w:r>
            <w:r>
              <w:rPr>
                <w:noProof/>
                <w:webHidden/>
              </w:rPr>
              <w:fldChar w:fldCharType="begin"/>
            </w:r>
            <w:r>
              <w:rPr>
                <w:noProof/>
                <w:webHidden/>
              </w:rPr>
              <w:instrText xml:space="preserve"> PAGEREF _Toc200111130 \h </w:instrText>
            </w:r>
            <w:r>
              <w:rPr>
                <w:noProof/>
                <w:webHidden/>
              </w:rPr>
            </w:r>
            <w:r>
              <w:rPr>
                <w:noProof/>
                <w:webHidden/>
              </w:rPr>
              <w:fldChar w:fldCharType="separate"/>
            </w:r>
            <w:r>
              <w:rPr>
                <w:noProof/>
                <w:webHidden/>
              </w:rPr>
              <w:t>28</w:t>
            </w:r>
            <w:r>
              <w:rPr>
                <w:noProof/>
                <w:webHidden/>
              </w:rPr>
              <w:fldChar w:fldCharType="end"/>
            </w:r>
          </w:hyperlink>
        </w:p>
        <w:p w14:paraId="369AC643" w14:textId="499B45B7" w:rsidR="00543937" w:rsidRDefault="00543937">
          <w:pPr>
            <w:pStyle w:val="TOC2"/>
            <w:tabs>
              <w:tab w:val="right" w:leader="dot" w:pos="9968"/>
            </w:tabs>
            <w:rPr>
              <w:noProof/>
              <w:szCs w:val="22"/>
              <w:lang w:eastAsia="en-AU"/>
            </w:rPr>
          </w:pPr>
          <w:hyperlink w:anchor="_Toc200111131" w:history="1">
            <w:r w:rsidRPr="0053450A">
              <w:rPr>
                <w:rStyle w:val="Hyperlink"/>
                <w:noProof/>
              </w:rPr>
              <w:t>Department of the Prime Minister and Cabinet</w:t>
            </w:r>
            <w:r>
              <w:rPr>
                <w:noProof/>
                <w:webHidden/>
              </w:rPr>
              <w:tab/>
            </w:r>
            <w:r>
              <w:rPr>
                <w:noProof/>
                <w:webHidden/>
              </w:rPr>
              <w:fldChar w:fldCharType="begin"/>
            </w:r>
            <w:r>
              <w:rPr>
                <w:noProof/>
                <w:webHidden/>
              </w:rPr>
              <w:instrText xml:space="preserve"> PAGEREF _Toc200111131 \h </w:instrText>
            </w:r>
            <w:r>
              <w:rPr>
                <w:noProof/>
                <w:webHidden/>
              </w:rPr>
            </w:r>
            <w:r>
              <w:rPr>
                <w:noProof/>
                <w:webHidden/>
              </w:rPr>
              <w:fldChar w:fldCharType="separate"/>
            </w:r>
            <w:r>
              <w:rPr>
                <w:noProof/>
                <w:webHidden/>
              </w:rPr>
              <w:t>29</w:t>
            </w:r>
            <w:r>
              <w:rPr>
                <w:noProof/>
                <w:webHidden/>
              </w:rPr>
              <w:fldChar w:fldCharType="end"/>
            </w:r>
          </w:hyperlink>
        </w:p>
        <w:p w14:paraId="6AB4C6F0" w14:textId="02A5AB29" w:rsidR="00543937" w:rsidRDefault="00543937">
          <w:pPr>
            <w:pStyle w:val="TOC3"/>
            <w:tabs>
              <w:tab w:val="right" w:leader="dot" w:pos="9968"/>
            </w:tabs>
            <w:rPr>
              <w:noProof/>
              <w:szCs w:val="22"/>
              <w:lang w:eastAsia="en-AU"/>
            </w:rPr>
          </w:pPr>
          <w:hyperlink w:anchor="_Toc200111132" w:history="1">
            <w:r w:rsidRPr="0053450A">
              <w:rPr>
                <w:rStyle w:val="Hyperlink"/>
                <w:noProof/>
              </w:rPr>
              <w:t>Changes to the Workplace Gender Equality Act 2012 and Associated Instruments</w:t>
            </w:r>
            <w:r>
              <w:rPr>
                <w:noProof/>
                <w:webHidden/>
              </w:rPr>
              <w:tab/>
            </w:r>
            <w:r>
              <w:rPr>
                <w:noProof/>
                <w:webHidden/>
              </w:rPr>
              <w:fldChar w:fldCharType="begin"/>
            </w:r>
            <w:r>
              <w:rPr>
                <w:noProof/>
                <w:webHidden/>
              </w:rPr>
              <w:instrText xml:space="preserve"> PAGEREF _Toc200111132 \h </w:instrText>
            </w:r>
            <w:r>
              <w:rPr>
                <w:noProof/>
                <w:webHidden/>
              </w:rPr>
            </w:r>
            <w:r>
              <w:rPr>
                <w:noProof/>
                <w:webHidden/>
              </w:rPr>
              <w:fldChar w:fldCharType="separate"/>
            </w:r>
            <w:r>
              <w:rPr>
                <w:noProof/>
                <w:webHidden/>
              </w:rPr>
              <w:t>29</w:t>
            </w:r>
            <w:r>
              <w:rPr>
                <w:noProof/>
                <w:webHidden/>
              </w:rPr>
              <w:fldChar w:fldCharType="end"/>
            </w:r>
          </w:hyperlink>
        </w:p>
        <w:p w14:paraId="3440D3C8" w14:textId="4932A9CB" w:rsidR="00543937" w:rsidRDefault="00543937">
          <w:pPr>
            <w:pStyle w:val="TOC2"/>
            <w:tabs>
              <w:tab w:val="right" w:leader="dot" w:pos="9968"/>
            </w:tabs>
            <w:rPr>
              <w:noProof/>
              <w:szCs w:val="22"/>
              <w:lang w:eastAsia="en-AU"/>
            </w:rPr>
          </w:pPr>
          <w:hyperlink w:anchor="_Toc200111133" w:history="1">
            <w:r w:rsidRPr="0053450A">
              <w:rPr>
                <w:rStyle w:val="Hyperlink"/>
                <w:noProof/>
              </w:rPr>
              <w:t>Department of Social Services</w:t>
            </w:r>
            <w:r>
              <w:rPr>
                <w:noProof/>
                <w:webHidden/>
              </w:rPr>
              <w:tab/>
            </w:r>
            <w:r>
              <w:rPr>
                <w:noProof/>
                <w:webHidden/>
              </w:rPr>
              <w:fldChar w:fldCharType="begin"/>
            </w:r>
            <w:r>
              <w:rPr>
                <w:noProof/>
                <w:webHidden/>
              </w:rPr>
              <w:instrText xml:space="preserve"> PAGEREF _Toc200111133 \h </w:instrText>
            </w:r>
            <w:r>
              <w:rPr>
                <w:noProof/>
                <w:webHidden/>
              </w:rPr>
            </w:r>
            <w:r>
              <w:rPr>
                <w:noProof/>
                <w:webHidden/>
              </w:rPr>
              <w:fldChar w:fldCharType="separate"/>
            </w:r>
            <w:r>
              <w:rPr>
                <w:noProof/>
                <w:webHidden/>
              </w:rPr>
              <w:t>29</w:t>
            </w:r>
            <w:r>
              <w:rPr>
                <w:noProof/>
                <w:webHidden/>
              </w:rPr>
              <w:fldChar w:fldCharType="end"/>
            </w:r>
          </w:hyperlink>
        </w:p>
        <w:p w14:paraId="36097D64" w14:textId="63E262D0" w:rsidR="00543937" w:rsidRDefault="00543937">
          <w:pPr>
            <w:pStyle w:val="TOC3"/>
            <w:tabs>
              <w:tab w:val="right" w:leader="dot" w:pos="9968"/>
            </w:tabs>
            <w:rPr>
              <w:noProof/>
              <w:szCs w:val="22"/>
              <w:lang w:eastAsia="en-AU"/>
            </w:rPr>
          </w:pPr>
          <w:hyperlink w:anchor="_Toc200111134" w:history="1">
            <w:r w:rsidRPr="0053450A">
              <w:rPr>
                <w:rStyle w:val="Hyperlink"/>
                <w:noProof/>
              </w:rPr>
              <w:t>Enhanced Paid Parental Leave for Families</w:t>
            </w:r>
            <w:r>
              <w:rPr>
                <w:noProof/>
                <w:webHidden/>
              </w:rPr>
              <w:tab/>
            </w:r>
            <w:r>
              <w:rPr>
                <w:noProof/>
                <w:webHidden/>
              </w:rPr>
              <w:fldChar w:fldCharType="begin"/>
            </w:r>
            <w:r>
              <w:rPr>
                <w:noProof/>
                <w:webHidden/>
              </w:rPr>
              <w:instrText xml:space="preserve"> PAGEREF _Toc200111134 \h </w:instrText>
            </w:r>
            <w:r>
              <w:rPr>
                <w:noProof/>
                <w:webHidden/>
              </w:rPr>
            </w:r>
            <w:r>
              <w:rPr>
                <w:noProof/>
                <w:webHidden/>
              </w:rPr>
              <w:fldChar w:fldCharType="separate"/>
            </w:r>
            <w:r>
              <w:rPr>
                <w:noProof/>
                <w:webHidden/>
              </w:rPr>
              <w:t>29</w:t>
            </w:r>
            <w:r>
              <w:rPr>
                <w:noProof/>
                <w:webHidden/>
              </w:rPr>
              <w:fldChar w:fldCharType="end"/>
            </w:r>
          </w:hyperlink>
        </w:p>
        <w:p w14:paraId="251C4816" w14:textId="72E6F95A" w:rsidR="00543937" w:rsidRDefault="00543937">
          <w:pPr>
            <w:pStyle w:val="TOC3"/>
            <w:tabs>
              <w:tab w:val="right" w:leader="dot" w:pos="9968"/>
            </w:tabs>
            <w:rPr>
              <w:noProof/>
              <w:szCs w:val="22"/>
              <w:lang w:eastAsia="en-AU"/>
            </w:rPr>
          </w:pPr>
          <w:hyperlink w:anchor="_Toc200111135" w:history="1">
            <w:r w:rsidRPr="0053450A">
              <w:rPr>
                <w:rStyle w:val="Hyperlink"/>
                <w:rFonts w:eastAsia="Times New Roman"/>
                <w:noProof/>
                <w:lang w:eastAsia="en-AU"/>
              </w:rPr>
              <w:t>Abolish the Cashless Debit Card</w:t>
            </w:r>
            <w:r>
              <w:rPr>
                <w:noProof/>
                <w:webHidden/>
              </w:rPr>
              <w:tab/>
            </w:r>
            <w:r>
              <w:rPr>
                <w:noProof/>
                <w:webHidden/>
              </w:rPr>
              <w:fldChar w:fldCharType="begin"/>
            </w:r>
            <w:r>
              <w:rPr>
                <w:noProof/>
                <w:webHidden/>
              </w:rPr>
              <w:instrText xml:space="preserve"> PAGEREF _Toc200111135 \h </w:instrText>
            </w:r>
            <w:r>
              <w:rPr>
                <w:noProof/>
                <w:webHidden/>
              </w:rPr>
            </w:r>
            <w:r>
              <w:rPr>
                <w:noProof/>
                <w:webHidden/>
              </w:rPr>
              <w:fldChar w:fldCharType="separate"/>
            </w:r>
            <w:r>
              <w:rPr>
                <w:noProof/>
                <w:webHidden/>
              </w:rPr>
              <w:t>30</w:t>
            </w:r>
            <w:r>
              <w:rPr>
                <w:noProof/>
                <w:webHidden/>
              </w:rPr>
              <w:fldChar w:fldCharType="end"/>
            </w:r>
          </w:hyperlink>
        </w:p>
        <w:p w14:paraId="490636E7" w14:textId="3800BA5C" w:rsidR="00543937" w:rsidRDefault="00543937">
          <w:pPr>
            <w:pStyle w:val="TOC3"/>
            <w:tabs>
              <w:tab w:val="right" w:leader="dot" w:pos="9968"/>
            </w:tabs>
            <w:rPr>
              <w:noProof/>
              <w:szCs w:val="22"/>
              <w:lang w:eastAsia="en-AU"/>
            </w:rPr>
          </w:pPr>
          <w:hyperlink w:anchor="_Toc200111136" w:history="1">
            <w:r w:rsidRPr="0053450A">
              <w:rPr>
                <w:rStyle w:val="Hyperlink"/>
                <w:noProof/>
              </w:rPr>
              <w:t>Additional Support for Single Parents</w:t>
            </w:r>
            <w:r>
              <w:rPr>
                <w:noProof/>
                <w:webHidden/>
              </w:rPr>
              <w:tab/>
            </w:r>
            <w:r>
              <w:rPr>
                <w:noProof/>
                <w:webHidden/>
              </w:rPr>
              <w:fldChar w:fldCharType="begin"/>
            </w:r>
            <w:r>
              <w:rPr>
                <w:noProof/>
                <w:webHidden/>
              </w:rPr>
              <w:instrText xml:space="preserve"> PAGEREF _Toc200111136 \h </w:instrText>
            </w:r>
            <w:r>
              <w:rPr>
                <w:noProof/>
                <w:webHidden/>
              </w:rPr>
            </w:r>
            <w:r>
              <w:rPr>
                <w:noProof/>
                <w:webHidden/>
              </w:rPr>
              <w:fldChar w:fldCharType="separate"/>
            </w:r>
            <w:r>
              <w:rPr>
                <w:noProof/>
                <w:webHidden/>
              </w:rPr>
              <w:t>30</w:t>
            </w:r>
            <w:r>
              <w:rPr>
                <w:noProof/>
                <w:webHidden/>
              </w:rPr>
              <w:fldChar w:fldCharType="end"/>
            </w:r>
          </w:hyperlink>
        </w:p>
        <w:p w14:paraId="0E751DA1" w14:textId="5EC0FC77" w:rsidR="00543937" w:rsidRDefault="00543937">
          <w:pPr>
            <w:pStyle w:val="TOC2"/>
            <w:tabs>
              <w:tab w:val="right" w:leader="dot" w:pos="9968"/>
            </w:tabs>
            <w:rPr>
              <w:noProof/>
              <w:szCs w:val="22"/>
              <w:lang w:eastAsia="en-AU"/>
            </w:rPr>
          </w:pPr>
          <w:hyperlink w:anchor="_Toc200111137" w:history="1">
            <w:r w:rsidRPr="0053450A">
              <w:rPr>
                <w:rStyle w:val="Hyperlink"/>
                <w:noProof/>
              </w:rPr>
              <w:t>Department of the Treasury</w:t>
            </w:r>
            <w:r>
              <w:rPr>
                <w:noProof/>
                <w:webHidden/>
              </w:rPr>
              <w:tab/>
            </w:r>
            <w:r>
              <w:rPr>
                <w:noProof/>
                <w:webHidden/>
              </w:rPr>
              <w:fldChar w:fldCharType="begin"/>
            </w:r>
            <w:r>
              <w:rPr>
                <w:noProof/>
                <w:webHidden/>
              </w:rPr>
              <w:instrText xml:space="preserve"> PAGEREF _Toc200111137 \h </w:instrText>
            </w:r>
            <w:r>
              <w:rPr>
                <w:noProof/>
                <w:webHidden/>
              </w:rPr>
            </w:r>
            <w:r>
              <w:rPr>
                <w:noProof/>
                <w:webHidden/>
              </w:rPr>
              <w:fldChar w:fldCharType="separate"/>
            </w:r>
            <w:r>
              <w:rPr>
                <w:noProof/>
                <w:webHidden/>
              </w:rPr>
              <w:t>30</w:t>
            </w:r>
            <w:r>
              <w:rPr>
                <w:noProof/>
                <w:webHidden/>
              </w:rPr>
              <w:fldChar w:fldCharType="end"/>
            </w:r>
          </w:hyperlink>
        </w:p>
        <w:p w14:paraId="3DFE5792" w14:textId="68CD14BA" w:rsidR="00543937" w:rsidRDefault="00543937">
          <w:pPr>
            <w:pStyle w:val="TOC3"/>
            <w:tabs>
              <w:tab w:val="right" w:leader="dot" w:pos="9968"/>
            </w:tabs>
            <w:rPr>
              <w:noProof/>
              <w:szCs w:val="22"/>
              <w:lang w:eastAsia="en-AU"/>
            </w:rPr>
          </w:pPr>
          <w:hyperlink w:anchor="_Toc200111138" w:history="1">
            <w:r w:rsidRPr="0053450A">
              <w:rPr>
                <w:rStyle w:val="Hyperlink"/>
                <w:noProof/>
              </w:rPr>
              <w:t>Small Amount Credit Contracts and Consumer Lease Reforms</w:t>
            </w:r>
            <w:r>
              <w:rPr>
                <w:noProof/>
                <w:webHidden/>
              </w:rPr>
              <w:tab/>
            </w:r>
            <w:r>
              <w:rPr>
                <w:noProof/>
                <w:webHidden/>
              </w:rPr>
              <w:fldChar w:fldCharType="begin"/>
            </w:r>
            <w:r>
              <w:rPr>
                <w:noProof/>
                <w:webHidden/>
              </w:rPr>
              <w:instrText xml:space="preserve"> PAGEREF _Toc200111138 \h </w:instrText>
            </w:r>
            <w:r>
              <w:rPr>
                <w:noProof/>
                <w:webHidden/>
              </w:rPr>
            </w:r>
            <w:r>
              <w:rPr>
                <w:noProof/>
                <w:webHidden/>
              </w:rPr>
              <w:fldChar w:fldCharType="separate"/>
            </w:r>
            <w:r>
              <w:rPr>
                <w:noProof/>
                <w:webHidden/>
              </w:rPr>
              <w:t>30</w:t>
            </w:r>
            <w:r>
              <w:rPr>
                <w:noProof/>
                <w:webHidden/>
              </w:rPr>
              <w:fldChar w:fldCharType="end"/>
            </w:r>
          </w:hyperlink>
        </w:p>
        <w:p w14:paraId="61724AB6" w14:textId="22AAD2A1" w:rsidR="00543937" w:rsidRDefault="00543937">
          <w:pPr>
            <w:pStyle w:val="TOC3"/>
            <w:tabs>
              <w:tab w:val="right" w:leader="dot" w:pos="9968"/>
            </w:tabs>
            <w:rPr>
              <w:noProof/>
              <w:szCs w:val="22"/>
              <w:lang w:eastAsia="en-AU"/>
            </w:rPr>
          </w:pPr>
          <w:hyperlink w:anchor="_Toc200111139" w:history="1">
            <w:r w:rsidRPr="0053450A">
              <w:rPr>
                <w:rStyle w:val="Hyperlink"/>
                <w:noProof/>
              </w:rPr>
              <w:t>Regional First Home Buyer Guarantee</w:t>
            </w:r>
            <w:r>
              <w:rPr>
                <w:noProof/>
                <w:webHidden/>
              </w:rPr>
              <w:tab/>
            </w:r>
            <w:r>
              <w:rPr>
                <w:noProof/>
                <w:webHidden/>
              </w:rPr>
              <w:fldChar w:fldCharType="begin"/>
            </w:r>
            <w:r>
              <w:rPr>
                <w:noProof/>
                <w:webHidden/>
              </w:rPr>
              <w:instrText xml:space="preserve"> PAGEREF _Toc200111139 \h </w:instrText>
            </w:r>
            <w:r>
              <w:rPr>
                <w:noProof/>
                <w:webHidden/>
              </w:rPr>
            </w:r>
            <w:r>
              <w:rPr>
                <w:noProof/>
                <w:webHidden/>
              </w:rPr>
              <w:fldChar w:fldCharType="separate"/>
            </w:r>
            <w:r>
              <w:rPr>
                <w:noProof/>
                <w:webHidden/>
              </w:rPr>
              <w:t>31</w:t>
            </w:r>
            <w:r>
              <w:rPr>
                <w:noProof/>
                <w:webHidden/>
              </w:rPr>
              <w:fldChar w:fldCharType="end"/>
            </w:r>
          </w:hyperlink>
        </w:p>
        <w:p w14:paraId="78A91DAD" w14:textId="6BDE2368" w:rsidR="00543937" w:rsidRDefault="00543937">
          <w:pPr>
            <w:pStyle w:val="TOC3"/>
            <w:tabs>
              <w:tab w:val="right" w:leader="dot" w:pos="9968"/>
            </w:tabs>
            <w:rPr>
              <w:noProof/>
              <w:szCs w:val="22"/>
              <w:lang w:eastAsia="en-AU"/>
            </w:rPr>
          </w:pPr>
          <w:hyperlink w:anchor="_Toc200111140" w:history="1">
            <w:r w:rsidRPr="0053450A">
              <w:rPr>
                <w:rStyle w:val="Hyperlink"/>
                <w:noProof/>
              </w:rPr>
              <w:t>Improving insurance outcomes in natural hazard-prone regions</w:t>
            </w:r>
            <w:r>
              <w:rPr>
                <w:noProof/>
                <w:webHidden/>
              </w:rPr>
              <w:tab/>
            </w:r>
            <w:r>
              <w:rPr>
                <w:noProof/>
                <w:webHidden/>
              </w:rPr>
              <w:fldChar w:fldCharType="begin"/>
            </w:r>
            <w:r>
              <w:rPr>
                <w:noProof/>
                <w:webHidden/>
              </w:rPr>
              <w:instrText xml:space="preserve"> PAGEREF _Toc200111140 \h </w:instrText>
            </w:r>
            <w:r>
              <w:rPr>
                <w:noProof/>
                <w:webHidden/>
              </w:rPr>
            </w:r>
            <w:r>
              <w:rPr>
                <w:noProof/>
                <w:webHidden/>
              </w:rPr>
              <w:fldChar w:fldCharType="separate"/>
            </w:r>
            <w:r>
              <w:rPr>
                <w:noProof/>
                <w:webHidden/>
              </w:rPr>
              <w:t>31</w:t>
            </w:r>
            <w:r>
              <w:rPr>
                <w:noProof/>
                <w:webHidden/>
              </w:rPr>
              <w:fldChar w:fldCharType="end"/>
            </w:r>
          </w:hyperlink>
        </w:p>
        <w:p w14:paraId="0AE475D4" w14:textId="6E86B701" w:rsidR="00543937" w:rsidRDefault="00543937">
          <w:pPr>
            <w:pStyle w:val="TOC3"/>
            <w:tabs>
              <w:tab w:val="right" w:leader="dot" w:pos="9968"/>
            </w:tabs>
            <w:rPr>
              <w:noProof/>
              <w:szCs w:val="22"/>
              <w:lang w:eastAsia="en-AU"/>
            </w:rPr>
          </w:pPr>
          <w:hyperlink w:anchor="_Toc200111141" w:history="1">
            <w:r w:rsidRPr="0053450A">
              <w:rPr>
                <w:rStyle w:val="Hyperlink"/>
                <w:noProof/>
              </w:rPr>
              <w:t>Options for Energy Price Relief</w:t>
            </w:r>
            <w:r>
              <w:rPr>
                <w:noProof/>
                <w:webHidden/>
              </w:rPr>
              <w:tab/>
            </w:r>
            <w:r>
              <w:rPr>
                <w:noProof/>
                <w:webHidden/>
              </w:rPr>
              <w:fldChar w:fldCharType="begin"/>
            </w:r>
            <w:r>
              <w:rPr>
                <w:noProof/>
                <w:webHidden/>
              </w:rPr>
              <w:instrText xml:space="preserve"> PAGEREF _Toc200111141 \h </w:instrText>
            </w:r>
            <w:r>
              <w:rPr>
                <w:noProof/>
                <w:webHidden/>
              </w:rPr>
            </w:r>
            <w:r>
              <w:rPr>
                <w:noProof/>
                <w:webHidden/>
              </w:rPr>
              <w:fldChar w:fldCharType="separate"/>
            </w:r>
            <w:r>
              <w:rPr>
                <w:noProof/>
                <w:webHidden/>
              </w:rPr>
              <w:t>33</w:t>
            </w:r>
            <w:r>
              <w:rPr>
                <w:noProof/>
                <w:webHidden/>
              </w:rPr>
              <w:fldChar w:fldCharType="end"/>
            </w:r>
          </w:hyperlink>
        </w:p>
        <w:p w14:paraId="798902C7" w14:textId="1A221971" w:rsidR="00543937" w:rsidRDefault="00543937">
          <w:pPr>
            <w:pStyle w:val="TOC3"/>
            <w:tabs>
              <w:tab w:val="right" w:leader="dot" w:pos="9968"/>
            </w:tabs>
            <w:rPr>
              <w:noProof/>
              <w:szCs w:val="22"/>
              <w:lang w:eastAsia="en-AU"/>
            </w:rPr>
          </w:pPr>
          <w:hyperlink w:anchor="_Toc200111142" w:history="1">
            <w:r w:rsidRPr="0053450A">
              <w:rPr>
                <w:rStyle w:val="Hyperlink"/>
                <w:noProof/>
              </w:rPr>
              <w:t>CDR Non-bank lending sectoral assessment</w:t>
            </w:r>
            <w:r>
              <w:rPr>
                <w:noProof/>
                <w:webHidden/>
              </w:rPr>
              <w:tab/>
            </w:r>
            <w:r>
              <w:rPr>
                <w:noProof/>
                <w:webHidden/>
              </w:rPr>
              <w:fldChar w:fldCharType="begin"/>
            </w:r>
            <w:r>
              <w:rPr>
                <w:noProof/>
                <w:webHidden/>
              </w:rPr>
              <w:instrText xml:space="preserve"> PAGEREF _Toc200111142 \h </w:instrText>
            </w:r>
            <w:r>
              <w:rPr>
                <w:noProof/>
                <w:webHidden/>
              </w:rPr>
            </w:r>
            <w:r>
              <w:rPr>
                <w:noProof/>
                <w:webHidden/>
              </w:rPr>
              <w:fldChar w:fldCharType="separate"/>
            </w:r>
            <w:r>
              <w:rPr>
                <w:noProof/>
                <w:webHidden/>
              </w:rPr>
              <w:t>33</w:t>
            </w:r>
            <w:r>
              <w:rPr>
                <w:noProof/>
                <w:webHidden/>
              </w:rPr>
              <w:fldChar w:fldCharType="end"/>
            </w:r>
          </w:hyperlink>
        </w:p>
        <w:p w14:paraId="183C9869" w14:textId="358927A4" w:rsidR="00543937" w:rsidRDefault="00543937">
          <w:pPr>
            <w:pStyle w:val="TOC3"/>
            <w:tabs>
              <w:tab w:val="right" w:leader="dot" w:pos="9968"/>
            </w:tabs>
            <w:rPr>
              <w:noProof/>
              <w:szCs w:val="22"/>
              <w:lang w:eastAsia="en-AU"/>
            </w:rPr>
          </w:pPr>
          <w:hyperlink w:anchor="_Toc200111143" w:history="1">
            <w:r w:rsidRPr="0053450A">
              <w:rPr>
                <w:rStyle w:val="Hyperlink"/>
                <w:noProof/>
              </w:rPr>
              <w:t>Competition in Clearing and Settlement in Cash Equities</w:t>
            </w:r>
            <w:r>
              <w:rPr>
                <w:noProof/>
                <w:webHidden/>
              </w:rPr>
              <w:tab/>
            </w:r>
            <w:r>
              <w:rPr>
                <w:noProof/>
                <w:webHidden/>
              </w:rPr>
              <w:fldChar w:fldCharType="begin"/>
            </w:r>
            <w:r>
              <w:rPr>
                <w:noProof/>
                <w:webHidden/>
              </w:rPr>
              <w:instrText xml:space="preserve"> PAGEREF _Toc200111143 \h </w:instrText>
            </w:r>
            <w:r>
              <w:rPr>
                <w:noProof/>
                <w:webHidden/>
              </w:rPr>
            </w:r>
            <w:r>
              <w:rPr>
                <w:noProof/>
                <w:webHidden/>
              </w:rPr>
              <w:fldChar w:fldCharType="separate"/>
            </w:r>
            <w:r>
              <w:rPr>
                <w:noProof/>
                <w:webHidden/>
              </w:rPr>
              <w:t>33</w:t>
            </w:r>
            <w:r>
              <w:rPr>
                <w:noProof/>
                <w:webHidden/>
              </w:rPr>
              <w:fldChar w:fldCharType="end"/>
            </w:r>
          </w:hyperlink>
        </w:p>
        <w:p w14:paraId="67AFC165" w14:textId="00428584" w:rsidR="00543937" w:rsidRDefault="00543937">
          <w:pPr>
            <w:pStyle w:val="TOC3"/>
            <w:tabs>
              <w:tab w:val="right" w:leader="dot" w:pos="9968"/>
            </w:tabs>
            <w:rPr>
              <w:noProof/>
              <w:szCs w:val="22"/>
              <w:lang w:eastAsia="en-AU"/>
            </w:rPr>
          </w:pPr>
          <w:hyperlink w:anchor="_Toc200111144" w:history="1">
            <w:r w:rsidRPr="0053450A">
              <w:rPr>
                <w:rStyle w:val="Hyperlink"/>
                <w:noProof/>
              </w:rPr>
              <w:t>Future Directions of the Consumer Data Right</w:t>
            </w:r>
            <w:r>
              <w:rPr>
                <w:noProof/>
                <w:webHidden/>
              </w:rPr>
              <w:tab/>
            </w:r>
            <w:r>
              <w:rPr>
                <w:noProof/>
                <w:webHidden/>
              </w:rPr>
              <w:fldChar w:fldCharType="begin"/>
            </w:r>
            <w:r>
              <w:rPr>
                <w:noProof/>
                <w:webHidden/>
              </w:rPr>
              <w:instrText xml:space="preserve"> PAGEREF _Toc200111144 \h </w:instrText>
            </w:r>
            <w:r>
              <w:rPr>
                <w:noProof/>
                <w:webHidden/>
              </w:rPr>
            </w:r>
            <w:r>
              <w:rPr>
                <w:noProof/>
                <w:webHidden/>
              </w:rPr>
              <w:fldChar w:fldCharType="separate"/>
            </w:r>
            <w:r>
              <w:rPr>
                <w:noProof/>
                <w:webHidden/>
              </w:rPr>
              <w:t>34</w:t>
            </w:r>
            <w:r>
              <w:rPr>
                <w:noProof/>
                <w:webHidden/>
              </w:rPr>
              <w:fldChar w:fldCharType="end"/>
            </w:r>
          </w:hyperlink>
        </w:p>
        <w:p w14:paraId="5C9B23F2" w14:textId="1E699154" w:rsidR="00543937" w:rsidRDefault="00543937">
          <w:pPr>
            <w:pStyle w:val="TOC3"/>
            <w:tabs>
              <w:tab w:val="right" w:leader="dot" w:pos="9968"/>
            </w:tabs>
            <w:rPr>
              <w:noProof/>
              <w:szCs w:val="22"/>
              <w:lang w:eastAsia="en-AU"/>
            </w:rPr>
          </w:pPr>
          <w:hyperlink w:anchor="_Toc200111145" w:history="1">
            <w:r w:rsidRPr="0053450A">
              <w:rPr>
                <w:rStyle w:val="Hyperlink"/>
                <w:noProof/>
              </w:rPr>
              <w:t>Reducing tax concessions on superannuation balances exceeding $3 million</w:t>
            </w:r>
            <w:r>
              <w:rPr>
                <w:noProof/>
                <w:webHidden/>
              </w:rPr>
              <w:tab/>
            </w:r>
            <w:r>
              <w:rPr>
                <w:noProof/>
                <w:webHidden/>
              </w:rPr>
              <w:fldChar w:fldCharType="begin"/>
            </w:r>
            <w:r>
              <w:rPr>
                <w:noProof/>
                <w:webHidden/>
              </w:rPr>
              <w:instrText xml:space="preserve"> PAGEREF _Toc200111145 \h </w:instrText>
            </w:r>
            <w:r>
              <w:rPr>
                <w:noProof/>
                <w:webHidden/>
              </w:rPr>
            </w:r>
            <w:r>
              <w:rPr>
                <w:noProof/>
                <w:webHidden/>
              </w:rPr>
              <w:fldChar w:fldCharType="separate"/>
            </w:r>
            <w:r>
              <w:rPr>
                <w:noProof/>
                <w:webHidden/>
              </w:rPr>
              <w:t>34</w:t>
            </w:r>
            <w:r>
              <w:rPr>
                <w:noProof/>
                <w:webHidden/>
              </w:rPr>
              <w:fldChar w:fldCharType="end"/>
            </w:r>
          </w:hyperlink>
        </w:p>
        <w:p w14:paraId="46BED61A" w14:textId="06829CB7" w:rsidR="00543937" w:rsidRDefault="00543937">
          <w:pPr>
            <w:pStyle w:val="TOC3"/>
            <w:tabs>
              <w:tab w:val="right" w:leader="dot" w:pos="9968"/>
            </w:tabs>
            <w:rPr>
              <w:noProof/>
              <w:szCs w:val="22"/>
              <w:lang w:eastAsia="en-AU"/>
            </w:rPr>
          </w:pPr>
          <w:hyperlink w:anchor="_Toc200111146" w:history="1">
            <w:r w:rsidRPr="0053450A">
              <w:rPr>
                <w:rStyle w:val="Hyperlink"/>
                <w:noProof/>
              </w:rPr>
              <w:t>Unpaid Superannuation Guarantee Package</w:t>
            </w:r>
            <w:r>
              <w:rPr>
                <w:noProof/>
                <w:webHidden/>
              </w:rPr>
              <w:tab/>
            </w:r>
            <w:r>
              <w:rPr>
                <w:noProof/>
                <w:webHidden/>
              </w:rPr>
              <w:fldChar w:fldCharType="begin"/>
            </w:r>
            <w:r>
              <w:rPr>
                <w:noProof/>
                <w:webHidden/>
              </w:rPr>
              <w:instrText xml:space="preserve"> PAGEREF _Toc200111146 \h </w:instrText>
            </w:r>
            <w:r>
              <w:rPr>
                <w:noProof/>
                <w:webHidden/>
              </w:rPr>
            </w:r>
            <w:r>
              <w:rPr>
                <w:noProof/>
                <w:webHidden/>
              </w:rPr>
              <w:fldChar w:fldCharType="separate"/>
            </w:r>
            <w:r>
              <w:rPr>
                <w:noProof/>
                <w:webHidden/>
              </w:rPr>
              <w:t>35</w:t>
            </w:r>
            <w:r>
              <w:rPr>
                <w:noProof/>
                <w:webHidden/>
              </w:rPr>
              <w:fldChar w:fldCharType="end"/>
            </w:r>
          </w:hyperlink>
        </w:p>
        <w:p w14:paraId="22287F76" w14:textId="24C27C29" w:rsidR="00543937" w:rsidRDefault="00543937">
          <w:pPr>
            <w:pStyle w:val="TOC3"/>
            <w:tabs>
              <w:tab w:val="right" w:leader="dot" w:pos="9968"/>
            </w:tabs>
            <w:rPr>
              <w:noProof/>
              <w:szCs w:val="22"/>
              <w:lang w:eastAsia="en-AU"/>
            </w:rPr>
          </w:pPr>
          <w:hyperlink w:anchor="_Toc200111147" w:history="1">
            <w:r w:rsidRPr="0053450A">
              <w:rPr>
                <w:rStyle w:val="Hyperlink"/>
                <w:noProof/>
              </w:rPr>
              <w:t>Two-Pillar Solution: addressing the tax challenges arising from the digitalisation of the economy</w:t>
            </w:r>
            <w:r>
              <w:rPr>
                <w:noProof/>
                <w:webHidden/>
              </w:rPr>
              <w:tab/>
            </w:r>
            <w:r>
              <w:rPr>
                <w:noProof/>
                <w:webHidden/>
              </w:rPr>
              <w:fldChar w:fldCharType="begin"/>
            </w:r>
            <w:r>
              <w:rPr>
                <w:noProof/>
                <w:webHidden/>
              </w:rPr>
              <w:instrText xml:space="preserve"> PAGEREF _Toc200111147 \h </w:instrText>
            </w:r>
            <w:r>
              <w:rPr>
                <w:noProof/>
                <w:webHidden/>
              </w:rPr>
            </w:r>
            <w:r>
              <w:rPr>
                <w:noProof/>
                <w:webHidden/>
              </w:rPr>
              <w:fldChar w:fldCharType="separate"/>
            </w:r>
            <w:r>
              <w:rPr>
                <w:noProof/>
                <w:webHidden/>
              </w:rPr>
              <w:t>35</w:t>
            </w:r>
            <w:r>
              <w:rPr>
                <w:noProof/>
                <w:webHidden/>
              </w:rPr>
              <w:fldChar w:fldCharType="end"/>
            </w:r>
          </w:hyperlink>
        </w:p>
        <w:p w14:paraId="06AE8772" w14:textId="4F8CB135" w:rsidR="00543937" w:rsidRDefault="00543937">
          <w:pPr>
            <w:pStyle w:val="TOC3"/>
            <w:tabs>
              <w:tab w:val="right" w:leader="dot" w:pos="9968"/>
            </w:tabs>
            <w:rPr>
              <w:noProof/>
              <w:szCs w:val="22"/>
              <w:lang w:eastAsia="en-AU"/>
            </w:rPr>
          </w:pPr>
          <w:hyperlink w:anchor="_Toc200111148" w:history="1">
            <w:r w:rsidRPr="0053450A">
              <w:rPr>
                <w:rStyle w:val="Hyperlink"/>
                <w:noProof/>
              </w:rPr>
              <w:t>Buy Now Pay Later Credit Products</w:t>
            </w:r>
            <w:r>
              <w:rPr>
                <w:noProof/>
                <w:webHidden/>
              </w:rPr>
              <w:tab/>
            </w:r>
            <w:r>
              <w:rPr>
                <w:noProof/>
                <w:webHidden/>
              </w:rPr>
              <w:fldChar w:fldCharType="begin"/>
            </w:r>
            <w:r>
              <w:rPr>
                <w:noProof/>
                <w:webHidden/>
              </w:rPr>
              <w:instrText xml:space="preserve"> PAGEREF _Toc200111148 \h </w:instrText>
            </w:r>
            <w:r>
              <w:rPr>
                <w:noProof/>
                <w:webHidden/>
              </w:rPr>
            </w:r>
            <w:r>
              <w:rPr>
                <w:noProof/>
                <w:webHidden/>
              </w:rPr>
              <w:fldChar w:fldCharType="separate"/>
            </w:r>
            <w:r>
              <w:rPr>
                <w:noProof/>
                <w:webHidden/>
              </w:rPr>
              <w:t>36</w:t>
            </w:r>
            <w:r>
              <w:rPr>
                <w:noProof/>
                <w:webHidden/>
              </w:rPr>
              <w:fldChar w:fldCharType="end"/>
            </w:r>
          </w:hyperlink>
        </w:p>
        <w:p w14:paraId="708ECF04" w14:textId="352417DA" w:rsidR="00543937" w:rsidRDefault="00543937">
          <w:pPr>
            <w:pStyle w:val="TOC3"/>
            <w:tabs>
              <w:tab w:val="right" w:leader="dot" w:pos="9968"/>
            </w:tabs>
            <w:rPr>
              <w:noProof/>
              <w:szCs w:val="22"/>
              <w:lang w:eastAsia="en-AU"/>
            </w:rPr>
          </w:pPr>
          <w:hyperlink w:anchor="_Toc200111149" w:history="1">
            <w:r w:rsidRPr="0053450A">
              <w:rPr>
                <w:rStyle w:val="Hyperlink"/>
                <w:noProof/>
              </w:rPr>
              <w:t>Financial adviser education standards</w:t>
            </w:r>
            <w:r>
              <w:rPr>
                <w:noProof/>
                <w:webHidden/>
              </w:rPr>
              <w:tab/>
            </w:r>
            <w:r>
              <w:rPr>
                <w:noProof/>
                <w:webHidden/>
              </w:rPr>
              <w:fldChar w:fldCharType="begin"/>
            </w:r>
            <w:r>
              <w:rPr>
                <w:noProof/>
                <w:webHidden/>
              </w:rPr>
              <w:instrText xml:space="preserve"> PAGEREF _Toc200111149 \h </w:instrText>
            </w:r>
            <w:r>
              <w:rPr>
                <w:noProof/>
                <w:webHidden/>
              </w:rPr>
            </w:r>
            <w:r>
              <w:rPr>
                <w:noProof/>
                <w:webHidden/>
              </w:rPr>
              <w:fldChar w:fldCharType="separate"/>
            </w:r>
            <w:r>
              <w:rPr>
                <w:noProof/>
                <w:webHidden/>
              </w:rPr>
              <w:t>37</w:t>
            </w:r>
            <w:r>
              <w:rPr>
                <w:noProof/>
                <w:webHidden/>
              </w:rPr>
              <w:fldChar w:fldCharType="end"/>
            </w:r>
          </w:hyperlink>
        </w:p>
        <w:p w14:paraId="31A8CBE8" w14:textId="10F601FE" w:rsidR="00543937" w:rsidRDefault="00543937">
          <w:pPr>
            <w:pStyle w:val="TOC1"/>
            <w:tabs>
              <w:tab w:val="right" w:leader="dot" w:pos="9968"/>
            </w:tabs>
            <w:rPr>
              <w:noProof/>
              <w:szCs w:val="22"/>
              <w:lang w:eastAsia="en-AU"/>
            </w:rPr>
          </w:pPr>
          <w:hyperlink w:anchor="_Toc200111150" w:history="1">
            <w:r w:rsidRPr="0053450A">
              <w:rPr>
                <w:rStyle w:val="Hyperlink"/>
                <w:noProof/>
              </w:rPr>
              <w:t>Appendix A: IAs used for consultation, 2022-23</w:t>
            </w:r>
            <w:r>
              <w:rPr>
                <w:noProof/>
                <w:webHidden/>
              </w:rPr>
              <w:tab/>
            </w:r>
            <w:r>
              <w:rPr>
                <w:noProof/>
                <w:webHidden/>
              </w:rPr>
              <w:fldChar w:fldCharType="begin"/>
            </w:r>
            <w:r>
              <w:rPr>
                <w:noProof/>
                <w:webHidden/>
              </w:rPr>
              <w:instrText xml:space="preserve"> PAGEREF _Toc200111150 \h </w:instrText>
            </w:r>
            <w:r>
              <w:rPr>
                <w:noProof/>
                <w:webHidden/>
              </w:rPr>
            </w:r>
            <w:r>
              <w:rPr>
                <w:noProof/>
                <w:webHidden/>
              </w:rPr>
              <w:fldChar w:fldCharType="separate"/>
            </w:r>
            <w:r>
              <w:rPr>
                <w:noProof/>
                <w:webHidden/>
              </w:rPr>
              <w:t>38</w:t>
            </w:r>
            <w:r>
              <w:rPr>
                <w:noProof/>
                <w:webHidden/>
              </w:rPr>
              <w:fldChar w:fldCharType="end"/>
            </w:r>
          </w:hyperlink>
        </w:p>
        <w:p w14:paraId="33A35C13" w14:textId="7D6CAC6A" w:rsidR="00543937" w:rsidRDefault="00543937">
          <w:pPr>
            <w:pStyle w:val="TOC2"/>
            <w:tabs>
              <w:tab w:val="right" w:leader="dot" w:pos="9968"/>
            </w:tabs>
            <w:rPr>
              <w:noProof/>
              <w:szCs w:val="22"/>
              <w:lang w:eastAsia="en-AU"/>
            </w:rPr>
          </w:pPr>
          <w:hyperlink w:anchor="_Toc200111151" w:history="1">
            <w:r w:rsidRPr="0053450A">
              <w:rPr>
                <w:rStyle w:val="Hyperlink"/>
                <w:noProof/>
              </w:rPr>
              <w:t>Australian Competition and Consumer Commission</w:t>
            </w:r>
            <w:r>
              <w:rPr>
                <w:noProof/>
                <w:webHidden/>
              </w:rPr>
              <w:tab/>
            </w:r>
            <w:r>
              <w:rPr>
                <w:noProof/>
                <w:webHidden/>
              </w:rPr>
              <w:fldChar w:fldCharType="begin"/>
            </w:r>
            <w:r>
              <w:rPr>
                <w:noProof/>
                <w:webHidden/>
              </w:rPr>
              <w:instrText xml:space="preserve"> PAGEREF _Toc200111151 \h </w:instrText>
            </w:r>
            <w:r>
              <w:rPr>
                <w:noProof/>
                <w:webHidden/>
              </w:rPr>
            </w:r>
            <w:r>
              <w:rPr>
                <w:noProof/>
                <w:webHidden/>
              </w:rPr>
              <w:fldChar w:fldCharType="separate"/>
            </w:r>
            <w:r>
              <w:rPr>
                <w:noProof/>
                <w:webHidden/>
              </w:rPr>
              <w:t>38</w:t>
            </w:r>
            <w:r>
              <w:rPr>
                <w:noProof/>
                <w:webHidden/>
              </w:rPr>
              <w:fldChar w:fldCharType="end"/>
            </w:r>
          </w:hyperlink>
        </w:p>
        <w:p w14:paraId="1D1001BF" w14:textId="626042D2" w:rsidR="00543937" w:rsidRDefault="00543937">
          <w:pPr>
            <w:pStyle w:val="TOC2"/>
            <w:tabs>
              <w:tab w:val="right" w:leader="dot" w:pos="9968"/>
            </w:tabs>
            <w:rPr>
              <w:noProof/>
              <w:szCs w:val="22"/>
              <w:lang w:eastAsia="en-AU"/>
            </w:rPr>
          </w:pPr>
          <w:hyperlink w:anchor="_Toc200111152" w:history="1">
            <w:r w:rsidRPr="0053450A">
              <w:rPr>
                <w:rStyle w:val="Hyperlink"/>
                <w:noProof/>
              </w:rPr>
              <w:t>Early Assessment IA - Infant Inclined Products and Infant Sleep Products</w:t>
            </w:r>
            <w:r>
              <w:rPr>
                <w:noProof/>
                <w:webHidden/>
              </w:rPr>
              <w:tab/>
            </w:r>
            <w:r>
              <w:rPr>
                <w:noProof/>
                <w:webHidden/>
              </w:rPr>
              <w:fldChar w:fldCharType="begin"/>
            </w:r>
            <w:r>
              <w:rPr>
                <w:noProof/>
                <w:webHidden/>
              </w:rPr>
              <w:instrText xml:space="preserve"> PAGEREF _Toc200111152 \h </w:instrText>
            </w:r>
            <w:r>
              <w:rPr>
                <w:noProof/>
                <w:webHidden/>
              </w:rPr>
            </w:r>
            <w:r>
              <w:rPr>
                <w:noProof/>
                <w:webHidden/>
              </w:rPr>
              <w:fldChar w:fldCharType="separate"/>
            </w:r>
            <w:r>
              <w:rPr>
                <w:noProof/>
                <w:webHidden/>
              </w:rPr>
              <w:t>38</w:t>
            </w:r>
            <w:r>
              <w:rPr>
                <w:noProof/>
                <w:webHidden/>
              </w:rPr>
              <w:fldChar w:fldCharType="end"/>
            </w:r>
          </w:hyperlink>
        </w:p>
        <w:p w14:paraId="0A1FC2BF" w14:textId="745E8888" w:rsidR="00543937" w:rsidRDefault="00543937">
          <w:pPr>
            <w:pStyle w:val="TOC2"/>
            <w:tabs>
              <w:tab w:val="right" w:leader="dot" w:pos="9968"/>
            </w:tabs>
            <w:rPr>
              <w:noProof/>
              <w:szCs w:val="22"/>
              <w:lang w:eastAsia="en-AU"/>
            </w:rPr>
          </w:pPr>
          <w:hyperlink w:anchor="_Toc200111153" w:history="1">
            <w:r w:rsidRPr="0053450A">
              <w:rPr>
                <w:rStyle w:val="Hyperlink"/>
                <w:noProof/>
              </w:rPr>
              <w:t>Department of Defence</w:t>
            </w:r>
            <w:r>
              <w:rPr>
                <w:noProof/>
                <w:webHidden/>
              </w:rPr>
              <w:tab/>
            </w:r>
            <w:r>
              <w:rPr>
                <w:noProof/>
                <w:webHidden/>
              </w:rPr>
              <w:fldChar w:fldCharType="begin"/>
            </w:r>
            <w:r>
              <w:rPr>
                <w:noProof/>
                <w:webHidden/>
              </w:rPr>
              <w:instrText xml:space="preserve"> PAGEREF _Toc200111153 \h </w:instrText>
            </w:r>
            <w:r>
              <w:rPr>
                <w:noProof/>
                <w:webHidden/>
              </w:rPr>
            </w:r>
            <w:r>
              <w:rPr>
                <w:noProof/>
                <w:webHidden/>
              </w:rPr>
              <w:fldChar w:fldCharType="separate"/>
            </w:r>
            <w:r>
              <w:rPr>
                <w:noProof/>
                <w:webHidden/>
              </w:rPr>
              <w:t>38</w:t>
            </w:r>
            <w:r>
              <w:rPr>
                <w:noProof/>
                <w:webHidden/>
              </w:rPr>
              <w:fldChar w:fldCharType="end"/>
            </w:r>
          </w:hyperlink>
        </w:p>
        <w:p w14:paraId="7F7EE25D" w14:textId="7165B0AB" w:rsidR="00543937" w:rsidRDefault="00543937">
          <w:pPr>
            <w:pStyle w:val="TOC3"/>
            <w:tabs>
              <w:tab w:val="right" w:leader="dot" w:pos="9968"/>
            </w:tabs>
            <w:rPr>
              <w:noProof/>
              <w:szCs w:val="22"/>
              <w:lang w:eastAsia="en-AU"/>
            </w:rPr>
          </w:pPr>
          <w:hyperlink w:anchor="_Toc200111154" w:history="1">
            <w:r w:rsidRPr="0053450A">
              <w:rPr>
                <w:rStyle w:val="Hyperlink"/>
                <w:noProof/>
              </w:rPr>
              <w:t>Early Assessment IA - Regulation of Commonwealth Explosives</w:t>
            </w:r>
            <w:r>
              <w:rPr>
                <w:noProof/>
                <w:webHidden/>
              </w:rPr>
              <w:tab/>
            </w:r>
            <w:r>
              <w:rPr>
                <w:noProof/>
                <w:webHidden/>
              </w:rPr>
              <w:fldChar w:fldCharType="begin"/>
            </w:r>
            <w:r>
              <w:rPr>
                <w:noProof/>
                <w:webHidden/>
              </w:rPr>
              <w:instrText xml:space="preserve"> PAGEREF _Toc200111154 \h </w:instrText>
            </w:r>
            <w:r>
              <w:rPr>
                <w:noProof/>
                <w:webHidden/>
              </w:rPr>
            </w:r>
            <w:r>
              <w:rPr>
                <w:noProof/>
                <w:webHidden/>
              </w:rPr>
              <w:fldChar w:fldCharType="separate"/>
            </w:r>
            <w:r>
              <w:rPr>
                <w:noProof/>
                <w:webHidden/>
              </w:rPr>
              <w:t>38</w:t>
            </w:r>
            <w:r>
              <w:rPr>
                <w:noProof/>
                <w:webHidden/>
              </w:rPr>
              <w:fldChar w:fldCharType="end"/>
            </w:r>
          </w:hyperlink>
        </w:p>
        <w:p w14:paraId="77A70C0E" w14:textId="4B4E337A" w:rsidR="00D10635" w:rsidRDefault="00117A77" w:rsidP="00E2753F">
          <w:pPr>
            <w:rPr>
              <w:b/>
              <w:bCs/>
              <w:noProof/>
            </w:rPr>
          </w:pPr>
          <w:r>
            <w:rPr>
              <w:b/>
              <w:bCs/>
              <w:noProof/>
            </w:rPr>
            <w:fldChar w:fldCharType="end"/>
          </w:r>
        </w:p>
      </w:sdtContent>
    </w:sdt>
    <w:p w14:paraId="4D826CC0" w14:textId="0703EDA1" w:rsidR="009B464B" w:rsidRDefault="009B464B" w:rsidP="00BE4A4B">
      <w:pPr>
        <w:pStyle w:val="Heading1"/>
        <w:spacing w:before="0" w:after="0"/>
        <w:rPr>
          <w:noProof/>
        </w:rPr>
      </w:pPr>
    </w:p>
    <w:p w14:paraId="3CBFF5F5" w14:textId="2257BC84" w:rsidR="009B464B" w:rsidRDefault="009B464B" w:rsidP="009B464B"/>
    <w:p w14:paraId="1AE7E2B5" w14:textId="4D4247B0" w:rsidR="00EA6FFE" w:rsidRDefault="00EA6FFE" w:rsidP="009B464B"/>
    <w:p w14:paraId="0D6F060A" w14:textId="77777777" w:rsidR="00A16215" w:rsidRDefault="00A16215">
      <w:pPr>
        <w:spacing w:after="200"/>
        <w:rPr>
          <w:rFonts w:asciiTheme="majorHAnsi" w:eastAsiaTheme="majorEastAsia" w:hAnsiTheme="majorHAnsi" w:cstheme="majorBidi"/>
          <w:noProof/>
          <w:color w:val="192D56" w:themeColor="accent1"/>
          <w:sz w:val="40"/>
          <w:szCs w:val="40"/>
        </w:rPr>
      </w:pPr>
      <w:bookmarkStart w:id="1" w:name="_Toc122424398"/>
      <w:r>
        <w:rPr>
          <w:noProof/>
        </w:rPr>
        <w:br w:type="page"/>
      </w:r>
    </w:p>
    <w:p w14:paraId="5E867B0E" w14:textId="243E8487" w:rsidR="00774646" w:rsidRDefault="00EE0074" w:rsidP="00BE4A4B">
      <w:pPr>
        <w:pStyle w:val="Heading1"/>
        <w:spacing w:before="0" w:after="0"/>
        <w:rPr>
          <w:noProof/>
        </w:rPr>
      </w:pPr>
      <w:bookmarkStart w:id="2" w:name="_Toc200111063"/>
      <w:r>
        <w:rPr>
          <w:noProof/>
        </w:rPr>
        <w:lastRenderedPageBreak/>
        <w:t>Summary of compliance</w:t>
      </w:r>
      <w:bookmarkEnd w:id="1"/>
      <w:bookmarkEnd w:id="2"/>
    </w:p>
    <w:p w14:paraId="682BBF98" w14:textId="77777777" w:rsidR="00AC134E" w:rsidRPr="00774646" w:rsidRDefault="00057A02" w:rsidP="000551F4">
      <w:pPr>
        <w:pStyle w:val="Figure"/>
        <w:ind w:left="0" w:firstLine="0"/>
        <w:jc w:val="both"/>
      </w:pPr>
      <w:r>
        <w:t>Summary of compliance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Summary of compliance"/>
        <w:tblDescription w:val="Summary of compliance"/>
      </w:tblPr>
      <w:tblGrid>
        <w:gridCol w:w="1993"/>
        <w:gridCol w:w="1993"/>
        <w:gridCol w:w="1994"/>
        <w:gridCol w:w="1994"/>
        <w:gridCol w:w="1994"/>
      </w:tblGrid>
      <w:tr w:rsidR="007F69F4" w14:paraId="389A58D3" w14:textId="77777777" w:rsidTr="48D54834">
        <w:trPr>
          <w:cnfStyle w:val="100000000000" w:firstRow="1" w:lastRow="0" w:firstColumn="0" w:lastColumn="0" w:oddVBand="0" w:evenVBand="0" w:oddHBand="0" w:evenHBand="0" w:firstRowFirstColumn="0" w:firstRowLastColumn="0" w:lastRowFirstColumn="0" w:lastRowLastColumn="0"/>
          <w:trHeight w:val="20"/>
          <w:tblHeader/>
        </w:trPr>
        <w:tc>
          <w:tcPr>
            <w:tcW w:w="1000" w:type="pct"/>
            <w:vAlign w:val="center"/>
          </w:tcPr>
          <w:p w14:paraId="71621F8E" w14:textId="77777777" w:rsidR="007F69F4" w:rsidRPr="007F69F4" w:rsidRDefault="007F69F4" w:rsidP="007F69F4">
            <w:pPr>
              <w:pStyle w:val="TBLHeading"/>
              <w:rPr>
                <w:b/>
              </w:rPr>
            </w:pPr>
            <w:r w:rsidRPr="007F69F4">
              <w:rPr>
                <w:b/>
              </w:rPr>
              <w:t>Type</w:t>
            </w:r>
          </w:p>
        </w:tc>
        <w:tc>
          <w:tcPr>
            <w:tcW w:w="1000" w:type="pct"/>
            <w:vAlign w:val="center"/>
          </w:tcPr>
          <w:p w14:paraId="5C6175A8" w14:textId="77777777" w:rsidR="007F69F4" w:rsidRPr="007F69F4" w:rsidRDefault="007F69F4" w:rsidP="007F69F4">
            <w:pPr>
              <w:pStyle w:val="TBLHeading"/>
              <w:rPr>
                <w:b/>
              </w:rPr>
            </w:pPr>
            <w:r w:rsidRPr="007F69F4">
              <w:rPr>
                <w:b/>
              </w:rPr>
              <w:t xml:space="preserve">2021-22 </w:t>
            </w:r>
          </w:p>
          <w:p w14:paraId="21EB9D9A" w14:textId="77777777" w:rsidR="007F69F4" w:rsidRPr="007F69F4" w:rsidRDefault="007F69F4" w:rsidP="00782281">
            <w:pPr>
              <w:pStyle w:val="TBLHeading"/>
              <w:rPr>
                <w:b/>
              </w:rPr>
            </w:pPr>
            <w:r w:rsidRPr="007F69F4">
              <w:rPr>
                <w:b/>
              </w:rPr>
              <w:t xml:space="preserve">(as at </w:t>
            </w:r>
            <w:r w:rsidR="00782281">
              <w:rPr>
                <w:b/>
              </w:rPr>
              <w:t>1</w:t>
            </w:r>
            <w:r w:rsidRPr="007F69F4">
              <w:rPr>
                <w:b/>
              </w:rPr>
              <w:t xml:space="preserve"> Ju</w:t>
            </w:r>
            <w:r w:rsidR="00782281">
              <w:rPr>
                <w:b/>
              </w:rPr>
              <w:t>ly</w:t>
            </w:r>
            <w:r w:rsidRPr="007F69F4">
              <w:rPr>
                <w:b/>
              </w:rPr>
              <w:t xml:space="preserve"> 2022)</w:t>
            </w:r>
          </w:p>
        </w:tc>
        <w:tc>
          <w:tcPr>
            <w:tcW w:w="1000" w:type="pct"/>
            <w:vAlign w:val="center"/>
          </w:tcPr>
          <w:p w14:paraId="6709E22D" w14:textId="77777777" w:rsidR="007F69F4" w:rsidRPr="007F69F4" w:rsidRDefault="007F69F4" w:rsidP="007F69F4">
            <w:pPr>
              <w:pStyle w:val="TBLHeading"/>
              <w:rPr>
                <w:b/>
              </w:rPr>
            </w:pPr>
            <w:r w:rsidRPr="007F69F4">
              <w:rPr>
                <w:b/>
              </w:rPr>
              <w:t>%</w:t>
            </w:r>
          </w:p>
        </w:tc>
        <w:tc>
          <w:tcPr>
            <w:tcW w:w="1000" w:type="pct"/>
          </w:tcPr>
          <w:p w14:paraId="0136D243" w14:textId="77777777" w:rsidR="007F69F4" w:rsidRPr="007F69F4" w:rsidRDefault="00032075" w:rsidP="007F69F4">
            <w:pPr>
              <w:pStyle w:val="TBLHeading"/>
              <w:rPr>
                <w:b/>
              </w:rPr>
            </w:pPr>
            <w:r>
              <w:rPr>
                <w:b/>
              </w:rPr>
              <w:t>2022</w:t>
            </w:r>
            <w:r w:rsidR="007F69F4" w:rsidRPr="007F69F4">
              <w:rPr>
                <w:b/>
              </w:rPr>
              <w:t>-23</w:t>
            </w:r>
          </w:p>
          <w:p w14:paraId="2F2CF5C2" w14:textId="46C02F88" w:rsidR="007F69F4" w:rsidRPr="007F69F4" w:rsidRDefault="007F69F4" w:rsidP="00C627E9">
            <w:pPr>
              <w:pStyle w:val="TBLHeading"/>
              <w:rPr>
                <w:b/>
              </w:rPr>
            </w:pPr>
            <w:r w:rsidRPr="007F69F4">
              <w:rPr>
                <w:b/>
              </w:rPr>
              <w:t xml:space="preserve">(as </w:t>
            </w:r>
            <w:r w:rsidRPr="009A097F">
              <w:rPr>
                <w:b/>
              </w:rPr>
              <w:t>at</w:t>
            </w:r>
            <w:r w:rsidR="00586FEC" w:rsidRPr="009A097F">
              <w:rPr>
                <w:b/>
              </w:rPr>
              <w:t xml:space="preserve"> </w:t>
            </w:r>
            <w:r w:rsidR="00C627E9">
              <w:rPr>
                <w:b/>
              </w:rPr>
              <w:t>30</w:t>
            </w:r>
            <w:r w:rsidRPr="009A097F">
              <w:rPr>
                <w:b/>
              </w:rPr>
              <w:t xml:space="preserve"> </w:t>
            </w:r>
            <w:r w:rsidR="00C627E9">
              <w:rPr>
                <w:b/>
              </w:rPr>
              <w:t>June</w:t>
            </w:r>
            <w:r w:rsidRPr="009A097F">
              <w:rPr>
                <w:b/>
              </w:rPr>
              <w:t xml:space="preserve"> 202</w:t>
            </w:r>
            <w:r w:rsidR="007E3B9E" w:rsidRPr="009A097F">
              <w:rPr>
                <w:b/>
              </w:rPr>
              <w:t>3</w:t>
            </w:r>
            <w:r w:rsidRPr="007F69F4">
              <w:rPr>
                <w:b/>
              </w:rPr>
              <w:t>)</w:t>
            </w:r>
          </w:p>
        </w:tc>
        <w:tc>
          <w:tcPr>
            <w:tcW w:w="1000" w:type="pct"/>
          </w:tcPr>
          <w:p w14:paraId="6ADCEDC4" w14:textId="77777777" w:rsidR="007F69F4" w:rsidRPr="007F69F4" w:rsidRDefault="007F69F4" w:rsidP="007F69F4">
            <w:pPr>
              <w:pStyle w:val="TBLHeading"/>
              <w:rPr>
                <w:b/>
              </w:rPr>
            </w:pPr>
            <w:r w:rsidRPr="007F69F4">
              <w:rPr>
                <w:b/>
              </w:rPr>
              <w:t>%</w:t>
            </w:r>
          </w:p>
        </w:tc>
      </w:tr>
      <w:tr w:rsidR="007F69F4" w14:paraId="204E0AC1" w14:textId="77777777" w:rsidTr="48D54834">
        <w:trPr>
          <w:trHeight w:val="20"/>
        </w:trPr>
        <w:tc>
          <w:tcPr>
            <w:tcW w:w="1000" w:type="pct"/>
            <w:shd w:val="clear" w:color="auto" w:fill="E0E8F2" w:themeFill="background2"/>
            <w:vAlign w:val="center"/>
          </w:tcPr>
          <w:p w14:paraId="144E6601" w14:textId="77777777" w:rsidR="007F69F4" w:rsidRPr="00C438FB" w:rsidRDefault="007F69F4" w:rsidP="00C438FB">
            <w:pPr>
              <w:pStyle w:val="TBLText"/>
            </w:pPr>
            <w:r w:rsidRPr="00C438FB">
              <w:t>Not compliant / Insufficient</w:t>
            </w:r>
          </w:p>
        </w:tc>
        <w:tc>
          <w:tcPr>
            <w:tcW w:w="1000" w:type="pct"/>
            <w:shd w:val="clear" w:color="auto" w:fill="E0E8F2" w:themeFill="background2"/>
            <w:vAlign w:val="center"/>
          </w:tcPr>
          <w:p w14:paraId="1EABF58E" w14:textId="77777777" w:rsidR="007F69F4" w:rsidRPr="00CC63E1" w:rsidRDefault="007F69F4" w:rsidP="00F11D75">
            <w:pPr>
              <w:pStyle w:val="TBLText"/>
            </w:pPr>
            <w:r w:rsidRPr="00CC63E1">
              <w:t>0/3</w:t>
            </w:r>
            <w:r>
              <w:t>5</w:t>
            </w:r>
          </w:p>
        </w:tc>
        <w:tc>
          <w:tcPr>
            <w:tcW w:w="1000" w:type="pct"/>
            <w:shd w:val="clear" w:color="auto" w:fill="E0E8F2" w:themeFill="background2"/>
            <w:vAlign w:val="center"/>
          </w:tcPr>
          <w:p w14:paraId="45F7FD1C" w14:textId="77777777" w:rsidR="007F69F4" w:rsidRPr="00CC63E1" w:rsidRDefault="007F69F4" w:rsidP="00C438FB">
            <w:pPr>
              <w:pStyle w:val="TBLText"/>
            </w:pPr>
            <w:r w:rsidRPr="00CC63E1">
              <w:t>0</w:t>
            </w:r>
          </w:p>
        </w:tc>
        <w:tc>
          <w:tcPr>
            <w:tcW w:w="1000" w:type="pct"/>
            <w:shd w:val="clear" w:color="auto" w:fill="E0E8F2" w:themeFill="background2"/>
            <w:vAlign w:val="center"/>
          </w:tcPr>
          <w:p w14:paraId="55B601AC" w14:textId="62130A9E" w:rsidR="007F69F4" w:rsidRPr="00112423" w:rsidRDefault="004F1812" w:rsidP="00A24692">
            <w:pPr>
              <w:pStyle w:val="TBLText"/>
            </w:pPr>
            <w:r w:rsidRPr="00112423">
              <w:t>1/</w:t>
            </w:r>
            <w:r w:rsidR="00605398">
              <w:t>3</w:t>
            </w:r>
            <w:r w:rsidR="00A24692">
              <w:t>1</w:t>
            </w:r>
          </w:p>
        </w:tc>
        <w:tc>
          <w:tcPr>
            <w:tcW w:w="1000" w:type="pct"/>
            <w:shd w:val="clear" w:color="auto" w:fill="E0E8F2" w:themeFill="background2"/>
            <w:vAlign w:val="center"/>
          </w:tcPr>
          <w:p w14:paraId="426B0FE8" w14:textId="793047AC" w:rsidR="007F69F4" w:rsidRPr="00627879" w:rsidRDefault="00FC5D32" w:rsidP="000A5596">
            <w:pPr>
              <w:pStyle w:val="TBLText"/>
              <w:rPr>
                <w:highlight w:val="yellow"/>
              </w:rPr>
            </w:pPr>
            <w:r w:rsidRPr="00FC5D32">
              <w:t>3</w:t>
            </w:r>
          </w:p>
        </w:tc>
      </w:tr>
      <w:tr w:rsidR="007F69F4" w14:paraId="7C98D6E2" w14:textId="77777777" w:rsidTr="48D54834">
        <w:trPr>
          <w:trHeight w:val="20"/>
        </w:trPr>
        <w:tc>
          <w:tcPr>
            <w:tcW w:w="1000" w:type="pct"/>
            <w:shd w:val="clear" w:color="auto" w:fill="auto"/>
            <w:vAlign w:val="center"/>
          </w:tcPr>
          <w:p w14:paraId="6CFF4EED" w14:textId="77777777" w:rsidR="007F69F4" w:rsidRPr="00C438FB" w:rsidRDefault="007F69F4" w:rsidP="00C438FB">
            <w:pPr>
              <w:pStyle w:val="TBLText"/>
            </w:pPr>
            <w:r w:rsidRPr="00C438FB">
              <w:t>Adequate</w:t>
            </w:r>
          </w:p>
        </w:tc>
        <w:tc>
          <w:tcPr>
            <w:tcW w:w="1000" w:type="pct"/>
            <w:shd w:val="clear" w:color="auto" w:fill="auto"/>
            <w:vAlign w:val="center"/>
          </w:tcPr>
          <w:p w14:paraId="1983B883" w14:textId="77777777" w:rsidR="007F69F4" w:rsidRPr="00CC63E1" w:rsidRDefault="007F69F4" w:rsidP="00F11D75">
            <w:pPr>
              <w:pStyle w:val="TBLText"/>
            </w:pPr>
            <w:r w:rsidRPr="00CC63E1">
              <w:t>1</w:t>
            </w:r>
            <w:r>
              <w:t>9</w:t>
            </w:r>
            <w:r w:rsidRPr="00CC63E1">
              <w:t>/3</w:t>
            </w:r>
            <w:r>
              <w:t>5</w:t>
            </w:r>
          </w:p>
        </w:tc>
        <w:tc>
          <w:tcPr>
            <w:tcW w:w="1000" w:type="pct"/>
            <w:shd w:val="clear" w:color="auto" w:fill="auto"/>
            <w:vAlign w:val="center"/>
          </w:tcPr>
          <w:p w14:paraId="6D4A27F8" w14:textId="77777777" w:rsidR="007F69F4" w:rsidRPr="00CC63E1" w:rsidRDefault="007F69F4" w:rsidP="00F11D75">
            <w:pPr>
              <w:pStyle w:val="TBLText"/>
            </w:pPr>
            <w:r w:rsidRPr="00CC63E1">
              <w:t>5</w:t>
            </w:r>
            <w:r>
              <w:t>4</w:t>
            </w:r>
          </w:p>
        </w:tc>
        <w:tc>
          <w:tcPr>
            <w:tcW w:w="1000" w:type="pct"/>
            <w:vAlign w:val="center"/>
          </w:tcPr>
          <w:p w14:paraId="50EC3FA4" w14:textId="53DE847F" w:rsidR="007F69F4" w:rsidRPr="00112423" w:rsidRDefault="002D083D" w:rsidP="00A24692">
            <w:pPr>
              <w:pStyle w:val="TBLText"/>
            </w:pPr>
            <w:r w:rsidRPr="00112423">
              <w:t>1</w:t>
            </w:r>
            <w:r w:rsidR="00A24692">
              <w:t>8</w:t>
            </w:r>
            <w:r w:rsidR="00822D14" w:rsidRPr="00112423">
              <w:t>/</w:t>
            </w:r>
            <w:r w:rsidR="00605398">
              <w:t>3</w:t>
            </w:r>
            <w:r w:rsidR="00A24692">
              <w:t>1</w:t>
            </w:r>
          </w:p>
        </w:tc>
        <w:tc>
          <w:tcPr>
            <w:tcW w:w="1000" w:type="pct"/>
            <w:vAlign w:val="center"/>
          </w:tcPr>
          <w:p w14:paraId="12525BCF" w14:textId="23E83783" w:rsidR="007F69F4" w:rsidRPr="00627879" w:rsidRDefault="00C627E9" w:rsidP="00A24692">
            <w:pPr>
              <w:pStyle w:val="TBLText"/>
              <w:rPr>
                <w:highlight w:val="yellow"/>
              </w:rPr>
            </w:pPr>
            <w:r w:rsidRPr="00FC5D32">
              <w:t>5</w:t>
            </w:r>
            <w:r w:rsidR="00A24692">
              <w:t>8</w:t>
            </w:r>
          </w:p>
        </w:tc>
      </w:tr>
      <w:tr w:rsidR="007F69F4" w14:paraId="31F42EBC" w14:textId="77777777" w:rsidTr="48D54834">
        <w:trPr>
          <w:trHeight w:val="20"/>
        </w:trPr>
        <w:tc>
          <w:tcPr>
            <w:tcW w:w="1000" w:type="pct"/>
            <w:shd w:val="clear" w:color="auto" w:fill="E0E8F2" w:themeFill="background2"/>
            <w:vAlign w:val="center"/>
          </w:tcPr>
          <w:p w14:paraId="0E788F45" w14:textId="77777777" w:rsidR="007F69F4" w:rsidRPr="00C438FB" w:rsidRDefault="007F69F4" w:rsidP="00C438FB">
            <w:pPr>
              <w:pStyle w:val="TBLText"/>
            </w:pPr>
            <w:r w:rsidRPr="00C438FB">
              <w:t>Good Practice</w:t>
            </w:r>
          </w:p>
        </w:tc>
        <w:tc>
          <w:tcPr>
            <w:tcW w:w="1000" w:type="pct"/>
            <w:shd w:val="clear" w:color="auto" w:fill="E0E8F2" w:themeFill="background2"/>
            <w:vAlign w:val="center"/>
          </w:tcPr>
          <w:p w14:paraId="421D0496" w14:textId="77777777" w:rsidR="007F69F4" w:rsidRPr="00CC63E1" w:rsidRDefault="007F69F4" w:rsidP="00F11D75">
            <w:pPr>
              <w:pStyle w:val="TBLText"/>
            </w:pPr>
            <w:r w:rsidRPr="00CC63E1">
              <w:t>1</w:t>
            </w:r>
            <w:r>
              <w:t>6</w:t>
            </w:r>
            <w:r w:rsidRPr="00CC63E1">
              <w:t>/3</w:t>
            </w:r>
            <w:r>
              <w:t>5</w:t>
            </w:r>
          </w:p>
        </w:tc>
        <w:tc>
          <w:tcPr>
            <w:tcW w:w="1000" w:type="pct"/>
            <w:shd w:val="clear" w:color="auto" w:fill="E0E8F2" w:themeFill="background2"/>
            <w:vAlign w:val="center"/>
          </w:tcPr>
          <w:p w14:paraId="6E45C302" w14:textId="77777777" w:rsidR="007F69F4" w:rsidRPr="00CC63E1" w:rsidRDefault="007F69F4" w:rsidP="00F11D75">
            <w:pPr>
              <w:pStyle w:val="TBLText"/>
            </w:pPr>
            <w:r w:rsidRPr="00CC63E1">
              <w:t>4</w:t>
            </w:r>
            <w:r>
              <w:t>6</w:t>
            </w:r>
          </w:p>
        </w:tc>
        <w:tc>
          <w:tcPr>
            <w:tcW w:w="1000" w:type="pct"/>
            <w:shd w:val="clear" w:color="auto" w:fill="E0E8F2" w:themeFill="background2"/>
            <w:vAlign w:val="center"/>
          </w:tcPr>
          <w:p w14:paraId="05571FBD" w14:textId="49C68658" w:rsidR="007F69F4" w:rsidRPr="00112423" w:rsidRDefault="00627879" w:rsidP="00A24692">
            <w:pPr>
              <w:pStyle w:val="TBLText"/>
            </w:pPr>
            <w:r>
              <w:t>10</w:t>
            </w:r>
            <w:r w:rsidR="00DC3979" w:rsidRPr="00112423">
              <w:t>/</w:t>
            </w:r>
            <w:r w:rsidR="00605398">
              <w:t>3</w:t>
            </w:r>
            <w:r w:rsidR="00A24692">
              <w:t>1</w:t>
            </w:r>
          </w:p>
        </w:tc>
        <w:tc>
          <w:tcPr>
            <w:tcW w:w="1000" w:type="pct"/>
            <w:shd w:val="clear" w:color="auto" w:fill="E0E8F2" w:themeFill="background2"/>
            <w:vAlign w:val="center"/>
          </w:tcPr>
          <w:p w14:paraId="7A693A72" w14:textId="14FB7E82" w:rsidR="007F69F4" w:rsidRPr="00627879" w:rsidRDefault="00C627E9" w:rsidP="00A24692">
            <w:pPr>
              <w:pStyle w:val="TBLText"/>
              <w:rPr>
                <w:highlight w:val="yellow"/>
              </w:rPr>
            </w:pPr>
            <w:r w:rsidRPr="00FC5D32">
              <w:t>3</w:t>
            </w:r>
            <w:r w:rsidR="00A24692">
              <w:t>2</w:t>
            </w:r>
          </w:p>
        </w:tc>
      </w:tr>
      <w:tr w:rsidR="007F69F4" w14:paraId="2E09BB92" w14:textId="77777777" w:rsidTr="48D54834">
        <w:trPr>
          <w:trHeight w:val="20"/>
        </w:trPr>
        <w:tc>
          <w:tcPr>
            <w:tcW w:w="1000" w:type="pct"/>
            <w:shd w:val="clear" w:color="auto" w:fill="auto"/>
            <w:vAlign w:val="center"/>
          </w:tcPr>
          <w:p w14:paraId="7FB1BDEE" w14:textId="77777777" w:rsidR="007F69F4" w:rsidRPr="00C438FB" w:rsidRDefault="007F69F4" w:rsidP="00C438FB">
            <w:pPr>
              <w:pStyle w:val="TBLText"/>
            </w:pPr>
            <w:r w:rsidRPr="00C438FB">
              <w:t>Best practice (old system)</w:t>
            </w:r>
          </w:p>
        </w:tc>
        <w:tc>
          <w:tcPr>
            <w:tcW w:w="1000" w:type="pct"/>
            <w:shd w:val="clear" w:color="auto" w:fill="auto"/>
            <w:vAlign w:val="center"/>
          </w:tcPr>
          <w:p w14:paraId="60D05948" w14:textId="77777777" w:rsidR="007F69F4" w:rsidRPr="00CC63E1" w:rsidRDefault="007F69F4" w:rsidP="00C438FB">
            <w:pPr>
              <w:pStyle w:val="TBLText"/>
            </w:pPr>
            <w:r w:rsidRPr="00CC63E1">
              <w:t>N/A</w:t>
            </w:r>
          </w:p>
        </w:tc>
        <w:tc>
          <w:tcPr>
            <w:tcW w:w="1000" w:type="pct"/>
            <w:shd w:val="clear" w:color="auto" w:fill="auto"/>
            <w:vAlign w:val="center"/>
          </w:tcPr>
          <w:p w14:paraId="33FE08E2" w14:textId="77777777" w:rsidR="007F69F4" w:rsidRPr="00CC63E1" w:rsidRDefault="007F69F4" w:rsidP="00C438FB">
            <w:pPr>
              <w:pStyle w:val="TBLText"/>
            </w:pPr>
            <w:r w:rsidRPr="00CC63E1">
              <w:t>N/A</w:t>
            </w:r>
          </w:p>
        </w:tc>
        <w:tc>
          <w:tcPr>
            <w:tcW w:w="1000" w:type="pct"/>
            <w:vAlign w:val="center"/>
          </w:tcPr>
          <w:p w14:paraId="33A784E4" w14:textId="77777777" w:rsidR="007F69F4" w:rsidRPr="00112423" w:rsidRDefault="004767A6" w:rsidP="004767A6">
            <w:pPr>
              <w:pStyle w:val="TBLText"/>
            </w:pPr>
            <w:r w:rsidRPr="00112423">
              <w:t>N/A</w:t>
            </w:r>
          </w:p>
        </w:tc>
        <w:tc>
          <w:tcPr>
            <w:tcW w:w="1000" w:type="pct"/>
            <w:vAlign w:val="center"/>
          </w:tcPr>
          <w:p w14:paraId="3CA200E9" w14:textId="77777777" w:rsidR="007F69F4" w:rsidRPr="00FC5D32" w:rsidRDefault="004767A6" w:rsidP="004767A6">
            <w:pPr>
              <w:pStyle w:val="TBLText"/>
            </w:pPr>
            <w:r w:rsidRPr="00FC5D32">
              <w:t>N/A</w:t>
            </w:r>
          </w:p>
        </w:tc>
      </w:tr>
      <w:tr w:rsidR="007F69F4" w14:paraId="36790FDE" w14:textId="77777777" w:rsidTr="48D54834">
        <w:trPr>
          <w:trHeight w:val="20"/>
        </w:trPr>
        <w:tc>
          <w:tcPr>
            <w:tcW w:w="1000" w:type="pct"/>
            <w:shd w:val="clear" w:color="auto" w:fill="E0E8F2" w:themeFill="background2"/>
            <w:vAlign w:val="center"/>
          </w:tcPr>
          <w:p w14:paraId="466D8A1C" w14:textId="77777777" w:rsidR="007F69F4" w:rsidRPr="00C438FB" w:rsidRDefault="007F69F4" w:rsidP="00C438FB">
            <w:pPr>
              <w:pStyle w:val="TBLText"/>
            </w:pPr>
            <w:r w:rsidRPr="00C438FB">
              <w:t>Exemplary (new system)</w:t>
            </w:r>
          </w:p>
        </w:tc>
        <w:tc>
          <w:tcPr>
            <w:tcW w:w="1000" w:type="pct"/>
            <w:shd w:val="clear" w:color="auto" w:fill="E0E8F2" w:themeFill="background2"/>
            <w:vAlign w:val="center"/>
          </w:tcPr>
          <w:p w14:paraId="7358253E" w14:textId="77777777" w:rsidR="007F69F4" w:rsidRPr="00CC63E1" w:rsidRDefault="007F69F4" w:rsidP="00F11D75">
            <w:pPr>
              <w:pStyle w:val="TBLText"/>
            </w:pPr>
            <w:r w:rsidRPr="00CC63E1">
              <w:t>0/3</w:t>
            </w:r>
            <w:r>
              <w:t>5</w:t>
            </w:r>
          </w:p>
        </w:tc>
        <w:tc>
          <w:tcPr>
            <w:tcW w:w="1000" w:type="pct"/>
            <w:shd w:val="clear" w:color="auto" w:fill="E0E8F2" w:themeFill="background2"/>
            <w:vAlign w:val="center"/>
          </w:tcPr>
          <w:p w14:paraId="1799A9E5" w14:textId="77777777" w:rsidR="007F69F4" w:rsidRPr="00CC63E1" w:rsidRDefault="007F69F4" w:rsidP="00C438FB">
            <w:pPr>
              <w:pStyle w:val="TBLText"/>
            </w:pPr>
            <w:r w:rsidRPr="00CC63E1">
              <w:t>0</w:t>
            </w:r>
          </w:p>
        </w:tc>
        <w:tc>
          <w:tcPr>
            <w:tcW w:w="1000" w:type="pct"/>
            <w:shd w:val="clear" w:color="auto" w:fill="E0E8F2" w:themeFill="background2"/>
            <w:vAlign w:val="center"/>
          </w:tcPr>
          <w:p w14:paraId="7D177F18" w14:textId="2A222B3C" w:rsidR="007F69F4" w:rsidRPr="00112423" w:rsidRDefault="00627879" w:rsidP="00A24692">
            <w:pPr>
              <w:pStyle w:val="TBLText"/>
            </w:pPr>
            <w:r>
              <w:t>2</w:t>
            </w:r>
            <w:r w:rsidR="004F1812" w:rsidRPr="00112423">
              <w:t>/</w:t>
            </w:r>
            <w:r w:rsidR="00605398">
              <w:t>3</w:t>
            </w:r>
            <w:r w:rsidR="00A24692">
              <w:t>1</w:t>
            </w:r>
          </w:p>
        </w:tc>
        <w:tc>
          <w:tcPr>
            <w:tcW w:w="1000" w:type="pct"/>
            <w:shd w:val="clear" w:color="auto" w:fill="E0E8F2" w:themeFill="background2"/>
            <w:vAlign w:val="center"/>
          </w:tcPr>
          <w:p w14:paraId="0973B1CF" w14:textId="5479CC49" w:rsidR="007F69F4" w:rsidRPr="00627879" w:rsidRDefault="00A24692" w:rsidP="004767A6">
            <w:pPr>
              <w:pStyle w:val="TBLText"/>
              <w:rPr>
                <w:highlight w:val="yellow"/>
              </w:rPr>
            </w:pPr>
            <w:r w:rsidRPr="00A24692">
              <w:t>6</w:t>
            </w:r>
          </w:p>
        </w:tc>
      </w:tr>
      <w:tr w:rsidR="007F69F4" w14:paraId="042B1B05" w14:textId="77777777" w:rsidTr="48D54834">
        <w:trPr>
          <w:trHeight w:val="20"/>
        </w:trPr>
        <w:tc>
          <w:tcPr>
            <w:tcW w:w="1000" w:type="pct"/>
            <w:shd w:val="clear" w:color="auto" w:fill="auto"/>
            <w:vAlign w:val="center"/>
          </w:tcPr>
          <w:p w14:paraId="5D627DEE" w14:textId="599B82CB" w:rsidR="007F69F4" w:rsidRPr="00C438FB" w:rsidRDefault="006B3940" w:rsidP="00C438FB">
            <w:pPr>
              <w:pStyle w:val="TBLText"/>
            </w:pPr>
            <w:r>
              <w:t>IA</w:t>
            </w:r>
            <w:r w:rsidR="007F69F4" w:rsidRPr="00C438FB">
              <w:t xml:space="preserve"> Compliance</w:t>
            </w:r>
          </w:p>
        </w:tc>
        <w:tc>
          <w:tcPr>
            <w:tcW w:w="1000" w:type="pct"/>
            <w:shd w:val="clear" w:color="auto" w:fill="auto"/>
            <w:vAlign w:val="center"/>
          </w:tcPr>
          <w:p w14:paraId="2685FBD7" w14:textId="77777777" w:rsidR="007F69F4" w:rsidRPr="00CC63E1" w:rsidRDefault="007F69F4" w:rsidP="00F11D75">
            <w:pPr>
              <w:pStyle w:val="TBLText"/>
            </w:pPr>
            <w:r w:rsidRPr="00CC63E1">
              <w:t>3</w:t>
            </w:r>
            <w:r>
              <w:t>5</w:t>
            </w:r>
            <w:r w:rsidRPr="00CC63E1">
              <w:t>/3</w:t>
            </w:r>
            <w:r>
              <w:t>5</w:t>
            </w:r>
          </w:p>
        </w:tc>
        <w:tc>
          <w:tcPr>
            <w:tcW w:w="1000" w:type="pct"/>
            <w:shd w:val="clear" w:color="auto" w:fill="auto"/>
            <w:vAlign w:val="center"/>
          </w:tcPr>
          <w:p w14:paraId="7D1B1B8D" w14:textId="77777777" w:rsidR="007F69F4" w:rsidRPr="00CC63E1" w:rsidRDefault="007F69F4" w:rsidP="00C438FB">
            <w:pPr>
              <w:pStyle w:val="TBLText"/>
            </w:pPr>
            <w:r w:rsidRPr="00CC63E1">
              <w:t>100</w:t>
            </w:r>
          </w:p>
        </w:tc>
        <w:tc>
          <w:tcPr>
            <w:tcW w:w="1000" w:type="pct"/>
            <w:vAlign w:val="center"/>
          </w:tcPr>
          <w:p w14:paraId="13FCF61F" w14:textId="58C3D292" w:rsidR="007F69F4" w:rsidRPr="00112423" w:rsidRDefault="00A24692" w:rsidP="00A24692">
            <w:pPr>
              <w:pStyle w:val="TBLText"/>
            </w:pPr>
            <w:r>
              <w:t>30</w:t>
            </w:r>
            <w:r w:rsidR="00822D14" w:rsidRPr="00112423">
              <w:t>/</w:t>
            </w:r>
            <w:r w:rsidR="00605398">
              <w:t>3</w:t>
            </w:r>
            <w:r>
              <w:t>1</w:t>
            </w:r>
          </w:p>
        </w:tc>
        <w:tc>
          <w:tcPr>
            <w:tcW w:w="1000" w:type="pct"/>
            <w:vAlign w:val="center"/>
          </w:tcPr>
          <w:p w14:paraId="6A7ACD83" w14:textId="07CDD6E4" w:rsidR="007F69F4" w:rsidRPr="00627879" w:rsidRDefault="004F1812" w:rsidP="0056255E">
            <w:pPr>
              <w:pStyle w:val="TBLText"/>
              <w:rPr>
                <w:highlight w:val="yellow"/>
              </w:rPr>
            </w:pPr>
            <w:r w:rsidRPr="0056255E">
              <w:t>9</w:t>
            </w:r>
            <w:r w:rsidR="0056255E" w:rsidRPr="0056255E">
              <w:t>7</w:t>
            </w:r>
          </w:p>
        </w:tc>
      </w:tr>
      <w:tr w:rsidR="007F69F4" w14:paraId="3A82D689" w14:textId="77777777" w:rsidTr="48D54834">
        <w:trPr>
          <w:trHeight w:val="20"/>
        </w:trPr>
        <w:tc>
          <w:tcPr>
            <w:tcW w:w="1000" w:type="pct"/>
            <w:shd w:val="clear" w:color="auto" w:fill="E0E8F2" w:themeFill="background2"/>
            <w:vAlign w:val="center"/>
          </w:tcPr>
          <w:p w14:paraId="04B84F09" w14:textId="77777777" w:rsidR="007F69F4" w:rsidRPr="00C438FB" w:rsidRDefault="007F69F4" w:rsidP="00C438FB">
            <w:pPr>
              <w:pStyle w:val="TBLText"/>
            </w:pPr>
            <w:r w:rsidRPr="00C438FB">
              <w:t>Independent Reviews</w:t>
            </w:r>
            <w:r w:rsidRPr="00C90806">
              <w:rPr>
                <w:vertAlign w:val="superscript"/>
              </w:rPr>
              <w:t>a</w:t>
            </w:r>
          </w:p>
        </w:tc>
        <w:tc>
          <w:tcPr>
            <w:tcW w:w="1000" w:type="pct"/>
            <w:shd w:val="clear" w:color="auto" w:fill="E0E8F2" w:themeFill="background2"/>
            <w:vAlign w:val="center"/>
          </w:tcPr>
          <w:p w14:paraId="2DBCB2EF" w14:textId="77777777" w:rsidR="007F69F4" w:rsidRPr="00CC63E1" w:rsidRDefault="007F69F4" w:rsidP="00C438FB">
            <w:pPr>
              <w:pStyle w:val="TBLText"/>
            </w:pPr>
            <w:r w:rsidRPr="00CC63E1">
              <w:t>13</w:t>
            </w:r>
          </w:p>
        </w:tc>
        <w:tc>
          <w:tcPr>
            <w:tcW w:w="1000" w:type="pct"/>
            <w:shd w:val="clear" w:color="auto" w:fill="E0E8F2" w:themeFill="background2"/>
            <w:vAlign w:val="center"/>
          </w:tcPr>
          <w:p w14:paraId="3B294A2D" w14:textId="77777777" w:rsidR="007F69F4" w:rsidRPr="00CC63E1" w:rsidRDefault="007F69F4" w:rsidP="00C438FB">
            <w:pPr>
              <w:pStyle w:val="TBLText"/>
            </w:pPr>
            <w:r w:rsidRPr="00CC63E1">
              <w:t>-</w:t>
            </w:r>
          </w:p>
        </w:tc>
        <w:tc>
          <w:tcPr>
            <w:tcW w:w="1000" w:type="pct"/>
            <w:shd w:val="clear" w:color="auto" w:fill="E0E8F2" w:themeFill="background2"/>
            <w:vAlign w:val="center"/>
          </w:tcPr>
          <w:p w14:paraId="3A0F6189" w14:textId="3CF22155" w:rsidR="007F69F4" w:rsidRPr="00112423" w:rsidRDefault="000C1B92" w:rsidP="00D01088">
            <w:pPr>
              <w:pStyle w:val="TBLText"/>
            </w:pPr>
            <w:r w:rsidRPr="00112423">
              <w:t>1</w:t>
            </w:r>
            <w:r w:rsidR="00D01088">
              <w:t>5</w:t>
            </w:r>
          </w:p>
        </w:tc>
        <w:tc>
          <w:tcPr>
            <w:tcW w:w="1000" w:type="pct"/>
            <w:shd w:val="clear" w:color="auto" w:fill="E0E8F2" w:themeFill="background2"/>
            <w:vAlign w:val="center"/>
          </w:tcPr>
          <w:p w14:paraId="7B1D9FA7" w14:textId="77777777" w:rsidR="007F69F4" w:rsidRPr="00627879" w:rsidRDefault="004767A6" w:rsidP="004767A6">
            <w:pPr>
              <w:pStyle w:val="TBLText"/>
              <w:rPr>
                <w:highlight w:val="yellow"/>
              </w:rPr>
            </w:pPr>
            <w:r w:rsidRPr="0056255E">
              <w:t>-</w:t>
            </w:r>
          </w:p>
        </w:tc>
      </w:tr>
      <w:tr w:rsidR="006D63FF" w14:paraId="3E5A7146" w14:textId="77777777" w:rsidTr="48D54834">
        <w:trPr>
          <w:trHeight w:val="20"/>
        </w:trPr>
        <w:tc>
          <w:tcPr>
            <w:tcW w:w="1000" w:type="pct"/>
            <w:shd w:val="clear" w:color="auto" w:fill="auto"/>
            <w:vAlign w:val="center"/>
          </w:tcPr>
          <w:p w14:paraId="20EFAA38" w14:textId="4BAB7821" w:rsidR="006D63FF" w:rsidRPr="00C438FB" w:rsidRDefault="006D63FF" w:rsidP="006D63FF">
            <w:pPr>
              <w:pStyle w:val="TBLText"/>
            </w:pPr>
            <w:r w:rsidRPr="00C438FB">
              <w:t>Overall compliance</w:t>
            </w:r>
          </w:p>
        </w:tc>
        <w:tc>
          <w:tcPr>
            <w:tcW w:w="1000" w:type="pct"/>
            <w:shd w:val="clear" w:color="auto" w:fill="auto"/>
            <w:vAlign w:val="center"/>
          </w:tcPr>
          <w:p w14:paraId="2561EAE8" w14:textId="05767FE2" w:rsidR="006D63FF" w:rsidRPr="00CC63E1" w:rsidRDefault="006D63FF" w:rsidP="006D63FF">
            <w:pPr>
              <w:pStyle w:val="TBLText"/>
            </w:pPr>
            <w:r w:rsidRPr="00CC63E1">
              <w:t>4</w:t>
            </w:r>
            <w:r>
              <w:t>9</w:t>
            </w:r>
            <w:r w:rsidRPr="00CC63E1">
              <w:t>/4</w:t>
            </w:r>
            <w:r>
              <w:t>9</w:t>
            </w:r>
          </w:p>
        </w:tc>
        <w:tc>
          <w:tcPr>
            <w:tcW w:w="1000" w:type="pct"/>
            <w:shd w:val="clear" w:color="auto" w:fill="auto"/>
            <w:vAlign w:val="center"/>
          </w:tcPr>
          <w:p w14:paraId="387D817A" w14:textId="2FFD4A51" w:rsidR="006D63FF" w:rsidRPr="00CC63E1" w:rsidRDefault="006D63FF" w:rsidP="006D63FF">
            <w:pPr>
              <w:pStyle w:val="TBLText"/>
            </w:pPr>
            <w:r w:rsidRPr="00CC63E1">
              <w:t>100</w:t>
            </w:r>
          </w:p>
        </w:tc>
        <w:tc>
          <w:tcPr>
            <w:tcW w:w="1000" w:type="pct"/>
            <w:vAlign w:val="center"/>
          </w:tcPr>
          <w:p w14:paraId="41DCEBD4" w14:textId="7B2111D1" w:rsidR="006D63FF" w:rsidRPr="00112423" w:rsidRDefault="00FC5D32" w:rsidP="00A24692">
            <w:pPr>
              <w:pStyle w:val="TBLText"/>
            </w:pPr>
            <w:r>
              <w:t>4</w:t>
            </w:r>
            <w:r w:rsidR="00A24692">
              <w:t>5</w:t>
            </w:r>
            <w:r w:rsidR="006D63FF" w:rsidRPr="00112423">
              <w:t>/</w:t>
            </w:r>
            <w:r w:rsidR="00605398">
              <w:t>4</w:t>
            </w:r>
            <w:r w:rsidR="00A24692">
              <w:t>6</w:t>
            </w:r>
          </w:p>
        </w:tc>
        <w:tc>
          <w:tcPr>
            <w:tcW w:w="1000" w:type="pct"/>
            <w:vAlign w:val="center"/>
          </w:tcPr>
          <w:p w14:paraId="534FFAEE" w14:textId="7CB576BB" w:rsidR="006D63FF" w:rsidRPr="00627879" w:rsidRDefault="004F1812" w:rsidP="00C627E9">
            <w:pPr>
              <w:pStyle w:val="TBLText"/>
              <w:rPr>
                <w:highlight w:val="yellow"/>
              </w:rPr>
            </w:pPr>
            <w:r w:rsidRPr="0056255E">
              <w:t>9</w:t>
            </w:r>
            <w:r w:rsidR="00C627E9" w:rsidRPr="0056255E">
              <w:t>8</w:t>
            </w:r>
          </w:p>
        </w:tc>
      </w:tr>
      <w:tr w:rsidR="007F69F4" w14:paraId="7C2BC933" w14:textId="77777777" w:rsidTr="48D54834">
        <w:trPr>
          <w:trHeight w:val="20"/>
        </w:trPr>
        <w:tc>
          <w:tcPr>
            <w:tcW w:w="1000" w:type="pct"/>
            <w:shd w:val="clear" w:color="auto" w:fill="DBE6F5" w:themeFill="text2" w:themeFillTint="1A"/>
            <w:vAlign w:val="center"/>
          </w:tcPr>
          <w:p w14:paraId="486D0BD4" w14:textId="77777777" w:rsidR="007F69F4" w:rsidRPr="00C438FB" w:rsidRDefault="007F69F4" w:rsidP="00C438FB">
            <w:pPr>
              <w:pStyle w:val="TBLText"/>
            </w:pPr>
            <w:r w:rsidRPr="00C438FB">
              <w:t>Exceptional circumstances</w:t>
            </w:r>
            <w:r w:rsidRPr="00C90806">
              <w:rPr>
                <w:vertAlign w:val="superscript"/>
              </w:rPr>
              <w:t>b</w:t>
            </w:r>
          </w:p>
        </w:tc>
        <w:tc>
          <w:tcPr>
            <w:tcW w:w="1000" w:type="pct"/>
            <w:shd w:val="clear" w:color="auto" w:fill="DBE6F5" w:themeFill="text2" w:themeFillTint="1A"/>
            <w:vAlign w:val="center"/>
          </w:tcPr>
          <w:p w14:paraId="1A6B977D" w14:textId="77777777" w:rsidR="007F69F4" w:rsidRPr="00CC63E1" w:rsidRDefault="007F69F4" w:rsidP="00C438FB">
            <w:pPr>
              <w:pStyle w:val="TBLText"/>
            </w:pPr>
            <w:r w:rsidRPr="00CC63E1">
              <w:t>1</w:t>
            </w:r>
          </w:p>
        </w:tc>
        <w:tc>
          <w:tcPr>
            <w:tcW w:w="1000" w:type="pct"/>
            <w:shd w:val="clear" w:color="auto" w:fill="DBE6F5" w:themeFill="text2" w:themeFillTint="1A"/>
            <w:vAlign w:val="center"/>
          </w:tcPr>
          <w:p w14:paraId="2C9F573A" w14:textId="77777777" w:rsidR="007F69F4" w:rsidRPr="00CC63E1" w:rsidRDefault="007F69F4" w:rsidP="00C438FB">
            <w:pPr>
              <w:pStyle w:val="TBLText"/>
            </w:pPr>
            <w:r w:rsidRPr="00CC63E1">
              <w:t>-</w:t>
            </w:r>
          </w:p>
        </w:tc>
        <w:tc>
          <w:tcPr>
            <w:tcW w:w="1000" w:type="pct"/>
            <w:shd w:val="clear" w:color="auto" w:fill="DBE6F5" w:themeFill="text2" w:themeFillTint="1A"/>
            <w:vAlign w:val="center"/>
          </w:tcPr>
          <w:p w14:paraId="77E2041D" w14:textId="43EAA902" w:rsidR="007F69F4" w:rsidRPr="00112423" w:rsidRDefault="00772A9A" w:rsidP="004767A6">
            <w:pPr>
              <w:pStyle w:val="TBLText"/>
            </w:pPr>
            <w:r w:rsidRPr="00112423">
              <w:t>1</w:t>
            </w:r>
          </w:p>
        </w:tc>
        <w:tc>
          <w:tcPr>
            <w:tcW w:w="1000" w:type="pct"/>
            <w:shd w:val="clear" w:color="auto" w:fill="DBE6F5" w:themeFill="text2" w:themeFillTint="1A"/>
            <w:vAlign w:val="center"/>
          </w:tcPr>
          <w:p w14:paraId="34C4C7A5" w14:textId="77777777" w:rsidR="007F69F4" w:rsidRPr="00112423" w:rsidRDefault="004767A6" w:rsidP="004767A6">
            <w:pPr>
              <w:pStyle w:val="TBLText"/>
            </w:pPr>
            <w:r w:rsidRPr="00112423">
              <w:t>-</w:t>
            </w:r>
          </w:p>
        </w:tc>
      </w:tr>
      <w:tr w:rsidR="007F69F4" w14:paraId="23858C0C" w14:textId="77777777" w:rsidTr="48D54834">
        <w:trPr>
          <w:trHeight w:val="20"/>
        </w:trPr>
        <w:tc>
          <w:tcPr>
            <w:tcW w:w="1000" w:type="pct"/>
            <w:shd w:val="clear" w:color="auto" w:fill="auto"/>
            <w:vAlign w:val="center"/>
          </w:tcPr>
          <w:p w14:paraId="1E7327C6" w14:textId="77777777" w:rsidR="007F69F4" w:rsidRPr="00C438FB" w:rsidRDefault="007F69F4" w:rsidP="00C438FB">
            <w:pPr>
              <w:pStyle w:val="TBLText"/>
            </w:pPr>
            <w:r w:rsidRPr="00C438FB">
              <w:t>Estimated annual impact on Regulatory Burden</w:t>
            </w:r>
            <w:r w:rsidRPr="00C90806">
              <w:rPr>
                <w:vertAlign w:val="superscript"/>
              </w:rPr>
              <w:t>c</w:t>
            </w:r>
          </w:p>
        </w:tc>
        <w:tc>
          <w:tcPr>
            <w:tcW w:w="1000" w:type="pct"/>
            <w:shd w:val="clear" w:color="auto" w:fill="auto"/>
            <w:vAlign w:val="center"/>
          </w:tcPr>
          <w:p w14:paraId="42C99ABD" w14:textId="77777777" w:rsidR="007F69F4" w:rsidRPr="00CC63E1" w:rsidRDefault="007F69F4" w:rsidP="00643487">
            <w:pPr>
              <w:pStyle w:val="TBLText"/>
            </w:pPr>
            <w:r w:rsidRPr="00CC63E1">
              <w:t>$</w:t>
            </w:r>
            <w:r>
              <w:t>136.03</w:t>
            </w:r>
            <w:r w:rsidRPr="00CC63E1">
              <w:t xml:space="preserve"> million</w:t>
            </w:r>
            <w:r w:rsidRPr="00CC63E1">
              <w:rPr>
                <w:vertAlign w:val="superscript"/>
              </w:rPr>
              <w:t>d</w:t>
            </w:r>
          </w:p>
        </w:tc>
        <w:tc>
          <w:tcPr>
            <w:tcW w:w="1000" w:type="pct"/>
            <w:shd w:val="clear" w:color="auto" w:fill="auto"/>
            <w:vAlign w:val="center"/>
          </w:tcPr>
          <w:p w14:paraId="4B422D42" w14:textId="77777777" w:rsidR="007F69F4" w:rsidRPr="00CC63E1" w:rsidRDefault="007F69F4" w:rsidP="00C438FB">
            <w:pPr>
              <w:pStyle w:val="TBLText"/>
            </w:pPr>
            <w:r w:rsidRPr="00CC63E1">
              <w:t>-</w:t>
            </w:r>
          </w:p>
        </w:tc>
        <w:tc>
          <w:tcPr>
            <w:tcW w:w="1000" w:type="pct"/>
            <w:shd w:val="clear" w:color="auto" w:fill="auto"/>
            <w:vAlign w:val="center"/>
          </w:tcPr>
          <w:p w14:paraId="44CF2CB2" w14:textId="015F51AA" w:rsidR="007F69F4" w:rsidRPr="00112423" w:rsidRDefault="00DC3979" w:rsidP="00A24692">
            <w:pPr>
              <w:pStyle w:val="TBLText"/>
            </w:pPr>
            <w:r>
              <w:t xml:space="preserve"> </w:t>
            </w:r>
            <w:r w:rsidR="004767A6">
              <w:t>$</w:t>
            </w:r>
            <w:r w:rsidR="00C627E9">
              <w:t>1,6</w:t>
            </w:r>
            <w:r w:rsidR="00B03A53">
              <w:t>16</w:t>
            </w:r>
            <w:r w:rsidR="00C627E9">
              <w:t>.</w:t>
            </w:r>
            <w:r w:rsidR="00B03A53">
              <w:t>75</w:t>
            </w:r>
            <w:r w:rsidR="004767A6">
              <w:t xml:space="preserve"> million</w:t>
            </w:r>
            <w:r w:rsidR="004767A6" w:rsidRPr="48D54834">
              <w:rPr>
                <w:vertAlign w:val="superscript"/>
              </w:rPr>
              <w:t>d</w:t>
            </w:r>
          </w:p>
        </w:tc>
        <w:tc>
          <w:tcPr>
            <w:tcW w:w="1000" w:type="pct"/>
            <w:shd w:val="clear" w:color="auto" w:fill="auto"/>
            <w:vAlign w:val="center"/>
          </w:tcPr>
          <w:p w14:paraId="5AF27BD5" w14:textId="77777777" w:rsidR="007F69F4" w:rsidRPr="00112423" w:rsidRDefault="004767A6" w:rsidP="004767A6">
            <w:pPr>
              <w:pStyle w:val="TBLText"/>
            </w:pPr>
            <w:r w:rsidRPr="00112423">
              <w:t>-</w:t>
            </w:r>
          </w:p>
        </w:tc>
      </w:tr>
    </w:tbl>
    <w:p w14:paraId="555A70E4" w14:textId="77777777" w:rsidR="00374D1E" w:rsidRPr="0061690C" w:rsidRDefault="00374D1E" w:rsidP="00D4624D">
      <w:pPr>
        <w:spacing w:after="0" w:line="240" w:lineRule="auto"/>
        <w:rPr>
          <w:rStyle w:val="Emphasis"/>
          <w:i w:val="0"/>
          <w:sz w:val="14"/>
          <w:szCs w:val="16"/>
        </w:rPr>
      </w:pPr>
      <w:r w:rsidRPr="0061690C">
        <w:rPr>
          <w:position w:val="6"/>
          <w:sz w:val="14"/>
          <w:szCs w:val="16"/>
        </w:rPr>
        <w:t>a</w:t>
      </w:r>
      <w:r w:rsidRPr="0061690C">
        <w:rPr>
          <w:sz w:val="14"/>
          <w:szCs w:val="16"/>
        </w:rPr>
        <w:t xml:space="preserve"> </w:t>
      </w:r>
      <w:r w:rsidRPr="0061690C">
        <w:rPr>
          <w:rStyle w:val="Emphasis"/>
          <w:i w:val="0"/>
          <w:sz w:val="14"/>
          <w:szCs w:val="16"/>
        </w:rPr>
        <w:t>Independent reviews are included in overall compliance.</w:t>
      </w:r>
    </w:p>
    <w:p w14:paraId="09A9AE14" w14:textId="50DD76F3" w:rsidR="00374D1E" w:rsidRPr="0061690C" w:rsidRDefault="00374D1E" w:rsidP="00D4624D">
      <w:pPr>
        <w:spacing w:after="0" w:line="240" w:lineRule="auto"/>
        <w:rPr>
          <w:rStyle w:val="Emphasis"/>
          <w:i w:val="0"/>
          <w:sz w:val="14"/>
          <w:szCs w:val="16"/>
        </w:rPr>
      </w:pPr>
      <w:r w:rsidRPr="0061690C">
        <w:rPr>
          <w:rStyle w:val="Emphasis"/>
          <w:i w:val="0"/>
          <w:sz w:val="14"/>
          <w:szCs w:val="16"/>
        </w:rPr>
        <w:t>b Exceptional circumstances refer to truly urgent and unforeseen circumstances under which the completion of a</w:t>
      </w:r>
      <w:r w:rsidR="006B3940" w:rsidRPr="0061690C">
        <w:rPr>
          <w:rStyle w:val="Emphasis"/>
          <w:i w:val="0"/>
          <w:sz w:val="14"/>
          <w:szCs w:val="16"/>
        </w:rPr>
        <w:t>n</w:t>
      </w:r>
      <w:r w:rsidRPr="0061690C">
        <w:rPr>
          <w:rStyle w:val="Emphasis"/>
          <w:i w:val="0"/>
          <w:sz w:val="14"/>
          <w:szCs w:val="16"/>
        </w:rPr>
        <w:t xml:space="preserve"> </w:t>
      </w:r>
      <w:r w:rsidR="006B3940" w:rsidRPr="0061690C">
        <w:rPr>
          <w:rStyle w:val="Emphasis"/>
          <w:i w:val="0"/>
          <w:sz w:val="14"/>
          <w:szCs w:val="16"/>
        </w:rPr>
        <w:t>IA</w:t>
      </w:r>
      <w:r w:rsidRPr="0061690C">
        <w:rPr>
          <w:rStyle w:val="Emphasis"/>
          <w:i w:val="0"/>
          <w:sz w:val="14"/>
          <w:szCs w:val="16"/>
        </w:rPr>
        <w:t xml:space="preserve"> would delay essential delivery of policy.</w:t>
      </w:r>
    </w:p>
    <w:p w14:paraId="4D87E12C" w14:textId="1B1198F8" w:rsidR="00374D1E" w:rsidRPr="0061690C" w:rsidRDefault="00AD41B1" w:rsidP="00D4624D">
      <w:pPr>
        <w:spacing w:after="0" w:line="240" w:lineRule="auto"/>
        <w:rPr>
          <w:rStyle w:val="Emphasis"/>
          <w:i w:val="0"/>
          <w:sz w:val="14"/>
          <w:szCs w:val="16"/>
        </w:rPr>
      </w:pPr>
      <w:r w:rsidRPr="0061690C">
        <w:rPr>
          <w:rStyle w:val="Emphasis"/>
          <w:i w:val="0"/>
          <w:sz w:val="14"/>
          <w:szCs w:val="16"/>
        </w:rPr>
        <w:t>c</w:t>
      </w:r>
      <w:r w:rsidR="00374D1E" w:rsidRPr="0061690C">
        <w:rPr>
          <w:rStyle w:val="Emphasis"/>
          <w:i w:val="0"/>
          <w:sz w:val="14"/>
          <w:szCs w:val="16"/>
          <w:vertAlign w:val="superscript"/>
        </w:rPr>
        <w:t xml:space="preserve"> </w:t>
      </w:r>
      <w:r w:rsidR="00374D1E" w:rsidRPr="0061690C">
        <w:rPr>
          <w:rStyle w:val="Emphasis"/>
          <w:i w:val="0"/>
          <w:sz w:val="14"/>
          <w:szCs w:val="16"/>
        </w:rPr>
        <w:t xml:space="preserve">Positive number represents an increase in regulatory burden. Regulatory burden in </w:t>
      </w:r>
      <w:r w:rsidR="006B3940" w:rsidRPr="0061690C">
        <w:rPr>
          <w:rStyle w:val="Emphasis"/>
          <w:i w:val="0"/>
          <w:sz w:val="14"/>
          <w:szCs w:val="16"/>
        </w:rPr>
        <w:t>IA</w:t>
      </w:r>
      <w:r w:rsidR="00374D1E" w:rsidRPr="0061690C">
        <w:rPr>
          <w:rStyle w:val="Emphasis"/>
          <w:i w:val="0"/>
          <w:sz w:val="14"/>
          <w:szCs w:val="16"/>
        </w:rPr>
        <w:t xml:space="preserve">s are estimated using the Commonwealth Regulatory Burden Measurement framework and are assumed to be spread over 10 years. The estimate is based on </w:t>
      </w:r>
      <w:r w:rsidR="006B3940" w:rsidRPr="0061690C">
        <w:rPr>
          <w:rStyle w:val="Emphasis"/>
          <w:i w:val="0"/>
          <w:sz w:val="14"/>
          <w:szCs w:val="16"/>
        </w:rPr>
        <w:t>IA</w:t>
      </w:r>
      <w:r w:rsidR="00374D1E" w:rsidRPr="0061690C">
        <w:rPr>
          <w:rStyle w:val="Emphasis"/>
          <w:i w:val="0"/>
          <w:sz w:val="14"/>
          <w:szCs w:val="16"/>
        </w:rPr>
        <w:t>s published at the final decision point. The total estimated annual impact may differ from the other figures in this document due to rounding.</w:t>
      </w:r>
    </w:p>
    <w:p w14:paraId="70D63FC1" w14:textId="469C78B6" w:rsidR="00E57098" w:rsidRPr="00D4624D" w:rsidRDefault="00374D1E" w:rsidP="00D4624D">
      <w:pPr>
        <w:spacing w:after="0" w:line="240" w:lineRule="auto"/>
        <w:rPr>
          <w:rStyle w:val="Emphasis"/>
          <w:i w:val="0"/>
          <w:sz w:val="16"/>
          <w:szCs w:val="16"/>
        </w:rPr>
      </w:pPr>
      <w:r w:rsidRPr="0061690C">
        <w:rPr>
          <w:rStyle w:val="Emphasis"/>
          <w:i w:val="0"/>
          <w:sz w:val="14"/>
          <w:szCs w:val="16"/>
        </w:rPr>
        <w:t>d</w:t>
      </w:r>
      <w:r w:rsidR="00E57098" w:rsidRPr="0061690C">
        <w:rPr>
          <w:rStyle w:val="Emphasis"/>
          <w:i w:val="0"/>
          <w:sz w:val="14"/>
          <w:szCs w:val="16"/>
        </w:rPr>
        <w:t xml:space="preserve"> This figure represents an estimated regulatory costing</w:t>
      </w:r>
      <w:r w:rsidR="00E57098" w:rsidRPr="00D4624D">
        <w:rPr>
          <w:rStyle w:val="Emphasis"/>
          <w:i w:val="0"/>
          <w:sz w:val="16"/>
          <w:szCs w:val="16"/>
        </w:rPr>
        <w:t xml:space="preserve">. </w:t>
      </w:r>
    </w:p>
    <w:p w14:paraId="6658C918" w14:textId="02800049" w:rsidR="00117A77" w:rsidRDefault="006B3940" w:rsidP="00C37506">
      <w:pPr>
        <w:pStyle w:val="Heading1"/>
      </w:pPr>
      <w:bookmarkStart w:id="3" w:name="_Toc122424399"/>
      <w:bookmarkStart w:id="4" w:name="_Toc200111064"/>
      <w:r>
        <w:t>I</w:t>
      </w:r>
      <w:r w:rsidR="004B515A">
        <w:t xml:space="preserve">mpact </w:t>
      </w:r>
      <w:r>
        <w:t>A</w:t>
      </w:r>
      <w:r w:rsidR="004B515A">
        <w:t>nalysis</w:t>
      </w:r>
      <w:r w:rsidR="00C37506">
        <w:t xml:space="preserve"> compliance summary by Department or Agency</w:t>
      </w:r>
      <w:r w:rsidR="008A10D6">
        <w:t>, 202</w:t>
      </w:r>
      <w:r w:rsidR="00782281">
        <w:t>2</w:t>
      </w:r>
      <w:r w:rsidR="008A10D6">
        <w:t>-2</w:t>
      </w:r>
      <w:r w:rsidR="00782281">
        <w:t>3</w:t>
      </w:r>
      <w:bookmarkEnd w:id="3"/>
      <w:bookmarkEnd w:id="4"/>
    </w:p>
    <w:p w14:paraId="7510A8B3" w14:textId="77777777" w:rsidR="00772A9A" w:rsidRDefault="00772A9A" w:rsidP="00B42188">
      <w:pPr>
        <w:pStyle w:val="Heading2"/>
      </w:pPr>
      <w:bookmarkStart w:id="5" w:name="_Toc122424400"/>
      <w:bookmarkStart w:id="6" w:name="_Toc200111065"/>
      <w:r>
        <w:t>Prime Minister’s Exemptions</w:t>
      </w:r>
      <w:bookmarkEnd w:id="5"/>
      <w:bookmarkEnd w:id="6"/>
    </w:p>
    <w:p w14:paraId="1B24CF2B" w14:textId="77777777" w:rsidR="00772A9A" w:rsidRPr="00774646" w:rsidRDefault="00772A9A" w:rsidP="00772A9A">
      <w:pPr>
        <w:pStyle w:val="Figure"/>
        <w:ind w:left="0" w:firstLine="0"/>
      </w:pPr>
      <w:r w:rsidRPr="007A74A5">
        <w:t>Compliance summary: Prime Minister's Exemptions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Prime Minister's Exemptions"/>
        <w:tblDescription w:val="Compliance summary: Prime Minister's Exemptions"/>
      </w:tblPr>
      <w:tblGrid>
        <w:gridCol w:w="3018"/>
        <w:gridCol w:w="1527"/>
        <w:gridCol w:w="1553"/>
        <w:gridCol w:w="1936"/>
        <w:gridCol w:w="1934"/>
      </w:tblGrid>
      <w:tr w:rsidR="00772A9A" w14:paraId="5D8BAE5B" w14:textId="77777777" w:rsidTr="00B67D5D">
        <w:trPr>
          <w:cnfStyle w:val="100000000000" w:firstRow="1" w:lastRow="0" w:firstColumn="0" w:lastColumn="0" w:oddVBand="0" w:evenVBand="0" w:oddHBand="0" w:evenHBand="0" w:firstRowFirstColumn="0" w:firstRowLastColumn="0" w:lastRowFirstColumn="0" w:lastRowLastColumn="0"/>
          <w:trHeight w:val="20"/>
          <w:tblHeader/>
        </w:trPr>
        <w:tc>
          <w:tcPr>
            <w:tcW w:w="1514" w:type="pct"/>
            <w:tcBorders>
              <w:top w:val="none" w:sz="0" w:space="0" w:color="auto"/>
              <w:left w:val="none" w:sz="0" w:space="0" w:color="auto"/>
              <w:bottom w:val="none" w:sz="0" w:space="0" w:color="auto"/>
            </w:tcBorders>
            <w:vAlign w:val="center"/>
          </w:tcPr>
          <w:p w14:paraId="6E2C6D13" w14:textId="77777777" w:rsidR="00772A9A" w:rsidRPr="006E170D" w:rsidRDefault="00772A9A" w:rsidP="00B67D5D">
            <w:pPr>
              <w:pStyle w:val="TBLHeading"/>
            </w:pPr>
            <w:r>
              <w:t>Proposal</w:t>
            </w:r>
          </w:p>
        </w:tc>
        <w:tc>
          <w:tcPr>
            <w:tcW w:w="766" w:type="pct"/>
            <w:tcBorders>
              <w:top w:val="none" w:sz="0" w:space="0" w:color="auto"/>
              <w:bottom w:val="none" w:sz="0" w:space="0" w:color="auto"/>
            </w:tcBorders>
            <w:vAlign w:val="center"/>
          </w:tcPr>
          <w:p w14:paraId="3961648B" w14:textId="77777777" w:rsidR="00772A9A" w:rsidRPr="006E170D" w:rsidRDefault="00772A9A" w:rsidP="00B67D5D">
            <w:pPr>
              <w:pStyle w:val="TBLHeading"/>
            </w:pPr>
            <w:r>
              <w:t>IA Compliance</w:t>
            </w:r>
          </w:p>
        </w:tc>
        <w:tc>
          <w:tcPr>
            <w:tcW w:w="779" w:type="pct"/>
            <w:tcBorders>
              <w:top w:val="none" w:sz="0" w:space="0" w:color="auto"/>
              <w:bottom w:val="none" w:sz="0" w:space="0" w:color="auto"/>
            </w:tcBorders>
            <w:vAlign w:val="center"/>
          </w:tcPr>
          <w:p w14:paraId="685AFF09" w14:textId="77777777" w:rsidR="00772A9A" w:rsidRPr="006E170D" w:rsidRDefault="00772A9A" w:rsidP="00B67D5D">
            <w:pPr>
              <w:pStyle w:val="TBLHeading"/>
            </w:pPr>
            <w:r>
              <w:t>Rating</w:t>
            </w:r>
          </w:p>
        </w:tc>
        <w:tc>
          <w:tcPr>
            <w:tcW w:w="971" w:type="pct"/>
            <w:tcBorders>
              <w:top w:val="none" w:sz="0" w:space="0" w:color="auto"/>
              <w:bottom w:val="none" w:sz="0" w:space="0" w:color="auto"/>
            </w:tcBorders>
            <w:vAlign w:val="center"/>
          </w:tcPr>
          <w:p w14:paraId="05F6F49C" w14:textId="77777777" w:rsidR="00772A9A" w:rsidRPr="006E170D" w:rsidRDefault="00772A9A" w:rsidP="00B67D5D">
            <w:pPr>
              <w:pStyle w:val="TBLHeading"/>
            </w:pPr>
            <w:r>
              <w:t>PIR Required</w:t>
            </w:r>
          </w:p>
        </w:tc>
        <w:tc>
          <w:tcPr>
            <w:tcW w:w="970" w:type="pct"/>
            <w:tcBorders>
              <w:top w:val="none" w:sz="0" w:space="0" w:color="auto"/>
              <w:bottom w:val="none" w:sz="0" w:space="0" w:color="auto"/>
              <w:right w:val="none" w:sz="0" w:space="0" w:color="auto"/>
            </w:tcBorders>
            <w:vAlign w:val="center"/>
          </w:tcPr>
          <w:p w14:paraId="6E12AD35" w14:textId="77777777" w:rsidR="00772A9A" w:rsidRPr="006E170D" w:rsidRDefault="00772A9A" w:rsidP="00B67D5D">
            <w:pPr>
              <w:pStyle w:val="TBLHeading"/>
            </w:pPr>
            <w:r>
              <w:t>Regulatory Burden ($m)</w:t>
            </w:r>
          </w:p>
        </w:tc>
      </w:tr>
      <w:tr w:rsidR="00772A9A" w14:paraId="025C63C1" w14:textId="77777777" w:rsidTr="00B67D5D">
        <w:trPr>
          <w:trHeight w:val="20"/>
        </w:trPr>
        <w:tc>
          <w:tcPr>
            <w:tcW w:w="1514" w:type="pct"/>
            <w:vAlign w:val="center"/>
          </w:tcPr>
          <w:p w14:paraId="4287674E" w14:textId="77777777" w:rsidR="002F494C" w:rsidRPr="002F494C" w:rsidRDefault="002F494C" w:rsidP="00B67D5D">
            <w:pPr>
              <w:pStyle w:val="TBLText"/>
              <w:rPr>
                <w:b/>
              </w:rPr>
            </w:pPr>
            <w:r w:rsidRPr="002F494C">
              <w:rPr>
                <w:b/>
              </w:rPr>
              <w:t>Department of Climate Change, Energy, the Environment and Water</w:t>
            </w:r>
          </w:p>
          <w:p w14:paraId="52ACCCAC" w14:textId="5FB875AD" w:rsidR="00772A9A" w:rsidRPr="00C438FB" w:rsidRDefault="00B42188" w:rsidP="00B67D5D">
            <w:pPr>
              <w:pStyle w:val="TBLText"/>
            </w:pPr>
            <w:r w:rsidRPr="00B42188">
              <w:t>Expansion of functions and powers of the Australian Energy Market Operator (AEMO)</w:t>
            </w:r>
          </w:p>
        </w:tc>
        <w:tc>
          <w:tcPr>
            <w:tcW w:w="766" w:type="pct"/>
            <w:vAlign w:val="center"/>
          </w:tcPr>
          <w:p w14:paraId="4A34C6BD" w14:textId="77777777" w:rsidR="00772A9A" w:rsidRPr="00C438FB" w:rsidRDefault="00772A9A" w:rsidP="00B67D5D">
            <w:pPr>
              <w:pStyle w:val="TBLText"/>
            </w:pPr>
            <w:r w:rsidRPr="00C438FB">
              <w:t>Compliant</w:t>
            </w:r>
          </w:p>
        </w:tc>
        <w:tc>
          <w:tcPr>
            <w:tcW w:w="779" w:type="pct"/>
            <w:vAlign w:val="center"/>
          </w:tcPr>
          <w:p w14:paraId="65B91BD9" w14:textId="77777777" w:rsidR="00772A9A" w:rsidRPr="00C438FB" w:rsidRDefault="00772A9A" w:rsidP="00B67D5D">
            <w:pPr>
              <w:pStyle w:val="TBLText"/>
            </w:pPr>
            <w:r w:rsidRPr="00C438FB">
              <w:t>N/A</w:t>
            </w:r>
          </w:p>
        </w:tc>
        <w:tc>
          <w:tcPr>
            <w:tcW w:w="971" w:type="pct"/>
            <w:vAlign w:val="center"/>
          </w:tcPr>
          <w:p w14:paraId="096E2FD9" w14:textId="1FDF1A1F" w:rsidR="00772A9A" w:rsidRPr="00C438FB" w:rsidRDefault="008C3B43" w:rsidP="00B67D5D">
            <w:pPr>
              <w:pStyle w:val="TBLText"/>
            </w:pPr>
            <w:r>
              <w:t>Yes</w:t>
            </w:r>
          </w:p>
        </w:tc>
        <w:tc>
          <w:tcPr>
            <w:tcW w:w="970" w:type="pct"/>
            <w:vAlign w:val="center"/>
          </w:tcPr>
          <w:p w14:paraId="632E4D67" w14:textId="77777777" w:rsidR="00772A9A" w:rsidRPr="00C438FB" w:rsidRDefault="00772A9A" w:rsidP="00B67D5D">
            <w:pPr>
              <w:pStyle w:val="TBLText"/>
            </w:pPr>
            <w:r w:rsidRPr="00C438FB">
              <w:t>N/A</w:t>
            </w:r>
          </w:p>
        </w:tc>
      </w:tr>
      <w:tr w:rsidR="00772A9A" w14:paraId="3EB7B3DB" w14:textId="77777777" w:rsidTr="00B67D5D">
        <w:trPr>
          <w:trHeight w:val="20"/>
        </w:trPr>
        <w:tc>
          <w:tcPr>
            <w:tcW w:w="1514" w:type="pct"/>
            <w:shd w:val="clear" w:color="auto" w:fill="E0E8F2" w:themeFill="background2"/>
            <w:vAlign w:val="center"/>
          </w:tcPr>
          <w:p w14:paraId="2D6B95D7" w14:textId="77777777" w:rsidR="00772A9A" w:rsidRPr="00363240" w:rsidRDefault="00772A9A" w:rsidP="00B67D5D">
            <w:pPr>
              <w:pStyle w:val="TBLText"/>
              <w:rPr>
                <w:b/>
              </w:rPr>
            </w:pPr>
            <w:r w:rsidRPr="00363240">
              <w:rPr>
                <w:b/>
              </w:rPr>
              <w:t>Total proposals</w:t>
            </w:r>
          </w:p>
        </w:tc>
        <w:tc>
          <w:tcPr>
            <w:tcW w:w="766" w:type="pct"/>
            <w:shd w:val="clear" w:color="auto" w:fill="E0E8F2" w:themeFill="background2"/>
            <w:vAlign w:val="center"/>
          </w:tcPr>
          <w:p w14:paraId="136031D3" w14:textId="77777777" w:rsidR="00772A9A" w:rsidRPr="00363240" w:rsidRDefault="00772A9A" w:rsidP="00B67D5D">
            <w:pPr>
              <w:pStyle w:val="TBLText"/>
              <w:rPr>
                <w:b/>
              </w:rPr>
            </w:pPr>
            <w:r w:rsidRPr="00363240">
              <w:rPr>
                <w:b/>
              </w:rPr>
              <w:t>1/1</w:t>
            </w:r>
          </w:p>
        </w:tc>
        <w:tc>
          <w:tcPr>
            <w:tcW w:w="779" w:type="pct"/>
            <w:shd w:val="clear" w:color="auto" w:fill="E0E8F2" w:themeFill="background2"/>
            <w:vAlign w:val="center"/>
          </w:tcPr>
          <w:p w14:paraId="6C643887" w14:textId="77777777" w:rsidR="00772A9A" w:rsidRPr="00363240" w:rsidRDefault="00772A9A" w:rsidP="00B67D5D">
            <w:pPr>
              <w:pStyle w:val="TBLText"/>
              <w:rPr>
                <w:b/>
              </w:rPr>
            </w:pPr>
            <w:r w:rsidRPr="00363240">
              <w:rPr>
                <w:b/>
              </w:rPr>
              <w:t>-</w:t>
            </w:r>
          </w:p>
        </w:tc>
        <w:tc>
          <w:tcPr>
            <w:tcW w:w="971" w:type="pct"/>
            <w:shd w:val="clear" w:color="auto" w:fill="E0E8F2" w:themeFill="background2"/>
            <w:vAlign w:val="center"/>
          </w:tcPr>
          <w:p w14:paraId="5BD97AD1" w14:textId="0B5704C7" w:rsidR="00772A9A" w:rsidRPr="00363240" w:rsidRDefault="008C3B43" w:rsidP="00B67D5D">
            <w:pPr>
              <w:pStyle w:val="TBLText"/>
              <w:rPr>
                <w:b/>
              </w:rPr>
            </w:pPr>
            <w:r w:rsidRPr="008C3B43">
              <w:rPr>
                <w:b/>
              </w:rPr>
              <w:t>1</w:t>
            </w:r>
            <w:r w:rsidR="00772A9A" w:rsidRPr="008C3B43">
              <w:rPr>
                <w:b/>
              </w:rPr>
              <w:t>/1</w:t>
            </w:r>
          </w:p>
        </w:tc>
        <w:tc>
          <w:tcPr>
            <w:tcW w:w="970" w:type="pct"/>
            <w:shd w:val="clear" w:color="auto" w:fill="E0E8F2" w:themeFill="background2"/>
            <w:vAlign w:val="center"/>
          </w:tcPr>
          <w:p w14:paraId="414993CB" w14:textId="77777777" w:rsidR="00772A9A" w:rsidRPr="00363240" w:rsidRDefault="00772A9A" w:rsidP="00B67D5D">
            <w:pPr>
              <w:pStyle w:val="TBLText"/>
              <w:rPr>
                <w:b/>
              </w:rPr>
            </w:pPr>
            <w:r w:rsidRPr="00363240">
              <w:rPr>
                <w:b/>
              </w:rPr>
              <w:t>-</w:t>
            </w:r>
          </w:p>
        </w:tc>
      </w:tr>
    </w:tbl>
    <w:p w14:paraId="772792D4" w14:textId="77777777" w:rsidR="001A5755" w:rsidRDefault="001A5755" w:rsidP="001A5755">
      <w:pPr>
        <w:pStyle w:val="Heading2"/>
        <w:rPr>
          <w:noProof/>
        </w:rPr>
      </w:pPr>
      <w:bookmarkStart w:id="7" w:name="_Toc122424401"/>
      <w:bookmarkStart w:id="8" w:name="_Toc200111066"/>
      <w:r>
        <w:rPr>
          <w:noProof/>
        </w:rPr>
        <w:lastRenderedPageBreak/>
        <w:t>Attorney-General’s Department</w:t>
      </w:r>
      <w:bookmarkEnd w:id="7"/>
      <w:bookmarkEnd w:id="8"/>
    </w:p>
    <w:p w14:paraId="4438CB8C" w14:textId="77777777" w:rsidR="001A5755" w:rsidRPr="00774646" w:rsidRDefault="001A5755" w:rsidP="001A5755">
      <w:pPr>
        <w:pStyle w:val="Figure"/>
        <w:ind w:left="0" w:firstLine="0"/>
      </w:pPr>
      <w:r w:rsidRPr="00057A02">
        <w:t xml:space="preserve">Compliance summary: </w:t>
      </w:r>
      <w:r>
        <w:t>Attorney-General’s Department</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munications and Media Authority"/>
        <w:tblDescription w:val="Compliance summary: Australian Communications and Media Authority"/>
      </w:tblPr>
      <w:tblGrid>
        <w:gridCol w:w="3017"/>
        <w:gridCol w:w="1380"/>
        <w:gridCol w:w="1701"/>
        <w:gridCol w:w="1936"/>
        <w:gridCol w:w="1934"/>
      </w:tblGrid>
      <w:tr w:rsidR="001A5755" w14:paraId="35EEECDA" w14:textId="77777777" w:rsidTr="00B67D5D">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51E58F80" w14:textId="77777777" w:rsidR="001A5755" w:rsidRPr="006E170D" w:rsidRDefault="001A5755" w:rsidP="00B67D5D">
            <w:pPr>
              <w:pStyle w:val="TBLHeading"/>
            </w:pPr>
            <w:r>
              <w:t>Proposal</w:t>
            </w:r>
          </w:p>
        </w:tc>
        <w:tc>
          <w:tcPr>
            <w:tcW w:w="692" w:type="pct"/>
            <w:tcBorders>
              <w:top w:val="none" w:sz="0" w:space="0" w:color="auto"/>
              <w:bottom w:val="none" w:sz="0" w:space="0" w:color="auto"/>
            </w:tcBorders>
            <w:vAlign w:val="center"/>
          </w:tcPr>
          <w:p w14:paraId="6EBF12F0" w14:textId="3CD6BA20" w:rsidR="001A5755" w:rsidRPr="006E170D" w:rsidRDefault="006B3940" w:rsidP="00B67D5D">
            <w:pPr>
              <w:pStyle w:val="TBLHeading"/>
            </w:pPr>
            <w:r>
              <w:t>IA</w:t>
            </w:r>
            <w:r w:rsidR="001A5755">
              <w:t xml:space="preserve"> Compliance</w:t>
            </w:r>
          </w:p>
        </w:tc>
        <w:tc>
          <w:tcPr>
            <w:tcW w:w="853" w:type="pct"/>
            <w:tcBorders>
              <w:top w:val="none" w:sz="0" w:space="0" w:color="auto"/>
              <w:bottom w:val="none" w:sz="0" w:space="0" w:color="auto"/>
            </w:tcBorders>
            <w:vAlign w:val="center"/>
          </w:tcPr>
          <w:p w14:paraId="3346818A" w14:textId="77777777" w:rsidR="001A5755" w:rsidRPr="006E170D" w:rsidRDefault="001A5755" w:rsidP="00B67D5D">
            <w:pPr>
              <w:pStyle w:val="TBLHeading"/>
            </w:pPr>
            <w:r>
              <w:t>Rating</w:t>
            </w:r>
          </w:p>
        </w:tc>
        <w:tc>
          <w:tcPr>
            <w:tcW w:w="971" w:type="pct"/>
            <w:tcBorders>
              <w:top w:val="none" w:sz="0" w:space="0" w:color="auto"/>
              <w:bottom w:val="none" w:sz="0" w:space="0" w:color="auto"/>
            </w:tcBorders>
            <w:vAlign w:val="center"/>
          </w:tcPr>
          <w:p w14:paraId="32E46AD1" w14:textId="77777777" w:rsidR="001A5755" w:rsidRPr="006E170D" w:rsidRDefault="001A5755" w:rsidP="00B67D5D">
            <w:pPr>
              <w:pStyle w:val="TBLHeading"/>
            </w:pPr>
            <w:r>
              <w:t>PIR Required</w:t>
            </w:r>
          </w:p>
        </w:tc>
        <w:tc>
          <w:tcPr>
            <w:tcW w:w="970" w:type="pct"/>
            <w:tcBorders>
              <w:top w:val="none" w:sz="0" w:space="0" w:color="auto"/>
              <w:bottom w:val="none" w:sz="0" w:space="0" w:color="auto"/>
              <w:right w:val="none" w:sz="0" w:space="0" w:color="auto"/>
            </w:tcBorders>
            <w:vAlign w:val="center"/>
          </w:tcPr>
          <w:p w14:paraId="7FE2AC0A" w14:textId="77777777" w:rsidR="001A5755" w:rsidRPr="006E170D" w:rsidRDefault="001A5755" w:rsidP="00B67D5D">
            <w:pPr>
              <w:pStyle w:val="TBLHeading"/>
            </w:pPr>
            <w:r>
              <w:t>Regulatory Burden ($m)</w:t>
            </w:r>
          </w:p>
        </w:tc>
      </w:tr>
      <w:tr w:rsidR="001A5755" w14:paraId="1B25A429" w14:textId="77777777" w:rsidTr="00B67D5D">
        <w:trPr>
          <w:trHeight w:val="20"/>
        </w:trPr>
        <w:tc>
          <w:tcPr>
            <w:tcW w:w="1513" w:type="pct"/>
            <w:shd w:val="clear" w:color="auto" w:fill="auto"/>
            <w:vAlign w:val="center"/>
          </w:tcPr>
          <w:p w14:paraId="2A012C5B" w14:textId="77777777" w:rsidR="001A5755" w:rsidRPr="006E170D" w:rsidRDefault="001A5755" w:rsidP="00B67D5D">
            <w:pPr>
              <w:pStyle w:val="TBLText"/>
            </w:pPr>
            <w:r w:rsidRPr="001A5755">
              <w:t>Legislating a right to ten days paid family and domestic violence leave</w:t>
            </w:r>
          </w:p>
        </w:tc>
        <w:tc>
          <w:tcPr>
            <w:tcW w:w="692" w:type="pct"/>
            <w:shd w:val="clear" w:color="auto" w:fill="auto"/>
            <w:vAlign w:val="center"/>
          </w:tcPr>
          <w:p w14:paraId="0A0F6BA4" w14:textId="77777777" w:rsidR="001A5755" w:rsidRPr="006E170D" w:rsidRDefault="001A5755" w:rsidP="00B67D5D">
            <w:pPr>
              <w:pStyle w:val="TBLText"/>
            </w:pPr>
            <w:r w:rsidRPr="002B0DDE">
              <w:rPr>
                <w:rFonts w:eastAsia="MS Mincho"/>
                <w:spacing w:val="-3"/>
              </w:rPr>
              <w:t>Compliant</w:t>
            </w:r>
          </w:p>
        </w:tc>
        <w:tc>
          <w:tcPr>
            <w:tcW w:w="853" w:type="pct"/>
            <w:shd w:val="clear" w:color="auto" w:fill="auto"/>
            <w:vAlign w:val="center"/>
          </w:tcPr>
          <w:p w14:paraId="0CA1181F" w14:textId="77777777" w:rsidR="001A5755" w:rsidRPr="006E170D" w:rsidRDefault="001A5755" w:rsidP="00B67D5D">
            <w:pPr>
              <w:pStyle w:val="TBLText"/>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auto"/>
            <w:vAlign w:val="center"/>
          </w:tcPr>
          <w:p w14:paraId="1B2710D1" w14:textId="77777777" w:rsidR="001A5755" w:rsidRPr="00724D88" w:rsidRDefault="00724D88" w:rsidP="00B67D5D">
            <w:pPr>
              <w:pStyle w:val="TBLText"/>
            </w:pPr>
            <w:r w:rsidRPr="00724D88">
              <w:rPr>
                <w:rFonts w:eastAsia="MS Mincho"/>
                <w:spacing w:val="-3"/>
              </w:rPr>
              <w:t>No</w:t>
            </w:r>
          </w:p>
        </w:tc>
        <w:tc>
          <w:tcPr>
            <w:tcW w:w="970" w:type="pct"/>
            <w:shd w:val="clear" w:color="auto" w:fill="auto"/>
            <w:vAlign w:val="center"/>
          </w:tcPr>
          <w:p w14:paraId="44BCD434" w14:textId="77777777" w:rsidR="001A5755" w:rsidRPr="006E170D" w:rsidRDefault="001A5755" w:rsidP="001A5755">
            <w:pPr>
              <w:pStyle w:val="TBLText"/>
            </w:pPr>
            <w:r>
              <w:rPr>
                <w:rFonts w:eastAsia="MS Mincho"/>
                <w:spacing w:val="-3"/>
              </w:rPr>
              <w:t>$0.6m</w:t>
            </w:r>
          </w:p>
        </w:tc>
      </w:tr>
      <w:tr w:rsidR="00A66EF3" w14:paraId="16652AAB" w14:textId="77777777" w:rsidTr="00734239">
        <w:trPr>
          <w:trHeight w:val="20"/>
        </w:trPr>
        <w:tc>
          <w:tcPr>
            <w:tcW w:w="1513" w:type="pct"/>
            <w:shd w:val="clear" w:color="auto" w:fill="DBE6F5" w:themeFill="text2" w:themeFillTint="1A"/>
            <w:vAlign w:val="center"/>
          </w:tcPr>
          <w:p w14:paraId="3976A639" w14:textId="6CC69464" w:rsidR="00A66EF3" w:rsidRPr="001A5755" w:rsidRDefault="00A66EF3" w:rsidP="00B67D5D">
            <w:pPr>
              <w:pStyle w:val="TBLText"/>
            </w:pPr>
            <w:r w:rsidRPr="00A66EF3">
              <w:t>Fully Implement the Respect at Work Report Package</w:t>
            </w:r>
          </w:p>
        </w:tc>
        <w:tc>
          <w:tcPr>
            <w:tcW w:w="692" w:type="pct"/>
            <w:shd w:val="clear" w:color="auto" w:fill="DBE6F5" w:themeFill="text2" w:themeFillTint="1A"/>
            <w:vAlign w:val="center"/>
          </w:tcPr>
          <w:p w14:paraId="17D3BE76" w14:textId="7B11634C" w:rsidR="00A66EF3" w:rsidRPr="002B0DDE" w:rsidRDefault="00A66EF3" w:rsidP="00B67D5D">
            <w:pPr>
              <w:pStyle w:val="TBLText"/>
              <w:rPr>
                <w:rFonts w:eastAsia="MS Mincho"/>
                <w:spacing w:val="-3"/>
              </w:rPr>
            </w:pPr>
            <w:r w:rsidRPr="002B0DDE">
              <w:rPr>
                <w:rFonts w:eastAsia="MS Mincho"/>
                <w:spacing w:val="-3"/>
              </w:rPr>
              <w:t>Compliant</w:t>
            </w:r>
          </w:p>
        </w:tc>
        <w:tc>
          <w:tcPr>
            <w:tcW w:w="853" w:type="pct"/>
            <w:shd w:val="clear" w:color="auto" w:fill="DBE6F5" w:themeFill="text2" w:themeFillTint="1A"/>
            <w:vAlign w:val="center"/>
          </w:tcPr>
          <w:p w14:paraId="313E81F8" w14:textId="5818A1E6" w:rsidR="00A66EF3" w:rsidRPr="002B0DDE" w:rsidRDefault="00A66EF3" w:rsidP="00B67D5D">
            <w:pPr>
              <w:pStyle w:val="TBLText"/>
              <w:rPr>
                <w:rFonts w:eastAsia="MS Mincho"/>
                <w:spacing w:val="-3"/>
              </w:rPr>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DBE6F5" w:themeFill="text2" w:themeFillTint="1A"/>
            <w:vAlign w:val="center"/>
          </w:tcPr>
          <w:p w14:paraId="460CDD69" w14:textId="5C0A9B7D" w:rsidR="00A66EF3" w:rsidRPr="00724D88" w:rsidRDefault="00A66EF3" w:rsidP="00B67D5D">
            <w:pPr>
              <w:pStyle w:val="TBLText"/>
              <w:rPr>
                <w:rFonts w:eastAsia="MS Mincho"/>
                <w:spacing w:val="-3"/>
              </w:rPr>
            </w:pPr>
            <w:r w:rsidRPr="00884959">
              <w:rPr>
                <w:rFonts w:eastAsia="MS Mincho"/>
                <w:spacing w:val="-3"/>
              </w:rPr>
              <w:t>No</w:t>
            </w:r>
          </w:p>
        </w:tc>
        <w:tc>
          <w:tcPr>
            <w:tcW w:w="970" w:type="pct"/>
            <w:shd w:val="clear" w:color="auto" w:fill="DBE6F5" w:themeFill="text2" w:themeFillTint="1A"/>
            <w:vAlign w:val="center"/>
          </w:tcPr>
          <w:p w14:paraId="7696E892" w14:textId="5AE322F3" w:rsidR="00A66EF3" w:rsidRDefault="00A66EF3" w:rsidP="001A5755">
            <w:pPr>
              <w:pStyle w:val="TBLText"/>
              <w:rPr>
                <w:rFonts w:eastAsia="MS Mincho"/>
                <w:spacing w:val="-3"/>
              </w:rPr>
            </w:pPr>
            <w:r>
              <w:rPr>
                <w:rFonts w:eastAsia="MS Mincho"/>
                <w:spacing w:val="-3"/>
              </w:rPr>
              <w:t>$226.4m</w:t>
            </w:r>
          </w:p>
        </w:tc>
      </w:tr>
      <w:tr w:rsidR="001A5755" w14:paraId="44CDA916" w14:textId="77777777" w:rsidTr="00B67D5D">
        <w:trPr>
          <w:trHeight w:val="20"/>
        </w:trPr>
        <w:tc>
          <w:tcPr>
            <w:tcW w:w="1513" w:type="pct"/>
            <w:vAlign w:val="center"/>
          </w:tcPr>
          <w:p w14:paraId="0E17877F" w14:textId="77777777" w:rsidR="001A5755" w:rsidRPr="00363240" w:rsidRDefault="001A5755" w:rsidP="00B67D5D">
            <w:pPr>
              <w:pStyle w:val="TBLText"/>
              <w:rPr>
                <w:b/>
              </w:rPr>
            </w:pPr>
            <w:r w:rsidRPr="00363240">
              <w:rPr>
                <w:b/>
              </w:rPr>
              <w:t>Total proposals</w:t>
            </w:r>
          </w:p>
        </w:tc>
        <w:tc>
          <w:tcPr>
            <w:tcW w:w="692" w:type="pct"/>
            <w:vAlign w:val="center"/>
          </w:tcPr>
          <w:p w14:paraId="37B5DB5E" w14:textId="38551F5A" w:rsidR="001A5755" w:rsidRPr="00363240" w:rsidRDefault="00A66EF3" w:rsidP="00A66EF3">
            <w:pPr>
              <w:pStyle w:val="TBLText"/>
              <w:rPr>
                <w:b/>
              </w:rPr>
            </w:pPr>
            <w:r>
              <w:rPr>
                <w:b/>
              </w:rPr>
              <w:t>2</w:t>
            </w:r>
            <w:r w:rsidR="001A5755" w:rsidRPr="00363240">
              <w:rPr>
                <w:b/>
              </w:rPr>
              <w:t>/</w:t>
            </w:r>
            <w:r>
              <w:rPr>
                <w:b/>
              </w:rPr>
              <w:t>2</w:t>
            </w:r>
          </w:p>
        </w:tc>
        <w:tc>
          <w:tcPr>
            <w:tcW w:w="853" w:type="pct"/>
            <w:vAlign w:val="center"/>
          </w:tcPr>
          <w:p w14:paraId="56AD82E2" w14:textId="77777777" w:rsidR="001A5755" w:rsidRPr="00363240" w:rsidRDefault="001A5755" w:rsidP="00B67D5D">
            <w:pPr>
              <w:pStyle w:val="TBLText"/>
              <w:rPr>
                <w:b/>
              </w:rPr>
            </w:pPr>
            <w:r w:rsidRPr="00363240">
              <w:rPr>
                <w:b/>
              </w:rPr>
              <w:t>-</w:t>
            </w:r>
          </w:p>
        </w:tc>
        <w:tc>
          <w:tcPr>
            <w:tcW w:w="971" w:type="pct"/>
            <w:vAlign w:val="center"/>
          </w:tcPr>
          <w:p w14:paraId="5982FADB" w14:textId="5436905E" w:rsidR="001A5755" w:rsidRPr="00724D88" w:rsidRDefault="00884959" w:rsidP="00B67D5D">
            <w:pPr>
              <w:pStyle w:val="TBLText"/>
              <w:rPr>
                <w:b/>
              </w:rPr>
            </w:pPr>
            <w:r w:rsidRPr="00884959">
              <w:rPr>
                <w:b/>
              </w:rPr>
              <w:t>0/2</w:t>
            </w:r>
          </w:p>
        </w:tc>
        <w:tc>
          <w:tcPr>
            <w:tcW w:w="970" w:type="pct"/>
            <w:vAlign w:val="center"/>
          </w:tcPr>
          <w:p w14:paraId="10DE8CD6" w14:textId="77777777" w:rsidR="001A5755" w:rsidRPr="00363240" w:rsidRDefault="001A5755" w:rsidP="00B67D5D">
            <w:pPr>
              <w:pStyle w:val="TBLText"/>
              <w:rPr>
                <w:b/>
              </w:rPr>
            </w:pPr>
            <w:r w:rsidRPr="00363240">
              <w:rPr>
                <w:b/>
              </w:rPr>
              <w:t>-</w:t>
            </w:r>
          </w:p>
        </w:tc>
      </w:tr>
    </w:tbl>
    <w:p w14:paraId="20DC8570" w14:textId="188EDC57" w:rsidR="00100FC5" w:rsidRDefault="00100FC5" w:rsidP="00100FC5">
      <w:pPr>
        <w:pStyle w:val="Heading2"/>
        <w:rPr>
          <w:noProof/>
        </w:rPr>
      </w:pPr>
      <w:bookmarkStart w:id="9" w:name="_Toc122424402"/>
      <w:bookmarkStart w:id="10" w:name="_Toc200111067"/>
      <w:r>
        <w:rPr>
          <w:noProof/>
        </w:rPr>
        <w:t>Australian Communications and Media Authority</w:t>
      </w:r>
      <w:bookmarkEnd w:id="9"/>
      <w:bookmarkEnd w:id="10"/>
    </w:p>
    <w:p w14:paraId="46F7E85D" w14:textId="77777777" w:rsidR="00100FC5" w:rsidRPr="00774646" w:rsidRDefault="00100FC5" w:rsidP="00100FC5">
      <w:pPr>
        <w:pStyle w:val="Figure"/>
        <w:ind w:left="0" w:firstLine="0"/>
      </w:pPr>
      <w:r w:rsidRPr="00057A02">
        <w:t xml:space="preserve">Compliance summary: Australian </w:t>
      </w:r>
      <w:r>
        <w:t>Communications and Media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Competition and Consumer Commission"/>
        <w:tblDescription w:val="Compliance summary: Australian Communications and Media Authority"/>
      </w:tblPr>
      <w:tblGrid>
        <w:gridCol w:w="3019"/>
        <w:gridCol w:w="1378"/>
        <w:gridCol w:w="1703"/>
        <w:gridCol w:w="1936"/>
        <w:gridCol w:w="1932"/>
      </w:tblGrid>
      <w:tr w:rsidR="00100FC5" w14:paraId="05F6A96B" w14:textId="77777777" w:rsidTr="00100FC5">
        <w:trPr>
          <w:cnfStyle w:val="100000000000" w:firstRow="1" w:lastRow="0" w:firstColumn="0" w:lastColumn="0" w:oddVBand="0" w:evenVBand="0" w:oddHBand="0" w:evenHBand="0" w:firstRowFirstColumn="0" w:firstRowLastColumn="0" w:lastRowFirstColumn="0" w:lastRowLastColumn="0"/>
          <w:trHeight w:val="20"/>
          <w:tblHeader/>
        </w:trPr>
        <w:tc>
          <w:tcPr>
            <w:tcW w:w="1514" w:type="pct"/>
            <w:tcBorders>
              <w:top w:val="none" w:sz="0" w:space="0" w:color="auto"/>
              <w:left w:val="none" w:sz="0" w:space="0" w:color="auto"/>
              <w:bottom w:val="none" w:sz="0" w:space="0" w:color="auto"/>
            </w:tcBorders>
            <w:vAlign w:val="center"/>
          </w:tcPr>
          <w:p w14:paraId="2F9A06FC" w14:textId="77777777" w:rsidR="00100FC5" w:rsidRPr="006E170D" w:rsidRDefault="00100FC5" w:rsidP="007F69F4">
            <w:pPr>
              <w:pStyle w:val="TBLHeading"/>
            </w:pPr>
            <w:r>
              <w:t>Proposal</w:t>
            </w:r>
          </w:p>
        </w:tc>
        <w:tc>
          <w:tcPr>
            <w:tcW w:w="691" w:type="pct"/>
            <w:tcBorders>
              <w:top w:val="none" w:sz="0" w:space="0" w:color="auto"/>
              <w:bottom w:val="none" w:sz="0" w:space="0" w:color="auto"/>
            </w:tcBorders>
            <w:vAlign w:val="center"/>
          </w:tcPr>
          <w:p w14:paraId="430ACB29" w14:textId="27B2C87F" w:rsidR="00100FC5" w:rsidRPr="006E170D" w:rsidRDefault="006B3940" w:rsidP="007F69F4">
            <w:pPr>
              <w:pStyle w:val="TBLHeading"/>
            </w:pPr>
            <w:r>
              <w:t>IA</w:t>
            </w:r>
            <w:r w:rsidR="00100FC5">
              <w:t xml:space="preserve"> Compliance</w:t>
            </w:r>
          </w:p>
        </w:tc>
        <w:tc>
          <w:tcPr>
            <w:tcW w:w="854" w:type="pct"/>
            <w:tcBorders>
              <w:top w:val="none" w:sz="0" w:space="0" w:color="auto"/>
              <w:bottom w:val="none" w:sz="0" w:space="0" w:color="auto"/>
            </w:tcBorders>
            <w:vAlign w:val="center"/>
          </w:tcPr>
          <w:p w14:paraId="1020C707" w14:textId="77777777" w:rsidR="00100FC5" w:rsidRPr="006E170D" w:rsidRDefault="00100FC5" w:rsidP="007F69F4">
            <w:pPr>
              <w:pStyle w:val="TBLHeading"/>
            </w:pPr>
            <w:r>
              <w:t>Rating</w:t>
            </w:r>
          </w:p>
        </w:tc>
        <w:tc>
          <w:tcPr>
            <w:tcW w:w="971" w:type="pct"/>
            <w:tcBorders>
              <w:top w:val="none" w:sz="0" w:space="0" w:color="auto"/>
              <w:bottom w:val="none" w:sz="0" w:space="0" w:color="auto"/>
            </w:tcBorders>
            <w:vAlign w:val="center"/>
          </w:tcPr>
          <w:p w14:paraId="548016EE" w14:textId="77777777" w:rsidR="00100FC5" w:rsidRPr="006E170D" w:rsidRDefault="00100FC5" w:rsidP="007F69F4">
            <w:pPr>
              <w:pStyle w:val="TBLHeading"/>
            </w:pPr>
            <w:r>
              <w:t>PIR Required</w:t>
            </w:r>
          </w:p>
        </w:tc>
        <w:tc>
          <w:tcPr>
            <w:tcW w:w="969" w:type="pct"/>
            <w:tcBorders>
              <w:top w:val="none" w:sz="0" w:space="0" w:color="auto"/>
              <w:bottom w:val="none" w:sz="0" w:space="0" w:color="auto"/>
              <w:right w:val="none" w:sz="0" w:space="0" w:color="auto"/>
            </w:tcBorders>
            <w:vAlign w:val="center"/>
          </w:tcPr>
          <w:p w14:paraId="50FC9BED" w14:textId="77777777" w:rsidR="00100FC5" w:rsidRPr="006E170D" w:rsidRDefault="00100FC5" w:rsidP="007F69F4">
            <w:pPr>
              <w:pStyle w:val="TBLHeading"/>
            </w:pPr>
            <w:r>
              <w:t>Regulatory Burden ($m)</w:t>
            </w:r>
          </w:p>
        </w:tc>
      </w:tr>
      <w:tr w:rsidR="00100FC5" w14:paraId="2D4DA46D" w14:textId="77777777" w:rsidTr="00100FC5">
        <w:trPr>
          <w:trHeight w:val="20"/>
        </w:trPr>
        <w:tc>
          <w:tcPr>
            <w:tcW w:w="1514" w:type="pct"/>
            <w:shd w:val="clear" w:color="auto" w:fill="auto"/>
            <w:vAlign w:val="center"/>
          </w:tcPr>
          <w:p w14:paraId="62CE2AF0" w14:textId="77777777" w:rsidR="00100FC5" w:rsidRPr="002B0DDE" w:rsidRDefault="00782281" w:rsidP="00100FC5">
            <w:pPr>
              <w:rPr>
                <w:rFonts w:eastAsia="Times New Roman"/>
              </w:rPr>
            </w:pPr>
            <w:r w:rsidRPr="00782281">
              <w:rPr>
                <w:sz w:val="18"/>
              </w:rPr>
              <w:t>Reducing the impact of SMS scams</w:t>
            </w:r>
          </w:p>
        </w:tc>
        <w:tc>
          <w:tcPr>
            <w:tcW w:w="691" w:type="pct"/>
            <w:shd w:val="clear" w:color="auto" w:fill="auto"/>
            <w:vAlign w:val="center"/>
          </w:tcPr>
          <w:p w14:paraId="1A521474" w14:textId="77777777" w:rsidR="00100FC5" w:rsidRPr="006E170D" w:rsidRDefault="00100FC5" w:rsidP="00D75837">
            <w:pPr>
              <w:pStyle w:val="TBLText"/>
            </w:pPr>
            <w:r w:rsidRPr="002B0DDE">
              <w:rPr>
                <w:rFonts w:eastAsia="MS Mincho"/>
                <w:spacing w:val="-3"/>
              </w:rPr>
              <w:t>Compliant</w:t>
            </w:r>
          </w:p>
        </w:tc>
        <w:tc>
          <w:tcPr>
            <w:tcW w:w="854" w:type="pct"/>
            <w:shd w:val="clear" w:color="auto" w:fill="auto"/>
            <w:vAlign w:val="center"/>
          </w:tcPr>
          <w:p w14:paraId="59E762C2" w14:textId="77777777" w:rsidR="00100FC5" w:rsidRPr="00DC6355" w:rsidRDefault="00100FC5" w:rsidP="00100FC5">
            <w:pPr>
              <w:pStyle w:val="TBLText"/>
            </w:pPr>
            <w:r w:rsidRPr="00DC6355">
              <w:rPr>
                <w:rFonts w:eastAsia="MS Mincho"/>
                <w:spacing w:val="-3"/>
              </w:rPr>
              <w:t>G</w:t>
            </w:r>
            <w:r w:rsidR="00782281" w:rsidRPr="00DC6355">
              <w:rPr>
                <w:rFonts w:eastAsia="MS Mincho"/>
                <w:spacing w:val="-3"/>
              </w:rPr>
              <w:t xml:space="preserve">ood </w:t>
            </w:r>
            <w:r w:rsidRPr="00DC6355">
              <w:rPr>
                <w:rFonts w:eastAsia="MS Mincho"/>
                <w:spacing w:val="-3"/>
              </w:rPr>
              <w:t>P</w:t>
            </w:r>
            <w:r w:rsidR="00782281" w:rsidRPr="00DC6355">
              <w:rPr>
                <w:rFonts w:eastAsia="MS Mincho"/>
                <w:spacing w:val="-3"/>
              </w:rPr>
              <w:t>ractice</w:t>
            </w:r>
          </w:p>
        </w:tc>
        <w:tc>
          <w:tcPr>
            <w:tcW w:w="971" w:type="pct"/>
            <w:shd w:val="clear" w:color="auto" w:fill="auto"/>
            <w:vAlign w:val="center"/>
          </w:tcPr>
          <w:p w14:paraId="1CC4844C" w14:textId="77777777" w:rsidR="00100FC5" w:rsidRPr="00DC6355" w:rsidRDefault="00DC6355" w:rsidP="00D75837">
            <w:pPr>
              <w:pStyle w:val="TBLText"/>
            </w:pPr>
            <w:r w:rsidRPr="00DC6355">
              <w:rPr>
                <w:rFonts w:eastAsia="MS Mincho"/>
                <w:spacing w:val="-3"/>
              </w:rPr>
              <w:t>No</w:t>
            </w:r>
          </w:p>
        </w:tc>
        <w:tc>
          <w:tcPr>
            <w:tcW w:w="969" w:type="pct"/>
            <w:shd w:val="clear" w:color="auto" w:fill="auto"/>
            <w:vAlign w:val="center"/>
          </w:tcPr>
          <w:p w14:paraId="3A140697" w14:textId="77777777" w:rsidR="00100FC5" w:rsidRPr="006E170D" w:rsidRDefault="00100FC5" w:rsidP="00D75837">
            <w:pPr>
              <w:pStyle w:val="TBLText"/>
            </w:pPr>
            <w:r w:rsidRPr="002B0DDE">
              <w:rPr>
                <w:rFonts w:eastAsia="MS Mincho"/>
                <w:spacing w:val="-3"/>
              </w:rPr>
              <w:t>N/A</w:t>
            </w:r>
          </w:p>
        </w:tc>
      </w:tr>
      <w:tr w:rsidR="00782281" w14:paraId="465458D3" w14:textId="77777777" w:rsidTr="00734239">
        <w:trPr>
          <w:trHeight w:val="20"/>
        </w:trPr>
        <w:tc>
          <w:tcPr>
            <w:tcW w:w="1514" w:type="pct"/>
            <w:shd w:val="clear" w:color="auto" w:fill="DBE6F5" w:themeFill="text2" w:themeFillTint="1A"/>
            <w:vAlign w:val="center"/>
          </w:tcPr>
          <w:p w14:paraId="16A9ADB6" w14:textId="77777777" w:rsidR="00782281" w:rsidRPr="00782281" w:rsidRDefault="00782281" w:rsidP="00100FC5">
            <w:pPr>
              <w:rPr>
                <w:sz w:val="18"/>
              </w:rPr>
            </w:pPr>
            <w:r w:rsidRPr="00782281">
              <w:rPr>
                <w:sz w:val="18"/>
              </w:rPr>
              <w:t>Spectrum Pricing Review: 2nd Tranche of Reform Options</w:t>
            </w:r>
          </w:p>
        </w:tc>
        <w:tc>
          <w:tcPr>
            <w:tcW w:w="691" w:type="pct"/>
            <w:shd w:val="clear" w:color="auto" w:fill="DBE6F5" w:themeFill="text2" w:themeFillTint="1A"/>
            <w:vAlign w:val="center"/>
          </w:tcPr>
          <w:p w14:paraId="0679D6DE" w14:textId="77777777" w:rsidR="00782281" w:rsidRPr="002B0DDE" w:rsidRDefault="00782281" w:rsidP="00D75837">
            <w:pPr>
              <w:pStyle w:val="TBLText"/>
              <w:rPr>
                <w:rFonts w:eastAsia="MS Mincho"/>
                <w:spacing w:val="-3"/>
              </w:rPr>
            </w:pPr>
            <w:r w:rsidRPr="002B0DDE">
              <w:rPr>
                <w:rFonts w:eastAsia="MS Mincho"/>
                <w:spacing w:val="-3"/>
              </w:rPr>
              <w:t>Compliant</w:t>
            </w:r>
          </w:p>
        </w:tc>
        <w:tc>
          <w:tcPr>
            <w:tcW w:w="854" w:type="pct"/>
            <w:shd w:val="clear" w:color="auto" w:fill="DBE6F5" w:themeFill="text2" w:themeFillTint="1A"/>
            <w:vAlign w:val="center"/>
          </w:tcPr>
          <w:p w14:paraId="0B34BB86" w14:textId="77777777" w:rsidR="00782281" w:rsidRDefault="00782281" w:rsidP="00100FC5">
            <w:pPr>
              <w:pStyle w:val="TBLText"/>
              <w:rPr>
                <w:rFonts w:eastAsia="MS Mincho"/>
                <w:spacing w:val="-3"/>
              </w:rPr>
            </w:pPr>
            <w:r>
              <w:rPr>
                <w:rFonts w:eastAsia="MS Mincho"/>
                <w:spacing w:val="-3"/>
              </w:rPr>
              <w:t>Good Practice</w:t>
            </w:r>
          </w:p>
        </w:tc>
        <w:tc>
          <w:tcPr>
            <w:tcW w:w="971" w:type="pct"/>
            <w:shd w:val="clear" w:color="auto" w:fill="DBE6F5" w:themeFill="text2" w:themeFillTint="1A"/>
            <w:vAlign w:val="center"/>
          </w:tcPr>
          <w:p w14:paraId="010AB1FD" w14:textId="77777777" w:rsidR="00782281" w:rsidRPr="00DC6355" w:rsidRDefault="00DC6355" w:rsidP="00D75837">
            <w:pPr>
              <w:pStyle w:val="TBLText"/>
              <w:rPr>
                <w:rFonts w:eastAsia="MS Mincho"/>
                <w:spacing w:val="-3"/>
              </w:rPr>
            </w:pPr>
            <w:r w:rsidRPr="00DC6355">
              <w:rPr>
                <w:rFonts w:eastAsia="MS Mincho"/>
                <w:spacing w:val="-3"/>
              </w:rPr>
              <w:t>No</w:t>
            </w:r>
          </w:p>
        </w:tc>
        <w:tc>
          <w:tcPr>
            <w:tcW w:w="969" w:type="pct"/>
            <w:shd w:val="clear" w:color="auto" w:fill="DBE6F5" w:themeFill="text2" w:themeFillTint="1A"/>
            <w:vAlign w:val="center"/>
          </w:tcPr>
          <w:p w14:paraId="125AF421" w14:textId="77777777" w:rsidR="00782281" w:rsidRPr="002B0DDE" w:rsidRDefault="00782281" w:rsidP="00D75837">
            <w:pPr>
              <w:pStyle w:val="TBLText"/>
              <w:rPr>
                <w:rFonts w:eastAsia="MS Mincho"/>
                <w:spacing w:val="-3"/>
              </w:rPr>
            </w:pPr>
            <w:r>
              <w:rPr>
                <w:rFonts w:eastAsia="MS Mincho"/>
                <w:spacing w:val="-3"/>
              </w:rPr>
              <w:t>-</w:t>
            </w:r>
          </w:p>
        </w:tc>
      </w:tr>
      <w:tr w:rsidR="00DB0E6B" w14:paraId="3F38B284" w14:textId="77777777" w:rsidTr="00DB0E6B">
        <w:trPr>
          <w:trHeight w:val="20"/>
        </w:trPr>
        <w:tc>
          <w:tcPr>
            <w:tcW w:w="1514" w:type="pct"/>
            <w:shd w:val="clear" w:color="auto" w:fill="auto"/>
            <w:vAlign w:val="center"/>
          </w:tcPr>
          <w:p w14:paraId="54772C9C" w14:textId="088665EE" w:rsidR="00DB0E6B" w:rsidRPr="00782281" w:rsidRDefault="00DB0E6B" w:rsidP="00100FC5">
            <w:pPr>
              <w:rPr>
                <w:sz w:val="18"/>
              </w:rPr>
            </w:pPr>
            <w:r w:rsidRPr="00DB0E6B">
              <w:rPr>
                <w:sz w:val="18"/>
              </w:rPr>
              <w:t>3.4-4 GHz remote allocation of area-wide licences</w:t>
            </w:r>
          </w:p>
        </w:tc>
        <w:tc>
          <w:tcPr>
            <w:tcW w:w="691" w:type="pct"/>
            <w:shd w:val="clear" w:color="auto" w:fill="auto"/>
            <w:vAlign w:val="center"/>
          </w:tcPr>
          <w:p w14:paraId="7AF73B01" w14:textId="7BBD03E8" w:rsidR="00DB0E6B" w:rsidRPr="002B0DDE" w:rsidRDefault="00DB0E6B" w:rsidP="00D75837">
            <w:pPr>
              <w:pStyle w:val="TBLText"/>
              <w:rPr>
                <w:rFonts w:eastAsia="MS Mincho"/>
                <w:spacing w:val="-3"/>
              </w:rPr>
            </w:pPr>
            <w:r w:rsidRPr="002B0DDE">
              <w:rPr>
                <w:rFonts w:eastAsia="MS Mincho"/>
                <w:spacing w:val="-3"/>
              </w:rPr>
              <w:t>Compliant</w:t>
            </w:r>
          </w:p>
        </w:tc>
        <w:tc>
          <w:tcPr>
            <w:tcW w:w="854" w:type="pct"/>
            <w:shd w:val="clear" w:color="auto" w:fill="auto"/>
            <w:vAlign w:val="center"/>
          </w:tcPr>
          <w:p w14:paraId="799F8980" w14:textId="6ABC6510" w:rsidR="00DB0E6B" w:rsidRDefault="00DB0E6B" w:rsidP="00100FC5">
            <w:pPr>
              <w:pStyle w:val="TBLText"/>
              <w:rPr>
                <w:rFonts w:eastAsia="MS Mincho"/>
                <w:spacing w:val="-3"/>
              </w:rPr>
            </w:pPr>
            <w:r>
              <w:rPr>
                <w:rFonts w:eastAsia="MS Mincho"/>
                <w:spacing w:val="-3"/>
              </w:rPr>
              <w:t>Adequate</w:t>
            </w:r>
          </w:p>
        </w:tc>
        <w:tc>
          <w:tcPr>
            <w:tcW w:w="971" w:type="pct"/>
            <w:shd w:val="clear" w:color="auto" w:fill="auto"/>
            <w:vAlign w:val="center"/>
          </w:tcPr>
          <w:p w14:paraId="786AE251" w14:textId="3316DB41" w:rsidR="00DB0E6B" w:rsidRPr="00DC6355" w:rsidRDefault="00EE4752" w:rsidP="00D75837">
            <w:pPr>
              <w:pStyle w:val="TBLText"/>
              <w:rPr>
                <w:rFonts w:eastAsia="MS Mincho"/>
                <w:spacing w:val="-3"/>
              </w:rPr>
            </w:pPr>
            <w:r>
              <w:rPr>
                <w:rFonts w:eastAsia="MS Mincho"/>
                <w:spacing w:val="-3"/>
              </w:rPr>
              <w:t>No</w:t>
            </w:r>
          </w:p>
        </w:tc>
        <w:tc>
          <w:tcPr>
            <w:tcW w:w="969" w:type="pct"/>
            <w:shd w:val="clear" w:color="auto" w:fill="auto"/>
            <w:vAlign w:val="center"/>
          </w:tcPr>
          <w:p w14:paraId="37793024" w14:textId="2C801FB9" w:rsidR="00DB0E6B" w:rsidRDefault="00DB0E6B" w:rsidP="00D75837">
            <w:pPr>
              <w:pStyle w:val="TBLText"/>
              <w:rPr>
                <w:rFonts w:eastAsia="MS Mincho"/>
                <w:spacing w:val="-3"/>
              </w:rPr>
            </w:pPr>
            <w:r>
              <w:rPr>
                <w:rFonts w:eastAsia="MS Mincho"/>
                <w:spacing w:val="-3"/>
              </w:rPr>
              <w:t>-</w:t>
            </w:r>
          </w:p>
        </w:tc>
      </w:tr>
      <w:tr w:rsidR="00100FC5" w14:paraId="00D14E5C" w14:textId="77777777" w:rsidTr="00DB0E6B">
        <w:trPr>
          <w:trHeight w:val="20"/>
        </w:trPr>
        <w:tc>
          <w:tcPr>
            <w:tcW w:w="1514" w:type="pct"/>
            <w:shd w:val="clear" w:color="auto" w:fill="DBE6F5" w:themeFill="text2" w:themeFillTint="1A"/>
            <w:vAlign w:val="center"/>
          </w:tcPr>
          <w:p w14:paraId="2CE07CE5" w14:textId="77777777" w:rsidR="00100FC5" w:rsidRPr="00C438FB" w:rsidRDefault="00100FC5" w:rsidP="00D75837">
            <w:pPr>
              <w:pStyle w:val="TBLText"/>
              <w:rPr>
                <w:b/>
              </w:rPr>
            </w:pPr>
            <w:r w:rsidRPr="00C438FB">
              <w:rPr>
                <w:b/>
              </w:rPr>
              <w:t>Total proposals</w:t>
            </w:r>
          </w:p>
        </w:tc>
        <w:tc>
          <w:tcPr>
            <w:tcW w:w="691" w:type="pct"/>
            <w:shd w:val="clear" w:color="auto" w:fill="DBE6F5" w:themeFill="text2" w:themeFillTint="1A"/>
            <w:vAlign w:val="center"/>
          </w:tcPr>
          <w:p w14:paraId="3B241E14" w14:textId="69F8ACFF" w:rsidR="00100FC5" w:rsidRPr="00C438FB" w:rsidRDefault="00DB0E6B" w:rsidP="00DB0E6B">
            <w:pPr>
              <w:pStyle w:val="TBLText"/>
              <w:rPr>
                <w:b/>
              </w:rPr>
            </w:pPr>
            <w:r>
              <w:rPr>
                <w:b/>
              </w:rPr>
              <w:t>3</w:t>
            </w:r>
            <w:r w:rsidR="00100FC5" w:rsidRPr="00C438FB">
              <w:rPr>
                <w:b/>
              </w:rPr>
              <w:t>/</w:t>
            </w:r>
            <w:r>
              <w:rPr>
                <w:b/>
              </w:rPr>
              <w:t>3</w:t>
            </w:r>
          </w:p>
        </w:tc>
        <w:tc>
          <w:tcPr>
            <w:tcW w:w="854" w:type="pct"/>
            <w:shd w:val="clear" w:color="auto" w:fill="DBE6F5" w:themeFill="text2" w:themeFillTint="1A"/>
            <w:vAlign w:val="center"/>
          </w:tcPr>
          <w:p w14:paraId="73A2CAA4" w14:textId="77777777" w:rsidR="00100FC5" w:rsidRPr="00C438FB" w:rsidRDefault="00100FC5" w:rsidP="00D75837">
            <w:pPr>
              <w:pStyle w:val="TBLText"/>
              <w:rPr>
                <w:b/>
              </w:rPr>
            </w:pPr>
            <w:r w:rsidRPr="00C438FB">
              <w:rPr>
                <w:b/>
              </w:rPr>
              <w:t>-</w:t>
            </w:r>
          </w:p>
        </w:tc>
        <w:tc>
          <w:tcPr>
            <w:tcW w:w="971" w:type="pct"/>
            <w:shd w:val="clear" w:color="auto" w:fill="DBE6F5" w:themeFill="text2" w:themeFillTint="1A"/>
            <w:vAlign w:val="center"/>
          </w:tcPr>
          <w:p w14:paraId="4744EC90" w14:textId="78DE2431" w:rsidR="00100FC5" w:rsidRPr="00DC6355" w:rsidRDefault="00100FC5" w:rsidP="00DB0E6B">
            <w:pPr>
              <w:pStyle w:val="TBLText"/>
              <w:rPr>
                <w:b/>
              </w:rPr>
            </w:pPr>
            <w:r w:rsidRPr="00EE4752">
              <w:rPr>
                <w:b/>
              </w:rPr>
              <w:t>0/</w:t>
            </w:r>
            <w:r w:rsidR="00DB0E6B" w:rsidRPr="00EE4752">
              <w:rPr>
                <w:b/>
              </w:rPr>
              <w:t>3</w:t>
            </w:r>
          </w:p>
        </w:tc>
        <w:tc>
          <w:tcPr>
            <w:tcW w:w="969" w:type="pct"/>
            <w:shd w:val="clear" w:color="auto" w:fill="DBE6F5" w:themeFill="text2" w:themeFillTint="1A"/>
            <w:vAlign w:val="center"/>
          </w:tcPr>
          <w:p w14:paraId="3A343B3C" w14:textId="77777777" w:rsidR="00100FC5" w:rsidRPr="00C438FB" w:rsidRDefault="00100FC5" w:rsidP="00D75837">
            <w:pPr>
              <w:pStyle w:val="TBLText"/>
              <w:rPr>
                <w:b/>
              </w:rPr>
            </w:pPr>
            <w:r w:rsidRPr="00C438FB">
              <w:rPr>
                <w:b/>
              </w:rPr>
              <w:t>-</w:t>
            </w:r>
          </w:p>
        </w:tc>
      </w:tr>
    </w:tbl>
    <w:p w14:paraId="78B7BF90" w14:textId="77777777" w:rsidR="001D3FE5" w:rsidRDefault="001D3FE5" w:rsidP="001D3FE5">
      <w:pPr>
        <w:pStyle w:val="Heading2"/>
        <w:rPr>
          <w:noProof/>
        </w:rPr>
      </w:pPr>
      <w:bookmarkStart w:id="11" w:name="_Toc122424403"/>
      <w:bookmarkStart w:id="12" w:name="_Toc200111068"/>
      <w:r>
        <w:rPr>
          <w:noProof/>
        </w:rPr>
        <w:t>Australian Competition and Consumer Commission</w:t>
      </w:r>
      <w:bookmarkEnd w:id="11"/>
      <w:bookmarkEnd w:id="12"/>
      <w:r>
        <w:rPr>
          <w:noProof/>
        </w:rPr>
        <w:t xml:space="preserve"> </w:t>
      </w:r>
    </w:p>
    <w:p w14:paraId="3C3CF498" w14:textId="1F9F1FA2" w:rsidR="000E5D37" w:rsidRDefault="000E5D37" w:rsidP="000E5D37">
      <w:pPr>
        <w:pStyle w:val="Heading3"/>
      </w:pPr>
      <w:bookmarkStart w:id="13" w:name="_Toc122424404"/>
      <w:bookmarkStart w:id="14" w:name="_Toc200111069"/>
      <w:r>
        <w:t xml:space="preserve">Early Assessment </w:t>
      </w:r>
      <w:r w:rsidR="000B240E">
        <w:t>IA</w:t>
      </w:r>
      <w:r>
        <w:t xml:space="preserve"> - </w:t>
      </w:r>
      <w:r w:rsidRPr="000E5D37">
        <w:t>Infant Inclined Products and Infant Sleep Products</w:t>
      </w:r>
      <w:bookmarkEnd w:id="13"/>
      <w:bookmarkEnd w:id="14"/>
    </w:p>
    <w:p w14:paraId="09804536" w14:textId="77777777" w:rsidR="001D3FE5" w:rsidRPr="00774646" w:rsidRDefault="001D3FE5" w:rsidP="001D3FE5">
      <w:pPr>
        <w:pStyle w:val="Figure"/>
        <w:ind w:left="0" w:firstLine="0"/>
      </w:pPr>
      <w:r w:rsidRPr="00057A02">
        <w:t xml:space="preserve">Compliance summary: Australian </w:t>
      </w:r>
      <w:r>
        <w:t>Competition and Consumer Commission</w:t>
      </w:r>
    </w:p>
    <w:tbl>
      <w:tblPr>
        <w:tblStyle w:val="ListTable4-Accent1"/>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CCC Early Asssessment IA"/>
        <w:tblDescription w:val="Compliance summary: ACCC Early Asssessment IA"/>
      </w:tblPr>
      <w:tblGrid>
        <w:gridCol w:w="5275"/>
        <w:gridCol w:w="4693"/>
      </w:tblGrid>
      <w:tr w:rsidR="001D3FE5" w:rsidRPr="00AE10E6" w14:paraId="6197ED4C" w14:textId="77777777" w:rsidTr="00B67D5D">
        <w:trPr>
          <w:cnfStyle w:val="100000000000" w:firstRow="1" w:lastRow="0" w:firstColumn="0" w:lastColumn="0" w:oddVBand="0" w:evenVBand="0" w:oddHBand="0" w:evenHBand="0" w:firstRowFirstColumn="0" w:firstRowLastColumn="0" w:lastRowFirstColumn="0" w:lastRowLastColumn="0"/>
          <w:trHeight w:val="20"/>
          <w:tblHeader/>
        </w:trPr>
        <w:tc>
          <w:tcPr>
            <w:tcW w:w="2646" w:type="pct"/>
            <w:tcBorders>
              <w:top w:val="none" w:sz="0" w:space="0" w:color="auto"/>
              <w:left w:val="none" w:sz="0" w:space="0" w:color="auto"/>
              <w:bottom w:val="none" w:sz="0" w:space="0" w:color="auto"/>
            </w:tcBorders>
            <w:vAlign w:val="center"/>
          </w:tcPr>
          <w:p w14:paraId="18EBE1DD" w14:textId="77777777" w:rsidR="001D3FE5" w:rsidRPr="00AE10E6" w:rsidRDefault="001D3FE5" w:rsidP="00B67D5D">
            <w:pPr>
              <w:pStyle w:val="TBLHeading"/>
            </w:pPr>
            <w:r w:rsidRPr="00AE10E6">
              <w:t>Proposal</w:t>
            </w:r>
          </w:p>
        </w:tc>
        <w:tc>
          <w:tcPr>
            <w:tcW w:w="2354" w:type="pct"/>
            <w:tcBorders>
              <w:top w:val="none" w:sz="0" w:space="0" w:color="auto"/>
              <w:bottom w:val="none" w:sz="0" w:space="0" w:color="auto"/>
              <w:right w:val="none" w:sz="0" w:space="0" w:color="auto"/>
            </w:tcBorders>
            <w:vAlign w:val="center"/>
          </w:tcPr>
          <w:p w14:paraId="2C44AC6F" w14:textId="6C153A3A" w:rsidR="001D3FE5" w:rsidRPr="00AE10E6" w:rsidRDefault="006B3940" w:rsidP="00B67D5D">
            <w:pPr>
              <w:pStyle w:val="TBLHeading"/>
            </w:pPr>
            <w:r>
              <w:t xml:space="preserve">IA </w:t>
            </w:r>
            <w:r w:rsidR="001D3FE5" w:rsidRPr="00AE10E6">
              <w:t>Compliance</w:t>
            </w:r>
          </w:p>
        </w:tc>
      </w:tr>
      <w:tr w:rsidR="001D3FE5" w:rsidRPr="00AE10E6" w14:paraId="1C6A7706" w14:textId="77777777" w:rsidTr="00B67D5D">
        <w:trPr>
          <w:trHeight w:val="20"/>
        </w:trPr>
        <w:tc>
          <w:tcPr>
            <w:tcW w:w="2646" w:type="pct"/>
            <w:vAlign w:val="center"/>
          </w:tcPr>
          <w:p w14:paraId="1C7767AF" w14:textId="77777777" w:rsidR="001D3FE5" w:rsidRPr="00AE10E6" w:rsidRDefault="001D3FE5" w:rsidP="00B67D5D">
            <w:pPr>
              <w:pStyle w:val="TBLText"/>
            </w:pPr>
            <w:r w:rsidRPr="001D3FE5">
              <w:rPr>
                <w:rFonts w:cs="Calibri"/>
                <w:color w:val="000000"/>
              </w:rPr>
              <w:t>Infant Inclined Products and Infant Sleep Products</w:t>
            </w:r>
          </w:p>
        </w:tc>
        <w:tc>
          <w:tcPr>
            <w:tcW w:w="2354" w:type="pct"/>
            <w:vAlign w:val="center"/>
          </w:tcPr>
          <w:p w14:paraId="2BD16DB5" w14:textId="77777777" w:rsidR="001D3FE5" w:rsidRPr="00AE10E6" w:rsidRDefault="001D3FE5" w:rsidP="00B67D5D">
            <w:pPr>
              <w:pStyle w:val="TBLText"/>
            </w:pPr>
            <w:r w:rsidRPr="00AE10E6">
              <w:rPr>
                <w:rFonts w:eastAsia="MS Mincho"/>
                <w:spacing w:val="-3"/>
              </w:rPr>
              <w:t>Compliant</w:t>
            </w:r>
          </w:p>
        </w:tc>
      </w:tr>
      <w:tr w:rsidR="001D3FE5" w14:paraId="5C5D8DF3" w14:textId="77777777" w:rsidTr="00B67D5D">
        <w:trPr>
          <w:trHeight w:val="20"/>
        </w:trPr>
        <w:tc>
          <w:tcPr>
            <w:tcW w:w="2646" w:type="pct"/>
            <w:shd w:val="clear" w:color="auto" w:fill="E0E8F2" w:themeFill="background2"/>
            <w:vAlign w:val="center"/>
          </w:tcPr>
          <w:p w14:paraId="3B64D27C" w14:textId="77777777" w:rsidR="001D3FE5" w:rsidRPr="00AE10E6" w:rsidRDefault="001D3FE5" w:rsidP="00B67D5D">
            <w:pPr>
              <w:pStyle w:val="TBLText"/>
              <w:rPr>
                <w:b/>
              </w:rPr>
            </w:pPr>
            <w:r w:rsidRPr="00AE10E6">
              <w:rPr>
                <w:b/>
              </w:rPr>
              <w:t>Total proposals</w:t>
            </w:r>
          </w:p>
        </w:tc>
        <w:tc>
          <w:tcPr>
            <w:tcW w:w="2354" w:type="pct"/>
            <w:shd w:val="clear" w:color="auto" w:fill="E0E8F2" w:themeFill="background2"/>
            <w:vAlign w:val="center"/>
          </w:tcPr>
          <w:p w14:paraId="25EBA675" w14:textId="77777777" w:rsidR="001D3FE5" w:rsidRPr="00AE10E6" w:rsidRDefault="001D3FE5" w:rsidP="00B67D5D">
            <w:pPr>
              <w:pStyle w:val="TBLText"/>
              <w:rPr>
                <w:b/>
              </w:rPr>
            </w:pPr>
            <w:r w:rsidRPr="00AE10E6">
              <w:rPr>
                <w:b/>
              </w:rPr>
              <w:t>1/1</w:t>
            </w:r>
          </w:p>
        </w:tc>
      </w:tr>
    </w:tbl>
    <w:p w14:paraId="0C1B8D01" w14:textId="77777777" w:rsidR="001D313F" w:rsidRDefault="00664975" w:rsidP="001D313F">
      <w:pPr>
        <w:pStyle w:val="Heading2"/>
        <w:rPr>
          <w:noProof/>
        </w:rPr>
      </w:pPr>
      <w:bookmarkStart w:id="15" w:name="_Toc122424405"/>
      <w:bookmarkStart w:id="16" w:name="_Toc200111070"/>
      <w:r>
        <w:rPr>
          <w:noProof/>
        </w:rPr>
        <w:t>Australian Prudential Regulation Authority</w:t>
      </w:r>
      <w:bookmarkEnd w:id="15"/>
      <w:bookmarkEnd w:id="16"/>
    </w:p>
    <w:p w14:paraId="17FD1E28" w14:textId="77777777" w:rsidR="00C5375B" w:rsidRPr="00774646" w:rsidRDefault="00057A02" w:rsidP="000551F4">
      <w:pPr>
        <w:pStyle w:val="Figure"/>
        <w:ind w:left="0" w:firstLine="0"/>
      </w:pPr>
      <w:r w:rsidRPr="00057A02">
        <w:t>Compliance summary: Australian Prudential Regulation Authority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Prudential Regulation Authority"/>
        <w:tblDescription w:val="Compliance summary: Australian Prudential Regulation Authority"/>
      </w:tblPr>
      <w:tblGrid>
        <w:gridCol w:w="3017"/>
        <w:gridCol w:w="1380"/>
        <w:gridCol w:w="1701"/>
        <w:gridCol w:w="1936"/>
        <w:gridCol w:w="1934"/>
      </w:tblGrid>
      <w:tr w:rsidR="009F329B" w14:paraId="59C8E690" w14:textId="77777777" w:rsidTr="0088267D">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647AA03F" w14:textId="77777777" w:rsidR="009F329B" w:rsidRPr="006E170D" w:rsidRDefault="009F329B" w:rsidP="007F69F4">
            <w:pPr>
              <w:pStyle w:val="TBLHeading"/>
            </w:pPr>
            <w:r>
              <w:t>Proposal</w:t>
            </w:r>
          </w:p>
        </w:tc>
        <w:tc>
          <w:tcPr>
            <w:tcW w:w="692" w:type="pct"/>
            <w:tcBorders>
              <w:top w:val="none" w:sz="0" w:space="0" w:color="auto"/>
              <w:bottom w:val="none" w:sz="0" w:space="0" w:color="auto"/>
            </w:tcBorders>
            <w:vAlign w:val="center"/>
          </w:tcPr>
          <w:p w14:paraId="4F62882C" w14:textId="09A954FD" w:rsidR="009F329B" w:rsidRPr="006E170D" w:rsidRDefault="006B3940" w:rsidP="007F69F4">
            <w:pPr>
              <w:pStyle w:val="TBLHeading"/>
            </w:pPr>
            <w:r>
              <w:t xml:space="preserve">IA </w:t>
            </w:r>
            <w:r w:rsidR="009F329B">
              <w:t>Compliance</w:t>
            </w:r>
          </w:p>
        </w:tc>
        <w:tc>
          <w:tcPr>
            <w:tcW w:w="853" w:type="pct"/>
            <w:tcBorders>
              <w:top w:val="none" w:sz="0" w:space="0" w:color="auto"/>
              <w:bottom w:val="none" w:sz="0" w:space="0" w:color="auto"/>
            </w:tcBorders>
            <w:vAlign w:val="center"/>
          </w:tcPr>
          <w:p w14:paraId="120EE06C" w14:textId="77777777" w:rsidR="009F329B" w:rsidRPr="006E170D" w:rsidRDefault="009F329B" w:rsidP="007F69F4">
            <w:pPr>
              <w:pStyle w:val="TBLHeading"/>
            </w:pPr>
            <w:r>
              <w:t>Rating</w:t>
            </w:r>
          </w:p>
        </w:tc>
        <w:tc>
          <w:tcPr>
            <w:tcW w:w="971" w:type="pct"/>
            <w:tcBorders>
              <w:top w:val="none" w:sz="0" w:space="0" w:color="auto"/>
              <w:bottom w:val="none" w:sz="0" w:space="0" w:color="auto"/>
            </w:tcBorders>
            <w:vAlign w:val="center"/>
          </w:tcPr>
          <w:p w14:paraId="5FC439F1" w14:textId="77777777" w:rsidR="009F329B" w:rsidRPr="006E170D" w:rsidRDefault="009F329B" w:rsidP="007F69F4">
            <w:pPr>
              <w:pStyle w:val="TBLHeading"/>
            </w:pPr>
            <w:r>
              <w:t>PIR Required</w:t>
            </w:r>
          </w:p>
        </w:tc>
        <w:tc>
          <w:tcPr>
            <w:tcW w:w="970" w:type="pct"/>
            <w:tcBorders>
              <w:top w:val="none" w:sz="0" w:space="0" w:color="auto"/>
              <w:bottom w:val="none" w:sz="0" w:space="0" w:color="auto"/>
              <w:right w:val="none" w:sz="0" w:space="0" w:color="auto"/>
            </w:tcBorders>
            <w:vAlign w:val="center"/>
          </w:tcPr>
          <w:p w14:paraId="05EFC0ED" w14:textId="77777777" w:rsidR="009F329B" w:rsidRPr="006E170D" w:rsidRDefault="009F329B" w:rsidP="007F69F4">
            <w:pPr>
              <w:pStyle w:val="TBLHeading"/>
            </w:pPr>
            <w:r>
              <w:t>Regulatory Burden ($m)</w:t>
            </w:r>
          </w:p>
        </w:tc>
      </w:tr>
      <w:tr w:rsidR="00C5375B" w14:paraId="5B4C7ECC" w14:textId="77777777" w:rsidTr="0088267D">
        <w:trPr>
          <w:trHeight w:val="20"/>
        </w:trPr>
        <w:tc>
          <w:tcPr>
            <w:tcW w:w="1513" w:type="pct"/>
            <w:shd w:val="clear" w:color="auto" w:fill="auto"/>
            <w:vAlign w:val="center"/>
          </w:tcPr>
          <w:p w14:paraId="0B42116F" w14:textId="77777777" w:rsidR="00C5375B" w:rsidRPr="006E170D" w:rsidRDefault="0088267D" w:rsidP="00A956F2">
            <w:pPr>
              <w:pStyle w:val="TBLText"/>
            </w:pPr>
            <w:r w:rsidRPr="0088267D">
              <w:t>Review of Prudential Standard APS 111 Capital Adequacy</w:t>
            </w:r>
          </w:p>
        </w:tc>
        <w:tc>
          <w:tcPr>
            <w:tcW w:w="692" w:type="pct"/>
            <w:shd w:val="clear" w:color="auto" w:fill="auto"/>
            <w:vAlign w:val="center"/>
          </w:tcPr>
          <w:p w14:paraId="00A3911E" w14:textId="77777777" w:rsidR="00C5375B" w:rsidRPr="006E170D" w:rsidRDefault="00363240" w:rsidP="00A956F2">
            <w:pPr>
              <w:pStyle w:val="TBLText"/>
            </w:pPr>
            <w:r w:rsidRPr="002B0DDE">
              <w:rPr>
                <w:rFonts w:eastAsia="MS Mincho"/>
                <w:spacing w:val="-3"/>
              </w:rPr>
              <w:t>Compliant</w:t>
            </w:r>
          </w:p>
        </w:tc>
        <w:tc>
          <w:tcPr>
            <w:tcW w:w="853" w:type="pct"/>
            <w:shd w:val="clear" w:color="auto" w:fill="auto"/>
            <w:vAlign w:val="center"/>
          </w:tcPr>
          <w:p w14:paraId="1E02CB72" w14:textId="77777777" w:rsidR="00C5375B" w:rsidRPr="006E170D" w:rsidRDefault="00363240" w:rsidP="00A956F2">
            <w:pPr>
              <w:pStyle w:val="TBLText"/>
            </w:pPr>
            <w:r w:rsidRPr="002B0DDE">
              <w:rPr>
                <w:rFonts w:eastAsia="MS Mincho"/>
                <w:spacing w:val="-3"/>
              </w:rPr>
              <w:t>I</w:t>
            </w:r>
            <w:r w:rsidR="0088267D">
              <w:rPr>
                <w:rFonts w:eastAsia="MS Mincho"/>
                <w:spacing w:val="-3"/>
              </w:rPr>
              <w:t xml:space="preserve">ndependent </w:t>
            </w:r>
            <w:r w:rsidRPr="002B0DDE">
              <w:rPr>
                <w:rFonts w:eastAsia="MS Mincho"/>
                <w:spacing w:val="-3"/>
              </w:rPr>
              <w:t>R</w:t>
            </w:r>
            <w:r w:rsidR="0088267D">
              <w:rPr>
                <w:rFonts w:eastAsia="MS Mincho"/>
                <w:spacing w:val="-3"/>
              </w:rPr>
              <w:t>eview</w:t>
            </w:r>
          </w:p>
        </w:tc>
        <w:tc>
          <w:tcPr>
            <w:tcW w:w="971" w:type="pct"/>
            <w:shd w:val="clear" w:color="auto" w:fill="auto"/>
            <w:vAlign w:val="center"/>
          </w:tcPr>
          <w:p w14:paraId="6C4399F2" w14:textId="77777777" w:rsidR="00C5375B" w:rsidRPr="00724D88" w:rsidRDefault="00724D88" w:rsidP="00A956F2">
            <w:pPr>
              <w:pStyle w:val="TBLText"/>
            </w:pPr>
            <w:r w:rsidRPr="00724D88">
              <w:rPr>
                <w:rFonts w:eastAsia="MS Mincho"/>
                <w:spacing w:val="-3"/>
              </w:rPr>
              <w:t>No</w:t>
            </w:r>
          </w:p>
        </w:tc>
        <w:tc>
          <w:tcPr>
            <w:tcW w:w="970" w:type="pct"/>
            <w:shd w:val="clear" w:color="auto" w:fill="auto"/>
            <w:vAlign w:val="center"/>
          </w:tcPr>
          <w:p w14:paraId="7875D3D5" w14:textId="77777777" w:rsidR="00C5375B" w:rsidRPr="006E170D" w:rsidRDefault="0088267D" w:rsidP="00A956F2">
            <w:pPr>
              <w:pStyle w:val="TBLText"/>
            </w:pPr>
            <w:r>
              <w:rPr>
                <w:rFonts w:eastAsia="MS Mincho"/>
                <w:spacing w:val="-3"/>
              </w:rPr>
              <w:t>$0.74m</w:t>
            </w:r>
          </w:p>
        </w:tc>
      </w:tr>
      <w:tr w:rsidR="002840FF" w14:paraId="6BB15283" w14:textId="77777777" w:rsidTr="00734239">
        <w:trPr>
          <w:trHeight w:val="20"/>
        </w:trPr>
        <w:tc>
          <w:tcPr>
            <w:tcW w:w="1513" w:type="pct"/>
            <w:shd w:val="clear" w:color="auto" w:fill="DBE6F5" w:themeFill="text2" w:themeFillTint="1A"/>
            <w:vAlign w:val="center"/>
          </w:tcPr>
          <w:p w14:paraId="1CA94A4D" w14:textId="45FAAA3B" w:rsidR="002840FF" w:rsidRPr="0088267D" w:rsidRDefault="002840FF" w:rsidP="00A956F2">
            <w:pPr>
              <w:pStyle w:val="TBLText"/>
            </w:pPr>
            <w:r w:rsidRPr="002840FF">
              <w:lastRenderedPageBreak/>
              <w:t>Certification of APRA’s Review of the Private Health Insurance Capital Framework</w:t>
            </w:r>
          </w:p>
        </w:tc>
        <w:tc>
          <w:tcPr>
            <w:tcW w:w="692" w:type="pct"/>
            <w:shd w:val="clear" w:color="auto" w:fill="DBE6F5" w:themeFill="text2" w:themeFillTint="1A"/>
            <w:vAlign w:val="center"/>
          </w:tcPr>
          <w:p w14:paraId="25943F85" w14:textId="74A66746" w:rsidR="002840FF" w:rsidRPr="002B0DDE" w:rsidRDefault="002840FF" w:rsidP="00A956F2">
            <w:pPr>
              <w:pStyle w:val="TBLText"/>
              <w:rPr>
                <w:rFonts w:eastAsia="MS Mincho"/>
                <w:spacing w:val="-3"/>
              </w:rPr>
            </w:pPr>
            <w:r>
              <w:rPr>
                <w:rFonts w:eastAsia="MS Mincho"/>
                <w:spacing w:val="-3"/>
              </w:rPr>
              <w:t>Compliant</w:t>
            </w:r>
          </w:p>
        </w:tc>
        <w:tc>
          <w:tcPr>
            <w:tcW w:w="853" w:type="pct"/>
            <w:shd w:val="clear" w:color="auto" w:fill="DBE6F5" w:themeFill="text2" w:themeFillTint="1A"/>
            <w:vAlign w:val="center"/>
          </w:tcPr>
          <w:p w14:paraId="43559919" w14:textId="0364301B" w:rsidR="002840FF" w:rsidRPr="002B0DDE" w:rsidRDefault="002840FF" w:rsidP="00A956F2">
            <w:pPr>
              <w:pStyle w:val="TBLText"/>
              <w:rPr>
                <w:rFonts w:eastAsia="MS Mincho"/>
                <w:spacing w:val="-3"/>
              </w:rPr>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DBE6F5" w:themeFill="text2" w:themeFillTint="1A"/>
            <w:vAlign w:val="center"/>
          </w:tcPr>
          <w:p w14:paraId="45DF2E5F" w14:textId="7409E76D" w:rsidR="002840FF" w:rsidRPr="00724D88" w:rsidRDefault="00BA5E41" w:rsidP="00A956F2">
            <w:pPr>
              <w:pStyle w:val="TBLText"/>
              <w:rPr>
                <w:rFonts w:eastAsia="MS Mincho"/>
                <w:spacing w:val="-3"/>
              </w:rPr>
            </w:pPr>
            <w:r>
              <w:rPr>
                <w:rFonts w:eastAsia="MS Mincho"/>
                <w:spacing w:val="-3"/>
              </w:rPr>
              <w:t>No</w:t>
            </w:r>
          </w:p>
        </w:tc>
        <w:tc>
          <w:tcPr>
            <w:tcW w:w="970" w:type="pct"/>
            <w:shd w:val="clear" w:color="auto" w:fill="DBE6F5" w:themeFill="text2" w:themeFillTint="1A"/>
            <w:vAlign w:val="center"/>
          </w:tcPr>
          <w:p w14:paraId="1E02C7A2" w14:textId="1D8151C2" w:rsidR="002840FF" w:rsidRDefault="002840FF" w:rsidP="00A956F2">
            <w:pPr>
              <w:pStyle w:val="TBLText"/>
              <w:rPr>
                <w:rFonts w:eastAsia="MS Mincho"/>
                <w:spacing w:val="-3"/>
              </w:rPr>
            </w:pPr>
            <w:r>
              <w:rPr>
                <w:rFonts w:eastAsia="MS Mincho"/>
                <w:spacing w:val="-3"/>
              </w:rPr>
              <w:t>$1.8m</w:t>
            </w:r>
          </w:p>
        </w:tc>
      </w:tr>
      <w:tr w:rsidR="00A956F2" w14:paraId="0BCF82EE" w14:textId="77777777" w:rsidTr="0088267D">
        <w:trPr>
          <w:trHeight w:val="20"/>
        </w:trPr>
        <w:tc>
          <w:tcPr>
            <w:tcW w:w="1513" w:type="pct"/>
            <w:vAlign w:val="center"/>
          </w:tcPr>
          <w:p w14:paraId="20A95205" w14:textId="77777777" w:rsidR="00A956F2" w:rsidRPr="00363240" w:rsidRDefault="00A956F2" w:rsidP="00A956F2">
            <w:pPr>
              <w:pStyle w:val="TBLText"/>
              <w:rPr>
                <w:b/>
              </w:rPr>
            </w:pPr>
            <w:r w:rsidRPr="00363240">
              <w:rPr>
                <w:b/>
              </w:rPr>
              <w:t>Total proposals</w:t>
            </w:r>
          </w:p>
        </w:tc>
        <w:tc>
          <w:tcPr>
            <w:tcW w:w="692" w:type="pct"/>
            <w:vAlign w:val="center"/>
          </w:tcPr>
          <w:p w14:paraId="1ABC519A" w14:textId="619D7C36" w:rsidR="00A956F2" w:rsidRPr="00363240" w:rsidRDefault="002840FF" w:rsidP="0088267D">
            <w:pPr>
              <w:pStyle w:val="TBLText"/>
              <w:rPr>
                <w:b/>
              </w:rPr>
            </w:pPr>
            <w:r>
              <w:rPr>
                <w:b/>
              </w:rPr>
              <w:t>2</w:t>
            </w:r>
            <w:r w:rsidR="00363240" w:rsidRPr="00363240">
              <w:rPr>
                <w:b/>
              </w:rPr>
              <w:t>/</w:t>
            </w:r>
            <w:r>
              <w:rPr>
                <w:b/>
              </w:rPr>
              <w:t>2</w:t>
            </w:r>
          </w:p>
        </w:tc>
        <w:tc>
          <w:tcPr>
            <w:tcW w:w="853" w:type="pct"/>
            <w:vAlign w:val="center"/>
          </w:tcPr>
          <w:p w14:paraId="459334DF" w14:textId="77777777" w:rsidR="00A956F2" w:rsidRPr="00363240" w:rsidRDefault="00363240" w:rsidP="00A956F2">
            <w:pPr>
              <w:pStyle w:val="TBLText"/>
              <w:rPr>
                <w:b/>
              </w:rPr>
            </w:pPr>
            <w:r w:rsidRPr="00363240">
              <w:rPr>
                <w:b/>
              </w:rPr>
              <w:t>-</w:t>
            </w:r>
          </w:p>
        </w:tc>
        <w:tc>
          <w:tcPr>
            <w:tcW w:w="971" w:type="pct"/>
            <w:vAlign w:val="center"/>
          </w:tcPr>
          <w:p w14:paraId="3B602422" w14:textId="1B0B73CE" w:rsidR="00A956F2" w:rsidRPr="00724D88" w:rsidRDefault="00363240" w:rsidP="0088267D">
            <w:pPr>
              <w:pStyle w:val="TBLText"/>
              <w:rPr>
                <w:b/>
              </w:rPr>
            </w:pPr>
            <w:r w:rsidRPr="00BA5E41">
              <w:rPr>
                <w:b/>
              </w:rPr>
              <w:t>0/</w:t>
            </w:r>
            <w:r w:rsidR="002840FF" w:rsidRPr="00BA5E41">
              <w:rPr>
                <w:b/>
              </w:rPr>
              <w:t>2</w:t>
            </w:r>
          </w:p>
        </w:tc>
        <w:tc>
          <w:tcPr>
            <w:tcW w:w="970" w:type="pct"/>
            <w:vAlign w:val="center"/>
          </w:tcPr>
          <w:p w14:paraId="7256ED03" w14:textId="77777777" w:rsidR="00A956F2" w:rsidRPr="00363240" w:rsidRDefault="00363240" w:rsidP="00A956F2">
            <w:pPr>
              <w:pStyle w:val="TBLText"/>
              <w:rPr>
                <w:b/>
              </w:rPr>
            </w:pPr>
            <w:r w:rsidRPr="00363240">
              <w:rPr>
                <w:b/>
              </w:rPr>
              <w:t>-</w:t>
            </w:r>
          </w:p>
        </w:tc>
      </w:tr>
    </w:tbl>
    <w:p w14:paraId="04831872" w14:textId="23DF0398" w:rsidR="000C1B92" w:rsidRDefault="000C1B92" w:rsidP="00AE10E6">
      <w:pPr>
        <w:pStyle w:val="Heading2"/>
        <w:rPr>
          <w:noProof/>
        </w:rPr>
      </w:pPr>
      <w:bookmarkStart w:id="17" w:name="_Toc122424406"/>
      <w:bookmarkStart w:id="18" w:name="_Toc200111071"/>
      <w:r>
        <w:rPr>
          <w:noProof/>
        </w:rPr>
        <w:t>Australian Securit</w:t>
      </w:r>
      <w:r w:rsidR="00C22DA5">
        <w:rPr>
          <w:noProof/>
        </w:rPr>
        <w:t>ies</w:t>
      </w:r>
      <w:r>
        <w:rPr>
          <w:noProof/>
        </w:rPr>
        <w:t xml:space="preserve"> and Investment Commission</w:t>
      </w:r>
      <w:bookmarkEnd w:id="18"/>
    </w:p>
    <w:p w14:paraId="45A89F84" w14:textId="1BBEDEF5" w:rsidR="000C1B92" w:rsidRPr="00774646" w:rsidRDefault="000C1B92" w:rsidP="000C1B92">
      <w:pPr>
        <w:pStyle w:val="Figure"/>
        <w:ind w:left="0" w:firstLine="0"/>
      </w:pPr>
      <w:r w:rsidRPr="00057A02">
        <w:t xml:space="preserve">Compliance summary: </w:t>
      </w:r>
      <w:r>
        <w:t>Australian Securities and Investment Commission</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Australian Securities and Investment Commission"/>
        <w:tblDescription w:val="Compliance summary: Australian Securities and Investment Commission"/>
      </w:tblPr>
      <w:tblGrid>
        <w:gridCol w:w="3017"/>
        <w:gridCol w:w="1380"/>
        <w:gridCol w:w="1701"/>
        <w:gridCol w:w="1936"/>
        <w:gridCol w:w="1934"/>
      </w:tblGrid>
      <w:tr w:rsidR="000C1B92" w14:paraId="18723BFE" w14:textId="77777777" w:rsidTr="003960DB">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70FC60BE" w14:textId="77777777" w:rsidR="000C1B92" w:rsidRPr="006E170D" w:rsidRDefault="000C1B92" w:rsidP="003960DB">
            <w:pPr>
              <w:pStyle w:val="TBLHeading"/>
            </w:pPr>
            <w:r>
              <w:t>Proposal</w:t>
            </w:r>
          </w:p>
        </w:tc>
        <w:tc>
          <w:tcPr>
            <w:tcW w:w="692" w:type="pct"/>
            <w:tcBorders>
              <w:top w:val="none" w:sz="0" w:space="0" w:color="auto"/>
              <w:bottom w:val="none" w:sz="0" w:space="0" w:color="auto"/>
            </w:tcBorders>
            <w:vAlign w:val="center"/>
          </w:tcPr>
          <w:p w14:paraId="1D185867" w14:textId="77777777" w:rsidR="000C1B92" w:rsidRPr="006E170D" w:rsidRDefault="000C1B92" w:rsidP="003960DB">
            <w:pPr>
              <w:pStyle w:val="TBLHeading"/>
            </w:pPr>
            <w:r>
              <w:t>IA Compliance</w:t>
            </w:r>
          </w:p>
        </w:tc>
        <w:tc>
          <w:tcPr>
            <w:tcW w:w="853" w:type="pct"/>
            <w:tcBorders>
              <w:top w:val="none" w:sz="0" w:space="0" w:color="auto"/>
              <w:bottom w:val="none" w:sz="0" w:space="0" w:color="auto"/>
            </w:tcBorders>
            <w:vAlign w:val="center"/>
          </w:tcPr>
          <w:p w14:paraId="4A04392A" w14:textId="77777777" w:rsidR="000C1B92" w:rsidRPr="006E170D" w:rsidRDefault="000C1B92" w:rsidP="003960DB">
            <w:pPr>
              <w:pStyle w:val="TBLHeading"/>
            </w:pPr>
            <w:r>
              <w:t>Rating</w:t>
            </w:r>
          </w:p>
        </w:tc>
        <w:tc>
          <w:tcPr>
            <w:tcW w:w="971" w:type="pct"/>
            <w:tcBorders>
              <w:top w:val="none" w:sz="0" w:space="0" w:color="auto"/>
              <w:bottom w:val="none" w:sz="0" w:space="0" w:color="auto"/>
            </w:tcBorders>
            <w:vAlign w:val="center"/>
          </w:tcPr>
          <w:p w14:paraId="1F11E09E" w14:textId="77777777" w:rsidR="000C1B92" w:rsidRPr="006E170D" w:rsidRDefault="000C1B92" w:rsidP="003960DB">
            <w:pPr>
              <w:pStyle w:val="TBLHeading"/>
            </w:pPr>
            <w:r>
              <w:t>PIR Required</w:t>
            </w:r>
          </w:p>
        </w:tc>
        <w:tc>
          <w:tcPr>
            <w:tcW w:w="970" w:type="pct"/>
            <w:tcBorders>
              <w:top w:val="none" w:sz="0" w:space="0" w:color="auto"/>
              <w:bottom w:val="none" w:sz="0" w:space="0" w:color="auto"/>
              <w:right w:val="none" w:sz="0" w:space="0" w:color="auto"/>
            </w:tcBorders>
            <w:vAlign w:val="center"/>
          </w:tcPr>
          <w:p w14:paraId="0BE2D782" w14:textId="77777777" w:rsidR="000C1B92" w:rsidRPr="006E170D" w:rsidRDefault="000C1B92" w:rsidP="003960DB">
            <w:pPr>
              <w:pStyle w:val="TBLHeading"/>
            </w:pPr>
            <w:r>
              <w:t>Regulatory Burden ($m)</w:t>
            </w:r>
          </w:p>
        </w:tc>
      </w:tr>
      <w:tr w:rsidR="000C1B92" w14:paraId="302B7EB5" w14:textId="77777777" w:rsidTr="003960DB">
        <w:trPr>
          <w:trHeight w:val="20"/>
        </w:trPr>
        <w:tc>
          <w:tcPr>
            <w:tcW w:w="1513" w:type="pct"/>
            <w:shd w:val="clear" w:color="auto" w:fill="auto"/>
            <w:vAlign w:val="center"/>
          </w:tcPr>
          <w:p w14:paraId="717447BA" w14:textId="28CD6488" w:rsidR="000C1B92" w:rsidRPr="000C1B92" w:rsidRDefault="00F57CCC" w:rsidP="000C1B92">
            <w:pPr>
              <w:pStyle w:val="TBLText"/>
              <w:rPr>
                <w:rFonts w:ascii="Calibri" w:hAnsi="Calibri" w:cs="Calibri"/>
                <w:color w:val="000000"/>
                <w:szCs w:val="22"/>
              </w:rPr>
            </w:pPr>
            <w:r w:rsidRPr="00F57CCC">
              <w:t>Updating the ASIC Derivative Transaction Rules (Reporting) 2013 </w:t>
            </w:r>
          </w:p>
        </w:tc>
        <w:tc>
          <w:tcPr>
            <w:tcW w:w="692" w:type="pct"/>
            <w:shd w:val="clear" w:color="auto" w:fill="auto"/>
            <w:vAlign w:val="center"/>
          </w:tcPr>
          <w:p w14:paraId="14F09D37" w14:textId="77777777" w:rsidR="000C1B92" w:rsidRPr="002B0DDE" w:rsidRDefault="000C1B92" w:rsidP="003960DB">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6DCBF728" w14:textId="77777777" w:rsidR="000C1B92" w:rsidRDefault="000C1B92" w:rsidP="003960DB">
            <w:pPr>
              <w:pStyle w:val="TBLText"/>
              <w:rPr>
                <w:rFonts w:eastAsia="MS Mincho"/>
                <w:spacing w:val="-3"/>
              </w:rPr>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auto"/>
            <w:vAlign w:val="center"/>
          </w:tcPr>
          <w:p w14:paraId="44D5B1DE" w14:textId="77777777" w:rsidR="000C1B92" w:rsidRPr="00884959" w:rsidRDefault="000C1B92" w:rsidP="003960DB">
            <w:pPr>
              <w:pStyle w:val="TBLText"/>
              <w:rPr>
                <w:rFonts w:eastAsia="MS Mincho"/>
                <w:spacing w:val="-3"/>
              </w:rPr>
            </w:pPr>
            <w:r w:rsidRPr="00254BDF">
              <w:rPr>
                <w:rFonts w:eastAsia="MS Mincho"/>
                <w:spacing w:val="-3"/>
              </w:rPr>
              <w:t>No</w:t>
            </w:r>
          </w:p>
        </w:tc>
        <w:tc>
          <w:tcPr>
            <w:tcW w:w="970" w:type="pct"/>
            <w:shd w:val="clear" w:color="auto" w:fill="auto"/>
            <w:vAlign w:val="center"/>
          </w:tcPr>
          <w:p w14:paraId="551560B2" w14:textId="2101B2E6" w:rsidR="000C1B92" w:rsidRDefault="00F57CCC" w:rsidP="003960DB">
            <w:pPr>
              <w:pStyle w:val="TBLText"/>
              <w:rPr>
                <w:rFonts w:eastAsia="MS Mincho"/>
                <w:spacing w:val="-3"/>
              </w:rPr>
            </w:pPr>
            <w:r>
              <w:rPr>
                <w:rFonts w:eastAsia="MS Mincho"/>
                <w:spacing w:val="-3"/>
              </w:rPr>
              <w:t>$3.7m</w:t>
            </w:r>
          </w:p>
        </w:tc>
      </w:tr>
      <w:tr w:rsidR="000C1B92" w14:paraId="7B8C4CCE" w14:textId="77777777" w:rsidTr="003960DB">
        <w:trPr>
          <w:trHeight w:val="20"/>
        </w:trPr>
        <w:tc>
          <w:tcPr>
            <w:tcW w:w="1513" w:type="pct"/>
            <w:shd w:val="clear" w:color="auto" w:fill="DBE6F5" w:themeFill="text2" w:themeFillTint="1A"/>
            <w:vAlign w:val="center"/>
          </w:tcPr>
          <w:p w14:paraId="0FA8AAC4" w14:textId="045B8827" w:rsidR="000C1B92" w:rsidRPr="00363240" w:rsidRDefault="000C1B92" w:rsidP="003960DB">
            <w:pPr>
              <w:pStyle w:val="TBLText"/>
              <w:rPr>
                <w:b/>
              </w:rPr>
            </w:pPr>
            <w:r w:rsidRPr="00363240">
              <w:rPr>
                <w:b/>
              </w:rPr>
              <w:t>Total proposals</w:t>
            </w:r>
          </w:p>
        </w:tc>
        <w:tc>
          <w:tcPr>
            <w:tcW w:w="692" w:type="pct"/>
            <w:shd w:val="clear" w:color="auto" w:fill="DBE6F5" w:themeFill="text2" w:themeFillTint="1A"/>
            <w:vAlign w:val="center"/>
          </w:tcPr>
          <w:p w14:paraId="54ABDFD8" w14:textId="77777777" w:rsidR="000C1B92" w:rsidRPr="00363240" w:rsidRDefault="000C1B92" w:rsidP="003960DB">
            <w:pPr>
              <w:pStyle w:val="TBLText"/>
              <w:rPr>
                <w:b/>
              </w:rPr>
            </w:pPr>
            <w:r>
              <w:rPr>
                <w:b/>
              </w:rPr>
              <w:t>1</w:t>
            </w:r>
            <w:r w:rsidRPr="00363240">
              <w:rPr>
                <w:b/>
              </w:rPr>
              <w:t>/</w:t>
            </w:r>
            <w:r>
              <w:rPr>
                <w:b/>
              </w:rPr>
              <w:t>1</w:t>
            </w:r>
          </w:p>
        </w:tc>
        <w:tc>
          <w:tcPr>
            <w:tcW w:w="853" w:type="pct"/>
            <w:shd w:val="clear" w:color="auto" w:fill="DBE6F5" w:themeFill="text2" w:themeFillTint="1A"/>
            <w:vAlign w:val="center"/>
          </w:tcPr>
          <w:p w14:paraId="60B7359D" w14:textId="77777777" w:rsidR="000C1B92" w:rsidRPr="00363240" w:rsidRDefault="000C1B92" w:rsidP="003960DB">
            <w:pPr>
              <w:pStyle w:val="TBLText"/>
              <w:rPr>
                <w:b/>
              </w:rPr>
            </w:pPr>
            <w:r w:rsidRPr="00363240">
              <w:rPr>
                <w:b/>
              </w:rPr>
              <w:t>-</w:t>
            </w:r>
          </w:p>
        </w:tc>
        <w:tc>
          <w:tcPr>
            <w:tcW w:w="971" w:type="pct"/>
            <w:shd w:val="clear" w:color="auto" w:fill="DBE6F5" w:themeFill="text2" w:themeFillTint="1A"/>
            <w:vAlign w:val="center"/>
          </w:tcPr>
          <w:p w14:paraId="6F90A132" w14:textId="4C8D85BE" w:rsidR="000C1B92" w:rsidRPr="00884959" w:rsidRDefault="000C1B92" w:rsidP="000C1B92">
            <w:pPr>
              <w:pStyle w:val="TBLText"/>
              <w:rPr>
                <w:b/>
              </w:rPr>
            </w:pPr>
            <w:r>
              <w:rPr>
                <w:b/>
              </w:rPr>
              <w:t>0</w:t>
            </w:r>
            <w:r w:rsidRPr="00254BDF">
              <w:rPr>
                <w:b/>
              </w:rPr>
              <w:t>/</w:t>
            </w:r>
            <w:r>
              <w:rPr>
                <w:b/>
              </w:rPr>
              <w:t>1</w:t>
            </w:r>
          </w:p>
        </w:tc>
        <w:tc>
          <w:tcPr>
            <w:tcW w:w="970" w:type="pct"/>
            <w:shd w:val="clear" w:color="auto" w:fill="DBE6F5" w:themeFill="text2" w:themeFillTint="1A"/>
            <w:vAlign w:val="center"/>
          </w:tcPr>
          <w:p w14:paraId="1A850137" w14:textId="36F8CCEE" w:rsidR="000C1B92" w:rsidRPr="00F57CCC" w:rsidRDefault="00F57CCC" w:rsidP="003960DB">
            <w:pPr>
              <w:pStyle w:val="TBLText"/>
              <w:rPr>
                <w:b/>
              </w:rPr>
            </w:pPr>
            <w:r w:rsidRPr="00F57CCC">
              <w:rPr>
                <w:rFonts w:eastAsia="MS Mincho"/>
                <w:b/>
                <w:spacing w:val="-3"/>
              </w:rPr>
              <w:t>$3.7m</w:t>
            </w:r>
          </w:p>
        </w:tc>
      </w:tr>
    </w:tbl>
    <w:p w14:paraId="39105CF3" w14:textId="23996E74" w:rsidR="004C567E" w:rsidRDefault="004C567E" w:rsidP="004C567E">
      <w:pPr>
        <w:pStyle w:val="Heading2"/>
        <w:rPr>
          <w:noProof/>
        </w:rPr>
      </w:pPr>
      <w:bookmarkStart w:id="19" w:name="_Toc200111072"/>
      <w:r>
        <w:rPr>
          <w:noProof/>
        </w:rPr>
        <w:t>Department of Agriculture, Fisheries and Forestry</w:t>
      </w:r>
      <w:bookmarkEnd w:id="19"/>
    </w:p>
    <w:p w14:paraId="43CAAE51" w14:textId="0C748018" w:rsidR="004C567E" w:rsidRPr="00774646" w:rsidRDefault="004C567E" w:rsidP="004C567E">
      <w:pPr>
        <w:pStyle w:val="Figure"/>
        <w:ind w:left="0" w:firstLine="0"/>
      </w:pPr>
      <w:r w:rsidRPr="00057A02">
        <w:t xml:space="preserve">Compliance summary: </w:t>
      </w:r>
      <w:r>
        <w:t>Department of Agriculture, Fisheries and Forestry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Agriculture, Fisheries and Forestry"/>
        <w:tblDescription w:val="Compliance summary: Department of Agriculture, Fisheries and Forestry"/>
      </w:tblPr>
      <w:tblGrid>
        <w:gridCol w:w="3017"/>
        <w:gridCol w:w="1380"/>
        <w:gridCol w:w="1701"/>
        <w:gridCol w:w="1936"/>
        <w:gridCol w:w="1934"/>
      </w:tblGrid>
      <w:tr w:rsidR="004C567E" w14:paraId="575A9778" w14:textId="77777777" w:rsidTr="00FC43F0">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518E43AC" w14:textId="77777777" w:rsidR="004C567E" w:rsidRPr="006E170D" w:rsidRDefault="004C567E" w:rsidP="00FC43F0">
            <w:pPr>
              <w:pStyle w:val="TBLHeading"/>
            </w:pPr>
            <w:r>
              <w:t>Proposal</w:t>
            </w:r>
          </w:p>
        </w:tc>
        <w:tc>
          <w:tcPr>
            <w:tcW w:w="692" w:type="pct"/>
            <w:tcBorders>
              <w:top w:val="none" w:sz="0" w:space="0" w:color="auto"/>
              <w:bottom w:val="none" w:sz="0" w:space="0" w:color="auto"/>
            </w:tcBorders>
            <w:vAlign w:val="center"/>
          </w:tcPr>
          <w:p w14:paraId="59C70D0D" w14:textId="77777777" w:rsidR="004C567E" w:rsidRPr="006E170D" w:rsidRDefault="004C567E" w:rsidP="00FC43F0">
            <w:pPr>
              <w:pStyle w:val="TBLHeading"/>
            </w:pPr>
            <w:r>
              <w:t>IA Compliance</w:t>
            </w:r>
          </w:p>
        </w:tc>
        <w:tc>
          <w:tcPr>
            <w:tcW w:w="853" w:type="pct"/>
            <w:tcBorders>
              <w:top w:val="none" w:sz="0" w:space="0" w:color="auto"/>
              <w:bottom w:val="none" w:sz="0" w:space="0" w:color="auto"/>
            </w:tcBorders>
            <w:vAlign w:val="center"/>
          </w:tcPr>
          <w:p w14:paraId="444C9752" w14:textId="77777777" w:rsidR="004C567E" w:rsidRPr="006E170D" w:rsidRDefault="004C567E" w:rsidP="00FC43F0">
            <w:pPr>
              <w:pStyle w:val="TBLHeading"/>
            </w:pPr>
            <w:r>
              <w:t>Rating</w:t>
            </w:r>
          </w:p>
        </w:tc>
        <w:tc>
          <w:tcPr>
            <w:tcW w:w="971" w:type="pct"/>
            <w:tcBorders>
              <w:top w:val="none" w:sz="0" w:space="0" w:color="auto"/>
              <w:bottom w:val="none" w:sz="0" w:space="0" w:color="auto"/>
            </w:tcBorders>
            <w:vAlign w:val="center"/>
          </w:tcPr>
          <w:p w14:paraId="4955F855" w14:textId="77777777" w:rsidR="004C567E" w:rsidRPr="006E170D" w:rsidRDefault="004C567E" w:rsidP="00FC43F0">
            <w:pPr>
              <w:pStyle w:val="TBLHeading"/>
            </w:pPr>
            <w:r>
              <w:t>PIR Required</w:t>
            </w:r>
          </w:p>
        </w:tc>
        <w:tc>
          <w:tcPr>
            <w:tcW w:w="970" w:type="pct"/>
            <w:tcBorders>
              <w:top w:val="none" w:sz="0" w:space="0" w:color="auto"/>
              <w:bottom w:val="none" w:sz="0" w:space="0" w:color="auto"/>
              <w:right w:val="none" w:sz="0" w:space="0" w:color="auto"/>
            </w:tcBorders>
            <w:vAlign w:val="center"/>
          </w:tcPr>
          <w:p w14:paraId="0224C307" w14:textId="77777777" w:rsidR="004C567E" w:rsidRPr="006E170D" w:rsidRDefault="004C567E" w:rsidP="00FC43F0">
            <w:pPr>
              <w:pStyle w:val="TBLHeading"/>
            </w:pPr>
            <w:r>
              <w:t>Regulatory Burden ($m)</w:t>
            </w:r>
          </w:p>
        </w:tc>
      </w:tr>
      <w:tr w:rsidR="004C567E" w14:paraId="15579EF2" w14:textId="77777777" w:rsidTr="00FC43F0">
        <w:trPr>
          <w:trHeight w:val="20"/>
        </w:trPr>
        <w:tc>
          <w:tcPr>
            <w:tcW w:w="1513" w:type="pct"/>
            <w:shd w:val="clear" w:color="auto" w:fill="auto"/>
            <w:vAlign w:val="center"/>
          </w:tcPr>
          <w:p w14:paraId="4971ABB7" w14:textId="7F3041FB" w:rsidR="004C567E" w:rsidRPr="000C1B92" w:rsidRDefault="004C567E" w:rsidP="00FC43F0">
            <w:pPr>
              <w:pStyle w:val="TBLText"/>
              <w:rPr>
                <w:rFonts w:ascii="Calibri" w:hAnsi="Calibri" w:cs="Calibri"/>
                <w:color w:val="000000"/>
                <w:szCs w:val="22"/>
              </w:rPr>
            </w:pPr>
            <w:r>
              <w:t>Biosecurity sustainable funding submission</w:t>
            </w:r>
            <w:r w:rsidRPr="00F57CCC">
              <w:t> </w:t>
            </w:r>
          </w:p>
        </w:tc>
        <w:tc>
          <w:tcPr>
            <w:tcW w:w="692" w:type="pct"/>
            <w:shd w:val="clear" w:color="auto" w:fill="auto"/>
            <w:vAlign w:val="center"/>
          </w:tcPr>
          <w:p w14:paraId="28D56326" w14:textId="77777777" w:rsidR="004C567E" w:rsidRPr="002B0DDE" w:rsidRDefault="004C567E" w:rsidP="00FC43F0">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1D497037" w14:textId="3A27EFDC" w:rsidR="004C567E" w:rsidRDefault="004C567E" w:rsidP="00FC43F0">
            <w:pPr>
              <w:pStyle w:val="TBLText"/>
              <w:rPr>
                <w:rFonts w:eastAsia="MS Mincho"/>
                <w:spacing w:val="-3"/>
              </w:rPr>
            </w:pPr>
            <w:r>
              <w:rPr>
                <w:rFonts w:eastAsia="MS Mincho"/>
                <w:spacing w:val="-3"/>
              </w:rPr>
              <w:t>Adequate</w:t>
            </w:r>
          </w:p>
        </w:tc>
        <w:tc>
          <w:tcPr>
            <w:tcW w:w="971" w:type="pct"/>
            <w:shd w:val="clear" w:color="auto" w:fill="auto"/>
            <w:vAlign w:val="center"/>
          </w:tcPr>
          <w:p w14:paraId="2562A56E" w14:textId="275E0B79" w:rsidR="004C567E" w:rsidRPr="001135BB" w:rsidRDefault="001135BB" w:rsidP="00FC43F0">
            <w:pPr>
              <w:pStyle w:val="TBLText"/>
              <w:rPr>
                <w:rFonts w:eastAsia="MS Mincho"/>
                <w:spacing w:val="-3"/>
              </w:rPr>
            </w:pPr>
            <w:r w:rsidRPr="001135BB">
              <w:rPr>
                <w:rFonts w:eastAsia="MS Mincho"/>
                <w:spacing w:val="-3"/>
              </w:rPr>
              <w:t>No</w:t>
            </w:r>
          </w:p>
        </w:tc>
        <w:tc>
          <w:tcPr>
            <w:tcW w:w="970" w:type="pct"/>
            <w:shd w:val="clear" w:color="auto" w:fill="auto"/>
            <w:vAlign w:val="center"/>
          </w:tcPr>
          <w:p w14:paraId="54713052" w14:textId="33B2EF42" w:rsidR="004C567E" w:rsidRDefault="004C567E" w:rsidP="004C567E">
            <w:pPr>
              <w:pStyle w:val="TBLText"/>
              <w:rPr>
                <w:rFonts w:eastAsia="MS Mincho"/>
                <w:spacing w:val="-3"/>
              </w:rPr>
            </w:pPr>
            <w:r>
              <w:rPr>
                <w:rFonts w:eastAsia="MS Mincho"/>
                <w:spacing w:val="-3"/>
              </w:rPr>
              <w:t>$1m</w:t>
            </w:r>
          </w:p>
        </w:tc>
      </w:tr>
      <w:tr w:rsidR="00290473" w14:paraId="5D269073" w14:textId="77777777" w:rsidTr="0043303E">
        <w:trPr>
          <w:trHeight w:val="20"/>
        </w:trPr>
        <w:tc>
          <w:tcPr>
            <w:tcW w:w="1513" w:type="pct"/>
            <w:shd w:val="clear" w:color="auto" w:fill="DBE6F5" w:themeFill="text2" w:themeFillTint="1A"/>
            <w:vAlign w:val="center"/>
          </w:tcPr>
          <w:p w14:paraId="2F8B0601" w14:textId="34C1017A" w:rsidR="00290473" w:rsidRDefault="00290473" w:rsidP="00FC43F0">
            <w:pPr>
              <w:pStyle w:val="TBLText"/>
            </w:pPr>
            <w:r w:rsidRPr="00290473">
              <w:t>Improving illegal logging traceability and timber identification testing</w:t>
            </w:r>
          </w:p>
        </w:tc>
        <w:tc>
          <w:tcPr>
            <w:tcW w:w="692" w:type="pct"/>
            <w:shd w:val="clear" w:color="auto" w:fill="DBE6F5" w:themeFill="text2" w:themeFillTint="1A"/>
            <w:vAlign w:val="center"/>
          </w:tcPr>
          <w:p w14:paraId="037217BA" w14:textId="6021CBB4" w:rsidR="00290473" w:rsidRPr="002B0DDE" w:rsidRDefault="00290473" w:rsidP="00FC43F0">
            <w:pPr>
              <w:pStyle w:val="TBLText"/>
              <w:rPr>
                <w:rFonts w:eastAsia="MS Mincho"/>
                <w:spacing w:val="-3"/>
              </w:rPr>
            </w:pPr>
            <w:r w:rsidRPr="002B0DDE">
              <w:rPr>
                <w:rFonts w:eastAsia="MS Mincho"/>
                <w:spacing w:val="-3"/>
              </w:rPr>
              <w:t>Compliant</w:t>
            </w:r>
          </w:p>
        </w:tc>
        <w:tc>
          <w:tcPr>
            <w:tcW w:w="853" w:type="pct"/>
            <w:shd w:val="clear" w:color="auto" w:fill="DBE6F5" w:themeFill="text2" w:themeFillTint="1A"/>
            <w:vAlign w:val="center"/>
          </w:tcPr>
          <w:p w14:paraId="4B04F95C" w14:textId="46B98E63" w:rsidR="00290473" w:rsidRDefault="00290473" w:rsidP="00FC43F0">
            <w:pPr>
              <w:pStyle w:val="TBLText"/>
              <w:rPr>
                <w:rFonts w:eastAsia="MS Mincho"/>
                <w:spacing w:val="-3"/>
              </w:rPr>
            </w:pPr>
            <w:r>
              <w:rPr>
                <w:rFonts w:eastAsia="MS Mincho"/>
                <w:spacing w:val="-3"/>
              </w:rPr>
              <w:t>Good Practice</w:t>
            </w:r>
          </w:p>
        </w:tc>
        <w:tc>
          <w:tcPr>
            <w:tcW w:w="971" w:type="pct"/>
            <w:shd w:val="clear" w:color="auto" w:fill="DBE6F5" w:themeFill="text2" w:themeFillTint="1A"/>
            <w:vAlign w:val="center"/>
          </w:tcPr>
          <w:p w14:paraId="18DF2081" w14:textId="236C6725" w:rsidR="00290473" w:rsidRPr="001135BB" w:rsidRDefault="00EE4752" w:rsidP="00FC43F0">
            <w:pPr>
              <w:pStyle w:val="TBLText"/>
              <w:rPr>
                <w:rFonts w:eastAsia="MS Mincho"/>
                <w:spacing w:val="-3"/>
              </w:rPr>
            </w:pPr>
            <w:r>
              <w:rPr>
                <w:rFonts w:eastAsia="MS Mincho"/>
                <w:spacing w:val="-3"/>
              </w:rPr>
              <w:t>No</w:t>
            </w:r>
          </w:p>
        </w:tc>
        <w:tc>
          <w:tcPr>
            <w:tcW w:w="970" w:type="pct"/>
            <w:shd w:val="clear" w:color="auto" w:fill="DBE6F5" w:themeFill="text2" w:themeFillTint="1A"/>
            <w:vAlign w:val="center"/>
          </w:tcPr>
          <w:p w14:paraId="42EEC5C9" w14:textId="71C77B92" w:rsidR="00290473" w:rsidRDefault="00290473" w:rsidP="004C567E">
            <w:pPr>
              <w:pStyle w:val="TBLText"/>
              <w:rPr>
                <w:rFonts w:eastAsia="MS Mincho"/>
                <w:spacing w:val="-3"/>
              </w:rPr>
            </w:pPr>
            <w:r>
              <w:rPr>
                <w:rFonts w:eastAsia="MS Mincho"/>
                <w:spacing w:val="-3"/>
              </w:rPr>
              <w:t>$2.8m</w:t>
            </w:r>
          </w:p>
        </w:tc>
      </w:tr>
      <w:tr w:rsidR="00FA74ED" w14:paraId="68D6DF1C" w14:textId="77777777" w:rsidTr="00FA74ED">
        <w:trPr>
          <w:trHeight w:val="20"/>
        </w:trPr>
        <w:tc>
          <w:tcPr>
            <w:tcW w:w="1513" w:type="pct"/>
            <w:shd w:val="clear" w:color="auto" w:fill="auto"/>
            <w:vAlign w:val="center"/>
          </w:tcPr>
          <w:p w14:paraId="1E362EC8" w14:textId="45A0ACCB" w:rsidR="00FA74ED" w:rsidRPr="00290473" w:rsidRDefault="00FA74ED" w:rsidP="00FC43F0">
            <w:pPr>
              <w:pStyle w:val="TBLText"/>
            </w:pPr>
            <w:r w:rsidRPr="00FA74ED">
              <w:t>Changes to regulatory charging for biosecurity activities</w:t>
            </w:r>
          </w:p>
        </w:tc>
        <w:tc>
          <w:tcPr>
            <w:tcW w:w="692" w:type="pct"/>
            <w:shd w:val="clear" w:color="auto" w:fill="auto"/>
            <w:vAlign w:val="center"/>
          </w:tcPr>
          <w:p w14:paraId="1FAD80EE" w14:textId="56938EE8" w:rsidR="00FA74ED" w:rsidRPr="002B0DDE" w:rsidRDefault="00FA74ED" w:rsidP="00FC43F0">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5E37EEDE" w14:textId="3489779C" w:rsidR="00FA74ED" w:rsidRDefault="00FA74ED" w:rsidP="00FC43F0">
            <w:pPr>
              <w:pStyle w:val="TBLText"/>
              <w:rPr>
                <w:rFonts w:eastAsia="MS Mincho"/>
                <w:spacing w:val="-3"/>
              </w:rPr>
            </w:pPr>
            <w:r>
              <w:rPr>
                <w:rFonts w:eastAsia="MS Mincho"/>
                <w:spacing w:val="-3"/>
              </w:rPr>
              <w:t>Good Practice</w:t>
            </w:r>
          </w:p>
        </w:tc>
        <w:tc>
          <w:tcPr>
            <w:tcW w:w="971" w:type="pct"/>
            <w:shd w:val="clear" w:color="auto" w:fill="auto"/>
            <w:vAlign w:val="center"/>
          </w:tcPr>
          <w:p w14:paraId="22D3B4A2" w14:textId="1070745E" w:rsidR="00FA74ED" w:rsidRPr="00290473" w:rsidRDefault="00EE4752" w:rsidP="00FC43F0">
            <w:pPr>
              <w:pStyle w:val="TBLText"/>
              <w:rPr>
                <w:rFonts w:eastAsia="MS Mincho"/>
                <w:spacing w:val="-3"/>
                <w:highlight w:val="yellow"/>
              </w:rPr>
            </w:pPr>
            <w:r w:rsidRPr="00EE4752">
              <w:rPr>
                <w:rFonts w:eastAsia="MS Mincho"/>
                <w:spacing w:val="-3"/>
              </w:rPr>
              <w:t>No</w:t>
            </w:r>
          </w:p>
        </w:tc>
        <w:tc>
          <w:tcPr>
            <w:tcW w:w="970" w:type="pct"/>
            <w:shd w:val="clear" w:color="auto" w:fill="auto"/>
            <w:vAlign w:val="center"/>
          </w:tcPr>
          <w:p w14:paraId="2EC5799A" w14:textId="69FDDDB0" w:rsidR="00FA74ED" w:rsidRDefault="00FA74ED" w:rsidP="004C567E">
            <w:pPr>
              <w:pStyle w:val="TBLText"/>
              <w:rPr>
                <w:rFonts w:eastAsia="MS Mincho"/>
                <w:spacing w:val="-3"/>
              </w:rPr>
            </w:pPr>
            <w:r>
              <w:rPr>
                <w:rFonts w:eastAsia="MS Mincho"/>
                <w:spacing w:val="-3"/>
              </w:rPr>
              <w:t>-</w:t>
            </w:r>
          </w:p>
        </w:tc>
      </w:tr>
      <w:tr w:rsidR="004C567E" w14:paraId="01359A4C" w14:textId="77777777" w:rsidTr="00FA74ED">
        <w:trPr>
          <w:trHeight w:val="20"/>
        </w:trPr>
        <w:tc>
          <w:tcPr>
            <w:tcW w:w="1513" w:type="pct"/>
            <w:shd w:val="clear" w:color="auto" w:fill="DBE6F5" w:themeFill="text2" w:themeFillTint="1A"/>
            <w:vAlign w:val="center"/>
          </w:tcPr>
          <w:p w14:paraId="5D7965A1" w14:textId="77777777" w:rsidR="004C567E" w:rsidRPr="00363240" w:rsidRDefault="004C567E" w:rsidP="00FC43F0">
            <w:pPr>
              <w:pStyle w:val="TBLText"/>
              <w:rPr>
                <w:b/>
              </w:rPr>
            </w:pPr>
            <w:r w:rsidRPr="00363240">
              <w:rPr>
                <w:b/>
              </w:rPr>
              <w:t>Total proposals</w:t>
            </w:r>
          </w:p>
        </w:tc>
        <w:tc>
          <w:tcPr>
            <w:tcW w:w="692" w:type="pct"/>
            <w:shd w:val="clear" w:color="auto" w:fill="DBE6F5" w:themeFill="text2" w:themeFillTint="1A"/>
            <w:vAlign w:val="center"/>
          </w:tcPr>
          <w:p w14:paraId="153CC8C7" w14:textId="7FE4821F" w:rsidR="004C567E" w:rsidRPr="00363240" w:rsidRDefault="00FA74ED" w:rsidP="00FA74ED">
            <w:pPr>
              <w:pStyle w:val="TBLText"/>
              <w:rPr>
                <w:b/>
              </w:rPr>
            </w:pPr>
            <w:r>
              <w:rPr>
                <w:b/>
              </w:rPr>
              <w:t>3</w:t>
            </w:r>
            <w:r w:rsidR="004C567E" w:rsidRPr="00363240">
              <w:rPr>
                <w:b/>
              </w:rPr>
              <w:t>/</w:t>
            </w:r>
            <w:r>
              <w:rPr>
                <w:b/>
              </w:rPr>
              <w:t>3</w:t>
            </w:r>
          </w:p>
        </w:tc>
        <w:tc>
          <w:tcPr>
            <w:tcW w:w="853" w:type="pct"/>
            <w:shd w:val="clear" w:color="auto" w:fill="DBE6F5" w:themeFill="text2" w:themeFillTint="1A"/>
            <w:vAlign w:val="center"/>
          </w:tcPr>
          <w:p w14:paraId="57EF345C" w14:textId="77777777" w:rsidR="004C567E" w:rsidRPr="00363240" w:rsidRDefault="004C567E" w:rsidP="00FC43F0">
            <w:pPr>
              <w:pStyle w:val="TBLText"/>
              <w:rPr>
                <w:b/>
              </w:rPr>
            </w:pPr>
            <w:r w:rsidRPr="00363240">
              <w:rPr>
                <w:b/>
              </w:rPr>
              <w:t>-</w:t>
            </w:r>
          </w:p>
        </w:tc>
        <w:tc>
          <w:tcPr>
            <w:tcW w:w="971" w:type="pct"/>
            <w:shd w:val="clear" w:color="auto" w:fill="DBE6F5" w:themeFill="text2" w:themeFillTint="1A"/>
            <w:vAlign w:val="center"/>
          </w:tcPr>
          <w:p w14:paraId="0EB8A4DC" w14:textId="335CCAF7" w:rsidR="004C567E" w:rsidRPr="001135BB" w:rsidRDefault="00290473" w:rsidP="00FA74ED">
            <w:pPr>
              <w:pStyle w:val="TBLText"/>
              <w:rPr>
                <w:b/>
              </w:rPr>
            </w:pPr>
            <w:r w:rsidRPr="00EE4752">
              <w:rPr>
                <w:b/>
              </w:rPr>
              <w:t>0/</w:t>
            </w:r>
            <w:r w:rsidR="00FA74ED" w:rsidRPr="00EE4752">
              <w:rPr>
                <w:b/>
              </w:rPr>
              <w:t>3</w:t>
            </w:r>
          </w:p>
        </w:tc>
        <w:tc>
          <w:tcPr>
            <w:tcW w:w="970" w:type="pct"/>
            <w:shd w:val="clear" w:color="auto" w:fill="DBE6F5" w:themeFill="text2" w:themeFillTint="1A"/>
            <w:vAlign w:val="center"/>
          </w:tcPr>
          <w:p w14:paraId="5C9953ED" w14:textId="33C4EDF5" w:rsidR="004C567E" w:rsidRPr="00F57CCC" w:rsidRDefault="004C567E" w:rsidP="004C567E">
            <w:pPr>
              <w:pStyle w:val="TBLText"/>
              <w:rPr>
                <w:b/>
              </w:rPr>
            </w:pPr>
            <w:r w:rsidRPr="00F57CCC">
              <w:rPr>
                <w:rFonts w:eastAsia="MS Mincho"/>
                <w:b/>
                <w:spacing w:val="-3"/>
              </w:rPr>
              <w:t>$</w:t>
            </w:r>
            <w:r w:rsidR="00290473">
              <w:rPr>
                <w:rFonts w:eastAsia="MS Mincho"/>
                <w:b/>
                <w:spacing w:val="-3"/>
              </w:rPr>
              <w:t>3.8</w:t>
            </w:r>
            <w:r>
              <w:rPr>
                <w:rFonts w:eastAsia="MS Mincho"/>
                <w:b/>
                <w:spacing w:val="-3"/>
              </w:rPr>
              <w:t>m</w:t>
            </w:r>
          </w:p>
        </w:tc>
      </w:tr>
    </w:tbl>
    <w:p w14:paraId="05842DEE" w14:textId="1504A3FE" w:rsidR="002F494C" w:rsidRDefault="002F494C" w:rsidP="00AE10E6">
      <w:pPr>
        <w:pStyle w:val="Heading2"/>
        <w:rPr>
          <w:noProof/>
        </w:rPr>
      </w:pPr>
      <w:bookmarkStart w:id="20" w:name="_Toc200111073"/>
      <w:r>
        <w:rPr>
          <w:noProof/>
        </w:rPr>
        <w:t>Department of Climate Change, Energy, the Environment and Water</w:t>
      </w:r>
      <w:bookmarkEnd w:id="17"/>
      <w:bookmarkEnd w:id="20"/>
    </w:p>
    <w:p w14:paraId="0762B58C" w14:textId="7E6F0D46" w:rsidR="002F494C" w:rsidRPr="00774646" w:rsidRDefault="002F494C" w:rsidP="002F494C">
      <w:pPr>
        <w:pStyle w:val="Figure"/>
        <w:ind w:left="0" w:firstLine="0"/>
      </w:pPr>
      <w:r w:rsidRPr="00057A02">
        <w:t xml:space="preserve">Compliance summary: </w:t>
      </w:r>
      <w:r w:rsidRPr="002C6070">
        <w:t xml:space="preserve">Department of </w:t>
      </w:r>
      <w:r>
        <w:t>Climate Change, Energy, the Environment and Water</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Climate Change, Energy, the Environment and Water"/>
        <w:tblDescription w:val="Compliance summary: Department of Climate Change, Energy, the Environment and Water"/>
      </w:tblPr>
      <w:tblGrid>
        <w:gridCol w:w="3017"/>
        <w:gridCol w:w="1380"/>
        <w:gridCol w:w="1701"/>
        <w:gridCol w:w="1936"/>
        <w:gridCol w:w="1934"/>
      </w:tblGrid>
      <w:tr w:rsidR="002F494C" w14:paraId="1E4E1271" w14:textId="77777777" w:rsidTr="579F9522">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70DB71E1" w14:textId="77777777" w:rsidR="002F494C" w:rsidRPr="006E170D" w:rsidRDefault="002F494C" w:rsidP="00FC10AE">
            <w:pPr>
              <w:pStyle w:val="TBLHeading"/>
            </w:pPr>
            <w:r>
              <w:t>Proposal</w:t>
            </w:r>
          </w:p>
        </w:tc>
        <w:tc>
          <w:tcPr>
            <w:tcW w:w="692" w:type="pct"/>
            <w:tcBorders>
              <w:top w:val="none" w:sz="0" w:space="0" w:color="auto"/>
              <w:bottom w:val="none" w:sz="0" w:space="0" w:color="auto"/>
            </w:tcBorders>
            <w:vAlign w:val="center"/>
          </w:tcPr>
          <w:p w14:paraId="2DACC385" w14:textId="77777777" w:rsidR="002F494C" w:rsidRPr="006E170D" w:rsidRDefault="002F494C" w:rsidP="00FC10AE">
            <w:pPr>
              <w:pStyle w:val="TBLHeading"/>
            </w:pPr>
            <w:r>
              <w:t>IA Compliance</w:t>
            </w:r>
          </w:p>
        </w:tc>
        <w:tc>
          <w:tcPr>
            <w:tcW w:w="853" w:type="pct"/>
            <w:tcBorders>
              <w:top w:val="none" w:sz="0" w:space="0" w:color="auto"/>
              <w:bottom w:val="none" w:sz="0" w:space="0" w:color="auto"/>
            </w:tcBorders>
            <w:vAlign w:val="center"/>
          </w:tcPr>
          <w:p w14:paraId="57D585AE" w14:textId="77777777" w:rsidR="002F494C" w:rsidRPr="006E170D" w:rsidRDefault="002F494C" w:rsidP="00FC10AE">
            <w:pPr>
              <w:pStyle w:val="TBLHeading"/>
            </w:pPr>
            <w:r>
              <w:t>Rating</w:t>
            </w:r>
          </w:p>
        </w:tc>
        <w:tc>
          <w:tcPr>
            <w:tcW w:w="971" w:type="pct"/>
            <w:tcBorders>
              <w:top w:val="none" w:sz="0" w:space="0" w:color="auto"/>
              <w:bottom w:val="none" w:sz="0" w:space="0" w:color="auto"/>
            </w:tcBorders>
            <w:vAlign w:val="center"/>
          </w:tcPr>
          <w:p w14:paraId="35763F2D" w14:textId="77777777" w:rsidR="002F494C" w:rsidRPr="006E170D" w:rsidRDefault="002F494C" w:rsidP="00FC10AE">
            <w:pPr>
              <w:pStyle w:val="TBLHeading"/>
            </w:pPr>
            <w:r>
              <w:t>PIR Required</w:t>
            </w:r>
          </w:p>
        </w:tc>
        <w:tc>
          <w:tcPr>
            <w:tcW w:w="970" w:type="pct"/>
            <w:tcBorders>
              <w:top w:val="none" w:sz="0" w:space="0" w:color="auto"/>
              <w:bottom w:val="none" w:sz="0" w:space="0" w:color="auto"/>
              <w:right w:val="none" w:sz="0" w:space="0" w:color="auto"/>
            </w:tcBorders>
            <w:vAlign w:val="center"/>
          </w:tcPr>
          <w:p w14:paraId="14626875" w14:textId="77777777" w:rsidR="002F494C" w:rsidRPr="006E170D" w:rsidRDefault="002F494C" w:rsidP="00FC10AE">
            <w:pPr>
              <w:pStyle w:val="TBLHeading"/>
            </w:pPr>
            <w:r>
              <w:t>Regulatory Burden ($m)</w:t>
            </w:r>
          </w:p>
        </w:tc>
      </w:tr>
      <w:tr w:rsidR="002F494C" w14:paraId="64B93991" w14:textId="77777777" w:rsidTr="579F9522">
        <w:trPr>
          <w:trHeight w:val="20"/>
        </w:trPr>
        <w:tc>
          <w:tcPr>
            <w:tcW w:w="1513" w:type="pct"/>
            <w:shd w:val="clear" w:color="auto" w:fill="auto"/>
            <w:vAlign w:val="center"/>
          </w:tcPr>
          <w:p w14:paraId="34264CE6" w14:textId="7DD58EB4" w:rsidR="002F494C" w:rsidRPr="002C6070" w:rsidRDefault="002F494C" w:rsidP="00FC10AE">
            <w:pPr>
              <w:pStyle w:val="TBLText"/>
            </w:pPr>
            <w:r w:rsidRPr="002F494C">
              <w:t>Certification of Final Report of the EPBC Act Review</w:t>
            </w:r>
          </w:p>
        </w:tc>
        <w:tc>
          <w:tcPr>
            <w:tcW w:w="692" w:type="pct"/>
            <w:shd w:val="clear" w:color="auto" w:fill="auto"/>
            <w:vAlign w:val="center"/>
          </w:tcPr>
          <w:p w14:paraId="3C60D0D9" w14:textId="77777777" w:rsidR="002F494C" w:rsidRPr="002B0DDE" w:rsidRDefault="002F494C" w:rsidP="00FC10AE">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6938DEA2" w14:textId="40A8B919" w:rsidR="002F494C" w:rsidRDefault="002F494C" w:rsidP="00FC10AE">
            <w:pPr>
              <w:pStyle w:val="TBLText"/>
              <w:rPr>
                <w:rFonts w:eastAsia="MS Mincho"/>
                <w:spacing w:val="-3"/>
              </w:rPr>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auto"/>
            <w:vAlign w:val="center"/>
          </w:tcPr>
          <w:p w14:paraId="45C1E9D5" w14:textId="616F384E" w:rsidR="002F494C" w:rsidRPr="00884959" w:rsidRDefault="00254BDF" w:rsidP="00FC10AE">
            <w:pPr>
              <w:pStyle w:val="TBLText"/>
              <w:rPr>
                <w:rFonts w:eastAsia="MS Mincho"/>
                <w:spacing w:val="-3"/>
              </w:rPr>
            </w:pPr>
            <w:r w:rsidRPr="00254BDF">
              <w:rPr>
                <w:rFonts w:eastAsia="MS Mincho"/>
                <w:spacing w:val="-3"/>
              </w:rPr>
              <w:t>No</w:t>
            </w:r>
          </w:p>
        </w:tc>
        <w:tc>
          <w:tcPr>
            <w:tcW w:w="970" w:type="pct"/>
            <w:shd w:val="clear" w:color="auto" w:fill="auto"/>
            <w:vAlign w:val="center"/>
          </w:tcPr>
          <w:p w14:paraId="3B346952" w14:textId="226E901D" w:rsidR="002F494C" w:rsidRDefault="002F494C" w:rsidP="002F494C">
            <w:pPr>
              <w:pStyle w:val="TBLText"/>
              <w:rPr>
                <w:rFonts w:eastAsia="MS Mincho"/>
                <w:spacing w:val="-3"/>
              </w:rPr>
            </w:pPr>
            <w:r>
              <w:rPr>
                <w:rFonts w:eastAsia="MS Mincho"/>
                <w:spacing w:val="-3"/>
              </w:rPr>
              <w:t>-</w:t>
            </w:r>
          </w:p>
        </w:tc>
      </w:tr>
      <w:tr w:rsidR="003960DB" w14:paraId="0F6160FB" w14:textId="77777777" w:rsidTr="579F9522">
        <w:trPr>
          <w:trHeight w:val="20"/>
        </w:trPr>
        <w:tc>
          <w:tcPr>
            <w:tcW w:w="1513" w:type="pct"/>
            <w:shd w:val="clear" w:color="auto" w:fill="DBE6F5" w:themeFill="text2" w:themeFillTint="1A"/>
            <w:vAlign w:val="center"/>
          </w:tcPr>
          <w:p w14:paraId="1BAA2C01" w14:textId="451E6512" w:rsidR="003960DB" w:rsidRPr="002F494C" w:rsidRDefault="003960DB" w:rsidP="00FC10AE">
            <w:pPr>
              <w:pStyle w:val="TBLText"/>
            </w:pPr>
            <w:r w:rsidRPr="003960DB">
              <w:t>Chubb Review of Australian Carbon Credit Units</w:t>
            </w:r>
          </w:p>
        </w:tc>
        <w:tc>
          <w:tcPr>
            <w:tcW w:w="692" w:type="pct"/>
            <w:shd w:val="clear" w:color="auto" w:fill="DBE6F5" w:themeFill="text2" w:themeFillTint="1A"/>
            <w:vAlign w:val="center"/>
          </w:tcPr>
          <w:p w14:paraId="6A66E56C" w14:textId="64615D91" w:rsidR="003960DB" w:rsidRPr="002B0DDE" w:rsidRDefault="003960DB" w:rsidP="00FC10AE">
            <w:pPr>
              <w:pStyle w:val="TBLText"/>
              <w:rPr>
                <w:rFonts w:eastAsia="MS Mincho"/>
                <w:spacing w:val="-3"/>
              </w:rPr>
            </w:pPr>
            <w:r w:rsidRPr="002B0DDE">
              <w:rPr>
                <w:rFonts w:eastAsia="MS Mincho"/>
                <w:spacing w:val="-3"/>
              </w:rPr>
              <w:t>Compliant</w:t>
            </w:r>
          </w:p>
        </w:tc>
        <w:tc>
          <w:tcPr>
            <w:tcW w:w="853" w:type="pct"/>
            <w:shd w:val="clear" w:color="auto" w:fill="DBE6F5" w:themeFill="text2" w:themeFillTint="1A"/>
            <w:vAlign w:val="center"/>
          </w:tcPr>
          <w:p w14:paraId="087C4FE2" w14:textId="3F137CE1" w:rsidR="003960DB" w:rsidRPr="002B0DDE" w:rsidRDefault="003960DB" w:rsidP="00FC10AE">
            <w:pPr>
              <w:pStyle w:val="TBLText"/>
              <w:rPr>
                <w:rFonts w:eastAsia="MS Mincho"/>
                <w:spacing w:val="-3"/>
              </w:rPr>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DBE6F5" w:themeFill="text2" w:themeFillTint="1A"/>
            <w:vAlign w:val="center"/>
          </w:tcPr>
          <w:p w14:paraId="241136F1" w14:textId="11180514" w:rsidR="003960DB" w:rsidRPr="00701EA1" w:rsidRDefault="003960DB" w:rsidP="00FC10AE">
            <w:pPr>
              <w:pStyle w:val="TBLText"/>
              <w:rPr>
                <w:rFonts w:eastAsia="MS Mincho"/>
                <w:spacing w:val="-3"/>
              </w:rPr>
            </w:pPr>
            <w:r w:rsidRPr="00701EA1">
              <w:rPr>
                <w:rFonts w:eastAsia="MS Mincho"/>
                <w:spacing w:val="-3"/>
              </w:rPr>
              <w:t>No</w:t>
            </w:r>
          </w:p>
        </w:tc>
        <w:tc>
          <w:tcPr>
            <w:tcW w:w="970" w:type="pct"/>
            <w:shd w:val="clear" w:color="auto" w:fill="DBE6F5" w:themeFill="text2" w:themeFillTint="1A"/>
            <w:vAlign w:val="center"/>
          </w:tcPr>
          <w:p w14:paraId="43758AFA" w14:textId="330E20A0" w:rsidR="003960DB" w:rsidRDefault="00F93E35" w:rsidP="002F494C">
            <w:pPr>
              <w:pStyle w:val="TBLText"/>
              <w:rPr>
                <w:rFonts w:eastAsia="MS Mincho"/>
                <w:spacing w:val="-3"/>
              </w:rPr>
            </w:pPr>
            <w:r>
              <w:rPr>
                <w:rFonts w:eastAsia="MS Mincho"/>
                <w:spacing w:val="-3"/>
              </w:rPr>
              <w:t>-</w:t>
            </w:r>
          </w:p>
        </w:tc>
      </w:tr>
      <w:tr w:rsidR="001277DC" w14:paraId="2BC5D35F" w14:textId="77777777" w:rsidTr="579F9522">
        <w:trPr>
          <w:trHeight w:val="20"/>
        </w:trPr>
        <w:tc>
          <w:tcPr>
            <w:tcW w:w="1513" w:type="pct"/>
            <w:shd w:val="clear" w:color="auto" w:fill="auto"/>
            <w:vAlign w:val="center"/>
          </w:tcPr>
          <w:p w14:paraId="27026DA5" w14:textId="39931025" w:rsidR="001277DC" w:rsidRPr="003960DB" w:rsidRDefault="001277DC" w:rsidP="00FC10AE">
            <w:pPr>
              <w:pStyle w:val="TBLText"/>
            </w:pPr>
            <w:r w:rsidRPr="001277DC">
              <w:t>Reforms to the Safeguard Mechanism</w:t>
            </w:r>
          </w:p>
        </w:tc>
        <w:tc>
          <w:tcPr>
            <w:tcW w:w="692" w:type="pct"/>
            <w:shd w:val="clear" w:color="auto" w:fill="auto"/>
            <w:vAlign w:val="center"/>
          </w:tcPr>
          <w:p w14:paraId="233521B1" w14:textId="20BBECB5" w:rsidR="001277DC" w:rsidRPr="002B0DDE" w:rsidRDefault="001277DC" w:rsidP="00FC10AE">
            <w:pPr>
              <w:pStyle w:val="TBLText"/>
              <w:rPr>
                <w:rFonts w:eastAsia="MS Mincho"/>
                <w:spacing w:val="-3"/>
              </w:rPr>
            </w:pPr>
            <w:r>
              <w:rPr>
                <w:rFonts w:eastAsia="MS Mincho"/>
                <w:spacing w:val="-3"/>
              </w:rPr>
              <w:t>Compliant</w:t>
            </w:r>
          </w:p>
        </w:tc>
        <w:tc>
          <w:tcPr>
            <w:tcW w:w="853" w:type="pct"/>
            <w:shd w:val="clear" w:color="auto" w:fill="auto"/>
            <w:vAlign w:val="center"/>
          </w:tcPr>
          <w:p w14:paraId="485A5978" w14:textId="735E0853" w:rsidR="001277DC" w:rsidRPr="002B0DDE" w:rsidRDefault="001277DC" w:rsidP="00FC10AE">
            <w:pPr>
              <w:pStyle w:val="TBLText"/>
              <w:rPr>
                <w:rFonts w:eastAsia="MS Mincho"/>
                <w:spacing w:val="-3"/>
              </w:rPr>
            </w:pPr>
            <w:r>
              <w:rPr>
                <w:rFonts w:eastAsia="MS Mincho"/>
                <w:spacing w:val="-3"/>
              </w:rPr>
              <w:t>Adequate</w:t>
            </w:r>
          </w:p>
        </w:tc>
        <w:tc>
          <w:tcPr>
            <w:tcW w:w="971" w:type="pct"/>
            <w:shd w:val="clear" w:color="auto" w:fill="auto"/>
            <w:vAlign w:val="center"/>
          </w:tcPr>
          <w:p w14:paraId="4D272616" w14:textId="03B5F3FF" w:rsidR="001277DC" w:rsidRPr="00CF65F6" w:rsidRDefault="00CF65F6" w:rsidP="00FC10AE">
            <w:pPr>
              <w:pStyle w:val="TBLText"/>
              <w:rPr>
                <w:rFonts w:eastAsia="MS Mincho"/>
                <w:spacing w:val="-3"/>
              </w:rPr>
            </w:pPr>
            <w:r w:rsidRPr="00CF65F6">
              <w:rPr>
                <w:rFonts w:eastAsia="MS Mincho"/>
                <w:spacing w:val="-3"/>
              </w:rPr>
              <w:t>Yes</w:t>
            </w:r>
          </w:p>
        </w:tc>
        <w:tc>
          <w:tcPr>
            <w:tcW w:w="970" w:type="pct"/>
            <w:shd w:val="clear" w:color="auto" w:fill="auto"/>
            <w:vAlign w:val="center"/>
          </w:tcPr>
          <w:p w14:paraId="71ECFD7F" w14:textId="6F74A4DF" w:rsidR="001277DC" w:rsidRDefault="001277DC" w:rsidP="002F494C">
            <w:pPr>
              <w:pStyle w:val="TBLText"/>
              <w:rPr>
                <w:rFonts w:eastAsia="MS Mincho"/>
                <w:spacing w:val="-3"/>
              </w:rPr>
            </w:pPr>
            <w:r>
              <w:rPr>
                <w:rFonts w:eastAsia="MS Mincho"/>
                <w:spacing w:val="-3"/>
              </w:rPr>
              <w:t>$4.5m</w:t>
            </w:r>
          </w:p>
        </w:tc>
      </w:tr>
      <w:tr w:rsidR="003F1E6B" w14:paraId="4EE60006" w14:textId="77777777" w:rsidTr="579F9522">
        <w:trPr>
          <w:trHeight w:val="20"/>
        </w:trPr>
        <w:tc>
          <w:tcPr>
            <w:tcW w:w="1513" w:type="pct"/>
            <w:shd w:val="clear" w:color="auto" w:fill="E0E8F2" w:themeFill="background2"/>
            <w:vAlign w:val="center"/>
          </w:tcPr>
          <w:p w14:paraId="21143962" w14:textId="6CAE7BE7" w:rsidR="003F1E6B" w:rsidRPr="001277DC" w:rsidRDefault="003F1E6B" w:rsidP="00FC10AE">
            <w:pPr>
              <w:pStyle w:val="TBLText"/>
            </w:pPr>
            <w:r w:rsidRPr="003F1E6B">
              <w:t>Product Stewardship for Oil scheme</w:t>
            </w:r>
          </w:p>
        </w:tc>
        <w:tc>
          <w:tcPr>
            <w:tcW w:w="692" w:type="pct"/>
            <w:shd w:val="clear" w:color="auto" w:fill="DBE6F5" w:themeFill="text2" w:themeFillTint="1A"/>
            <w:vAlign w:val="center"/>
          </w:tcPr>
          <w:p w14:paraId="1FEA2C63" w14:textId="0B83A3B9" w:rsidR="003F1E6B" w:rsidRDefault="003F1E6B" w:rsidP="00FC10AE">
            <w:pPr>
              <w:pStyle w:val="TBLText"/>
              <w:rPr>
                <w:rFonts w:eastAsia="MS Mincho"/>
                <w:spacing w:val="-3"/>
              </w:rPr>
            </w:pPr>
            <w:r w:rsidRPr="002B0DDE">
              <w:rPr>
                <w:rFonts w:eastAsia="MS Mincho"/>
                <w:spacing w:val="-3"/>
              </w:rPr>
              <w:t>Compliant</w:t>
            </w:r>
          </w:p>
        </w:tc>
        <w:tc>
          <w:tcPr>
            <w:tcW w:w="853" w:type="pct"/>
            <w:shd w:val="clear" w:color="auto" w:fill="DBE6F5" w:themeFill="text2" w:themeFillTint="1A"/>
            <w:vAlign w:val="center"/>
          </w:tcPr>
          <w:p w14:paraId="75B585E3" w14:textId="468F3E6A" w:rsidR="003F1E6B" w:rsidRDefault="003F1E6B" w:rsidP="00FC10AE">
            <w:pPr>
              <w:pStyle w:val="TBLText"/>
              <w:rPr>
                <w:rFonts w:eastAsia="MS Mincho"/>
                <w:spacing w:val="-3"/>
              </w:rPr>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DBE6F5" w:themeFill="text2" w:themeFillTint="1A"/>
            <w:vAlign w:val="center"/>
          </w:tcPr>
          <w:p w14:paraId="4FDE50F2" w14:textId="5940CB3D" w:rsidR="003F1E6B" w:rsidRPr="00CF65F6" w:rsidRDefault="00EE4752" w:rsidP="00FC10AE">
            <w:pPr>
              <w:pStyle w:val="TBLText"/>
              <w:rPr>
                <w:rFonts w:eastAsia="MS Mincho"/>
                <w:spacing w:val="-3"/>
              </w:rPr>
            </w:pPr>
            <w:r>
              <w:rPr>
                <w:rFonts w:eastAsia="MS Mincho"/>
                <w:spacing w:val="-3"/>
              </w:rPr>
              <w:t>No</w:t>
            </w:r>
          </w:p>
        </w:tc>
        <w:tc>
          <w:tcPr>
            <w:tcW w:w="970" w:type="pct"/>
            <w:shd w:val="clear" w:color="auto" w:fill="DBE6F5" w:themeFill="text2" w:themeFillTint="1A"/>
            <w:vAlign w:val="center"/>
          </w:tcPr>
          <w:p w14:paraId="1ED43AF1" w14:textId="73DAECEC" w:rsidR="003F1E6B" w:rsidRDefault="55478DB3" w:rsidP="579F9522">
            <w:pPr>
              <w:pStyle w:val="TBLText"/>
              <w:rPr>
                <w:b/>
                <w:bCs/>
                <w:spacing w:val="-3"/>
                <w:vertAlign w:val="superscript"/>
              </w:rPr>
            </w:pPr>
            <w:r>
              <w:rPr>
                <w:rFonts w:eastAsia="MS Mincho"/>
                <w:spacing w:val="-3"/>
              </w:rPr>
              <w:t>$</w:t>
            </w:r>
            <w:r w:rsidR="32C277BD">
              <w:rPr>
                <w:rFonts w:eastAsia="MS Mincho"/>
                <w:spacing w:val="-3"/>
              </w:rPr>
              <w:t>34.75</w:t>
            </w:r>
            <w:r>
              <w:rPr>
                <w:rFonts w:eastAsia="MS Mincho"/>
                <w:spacing w:val="-3"/>
              </w:rPr>
              <w:t>m</w:t>
            </w:r>
            <w:r w:rsidR="39224723" w:rsidRPr="579F9522">
              <w:rPr>
                <w:b/>
                <w:bCs/>
                <w:vertAlign w:val="superscript"/>
              </w:rPr>
              <w:t>a</w:t>
            </w:r>
          </w:p>
        </w:tc>
      </w:tr>
      <w:tr w:rsidR="00D01088" w14:paraId="331C082A" w14:textId="77777777" w:rsidTr="579F9522">
        <w:trPr>
          <w:trHeight w:val="20"/>
        </w:trPr>
        <w:tc>
          <w:tcPr>
            <w:tcW w:w="1513" w:type="pct"/>
            <w:shd w:val="clear" w:color="auto" w:fill="auto"/>
            <w:vAlign w:val="center"/>
          </w:tcPr>
          <w:p w14:paraId="4F57E303" w14:textId="64428F3A" w:rsidR="00D01088" w:rsidRPr="00363240" w:rsidRDefault="00D01088" w:rsidP="00FC10AE">
            <w:pPr>
              <w:pStyle w:val="TBLText"/>
              <w:rPr>
                <w:b/>
              </w:rPr>
            </w:pPr>
            <w:r w:rsidRPr="00D01088">
              <w:lastRenderedPageBreak/>
              <w:t>Certification of Independent Review of the Greenhouse and Energy Minimum Standards (GEMS) Act 2012</w:t>
            </w:r>
          </w:p>
        </w:tc>
        <w:tc>
          <w:tcPr>
            <w:tcW w:w="692" w:type="pct"/>
            <w:shd w:val="clear" w:color="auto" w:fill="auto"/>
            <w:vAlign w:val="center"/>
          </w:tcPr>
          <w:p w14:paraId="79ACDCCD" w14:textId="21956003" w:rsidR="00D01088" w:rsidRDefault="00D01088" w:rsidP="003F1E6B">
            <w:pPr>
              <w:pStyle w:val="TBLText"/>
              <w:rPr>
                <w:b/>
              </w:rPr>
            </w:pPr>
            <w:r w:rsidRPr="002B0DDE">
              <w:rPr>
                <w:rFonts w:eastAsia="MS Mincho"/>
                <w:spacing w:val="-3"/>
              </w:rPr>
              <w:t>Compliant</w:t>
            </w:r>
          </w:p>
        </w:tc>
        <w:tc>
          <w:tcPr>
            <w:tcW w:w="853" w:type="pct"/>
            <w:shd w:val="clear" w:color="auto" w:fill="auto"/>
            <w:vAlign w:val="center"/>
          </w:tcPr>
          <w:p w14:paraId="779FA832" w14:textId="7878A8C5" w:rsidR="00D01088" w:rsidRPr="00363240" w:rsidRDefault="00D01088" w:rsidP="00FC10AE">
            <w:pPr>
              <w:pStyle w:val="TBLText"/>
              <w:rPr>
                <w:b/>
              </w:rPr>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auto"/>
            <w:vAlign w:val="center"/>
          </w:tcPr>
          <w:p w14:paraId="43046C97" w14:textId="07472CF4" w:rsidR="00D01088" w:rsidRPr="00EE4752" w:rsidRDefault="00EE4752" w:rsidP="001277DC">
            <w:pPr>
              <w:pStyle w:val="TBLText"/>
              <w:rPr>
                <w:highlight w:val="yellow"/>
              </w:rPr>
            </w:pPr>
            <w:r w:rsidRPr="00EE4752">
              <w:t>No</w:t>
            </w:r>
          </w:p>
        </w:tc>
        <w:tc>
          <w:tcPr>
            <w:tcW w:w="970" w:type="pct"/>
            <w:shd w:val="clear" w:color="auto" w:fill="auto"/>
            <w:vAlign w:val="center"/>
          </w:tcPr>
          <w:p w14:paraId="1BC6C263" w14:textId="4D6A526A" w:rsidR="00D01088" w:rsidRDefault="00D01088" w:rsidP="003F1E6B">
            <w:pPr>
              <w:pStyle w:val="TBLText"/>
              <w:rPr>
                <w:b/>
              </w:rPr>
            </w:pPr>
            <w:r>
              <w:rPr>
                <w:b/>
              </w:rPr>
              <w:t>-</w:t>
            </w:r>
          </w:p>
        </w:tc>
      </w:tr>
      <w:tr w:rsidR="009254EE" w14:paraId="14AFAEB5" w14:textId="77777777" w:rsidTr="579F9522">
        <w:trPr>
          <w:trHeight w:val="20"/>
        </w:trPr>
        <w:tc>
          <w:tcPr>
            <w:tcW w:w="1513" w:type="pct"/>
            <w:shd w:val="clear" w:color="auto" w:fill="E0E8F2" w:themeFill="background2"/>
            <w:vAlign w:val="center"/>
          </w:tcPr>
          <w:p w14:paraId="323B9F98" w14:textId="4CC20349" w:rsidR="009254EE" w:rsidRPr="00D01088" w:rsidRDefault="009254EE" w:rsidP="009254EE">
            <w:pPr>
              <w:pStyle w:val="TBLText"/>
            </w:pPr>
            <w:r w:rsidRPr="009254EE">
              <w:t>Commencing a Nature Repair Market</w:t>
            </w:r>
          </w:p>
        </w:tc>
        <w:tc>
          <w:tcPr>
            <w:tcW w:w="692" w:type="pct"/>
            <w:shd w:val="clear" w:color="auto" w:fill="E0E8F2" w:themeFill="background2"/>
            <w:vAlign w:val="center"/>
          </w:tcPr>
          <w:p w14:paraId="3466670E" w14:textId="1FA56F22" w:rsidR="009254EE" w:rsidRPr="002B0DDE" w:rsidRDefault="009254EE" w:rsidP="009254EE">
            <w:pPr>
              <w:pStyle w:val="TBLText"/>
              <w:rPr>
                <w:rFonts w:eastAsia="MS Mincho"/>
                <w:spacing w:val="-3"/>
              </w:rPr>
            </w:pPr>
            <w:r>
              <w:rPr>
                <w:rFonts w:eastAsia="MS Mincho"/>
                <w:spacing w:val="-3"/>
              </w:rPr>
              <w:t>Compliant</w:t>
            </w:r>
          </w:p>
        </w:tc>
        <w:tc>
          <w:tcPr>
            <w:tcW w:w="853" w:type="pct"/>
            <w:shd w:val="clear" w:color="auto" w:fill="E0E8F2" w:themeFill="background2"/>
            <w:vAlign w:val="center"/>
          </w:tcPr>
          <w:p w14:paraId="578C5FF2" w14:textId="28A52B44" w:rsidR="009254EE" w:rsidRPr="002B0DDE" w:rsidRDefault="009254EE" w:rsidP="009254EE">
            <w:pPr>
              <w:pStyle w:val="TBLText"/>
              <w:rPr>
                <w:rFonts w:eastAsia="MS Mincho"/>
                <w:spacing w:val="-3"/>
              </w:rPr>
            </w:pPr>
            <w:r>
              <w:rPr>
                <w:rFonts w:eastAsia="MS Mincho"/>
                <w:spacing w:val="-3"/>
              </w:rPr>
              <w:t>Adequate</w:t>
            </w:r>
          </w:p>
        </w:tc>
        <w:tc>
          <w:tcPr>
            <w:tcW w:w="971" w:type="pct"/>
            <w:shd w:val="clear" w:color="auto" w:fill="E0E8F2" w:themeFill="background2"/>
            <w:vAlign w:val="center"/>
          </w:tcPr>
          <w:p w14:paraId="3F49BB47" w14:textId="560C8D62" w:rsidR="009254EE" w:rsidRPr="009254EE" w:rsidRDefault="009254EE" w:rsidP="009254EE">
            <w:pPr>
              <w:pStyle w:val="TBLText"/>
            </w:pPr>
            <w:r w:rsidRPr="009254EE">
              <w:t>No</w:t>
            </w:r>
          </w:p>
        </w:tc>
        <w:tc>
          <w:tcPr>
            <w:tcW w:w="970" w:type="pct"/>
            <w:shd w:val="clear" w:color="auto" w:fill="E0E8F2" w:themeFill="background2"/>
            <w:vAlign w:val="center"/>
          </w:tcPr>
          <w:p w14:paraId="0AA27002" w14:textId="3C2E4E48" w:rsidR="009254EE" w:rsidRPr="009254EE" w:rsidRDefault="009254EE" w:rsidP="009254EE">
            <w:pPr>
              <w:pStyle w:val="TBLText"/>
            </w:pPr>
            <w:r w:rsidRPr="009254EE">
              <w:t>$1.7m</w:t>
            </w:r>
          </w:p>
        </w:tc>
      </w:tr>
      <w:tr w:rsidR="009254EE" w14:paraId="0B69904D" w14:textId="77777777" w:rsidTr="579F9522">
        <w:trPr>
          <w:trHeight w:val="20"/>
        </w:trPr>
        <w:tc>
          <w:tcPr>
            <w:tcW w:w="1513" w:type="pct"/>
            <w:shd w:val="clear" w:color="auto" w:fill="FFFFFF" w:themeFill="background1"/>
            <w:vAlign w:val="center"/>
          </w:tcPr>
          <w:p w14:paraId="780A5C45" w14:textId="77777777" w:rsidR="009254EE" w:rsidRPr="00D45A43" w:rsidRDefault="009254EE" w:rsidP="009254EE">
            <w:pPr>
              <w:pStyle w:val="TBLText"/>
              <w:rPr>
                <w:b/>
              </w:rPr>
            </w:pPr>
            <w:r w:rsidRPr="00D45A43">
              <w:rPr>
                <w:b/>
              </w:rPr>
              <w:t>Total proposals</w:t>
            </w:r>
          </w:p>
        </w:tc>
        <w:tc>
          <w:tcPr>
            <w:tcW w:w="692" w:type="pct"/>
            <w:shd w:val="clear" w:color="auto" w:fill="FFFFFF" w:themeFill="background1"/>
            <w:vAlign w:val="center"/>
          </w:tcPr>
          <w:p w14:paraId="4082B3AF" w14:textId="44FA72AB" w:rsidR="009254EE" w:rsidRPr="00D45A43" w:rsidRDefault="00D45A43" w:rsidP="00D45A43">
            <w:pPr>
              <w:pStyle w:val="TBLText"/>
              <w:rPr>
                <w:b/>
              </w:rPr>
            </w:pPr>
            <w:r w:rsidRPr="00D45A43">
              <w:rPr>
                <w:b/>
              </w:rPr>
              <w:t>6/6</w:t>
            </w:r>
          </w:p>
        </w:tc>
        <w:tc>
          <w:tcPr>
            <w:tcW w:w="853" w:type="pct"/>
            <w:shd w:val="clear" w:color="auto" w:fill="FFFFFF" w:themeFill="background1"/>
            <w:vAlign w:val="center"/>
          </w:tcPr>
          <w:p w14:paraId="71341AB6" w14:textId="77777777" w:rsidR="009254EE" w:rsidRPr="00D45A43" w:rsidRDefault="009254EE" w:rsidP="009254EE">
            <w:pPr>
              <w:pStyle w:val="TBLText"/>
              <w:rPr>
                <w:b/>
              </w:rPr>
            </w:pPr>
            <w:r w:rsidRPr="00D45A43">
              <w:rPr>
                <w:b/>
              </w:rPr>
              <w:t>-</w:t>
            </w:r>
          </w:p>
        </w:tc>
        <w:tc>
          <w:tcPr>
            <w:tcW w:w="971" w:type="pct"/>
            <w:shd w:val="clear" w:color="auto" w:fill="FFFFFF" w:themeFill="background1"/>
            <w:vAlign w:val="center"/>
          </w:tcPr>
          <w:p w14:paraId="76F1A5A9" w14:textId="1CAA8EE1" w:rsidR="009254EE" w:rsidRPr="00D45A43" w:rsidRDefault="009254EE" w:rsidP="00D45A43">
            <w:pPr>
              <w:pStyle w:val="TBLText"/>
              <w:rPr>
                <w:b/>
              </w:rPr>
            </w:pPr>
            <w:r w:rsidRPr="00D45A43">
              <w:rPr>
                <w:b/>
              </w:rPr>
              <w:t>1/</w:t>
            </w:r>
            <w:r w:rsidR="00D45A43" w:rsidRPr="00D45A43">
              <w:rPr>
                <w:b/>
              </w:rPr>
              <w:t>6</w:t>
            </w:r>
          </w:p>
        </w:tc>
        <w:tc>
          <w:tcPr>
            <w:tcW w:w="970" w:type="pct"/>
            <w:shd w:val="clear" w:color="auto" w:fill="FFFFFF" w:themeFill="background1"/>
            <w:vAlign w:val="center"/>
          </w:tcPr>
          <w:p w14:paraId="2F6D33D0" w14:textId="1F5EE808" w:rsidR="009254EE" w:rsidRPr="00D45A43" w:rsidRDefault="009254EE" w:rsidP="00D45A43">
            <w:pPr>
              <w:pStyle w:val="TBLText"/>
              <w:rPr>
                <w:b/>
              </w:rPr>
            </w:pPr>
            <w:r w:rsidRPr="00D45A43">
              <w:rPr>
                <w:b/>
              </w:rPr>
              <w:t>$</w:t>
            </w:r>
            <w:r w:rsidR="00F715D8">
              <w:rPr>
                <w:b/>
              </w:rPr>
              <w:t>7</w:t>
            </w:r>
            <w:r w:rsidR="00D45A43" w:rsidRPr="00D45A43">
              <w:rPr>
                <w:b/>
              </w:rPr>
              <w:t>.</w:t>
            </w:r>
            <w:r w:rsidR="00F715D8">
              <w:rPr>
                <w:b/>
              </w:rPr>
              <w:t>16</w:t>
            </w:r>
            <w:r w:rsidRPr="00D45A43">
              <w:rPr>
                <w:b/>
              </w:rPr>
              <w:t>m</w:t>
            </w:r>
            <w:r w:rsidR="00F715D8">
              <w:rPr>
                <w:b/>
                <w:vertAlign w:val="superscript"/>
              </w:rPr>
              <w:t>b</w:t>
            </w:r>
          </w:p>
        </w:tc>
      </w:tr>
    </w:tbl>
    <w:p w14:paraId="66177F42" w14:textId="09FE6C46" w:rsidR="001277DC" w:rsidRDefault="001277DC" w:rsidP="00B41CDB">
      <w:pPr>
        <w:spacing w:after="0"/>
        <w:rPr>
          <w:sz w:val="14"/>
        </w:rPr>
      </w:pPr>
      <w:bookmarkStart w:id="21" w:name="_Toc122424407"/>
      <w:r w:rsidRPr="00C25FAA">
        <w:rPr>
          <w:noProof/>
          <w:sz w:val="14"/>
        </w:rPr>
        <w:t xml:space="preserve">a Includes regulatory burden of $0.96m for joint proposal with Department of the Treasury: </w:t>
      </w:r>
      <w:r w:rsidRPr="00C25FAA">
        <w:rPr>
          <w:sz w:val="14"/>
        </w:rPr>
        <w:t>Options for Energy Price Relief – refer to Department of the Treasury section of this report</w:t>
      </w:r>
    </w:p>
    <w:p w14:paraId="008C6365" w14:textId="52C3C3F9" w:rsidR="00F715D8" w:rsidRPr="00C25FAA" w:rsidRDefault="00F715D8" w:rsidP="001277DC">
      <w:pPr>
        <w:rPr>
          <w:noProof/>
          <w:sz w:val="14"/>
        </w:rPr>
      </w:pPr>
      <w:r>
        <w:rPr>
          <w:noProof/>
          <w:sz w:val="14"/>
        </w:rPr>
        <w:t xml:space="preserve">b  </w:t>
      </w:r>
      <w:r w:rsidRPr="00F715D8">
        <w:rPr>
          <w:noProof/>
          <w:sz w:val="14"/>
        </w:rPr>
        <w:t>The Department has estimated that this decision will have annual average regulatory costs of $34.75 million across the Australian community. OIA notes that the estimated value of additional revenue (i.e. the change in the amount paid through the levy) should not be included in the regulatory costs calculation as it is outside the scope of the Australian Government’s Regulatory Burden Measurement Framework.</w:t>
      </w:r>
    </w:p>
    <w:p w14:paraId="32DE9B3C" w14:textId="15AB4234" w:rsidR="00AE10E6" w:rsidRDefault="00AE10E6" w:rsidP="00AE10E6">
      <w:pPr>
        <w:pStyle w:val="Heading2"/>
        <w:rPr>
          <w:noProof/>
        </w:rPr>
      </w:pPr>
      <w:bookmarkStart w:id="22" w:name="_Toc200111074"/>
      <w:r>
        <w:rPr>
          <w:noProof/>
        </w:rPr>
        <w:t>Department of Defence</w:t>
      </w:r>
      <w:bookmarkEnd w:id="21"/>
      <w:bookmarkEnd w:id="22"/>
    </w:p>
    <w:p w14:paraId="20F61E2C" w14:textId="794A6AEC" w:rsidR="00AE10E6" w:rsidRDefault="00AE10E6" w:rsidP="00AE10E6">
      <w:pPr>
        <w:pStyle w:val="Heading3"/>
      </w:pPr>
      <w:bookmarkStart w:id="23" w:name="_Toc122424408"/>
      <w:bookmarkStart w:id="24" w:name="_Toc200111075"/>
      <w:r>
        <w:t xml:space="preserve">Early Assessment </w:t>
      </w:r>
      <w:r w:rsidR="006B4E20">
        <w:t>IA</w:t>
      </w:r>
      <w:r>
        <w:t xml:space="preserve"> - </w:t>
      </w:r>
      <w:r w:rsidRPr="00C256B0">
        <w:t>Regulation of Commonwealth Explosives</w:t>
      </w:r>
      <w:bookmarkEnd w:id="23"/>
      <w:bookmarkEnd w:id="24"/>
    </w:p>
    <w:p w14:paraId="1CF03B81" w14:textId="77777777" w:rsidR="00D922FC" w:rsidRPr="00AE10E6" w:rsidRDefault="00D922FC" w:rsidP="00C22F2D">
      <w:pPr>
        <w:pStyle w:val="Figure"/>
        <w:ind w:left="1276" w:hanging="1276"/>
      </w:pPr>
      <w:r w:rsidRPr="00AE10E6">
        <w:t xml:space="preserve">Compliance summary: </w:t>
      </w:r>
      <w:r w:rsidR="00AE10E6" w:rsidRPr="00AE10E6">
        <w:t>Department of Defence</w:t>
      </w:r>
    </w:p>
    <w:tbl>
      <w:tblPr>
        <w:tblStyle w:val="ListTable4-Accent1"/>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Defence Early Asssessment IA"/>
        <w:tblDescription w:val="Compliance summary: Department of Defence Early Asssessment IA"/>
      </w:tblPr>
      <w:tblGrid>
        <w:gridCol w:w="5275"/>
        <w:gridCol w:w="4693"/>
      </w:tblGrid>
      <w:tr w:rsidR="00327135" w:rsidRPr="00AE10E6" w14:paraId="13B65E14" w14:textId="77777777" w:rsidTr="000B693B">
        <w:trPr>
          <w:cnfStyle w:val="100000000000" w:firstRow="1" w:lastRow="0" w:firstColumn="0" w:lastColumn="0" w:oddVBand="0" w:evenVBand="0" w:oddHBand="0" w:evenHBand="0" w:firstRowFirstColumn="0" w:firstRowLastColumn="0" w:lastRowFirstColumn="0" w:lastRowLastColumn="0"/>
          <w:trHeight w:val="20"/>
          <w:tblHeader/>
        </w:trPr>
        <w:tc>
          <w:tcPr>
            <w:tcW w:w="2646" w:type="pct"/>
            <w:tcBorders>
              <w:top w:val="none" w:sz="0" w:space="0" w:color="auto"/>
              <w:left w:val="none" w:sz="0" w:space="0" w:color="auto"/>
              <w:bottom w:val="none" w:sz="0" w:space="0" w:color="auto"/>
            </w:tcBorders>
            <w:vAlign w:val="center"/>
          </w:tcPr>
          <w:p w14:paraId="47277C36" w14:textId="77777777" w:rsidR="00327135" w:rsidRPr="00AE10E6" w:rsidRDefault="00327135" w:rsidP="007F69F4">
            <w:pPr>
              <w:pStyle w:val="TBLHeading"/>
            </w:pPr>
            <w:r w:rsidRPr="00AE10E6">
              <w:t>Proposal</w:t>
            </w:r>
          </w:p>
        </w:tc>
        <w:tc>
          <w:tcPr>
            <w:tcW w:w="2354" w:type="pct"/>
            <w:tcBorders>
              <w:top w:val="none" w:sz="0" w:space="0" w:color="auto"/>
              <w:bottom w:val="none" w:sz="0" w:space="0" w:color="auto"/>
              <w:right w:val="none" w:sz="0" w:space="0" w:color="auto"/>
            </w:tcBorders>
            <w:vAlign w:val="center"/>
          </w:tcPr>
          <w:p w14:paraId="50D4EDDF" w14:textId="11EB4DD1" w:rsidR="00327135" w:rsidRPr="00AE10E6" w:rsidRDefault="006B3940" w:rsidP="007F69F4">
            <w:pPr>
              <w:pStyle w:val="TBLHeading"/>
            </w:pPr>
            <w:r>
              <w:t xml:space="preserve">IA </w:t>
            </w:r>
            <w:r w:rsidR="00327135" w:rsidRPr="00AE10E6">
              <w:t>Compliance</w:t>
            </w:r>
          </w:p>
        </w:tc>
      </w:tr>
      <w:tr w:rsidR="00327135" w:rsidRPr="00AE10E6" w14:paraId="4EA25177" w14:textId="77777777" w:rsidTr="000B693B">
        <w:trPr>
          <w:trHeight w:val="20"/>
        </w:trPr>
        <w:tc>
          <w:tcPr>
            <w:tcW w:w="2646" w:type="pct"/>
            <w:vAlign w:val="center"/>
          </w:tcPr>
          <w:p w14:paraId="5643E57A" w14:textId="77777777" w:rsidR="00327135" w:rsidRPr="00AE10E6" w:rsidRDefault="00261374" w:rsidP="00DE0E0C">
            <w:pPr>
              <w:pStyle w:val="TBLText"/>
            </w:pPr>
            <w:r w:rsidRPr="00AE10E6">
              <w:rPr>
                <w:rFonts w:cs="Calibri"/>
                <w:color w:val="000000"/>
              </w:rPr>
              <w:t>Regulation of Commonwealth Explosives</w:t>
            </w:r>
          </w:p>
        </w:tc>
        <w:tc>
          <w:tcPr>
            <w:tcW w:w="2354" w:type="pct"/>
            <w:vAlign w:val="center"/>
          </w:tcPr>
          <w:p w14:paraId="05C76CB7" w14:textId="77777777" w:rsidR="00327135" w:rsidRPr="00AE10E6" w:rsidRDefault="000B693B" w:rsidP="00DE0E0C">
            <w:pPr>
              <w:pStyle w:val="TBLText"/>
            </w:pPr>
            <w:r w:rsidRPr="00AE10E6">
              <w:rPr>
                <w:rFonts w:eastAsia="MS Mincho"/>
                <w:spacing w:val="-3"/>
              </w:rPr>
              <w:t>Compliant</w:t>
            </w:r>
          </w:p>
        </w:tc>
      </w:tr>
      <w:tr w:rsidR="00327135" w14:paraId="30639300" w14:textId="77777777" w:rsidTr="000B693B">
        <w:trPr>
          <w:trHeight w:val="20"/>
        </w:trPr>
        <w:tc>
          <w:tcPr>
            <w:tcW w:w="2646" w:type="pct"/>
            <w:shd w:val="clear" w:color="auto" w:fill="E0E8F2" w:themeFill="background2"/>
            <w:vAlign w:val="center"/>
          </w:tcPr>
          <w:p w14:paraId="441C29C8" w14:textId="77777777" w:rsidR="00327135" w:rsidRPr="00AE10E6" w:rsidRDefault="000B693B" w:rsidP="00DE0E0C">
            <w:pPr>
              <w:pStyle w:val="TBLText"/>
              <w:rPr>
                <w:b/>
              </w:rPr>
            </w:pPr>
            <w:r w:rsidRPr="00AE10E6">
              <w:rPr>
                <w:b/>
              </w:rPr>
              <w:t>Total proposals</w:t>
            </w:r>
          </w:p>
        </w:tc>
        <w:tc>
          <w:tcPr>
            <w:tcW w:w="2354" w:type="pct"/>
            <w:shd w:val="clear" w:color="auto" w:fill="E0E8F2" w:themeFill="background2"/>
            <w:vAlign w:val="center"/>
          </w:tcPr>
          <w:p w14:paraId="077BB88C" w14:textId="77777777" w:rsidR="00327135" w:rsidRPr="00AE10E6" w:rsidRDefault="00261374" w:rsidP="00261374">
            <w:pPr>
              <w:pStyle w:val="TBLText"/>
              <w:rPr>
                <w:b/>
              </w:rPr>
            </w:pPr>
            <w:r w:rsidRPr="00AE10E6">
              <w:rPr>
                <w:b/>
              </w:rPr>
              <w:t>1</w:t>
            </w:r>
            <w:r w:rsidR="000B693B" w:rsidRPr="00AE10E6">
              <w:rPr>
                <w:b/>
              </w:rPr>
              <w:t>/</w:t>
            </w:r>
            <w:r w:rsidRPr="00AE10E6">
              <w:rPr>
                <w:b/>
              </w:rPr>
              <w:t>1</w:t>
            </w:r>
          </w:p>
        </w:tc>
      </w:tr>
    </w:tbl>
    <w:p w14:paraId="01532404" w14:textId="5B1C6715" w:rsidR="00F503E5" w:rsidRDefault="00F503E5" w:rsidP="002C6070">
      <w:pPr>
        <w:pStyle w:val="Heading2"/>
        <w:rPr>
          <w:noProof/>
        </w:rPr>
      </w:pPr>
      <w:bookmarkStart w:id="25" w:name="_Toc122424409"/>
      <w:bookmarkStart w:id="26" w:name="_Toc200111076"/>
      <w:r>
        <w:rPr>
          <w:noProof/>
        </w:rPr>
        <w:t>Department of Employment and Workplace Relations</w:t>
      </w:r>
      <w:bookmarkEnd w:id="25"/>
      <w:bookmarkEnd w:id="26"/>
    </w:p>
    <w:p w14:paraId="46FAE3F1" w14:textId="77777777" w:rsidR="00F503E5" w:rsidRPr="00774646" w:rsidRDefault="00F503E5" w:rsidP="00F503E5">
      <w:pPr>
        <w:pStyle w:val="Figure"/>
        <w:ind w:hanging="2694"/>
      </w:pPr>
      <w:r w:rsidRPr="00057A02">
        <w:t xml:space="preserve">Compliance summary: </w:t>
      </w:r>
      <w:r w:rsidRPr="002C6070">
        <w:t xml:space="preserve">Department of </w:t>
      </w:r>
      <w:r>
        <w:t>Foreign Affairs and Trade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Employment and Workplace Relations"/>
        <w:tblDescription w:val="Compliance summary: Department of Employment and Workplace Relations"/>
      </w:tblPr>
      <w:tblGrid>
        <w:gridCol w:w="3017"/>
        <w:gridCol w:w="1380"/>
        <w:gridCol w:w="1701"/>
        <w:gridCol w:w="1936"/>
        <w:gridCol w:w="1934"/>
      </w:tblGrid>
      <w:tr w:rsidR="00F503E5" w14:paraId="2F35F45B" w14:textId="77777777" w:rsidTr="00016A64">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22077762" w14:textId="77777777" w:rsidR="00F503E5" w:rsidRPr="006E170D" w:rsidRDefault="00F503E5" w:rsidP="00016A64">
            <w:pPr>
              <w:pStyle w:val="TBLHeading"/>
            </w:pPr>
            <w:r>
              <w:t>Proposal</w:t>
            </w:r>
          </w:p>
        </w:tc>
        <w:tc>
          <w:tcPr>
            <w:tcW w:w="692" w:type="pct"/>
            <w:tcBorders>
              <w:top w:val="none" w:sz="0" w:space="0" w:color="auto"/>
              <w:bottom w:val="none" w:sz="0" w:space="0" w:color="auto"/>
            </w:tcBorders>
            <w:vAlign w:val="center"/>
          </w:tcPr>
          <w:p w14:paraId="137BB47C" w14:textId="77777777" w:rsidR="00F503E5" w:rsidRPr="006E170D" w:rsidRDefault="00F503E5" w:rsidP="00016A64">
            <w:pPr>
              <w:pStyle w:val="TBLHeading"/>
            </w:pPr>
            <w:r>
              <w:t>IA Compliance</w:t>
            </w:r>
          </w:p>
        </w:tc>
        <w:tc>
          <w:tcPr>
            <w:tcW w:w="853" w:type="pct"/>
            <w:tcBorders>
              <w:top w:val="none" w:sz="0" w:space="0" w:color="auto"/>
              <w:bottom w:val="none" w:sz="0" w:space="0" w:color="auto"/>
            </w:tcBorders>
            <w:vAlign w:val="center"/>
          </w:tcPr>
          <w:p w14:paraId="0BC7B046" w14:textId="77777777" w:rsidR="00F503E5" w:rsidRPr="006E170D" w:rsidRDefault="00F503E5" w:rsidP="00016A64">
            <w:pPr>
              <w:pStyle w:val="TBLHeading"/>
            </w:pPr>
            <w:r>
              <w:t>Rating</w:t>
            </w:r>
          </w:p>
        </w:tc>
        <w:tc>
          <w:tcPr>
            <w:tcW w:w="971" w:type="pct"/>
            <w:tcBorders>
              <w:top w:val="none" w:sz="0" w:space="0" w:color="auto"/>
              <w:bottom w:val="none" w:sz="0" w:space="0" w:color="auto"/>
            </w:tcBorders>
            <w:vAlign w:val="center"/>
          </w:tcPr>
          <w:p w14:paraId="06C21BE4" w14:textId="77777777" w:rsidR="00F503E5" w:rsidRPr="006E170D" w:rsidRDefault="00F503E5" w:rsidP="00016A64">
            <w:pPr>
              <w:pStyle w:val="TBLHeading"/>
            </w:pPr>
            <w:r>
              <w:t>PIR Required</w:t>
            </w:r>
          </w:p>
        </w:tc>
        <w:tc>
          <w:tcPr>
            <w:tcW w:w="970" w:type="pct"/>
            <w:tcBorders>
              <w:top w:val="none" w:sz="0" w:space="0" w:color="auto"/>
              <w:bottom w:val="none" w:sz="0" w:space="0" w:color="auto"/>
              <w:right w:val="none" w:sz="0" w:space="0" w:color="auto"/>
            </w:tcBorders>
            <w:vAlign w:val="center"/>
          </w:tcPr>
          <w:p w14:paraId="5FB49E9E" w14:textId="77777777" w:rsidR="00F503E5" w:rsidRPr="006E170D" w:rsidRDefault="00F503E5" w:rsidP="00016A64">
            <w:pPr>
              <w:pStyle w:val="TBLHeading"/>
            </w:pPr>
            <w:r>
              <w:t>Regulatory Burden ($m)</w:t>
            </w:r>
          </w:p>
        </w:tc>
      </w:tr>
      <w:tr w:rsidR="00F503E5" w14:paraId="223D28E2" w14:textId="77777777" w:rsidTr="00016A64">
        <w:trPr>
          <w:trHeight w:val="20"/>
        </w:trPr>
        <w:tc>
          <w:tcPr>
            <w:tcW w:w="1513" w:type="pct"/>
            <w:shd w:val="clear" w:color="auto" w:fill="auto"/>
            <w:vAlign w:val="center"/>
          </w:tcPr>
          <w:p w14:paraId="43EC228C" w14:textId="4089A398" w:rsidR="00F503E5" w:rsidRPr="006E170D" w:rsidRDefault="00EB39DF" w:rsidP="00016A64">
            <w:pPr>
              <w:pStyle w:val="TBLText"/>
            </w:pPr>
            <w:r w:rsidRPr="00EB39DF">
              <w:t>Fair Work Legislation Amendment (Secure Jobs, Better Pay) Bill</w:t>
            </w:r>
          </w:p>
        </w:tc>
        <w:tc>
          <w:tcPr>
            <w:tcW w:w="692" w:type="pct"/>
            <w:shd w:val="clear" w:color="auto" w:fill="auto"/>
            <w:vAlign w:val="center"/>
          </w:tcPr>
          <w:p w14:paraId="54F62661" w14:textId="77777777" w:rsidR="00F503E5" w:rsidRPr="006E170D" w:rsidRDefault="00F503E5" w:rsidP="00016A64">
            <w:pPr>
              <w:pStyle w:val="TBLText"/>
            </w:pPr>
            <w:r w:rsidRPr="002B0DDE">
              <w:rPr>
                <w:rFonts w:eastAsia="MS Mincho"/>
                <w:spacing w:val="-3"/>
              </w:rPr>
              <w:t>Compliant</w:t>
            </w:r>
          </w:p>
        </w:tc>
        <w:tc>
          <w:tcPr>
            <w:tcW w:w="853" w:type="pct"/>
            <w:shd w:val="clear" w:color="auto" w:fill="auto"/>
            <w:vAlign w:val="center"/>
          </w:tcPr>
          <w:p w14:paraId="022B490F" w14:textId="77777777" w:rsidR="00F503E5" w:rsidRPr="006E170D" w:rsidRDefault="00F503E5" w:rsidP="00016A64">
            <w:pPr>
              <w:pStyle w:val="TBLText"/>
            </w:pPr>
            <w:r>
              <w:rPr>
                <w:rFonts w:eastAsia="MS Mincho"/>
                <w:spacing w:val="-3"/>
              </w:rPr>
              <w:t>Adequate</w:t>
            </w:r>
          </w:p>
        </w:tc>
        <w:tc>
          <w:tcPr>
            <w:tcW w:w="971" w:type="pct"/>
            <w:shd w:val="clear" w:color="auto" w:fill="auto"/>
            <w:vAlign w:val="center"/>
          </w:tcPr>
          <w:p w14:paraId="519E748D" w14:textId="725D1674" w:rsidR="00F503E5" w:rsidRPr="00C77476" w:rsidRDefault="00634FDA" w:rsidP="00016A64">
            <w:pPr>
              <w:pStyle w:val="TBLText"/>
            </w:pPr>
            <w:r w:rsidRPr="00C77476">
              <w:t>Yes</w:t>
            </w:r>
          </w:p>
        </w:tc>
        <w:tc>
          <w:tcPr>
            <w:tcW w:w="970" w:type="pct"/>
            <w:shd w:val="clear" w:color="auto" w:fill="auto"/>
            <w:vAlign w:val="center"/>
          </w:tcPr>
          <w:p w14:paraId="46EA3697" w14:textId="77777777" w:rsidR="00F503E5" w:rsidRPr="006E170D" w:rsidRDefault="00F503E5" w:rsidP="00016A64">
            <w:pPr>
              <w:pStyle w:val="TBLText"/>
            </w:pPr>
            <w:r>
              <w:rPr>
                <w:rFonts w:eastAsia="MS Mincho"/>
                <w:spacing w:val="-3"/>
              </w:rPr>
              <w:t>-</w:t>
            </w:r>
          </w:p>
        </w:tc>
      </w:tr>
      <w:tr w:rsidR="00C77476" w14:paraId="645090BB" w14:textId="77777777" w:rsidTr="00734239">
        <w:trPr>
          <w:trHeight w:val="20"/>
        </w:trPr>
        <w:tc>
          <w:tcPr>
            <w:tcW w:w="1513" w:type="pct"/>
            <w:shd w:val="clear" w:color="auto" w:fill="DBE6F5" w:themeFill="text2" w:themeFillTint="1A"/>
            <w:vAlign w:val="center"/>
          </w:tcPr>
          <w:p w14:paraId="322DF06B" w14:textId="763E2478" w:rsidR="00C77476" w:rsidRPr="00C77476" w:rsidRDefault="00C77476" w:rsidP="00016A64">
            <w:pPr>
              <w:pStyle w:val="TBLText"/>
              <w:rPr>
                <w:b/>
              </w:rPr>
            </w:pPr>
            <w:r w:rsidRPr="00C77476">
              <w:rPr>
                <w:b/>
              </w:rPr>
              <w:t>Total proposals</w:t>
            </w:r>
          </w:p>
        </w:tc>
        <w:tc>
          <w:tcPr>
            <w:tcW w:w="692" w:type="pct"/>
            <w:shd w:val="clear" w:color="auto" w:fill="DBE6F5" w:themeFill="text2" w:themeFillTint="1A"/>
            <w:vAlign w:val="center"/>
          </w:tcPr>
          <w:p w14:paraId="276CF424" w14:textId="1623393A" w:rsidR="00C77476" w:rsidRPr="00C77476" w:rsidRDefault="00C77476" w:rsidP="00016A64">
            <w:pPr>
              <w:pStyle w:val="TBLText"/>
              <w:rPr>
                <w:rFonts w:eastAsia="MS Mincho"/>
                <w:b/>
                <w:spacing w:val="-3"/>
              </w:rPr>
            </w:pPr>
            <w:r w:rsidRPr="00C77476">
              <w:rPr>
                <w:rFonts w:eastAsia="MS Mincho"/>
                <w:b/>
                <w:spacing w:val="-3"/>
              </w:rPr>
              <w:t>1/1</w:t>
            </w:r>
          </w:p>
        </w:tc>
        <w:tc>
          <w:tcPr>
            <w:tcW w:w="853" w:type="pct"/>
            <w:shd w:val="clear" w:color="auto" w:fill="DBE6F5" w:themeFill="text2" w:themeFillTint="1A"/>
            <w:vAlign w:val="center"/>
          </w:tcPr>
          <w:p w14:paraId="19DED68E" w14:textId="474FBD32" w:rsidR="00C77476" w:rsidRPr="00C77476" w:rsidRDefault="00C77476" w:rsidP="00016A64">
            <w:pPr>
              <w:pStyle w:val="TBLText"/>
              <w:rPr>
                <w:rFonts w:eastAsia="MS Mincho"/>
                <w:b/>
                <w:spacing w:val="-3"/>
              </w:rPr>
            </w:pPr>
            <w:r w:rsidRPr="00C77476">
              <w:rPr>
                <w:rFonts w:eastAsia="MS Mincho"/>
                <w:b/>
                <w:spacing w:val="-3"/>
              </w:rPr>
              <w:t>-</w:t>
            </w:r>
          </w:p>
        </w:tc>
        <w:tc>
          <w:tcPr>
            <w:tcW w:w="971" w:type="pct"/>
            <w:shd w:val="clear" w:color="auto" w:fill="DBE6F5" w:themeFill="text2" w:themeFillTint="1A"/>
            <w:vAlign w:val="center"/>
          </w:tcPr>
          <w:p w14:paraId="14D9D862" w14:textId="28BAB242" w:rsidR="00C77476" w:rsidRPr="00C77476" w:rsidRDefault="00C77476" w:rsidP="00016A64">
            <w:pPr>
              <w:pStyle w:val="TBLText"/>
              <w:rPr>
                <w:b/>
              </w:rPr>
            </w:pPr>
            <w:r w:rsidRPr="00C77476">
              <w:rPr>
                <w:b/>
              </w:rPr>
              <w:t>1/1</w:t>
            </w:r>
          </w:p>
        </w:tc>
        <w:tc>
          <w:tcPr>
            <w:tcW w:w="970" w:type="pct"/>
            <w:shd w:val="clear" w:color="auto" w:fill="DBE6F5" w:themeFill="text2" w:themeFillTint="1A"/>
            <w:vAlign w:val="center"/>
          </w:tcPr>
          <w:p w14:paraId="044EF66E" w14:textId="3A3E7455" w:rsidR="00C77476" w:rsidRPr="00C77476" w:rsidRDefault="00C77476" w:rsidP="00016A64">
            <w:pPr>
              <w:pStyle w:val="TBLText"/>
              <w:rPr>
                <w:rFonts w:eastAsia="MS Mincho"/>
                <w:spacing w:val="-3"/>
              </w:rPr>
            </w:pPr>
            <w:r w:rsidRPr="00C77476">
              <w:rPr>
                <w:rFonts w:eastAsia="MS Mincho"/>
                <w:spacing w:val="-3"/>
              </w:rPr>
              <w:t>-</w:t>
            </w:r>
          </w:p>
        </w:tc>
      </w:tr>
    </w:tbl>
    <w:p w14:paraId="6EF9D3C9" w14:textId="06F5087C" w:rsidR="00E96B87" w:rsidRDefault="00E96B87" w:rsidP="002C6070">
      <w:pPr>
        <w:pStyle w:val="Heading2"/>
        <w:rPr>
          <w:noProof/>
        </w:rPr>
      </w:pPr>
      <w:bookmarkStart w:id="27" w:name="_Toc122424410"/>
      <w:bookmarkStart w:id="28" w:name="_Toc200111077"/>
      <w:r>
        <w:rPr>
          <w:noProof/>
        </w:rPr>
        <w:t>Department of Foreign Affairs and Trade</w:t>
      </w:r>
      <w:bookmarkEnd w:id="27"/>
      <w:bookmarkEnd w:id="28"/>
    </w:p>
    <w:p w14:paraId="3BD4195B" w14:textId="45B31CD8" w:rsidR="00E96B87" w:rsidRPr="00774646" w:rsidRDefault="00E96B87" w:rsidP="00E96B87">
      <w:pPr>
        <w:pStyle w:val="Figure"/>
        <w:ind w:hanging="2694"/>
      </w:pPr>
      <w:r w:rsidRPr="00057A02">
        <w:t xml:space="preserve">Compliance summary: </w:t>
      </w:r>
      <w:r w:rsidRPr="002C6070">
        <w:t xml:space="preserve">Department of </w:t>
      </w:r>
      <w:r>
        <w:t>Foreign Affairs and Trade</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Foreign Affairs and Trade"/>
        <w:tblDescription w:val="Compliance summary: Department of Foreign Affairs and Trade"/>
      </w:tblPr>
      <w:tblGrid>
        <w:gridCol w:w="3017"/>
        <w:gridCol w:w="1380"/>
        <w:gridCol w:w="1701"/>
        <w:gridCol w:w="1936"/>
        <w:gridCol w:w="1934"/>
      </w:tblGrid>
      <w:tr w:rsidR="00E96B87" w14:paraId="1662D1FD" w14:textId="77777777" w:rsidTr="00016A64">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52DD8DDA" w14:textId="77777777" w:rsidR="00E96B87" w:rsidRPr="006E170D" w:rsidRDefault="00E96B87" w:rsidP="00016A64">
            <w:pPr>
              <w:pStyle w:val="TBLHeading"/>
            </w:pPr>
            <w:r>
              <w:t>Proposal</w:t>
            </w:r>
          </w:p>
        </w:tc>
        <w:tc>
          <w:tcPr>
            <w:tcW w:w="692" w:type="pct"/>
            <w:tcBorders>
              <w:top w:val="none" w:sz="0" w:space="0" w:color="auto"/>
              <w:bottom w:val="none" w:sz="0" w:space="0" w:color="auto"/>
            </w:tcBorders>
            <w:vAlign w:val="center"/>
          </w:tcPr>
          <w:p w14:paraId="1897BD36" w14:textId="77777777" w:rsidR="00E96B87" w:rsidRPr="006E170D" w:rsidRDefault="00E96B87" w:rsidP="00016A64">
            <w:pPr>
              <w:pStyle w:val="TBLHeading"/>
            </w:pPr>
            <w:r>
              <w:t>IA Compliance</w:t>
            </w:r>
          </w:p>
        </w:tc>
        <w:tc>
          <w:tcPr>
            <w:tcW w:w="853" w:type="pct"/>
            <w:tcBorders>
              <w:top w:val="none" w:sz="0" w:space="0" w:color="auto"/>
              <w:bottom w:val="none" w:sz="0" w:space="0" w:color="auto"/>
            </w:tcBorders>
            <w:vAlign w:val="center"/>
          </w:tcPr>
          <w:p w14:paraId="1042925E" w14:textId="77777777" w:rsidR="00E96B87" w:rsidRPr="006E170D" w:rsidRDefault="00E96B87" w:rsidP="00016A64">
            <w:pPr>
              <w:pStyle w:val="TBLHeading"/>
            </w:pPr>
            <w:r>
              <w:t>Rating</w:t>
            </w:r>
          </w:p>
        </w:tc>
        <w:tc>
          <w:tcPr>
            <w:tcW w:w="971" w:type="pct"/>
            <w:tcBorders>
              <w:top w:val="none" w:sz="0" w:space="0" w:color="auto"/>
              <w:bottom w:val="none" w:sz="0" w:space="0" w:color="auto"/>
            </w:tcBorders>
            <w:vAlign w:val="center"/>
          </w:tcPr>
          <w:p w14:paraId="64F5DA24" w14:textId="77777777" w:rsidR="00E96B87" w:rsidRPr="006E170D" w:rsidRDefault="00E96B87" w:rsidP="00016A64">
            <w:pPr>
              <w:pStyle w:val="TBLHeading"/>
            </w:pPr>
            <w:r>
              <w:t>PIR Required</w:t>
            </w:r>
          </w:p>
        </w:tc>
        <w:tc>
          <w:tcPr>
            <w:tcW w:w="970" w:type="pct"/>
            <w:tcBorders>
              <w:top w:val="none" w:sz="0" w:space="0" w:color="auto"/>
              <w:bottom w:val="none" w:sz="0" w:space="0" w:color="auto"/>
              <w:right w:val="none" w:sz="0" w:space="0" w:color="auto"/>
            </w:tcBorders>
            <w:vAlign w:val="center"/>
          </w:tcPr>
          <w:p w14:paraId="46BE878C" w14:textId="77777777" w:rsidR="00E96B87" w:rsidRPr="006E170D" w:rsidRDefault="00E96B87" w:rsidP="00016A64">
            <w:pPr>
              <w:pStyle w:val="TBLHeading"/>
            </w:pPr>
            <w:r>
              <w:t>Regulatory Burden ($m)</w:t>
            </w:r>
          </w:p>
        </w:tc>
      </w:tr>
      <w:tr w:rsidR="00E96B87" w14:paraId="7FAF3E38" w14:textId="77777777" w:rsidTr="00016A64">
        <w:trPr>
          <w:trHeight w:val="20"/>
        </w:trPr>
        <w:tc>
          <w:tcPr>
            <w:tcW w:w="1513" w:type="pct"/>
            <w:shd w:val="clear" w:color="auto" w:fill="auto"/>
            <w:vAlign w:val="center"/>
          </w:tcPr>
          <w:p w14:paraId="681E9F5D" w14:textId="74774B72" w:rsidR="00E96B87" w:rsidRPr="006E170D" w:rsidRDefault="00E96B87" w:rsidP="00016A64">
            <w:pPr>
              <w:pStyle w:val="TBLText"/>
            </w:pPr>
            <w:r w:rsidRPr="00E96B87">
              <w:t>WTO Services Domestic Regulation Joint Statement Initiative</w:t>
            </w:r>
          </w:p>
        </w:tc>
        <w:tc>
          <w:tcPr>
            <w:tcW w:w="692" w:type="pct"/>
            <w:shd w:val="clear" w:color="auto" w:fill="auto"/>
            <w:vAlign w:val="center"/>
          </w:tcPr>
          <w:p w14:paraId="79D4A56C" w14:textId="77777777" w:rsidR="00E96B87" w:rsidRPr="006E170D" w:rsidRDefault="00E96B87" w:rsidP="00016A64">
            <w:pPr>
              <w:pStyle w:val="TBLText"/>
            </w:pPr>
            <w:r w:rsidRPr="002B0DDE">
              <w:rPr>
                <w:rFonts w:eastAsia="MS Mincho"/>
                <w:spacing w:val="-3"/>
              </w:rPr>
              <w:t>Compliant</w:t>
            </w:r>
          </w:p>
        </w:tc>
        <w:tc>
          <w:tcPr>
            <w:tcW w:w="853" w:type="pct"/>
            <w:shd w:val="clear" w:color="auto" w:fill="auto"/>
            <w:vAlign w:val="center"/>
          </w:tcPr>
          <w:p w14:paraId="6DDB1CFD" w14:textId="77777777" w:rsidR="00E96B87" w:rsidRPr="006E170D" w:rsidRDefault="00E96B87" w:rsidP="00016A64">
            <w:pPr>
              <w:pStyle w:val="TBLText"/>
            </w:pPr>
            <w:r>
              <w:rPr>
                <w:rFonts w:eastAsia="MS Mincho"/>
                <w:spacing w:val="-3"/>
              </w:rPr>
              <w:t>Adequate</w:t>
            </w:r>
          </w:p>
        </w:tc>
        <w:tc>
          <w:tcPr>
            <w:tcW w:w="971" w:type="pct"/>
            <w:shd w:val="clear" w:color="auto" w:fill="auto"/>
            <w:vAlign w:val="center"/>
          </w:tcPr>
          <w:p w14:paraId="09F40063" w14:textId="29FD0D1E" w:rsidR="00E96B87" w:rsidRPr="00254BDF" w:rsidRDefault="00FA0A1F" w:rsidP="00016A64">
            <w:pPr>
              <w:pStyle w:val="TBLText"/>
            </w:pPr>
            <w:r>
              <w:rPr>
                <w:rFonts w:eastAsia="MS Mincho"/>
                <w:spacing w:val="-3"/>
              </w:rPr>
              <w:t>No</w:t>
            </w:r>
          </w:p>
        </w:tc>
        <w:tc>
          <w:tcPr>
            <w:tcW w:w="970" w:type="pct"/>
            <w:shd w:val="clear" w:color="auto" w:fill="auto"/>
            <w:vAlign w:val="center"/>
          </w:tcPr>
          <w:p w14:paraId="70BF8DC9" w14:textId="313B02A3" w:rsidR="00E96B87" w:rsidRPr="006E170D" w:rsidRDefault="00E96B87" w:rsidP="00016A64">
            <w:pPr>
              <w:pStyle w:val="TBLText"/>
            </w:pPr>
            <w:r>
              <w:rPr>
                <w:rFonts w:eastAsia="MS Mincho"/>
                <w:spacing w:val="-3"/>
              </w:rPr>
              <w:t>-</w:t>
            </w:r>
          </w:p>
        </w:tc>
      </w:tr>
      <w:tr w:rsidR="00E96B87" w14:paraId="2A85CD71" w14:textId="77777777" w:rsidTr="00734239">
        <w:trPr>
          <w:trHeight w:val="20"/>
        </w:trPr>
        <w:tc>
          <w:tcPr>
            <w:tcW w:w="1513" w:type="pct"/>
            <w:shd w:val="clear" w:color="auto" w:fill="DBE6F5" w:themeFill="text2" w:themeFillTint="1A"/>
            <w:vAlign w:val="center"/>
          </w:tcPr>
          <w:p w14:paraId="00F2E142" w14:textId="77777777" w:rsidR="00E96B87" w:rsidRPr="00363240" w:rsidRDefault="00E96B87" w:rsidP="00016A64">
            <w:pPr>
              <w:pStyle w:val="TBLText"/>
              <w:rPr>
                <w:b/>
              </w:rPr>
            </w:pPr>
            <w:r w:rsidRPr="00363240">
              <w:rPr>
                <w:b/>
              </w:rPr>
              <w:t>Total proposals</w:t>
            </w:r>
          </w:p>
        </w:tc>
        <w:tc>
          <w:tcPr>
            <w:tcW w:w="692" w:type="pct"/>
            <w:shd w:val="clear" w:color="auto" w:fill="DBE6F5" w:themeFill="text2" w:themeFillTint="1A"/>
            <w:vAlign w:val="center"/>
          </w:tcPr>
          <w:p w14:paraId="00B85EA6" w14:textId="77777777" w:rsidR="00E96B87" w:rsidRPr="00363240" w:rsidRDefault="00E96B87" w:rsidP="00016A64">
            <w:pPr>
              <w:pStyle w:val="TBLText"/>
              <w:rPr>
                <w:b/>
              </w:rPr>
            </w:pPr>
            <w:r>
              <w:rPr>
                <w:b/>
              </w:rPr>
              <w:t>1</w:t>
            </w:r>
            <w:r w:rsidRPr="00363240">
              <w:rPr>
                <w:b/>
              </w:rPr>
              <w:t>/</w:t>
            </w:r>
            <w:r>
              <w:rPr>
                <w:b/>
              </w:rPr>
              <w:t>1</w:t>
            </w:r>
          </w:p>
        </w:tc>
        <w:tc>
          <w:tcPr>
            <w:tcW w:w="853" w:type="pct"/>
            <w:shd w:val="clear" w:color="auto" w:fill="DBE6F5" w:themeFill="text2" w:themeFillTint="1A"/>
            <w:vAlign w:val="center"/>
          </w:tcPr>
          <w:p w14:paraId="3C13A63A" w14:textId="77777777" w:rsidR="00E96B87" w:rsidRPr="00363240" w:rsidRDefault="00E96B87" w:rsidP="00016A64">
            <w:pPr>
              <w:pStyle w:val="TBLText"/>
              <w:rPr>
                <w:b/>
              </w:rPr>
            </w:pPr>
            <w:r w:rsidRPr="00363240">
              <w:rPr>
                <w:b/>
              </w:rPr>
              <w:t>-</w:t>
            </w:r>
          </w:p>
        </w:tc>
        <w:tc>
          <w:tcPr>
            <w:tcW w:w="971" w:type="pct"/>
            <w:shd w:val="clear" w:color="auto" w:fill="DBE6F5" w:themeFill="text2" w:themeFillTint="1A"/>
            <w:vAlign w:val="center"/>
          </w:tcPr>
          <w:p w14:paraId="58DCCC95" w14:textId="224613DF" w:rsidR="00E96B87" w:rsidRPr="00254BDF" w:rsidRDefault="00C77476" w:rsidP="00016A64">
            <w:pPr>
              <w:pStyle w:val="TBLText"/>
              <w:rPr>
                <w:b/>
              </w:rPr>
            </w:pPr>
            <w:r w:rsidRPr="00254BDF">
              <w:rPr>
                <w:b/>
              </w:rPr>
              <w:t>0</w:t>
            </w:r>
            <w:r w:rsidR="00E96B87" w:rsidRPr="00254BDF">
              <w:rPr>
                <w:b/>
              </w:rPr>
              <w:t>/1</w:t>
            </w:r>
          </w:p>
        </w:tc>
        <w:tc>
          <w:tcPr>
            <w:tcW w:w="970" w:type="pct"/>
            <w:shd w:val="clear" w:color="auto" w:fill="DBE6F5" w:themeFill="text2" w:themeFillTint="1A"/>
            <w:vAlign w:val="center"/>
          </w:tcPr>
          <w:p w14:paraId="29A142A0" w14:textId="77777777" w:rsidR="00E96B87" w:rsidRPr="00363240" w:rsidRDefault="00E96B87" w:rsidP="00016A64">
            <w:pPr>
              <w:pStyle w:val="TBLText"/>
              <w:rPr>
                <w:b/>
              </w:rPr>
            </w:pPr>
            <w:r w:rsidRPr="00363240">
              <w:rPr>
                <w:b/>
              </w:rPr>
              <w:t>-</w:t>
            </w:r>
          </w:p>
        </w:tc>
      </w:tr>
    </w:tbl>
    <w:p w14:paraId="2E516D1D" w14:textId="77777777" w:rsidR="00FB6AB1" w:rsidRDefault="00FB6AB1" w:rsidP="00FB6AB1">
      <w:pPr>
        <w:rPr>
          <w:rFonts w:asciiTheme="majorHAnsi" w:eastAsiaTheme="majorEastAsia" w:hAnsiTheme="majorHAnsi" w:cstheme="majorBidi"/>
          <w:noProof/>
          <w:color w:val="192D56" w:themeColor="accent1"/>
          <w:sz w:val="32"/>
          <w:szCs w:val="28"/>
        </w:rPr>
      </w:pPr>
      <w:bookmarkStart w:id="29" w:name="_Toc122424411"/>
      <w:r>
        <w:rPr>
          <w:noProof/>
        </w:rPr>
        <w:br w:type="page"/>
      </w:r>
    </w:p>
    <w:p w14:paraId="55A45248" w14:textId="60F4E711" w:rsidR="00C22F2D" w:rsidRDefault="00C22F2D" w:rsidP="002C6070">
      <w:pPr>
        <w:pStyle w:val="Heading2"/>
        <w:rPr>
          <w:noProof/>
        </w:rPr>
      </w:pPr>
      <w:bookmarkStart w:id="30" w:name="_Toc200111078"/>
      <w:r>
        <w:rPr>
          <w:noProof/>
        </w:rPr>
        <w:lastRenderedPageBreak/>
        <w:t>Department of Health and Aged Care</w:t>
      </w:r>
      <w:bookmarkEnd w:id="29"/>
      <w:bookmarkEnd w:id="30"/>
    </w:p>
    <w:p w14:paraId="60852057" w14:textId="5142017E" w:rsidR="00C22F2D" w:rsidRDefault="00C22F2D" w:rsidP="00C22F2D">
      <w:pPr>
        <w:pStyle w:val="Figure"/>
        <w:ind w:hanging="2694"/>
      </w:pPr>
      <w:r w:rsidRPr="00057A02">
        <w:t xml:space="preserve">Compliance summary: </w:t>
      </w:r>
      <w:r w:rsidRPr="002C6070">
        <w:t xml:space="preserve">Department of </w:t>
      </w:r>
      <w:r>
        <w:t>Health and Aged Care</w:t>
      </w:r>
    </w:p>
    <w:tbl>
      <w:tblPr>
        <w:tblStyle w:val="ListTable4-Accent1"/>
        <w:tblpPr w:leftFromText="180" w:rightFromText="180" w:vertAnchor="text" w:horzAnchor="margin"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ealth and Aged Care"/>
        <w:tblDescription w:val="Compliance summary: Department of Health and Aged Care"/>
      </w:tblPr>
      <w:tblGrid>
        <w:gridCol w:w="3017"/>
        <w:gridCol w:w="1380"/>
        <w:gridCol w:w="1701"/>
        <w:gridCol w:w="1936"/>
        <w:gridCol w:w="1934"/>
      </w:tblGrid>
      <w:tr w:rsidR="00EA6FFE" w14:paraId="01FD69C3" w14:textId="77777777" w:rsidTr="00EA6FFE">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13DFC89E" w14:textId="77777777" w:rsidR="00EA6FFE" w:rsidRPr="006E170D" w:rsidRDefault="00EA6FFE" w:rsidP="00EA6FFE">
            <w:pPr>
              <w:pStyle w:val="TBLHeading"/>
            </w:pPr>
            <w:r>
              <w:t>Proposal</w:t>
            </w:r>
          </w:p>
        </w:tc>
        <w:tc>
          <w:tcPr>
            <w:tcW w:w="692" w:type="pct"/>
            <w:tcBorders>
              <w:top w:val="none" w:sz="0" w:space="0" w:color="auto"/>
              <w:bottom w:val="none" w:sz="0" w:space="0" w:color="auto"/>
            </w:tcBorders>
            <w:vAlign w:val="center"/>
          </w:tcPr>
          <w:p w14:paraId="0B202114" w14:textId="77777777" w:rsidR="00EA6FFE" w:rsidRPr="006E170D" w:rsidRDefault="00EA6FFE" w:rsidP="00EA6FFE">
            <w:pPr>
              <w:pStyle w:val="TBLHeading"/>
            </w:pPr>
            <w:r>
              <w:t>IA Compliance</w:t>
            </w:r>
          </w:p>
        </w:tc>
        <w:tc>
          <w:tcPr>
            <w:tcW w:w="853" w:type="pct"/>
            <w:tcBorders>
              <w:top w:val="none" w:sz="0" w:space="0" w:color="auto"/>
              <w:bottom w:val="none" w:sz="0" w:space="0" w:color="auto"/>
            </w:tcBorders>
            <w:vAlign w:val="center"/>
          </w:tcPr>
          <w:p w14:paraId="6AA1C146" w14:textId="77777777" w:rsidR="00EA6FFE" w:rsidRPr="006E170D" w:rsidRDefault="00EA6FFE" w:rsidP="00EA6FFE">
            <w:pPr>
              <w:pStyle w:val="TBLHeading"/>
            </w:pPr>
            <w:r>
              <w:t>Rating</w:t>
            </w:r>
          </w:p>
        </w:tc>
        <w:tc>
          <w:tcPr>
            <w:tcW w:w="971" w:type="pct"/>
            <w:tcBorders>
              <w:top w:val="none" w:sz="0" w:space="0" w:color="auto"/>
              <w:bottom w:val="none" w:sz="0" w:space="0" w:color="auto"/>
            </w:tcBorders>
            <w:vAlign w:val="center"/>
          </w:tcPr>
          <w:p w14:paraId="5A807F6F" w14:textId="77777777" w:rsidR="00EA6FFE" w:rsidRPr="006E170D" w:rsidRDefault="00EA6FFE" w:rsidP="00EA6FFE">
            <w:pPr>
              <w:pStyle w:val="TBLHeading"/>
            </w:pPr>
            <w:r>
              <w:t>PIR Required</w:t>
            </w:r>
          </w:p>
        </w:tc>
        <w:tc>
          <w:tcPr>
            <w:tcW w:w="970" w:type="pct"/>
            <w:tcBorders>
              <w:top w:val="none" w:sz="0" w:space="0" w:color="auto"/>
              <w:bottom w:val="none" w:sz="0" w:space="0" w:color="auto"/>
              <w:right w:val="none" w:sz="0" w:space="0" w:color="auto"/>
            </w:tcBorders>
            <w:vAlign w:val="center"/>
          </w:tcPr>
          <w:p w14:paraId="0EA59979" w14:textId="77777777" w:rsidR="00EA6FFE" w:rsidRPr="006E170D" w:rsidRDefault="00EA6FFE" w:rsidP="00EA6FFE">
            <w:pPr>
              <w:pStyle w:val="TBLHeading"/>
            </w:pPr>
            <w:r>
              <w:t>Regulatory Burden ($m)</w:t>
            </w:r>
          </w:p>
        </w:tc>
      </w:tr>
      <w:tr w:rsidR="00EA6FFE" w14:paraId="27CD5A39" w14:textId="77777777" w:rsidTr="00EA6FFE">
        <w:trPr>
          <w:trHeight w:val="20"/>
        </w:trPr>
        <w:tc>
          <w:tcPr>
            <w:tcW w:w="1513" w:type="pct"/>
            <w:shd w:val="clear" w:color="auto" w:fill="auto"/>
            <w:vAlign w:val="center"/>
          </w:tcPr>
          <w:p w14:paraId="71CF1728" w14:textId="77777777" w:rsidR="00EA6FFE" w:rsidRPr="006E170D" w:rsidRDefault="00EA6FFE" w:rsidP="00EA6FFE">
            <w:pPr>
              <w:pStyle w:val="TBLText"/>
            </w:pPr>
            <w:r w:rsidRPr="00C22F2D">
              <w:t>Capping Home Care Administration and Management Charges</w:t>
            </w:r>
          </w:p>
        </w:tc>
        <w:tc>
          <w:tcPr>
            <w:tcW w:w="692" w:type="pct"/>
            <w:shd w:val="clear" w:color="auto" w:fill="auto"/>
            <w:vAlign w:val="center"/>
          </w:tcPr>
          <w:p w14:paraId="30B85804" w14:textId="77777777" w:rsidR="00EA6FFE" w:rsidRPr="006E170D" w:rsidRDefault="00EA6FFE" w:rsidP="00EA6FFE">
            <w:pPr>
              <w:pStyle w:val="TBLText"/>
            </w:pPr>
            <w:r w:rsidRPr="002B0DDE">
              <w:rPr>
                <w:rFonts w:eastAsia="MS Mincho"/>
                <w:spacing w:val="-3"/>
              </w:rPr>
              <w:t>Compliant</w:t>
            </w:r>
          </w:p>
        </w:tc>
        <w:tc>
          <w:tcPr>
            <w:tcW w:w="853" w:type="pct"/>
            <w:shd w:val="clear" w:color="auto" w:fill="auto"/>
            <w:vAlign w:val="center"/>
          </w:tcPr>
          <w:p w14:paraId="2B154D06" w14:textId="77777777" w:rsidR="00EA6FFE" w:rsidRPr="006E170D" w:rsidRDefault="00EA6FFE" w:rsidP="00EA6FFE">
            <w:pPr>
              <w:pStyle w:val="TBLText"/>
            </w:pPr>
            <w:r>
              <w:rPr>
                <w:rFonts w:eastAsia="MS Mincho"/>
                <w:spacing w:val="-3"/>
              </w:rPr>
              <w:t>Adequate</w:t>
            </w:r>
          </w:p>
        </w:tc>
        <w:tc>
          <w:tcPr>
            <w:tcW w:w="971" w:type="pct"/>
            <w:shd w:val="clear" w:color="auto" w:fill="auto"/>
            <w:vAlign w:val="center"/>
          </w:tcPr>
          <w:p w14:paraId="6B38A22A" w14:textId="77777777" w:rsidR="00EA6FFE" w:rsidRPr="00D4624D" w:rsidRDefault="00EA6FFE" w:rsidP="00EA6FFE">
            <w:pPr>
              <w:pStyle w:val="TBLText"/>
            </w:pPr>
            <w:r w:rsidRPr="00D4624D">
              <w:rPr>
                <w:rFonts w:eastAsia="MS Mincho"/>
                <w:spacing w:val="-3"/>
              </w:rPr>
              <w:t>No</w:t>
            </w:r>
          </w:p>
        </w:tc>
        <w:tc>
          <w:tcPr>
            <w:tcW w:w="970" w:type="pct"/>
            <w:shd w:val="clear" w:color="auto" w:fill="auto"/>
            <w:vAlign w:val="center"/>
          </w:tcPr>
          <w:p w14:paraId="76B20DEE" w14:textId="77777777" w:rsidR="00EA6FFE" w:rsidRPr="006E170D" w:rsidRDefault="00EA6FFE" w:rsidP="00EA6FFE">
            <w:pPr>
              <w:pStyle w:val="TBLText"/>
            </w:pPr>
            <w:r>
              <w:rPr>
                <w:rFonts w:eastAsia="MS Mincho"/>
                <w:spacing w:val="-3"/>
              </w:rPr>
              <w:t>$4.7m</w:t>
            </w:r>
          </w:p>
        </w:tc>
      </w:tr>
      <w:tr w:rsidR="00A16A40" w14:paraId="5C157E9B" w14:textId="77777777" w:rsidTr="00A16A40">
        <w:trPr>
          <w:trHeight w:val="20"/>
        </w:trPr>
        <w:tc>
          <w:tcPr>
            <w:tcW w:w="1513" w:type="pct"/>
            <w:shd w:val="clear" w:color="auto" w:fill="DBE6F5" w:themeFill="text2" w:themeFillTint="1A"/>
            <w:vAlign w:val="center"/>
          </w:tcPr>
          <w:p w14:paraId="2233F51E" w14:textId="369666AA" w:rsidR="00A16A40" w:rsidRPr="00C22F2D" w:rsidRDefault="00A16A40" w:rsidP="00EA6FFE">
            <w:pPr>
              <w:pStyle w:val="TBLText"/>
            </w:pPr>
            <w:r w:rsidRPr="00A16A40">
              <w:t>Lowering the Costs of Medicines through Changes to Maximum Dispensing Quantities</w:t>
            </w:r>
          </w:p>
        </w:tc>
        <w:tc>
          <w:tcPr>
            <w:tcW w:w="692" w:type="pct"/>
            <w:shd w:val="clear" w:color="auto" w:fill="DBE6F5" w:themeFill="text2" w:themeFillTint="1A"/>
            <w:vAlign w:val="center"/>
          </w:tcPr>
          <w:p w14:paraId="3E4F3480" w14:textId="70B405D7" w:rsidR="00A16A40" w:rsidRPr="002B0DDE" w:rsidRDefault="00A16A40" w:rsidP="00EA6FFE">
            <w:pPr>
              <w:pStyle w:val="TBLText"/>
              <w:rPr>
                <w:rFonts w:eastAsia="MS Mincho"/>
                <w:spacing w:val="-3"/>
              </w:rPr>
            </w:pPr>
            <w:r>
              <w:rPr>
                <w:rFonts w:eastAsia="MS Mincho"/>
                <w:spacing w:val="-3"/>
              </w:rPr>
              <w:t>Compliant</w:t>
            </w:r>
          </w:p>
        </w:tc>
        <w:tc>
          <w:tcPr>
            <w:tcW w:w="853" w:type="pct"/>
            <w:shd w:val="clear" w:color="auto" w:fill="DBE6F5" w:themeFill="text2" w:themeFillTint="1A"/>
            <w:vAlign w:val="center"/>
          </w:tcPr>
          <w:p w14:paraId="7F9DD99A" w14:textId="66932881" w:rsidR="00A16A40" w:rsidRDefault="00A16A40" w:rsidP="00EA6FFE">
            <w:pPr>
              <w:pStyle w:val="TBLText"/>
              <w:rPr>
                <w:rFonts w:eastAsia="MS Mincho"/>
                <w:spacing w:val="-3"/>
              </w:rPr>
            </w:pPr>
            <w:r>
              <w:rPr>
                <w:rFonts w:eastAsia="MS Mincho"/>
                <w:spacing w:val="-3"/>
              </w:rPr>
              <w:t>Adequate</w:t>
            </w:r>
          </w:p>
        </w:tc>
        <w:tc>
          <w:tcPr>
            <w:tcW w:w="971" w:type="pct"/>
            <w:shd w:val="clear" w:color="auto" w:fill="DBE6F5" w:themeFill="text2" w:themeFillTint="1A"/>
            <w:vAlign w:val="center"/>
          </w:tcPr>
          <w:p w14:paraId="65B1F79B" w14:textId="494FE38F" w:rsidR="00A16A40" w:rsidRPr="00D4624D" w:rsidRDefault="00F6724C" w:rsidP="00EA6FFE">
            <w:pPr>
              <w:pStyle w:val="TBLText"/>
              <w:rPr>
                <w:rFonts w:eastAsia="MS Mincho"/>
                <w:spacing w:val="-3"/>
              </w:rPr>
            </w:pPr>
            <w:r>
              <w:rPr>
                <w:rFonts w:eastAsia="MS Mincho"/>
                <w:spacing w:val="-3"/>
              </w:rPr>
              <w:t>No</w:t>
            </w:r>
          </w:p>
        </w:tc>
        <w:tc>
          <w:tcPr>
            <w:tcW w:w="970" w:type="pct"/>
            <w:shd w:val="clear" w:color="auto" w:fill="DBE6F5" w:themeFill="text2" w:themeFillTint="1A"/>
            <w:vAlign w:val="center"/>
          </w:tcPr>
          <w:p w14:paraId="7774EF83" w14:textId="1027F573" w:rsidR="00A16A40" w:rsidRDefault="00A16A40" w:rsidP="00EA6FFE">
            <w:pPr>
              <w:pStyle w:val="TBLText"/>
              <w:rPr>
                <w:rFonts w:eastAsia="MS Mincho"/>
                <w:spacing w:val="-3"/>
              </w:rPr>
            </w:pPr>
            <w:r>
              <w:rPr>
                <w:rFonts w:eastAsia="MS Mincho"/>
                <w:spacing w:val="-3"/>
              </w:rPr>
              <w:t>-</w:t>
            </w:r>
          </w:p>
        </w:tc>
      </w:tr>
      <w:tr w:rsidR="00A16A40" w14:paraId="37E57891" w14:textId="77777777" w:rsidTr="00EA6FFE">
        <w:trPr>
          <w:trHeight w:val="20"/>
        </w:trPr>
        <w:tc>
          <w:tcPr>
            <w:tcW w:w="1513" w:type="pct"/>
            <w:shd w:val="clear" w:color="auto" w:fill="auto"/>
            <w:vAlign w:val="center"/>
          </w:tcPr>
          <w:p w14:paraId="7859D6D9" w14:textId="5E791F5F" w:rsidR="00A16A40" w:rsidRDefault="00A16A40" w:rsidP="00EA6FFE">
            <w:pPr>
              <w:pStyle w:val="TBLText"/>
            </w:pPr>
            <w:r>
              <w:t xml:space="preserve"> </w:t>
            </w:r>
            <w:r w:rsidRPr="00A16A40">
              <w:t>Primary Health Care Reform (Voluntary Patient Registration)</w:t>
            </w:r>
          </w:p>
        </w:tc>
        <w:tc>
          <w:tcPr>
            <w:tcW w:w="692" w:type="pct"/>
            <w:shd w:val="clear" w:color="auto" w:fill="auto"/>
            <w:vAlign w:val="center"/>
          </w:tcPr>
          <w:p w14:paraId="299436AC" w14:textId="6D025427" w:rsidR="00A16A40" w:rsidRPr="002B0DDE" w:rsidRDefault="00A16A40" w:rsidP="00EA6FFE">
            <w:pPr>
              <w:pStyle w:val="TBLText"/>
              <w:rPr>
                <w:rFonts w:eastAsia="MS Mincho"/>
                <w:spacing w:val="-3"/>
              </w:rPr>
            </w:pPr>
            <w:r>
              <w:rPr>
                <w:rFonts w:eastAsia="MS Mincho"/>
                <w:spacing w:val="-3"/>
              </w:rPr>
              <w:t>Compliant</w:t>
            </w:r>
          </w:p>
        </w:tc>
        <w:tc>
          <w:tcPr>
            <w:tcW w:w="853" w:type="pct"/>
            <w:shd w:val="clear" w:color="auto" w:fill="auto"/>
            <w:vAlign w:val="center"/>
          </w:tcPr>
          <w:p w14:paraId="3602376E" w14:textId="22B318E2" w:rsidR="00A16A40" w:rsidRDefault="00A16A40" w:rsidP="00EA6FFE">
            <w:pPr>
              <w:pStyle w:val="TBLText"/>
              <w:rPr>
                <w:rFonts w:eastAsia="MS Mincho"/>
                <w:spacing w:val="-3"/>
              </w:rPr>
            </w:pPr>
            <w:r>
              <w:rPr>
                <w:rFonts w:eastAsia="MS Mincho"/>
                <w:spacing w:val="-3"/>
              </w:rPr>
              <w:t>Adequate</w:t>
            </w:r>
          </w:p>
        </w:tc>
        <w:tc>
          <w:tcPr>
            <w:tcW w:w="971" w:type="pct"/>
            <w:shd w:val="clear" w:color="auto" w:fill="auto"/>
            <w:vAlign w:val="center"/>
          </w:tcPr>
          <w:p w14:paraId="0E1553BA" w14:textId="0601E28C" w:rsidR="00A16A40" w:rsidRPr="00D4624D" w:rsidRDefault="00F6724C" w:rsidP="00EA6FFE">
            <w:pPr>
              <w:pStyle w:val="TBLText"/>
              <w:rPr>
                <w:rFonts w:eastAsia="MS Mincho"/>
                <w:spacing w:val="-3"/>
              </w:rPr>
            </w:pPr>
            <w:r>
              <w:rPr>
                <w:rFonts w:eastAsia="MS Mincho"/>
                <w:spacing w:val="-3"/>
              </w:rPr>
              <w:t>No</w:t>
            </w:r>
          </w:p>
        </w:tc>
        <w:tc>
          <w:tcPr>
            <w:tcW w:w="970" w:type="pct"/>
            <w:shd w:val="clear" w:color="auto" w:fill="auto"/>
            <w:vAlign w:val="center"/>
          </w:tcPr>
          <w:p w14:paraId="6339B519" w14:textId="1108E543" w:rsidR="00A16A40" w:rsidRDefault="00A16A40" w:rsidP="00EA6FFE">
            <w:pPr>
              <w:pStyle w:val="TBLText"/>
              <w:rPr>
                <w:rFonts w:eastAsia="MS Mincho"/>
                <w:spacing w:val="-3"/>
              </w:rPr>
            </w:pPr>
            <w:r>
              <w:rPr>
                <w:rFonts w:eastAsia="MS Mincho"/>
                <w:spacing w:val="-3"/>
              </w:rPr>
              <w:t>-</w:t>
            </w:r>
          </w:p>
        </w:tc>
      </w:tr>
      <w:tr w:rsidR="00A16A40" w14:paraId="13D7D6F6" w14:textId="77777777" w:rsidTr="00A16A40">
        <w:trPr>
          <w:trHeight w:val="20"/>
        </w:trPr>
        <w:tc>
          <w:tcPr>
            <w:tcW w:w="1513" w:type="pct"/>
            <w:shd w:val="clear" w:color="auto" w:fill="DBE6F5" w:themeFill="text2" w:themeFillTint="1A"/>
            <w:vAlign w:val="center"/>
          </w:tcPr>
          <w:p w14:paraId="25CA5855" w14:textId="33DDFFEB" w:rsidR="00A16A40" w:rsidRDefault="00A16A40" w:rsidP="00EA6FFE">
            <w:pPr>
              <w:pStyle w:val="TBLText"/>
            </w:pPr>
            <w:r>
              <w:t xml:space="preserve"> </w:t>
            </w:r>
            <w:r w:rsidRPr="00A16A40">
              <w:t>Support at Home Single Comprehensive Assessment System</w:t>
            </w:r>
          </w:p>
        </w:tc>
        <w:tc>
          <w:tcPr>
            <w:tcW w:w="692" w:type="pct"/>
            <w:shd w:val="clear" w:color="auto" w:fill="DBE6F5" w:themeFill="text2" w:themeFillTint="1A"/>
            <w:vAlign w:val="center"/>
          </w:tcPr>
          <w:p w14:paraId="5EAB8979" w14:textId="4EB65DA6" w:rsidR="00A16A40" w:rsidRPr="002B0DDE" w:rsidRDefault="00A16A40" w:rsidP="00EA6FFE">
            <w:pPr>
              <w:pStyle w:val="TBLText"/>
              <w:rPr>
                <w:rFonts w:eastAsia="MS Mincho"/>
                <w:spacing w:val="-3"/>
              </w:rPr>
            </w:pPr>
            <w:r>
              <w:rPr>
                <w:rFonts w:eastAsia="MS Mincho"/>
                <w:spacing w:val="-3"/>
              </w:rPr>
              <w:t>Compliant</w:t>
            </w:r>
          </w:p>
        </w:tc>
        <w:tc>
          <w:tcPr>
            <w:tcW w:w="853" w:type="pct"/>
            <w:shd w:val="clear" w:color="auto" w:fill="DBE6F5" w:themeFill="text2" w:themeFillTint="1A"/>
            <w:vAlign w:val="center"/>
          </w:tcPr>
          <w:p w14:paraId="75C5C391" w14:textId="1F5B0EB6" w:rsidR="00A16A40" w:rsidRDefault="00A16A40" w:rsidP="00EA6FFE">
            <w:pPr>
              <w:pStyle w:val="TBLText"/>
              <w:rPr>
                <w:rFonts w:eastAsia="MS Mincho"/>
                <w:spacing w:val="-3"/>
              </w:rPr>
            </w:pPr>
            <w:r>
              <w:rPr>
                <w:rFonts w:eastAsia="MS Mincho"/>
                <w:spacing w:val="-3"/>
              </w:rPr>
              <w:t>Adequate</w:t>
            </w:r>
          </w:p>
        </w:tc>
        <w:tc>
          <w:tcPr>
            <w:tcW w:w="971" w:type="pct"/>
            <w:shd w:val="clear" w:color="auto" w:fill="DBE6F5" w:themeFill="text2" w:themeFillTint="1A"/>
            <w:vAlign w:val="center"/>
          </w:tcPr>
          <w:p w14:paraId="3EEC7EFF" w14:textId="5398DCFA" w:rsidR="00A16A40" w:rsidRPr="00D4624D" w:rsidRDefault="00F6724C" w:rsidP="00EA6FFE">
            <w:pPr>
              <w:pStyle w:val="TBLText"/>
              <w:rPr>
                <w:rFonts w:eastAsia="MS Mincho"/>
                <w:spacing w:val="-3"/>
              </w:rPr>
            </w:pPr>
            <w:r>
              <w:rPr>
                <w:rFonts w:eastAsia="MS Mincho"/>
                <w:spacing w:val="-3"/>
              </w:rPr>
              <w:t>No</w:t>
            </w:r>
          </w:p>
        </w:tc>
        <w:tc>
          <w:tcPr>
            <w:tcW w:w="970" w:type="pct"/>
            <w:shd w:val="clear" w:color="auto" w:fill="DBE6F5" w:themeFill="text2" w:themeFillTint="1A"/>
            <w:vAlign w:val="center"/>
          </w:tcPr>
          <w:p w14:paraId="11D0D714" w14:textId="45C58CF0" w:rsidR="00A16A40" w:rsidRDefault="00A16A40" w:rsidP="00EA6FFE">
            <w:pPr>
              <w:pStyle w:val="TBLText"/>
              <w:rPr>
                <w:rFonts w:eastAsia="MS Mincho"/>
                <w:spacing w:val="-3"/>
              </w:rPr>
            </w:pPr>
            <w:r>
              <w:rPr>
                <w:rFonts w:eastAsia="MS Mincho"/>
                <w:spacing w:val="-3"/>
              </w:rPr>
              <w:t>$4.34m</w:t>
            </w:r>
          </w:p>
        </w:tc>
      </w:tr>
      <w:tr w:rsidR="00EA6FFE" w14:paraId="63635308" w14:textId="77777777" w:rsidTr="00A16A40">
        <w:trPr>
          <w:trHeight w:val="20"/>
        </w:trPr>
        <w:tc>
          <w:tcPr>
            <w:tcW w:w="1513" w:type="pct"/>
            <w:shd w:val="clear" w:color="auto" w:fill="auto"/>
            <w:vAlign w:val="center"/>
          </w:tcPr>
          <w:p w14:paraId="0C0B12CE" w14:textId="77777777" w:rsidR="00EA6FFE" w:rsidRPr="00363240" w:rsidRDefault="00EA6FFE" w:rsidP="00EA6FFE">
            <w:pPr>
              <w:pStyle w:val="TBLText"/>
              <w:rPr>
                <w:b/>
              </w:rPr>
            </w:pPr>
            <w:r w:rsidRPr="00363240">
              <w:rPr>
                <w:b/>
              </w:rPr>
              <w:t>Total proposals</w:t>
            </w:r>
          </w:p>
        </w:tc>
        <w:tc>
          <w:tcPr>
            <w:tcW w:w="692" w:type="pct"/>
            <w:shd w:val="clear" w:color="auto" w:fill="auto"/>
            <w:vAlign w:val="center"/>
          </w:tcPr>
          <w:p w14:paraId="1FDD1100" w14:textId="11A9FD7A" w:rsidR="00EA6FFE" w:rsidRPr="00363240" w:rsidRDefault="00A16A40" w:rsidP="00EA6FFE">
            <w:pPr>
              <w:pStyle w:val="TBLText"/>
              <w:rPr>
                <w:b/>
              </w:rPr>
            </w:pPr>
            <w:r>
              <w:rPr>
                <w:b/>
              </w:rPr>
              <w:t>4/4</w:t>
            </w:r>
          </w:p>
        </w:tc>
        <w:tc>
          <w:tcPr>
            <w:tcW w:w="853" w:type="pct"/>
            <w:shd w:val="clear" w:color="auto" w:fill="auto"/>
            <w:vAlign w:val="center"/>
          </w:tcPr>
          <w:p w14:paraId="7EE1EE42" w14:textId="77777777" w:rsidR="00EA6FFE" w:rsidRPr="00F6724C" w:rsidRDefault="00EA6FFE" w:rsidP="00EA6FFE">
            <w:pPr>
              <w:pStyle w:val="TBLText"/>
              <w:rPr>
                <w:b/>
              </w:rPr>
            </w:pPr>
            <w:r w:rsidRPr="00F6724C">
              <w:rPr>
                <w:b/>
              </w:rPr>
              <w:t>-</w:t>
            </w:r>
          </w:p>
        </w:tc>
        <w:tc>
          <w:tcPr>
            <w:tcW w:w="971" w:type="pct"/>
            <w:shd w:val="clear" w:color="auto" w:fill="auto"/>
            <w:vAlign w:val="center"/>
          </w:tcPr>
          <w:p w14:paraId="3C7E6232" w14:textId="448FB45E" w:rsidR="00EA6FFE" w:rsidRPr="00F6724C" w:rsidRDefault="00EA6FFE" w:rsidP="00A16A40">
            <w:pPr>
              <w:pStyle w:val="TBLText"/>
              <w:rPr>
                <w:b/>
              </w:rPr>
            </w:pPr>
            <w:r w:rsidRPr="00F6724C">
              <w:rPr>
                <w:b/>
              </w:rPr>
              <w:t>0/</w:t>
            </w:r>
            <w:r w:rsidR="00A16A40" w:rsidRPr="00F6724C">
              <w:rPr>
                <w:b/>
              </w:rPr>
              <w:t>4</w:t>
            </w:r>
          </w:p>
        </w:tc>
        <w:tc>
          <w:tcPr>
            <w:tcW w:w="970" w:type="pct"/>
            <w:shd w:val="clear" w:color="auto" w:fill="auto"/>
            <w:vAlign w:val="center"/>
          </w:tcPr>
          <w:p w14:paraId="5789FAB2" w14:textId="16B55226" w:rsidR="00EA6FFE" w:rsidRPr="00363240" w:rsidRDefault="00EA6FFE" w:rsidP="00A16A40">
            <w:pPr>
              <w:pStyle w:val="TBLText"/>
              <w:rPr>
                <w:b/>
              </w:rPr>
            </w:pPr>
            <w:r>
              <w:rPr>
                <w:b/>
              </w:rPr>
              <w:t>$</w:t>
            </w:r>
            <w:r w:rsidR="00A16A40">
              <w:rPr>
                <w:b/>
              </w:rPr>
              <w:t>9.04</w:t>
            </w:r>
            <w:r>
              <w:rPr>
                <w:b/>
              </w:rPr>
              <w:t>m</w:t>
            </w:r>
          </w:p>
        </w:tc>
      </w:tr>
    </w:tbl>
    <w:p w14:paraId="1F343F72" w14:textId="77777777" w:rsidR="00EA6FFE" w:rsidRDefault="00EA6FFE" w:rsidP="00EA6FFE">
      <w:pPr>
        <w:pStyle w:val="Heading2"/>
        <w:rPr>
          <w:noProof/>
        </w:rPr>
      </w:pPr>
      <w:bookmarkStart w:id="31" w:name="_Toc200111079"/>
      <w:r>
        <w:rPr>
          <w:noProof/>
        </w:rPr>
        <w:t>Department of Home Affairs</w:t>
      </w:r>
      <w:bookmarkEnd w:id="31"/>
    </w:p>
    <w:p w14:paraId="6C40116B" w14:textId="46B8266C" w:rsidR="00EA6FFE" w:rsidRPr="00774646" w:rsidRDefault="00EA6FFE" w:rsidP="00EA6FFE">
      <w:pPr>
        <w:pStyle w:val="Figure"/>
        <w:ind w:hanging="2694"/>
      </w:pPr>
      <w:r w:rsidRPr="00057A02">
        <w:t xml:space="preserve">Compliance summary: </w:t>
      </w:r>
      <w:r w:rsidRPr="002C6070">
        <w:t xml:space="preserve">Department of </w:t>
      </w:r>
      <w:r>
        <w:t>Home Affairs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Home Affairs"/>
        <w:tblDescription w:val="Compliance summary: Department of Home Affairs"/>
      </w:tblPr>
      <w:tblGrid>
        <w:gridCol w:w="3017"/>
        <w:gridCol w:w="1380"/>
        <w:gridCol w:w="1701"/>
        <w:gridCol w:w="1936"/>
        <w:gridCol w:w="1934"/>
      </w:tblGrid>
      <w:tr w:rsidR="00C22F2D" w14:paraId="6082DFDE" w14:textId="77777777" w:rsidTr="00C22F2D">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6E36A10A" w14:textId="77777777" w:rsidR="00C22F2D" w:rsidRPr="006E170D" w:rsidRDefault="00C22F2D" w:rsidP="00C22F2D">
            <w:pPr>
              <w:pStyle w:val="TBLHeading"/>
            </w:pPr>
            <w:r>
              <w:t>Proposal</w:t>
            </w:r>
          </w:p>
        </w:tc>
        <w:tc>
          <w:tcPr>
            <w:tcW w:w="692" w:type="pct"/>
            <w:tcBorders>
              <w:top w:val="none" w:sz="0" w:space="0" w:color="auto"/>
              <w:bottom w:val="none" w:sz="0" w:space="0" w:color="auto"/>
            </w:tcBorders>
            <w:vAlign w:val="center"/>
          </w:tcPr>
          <w:p w14:paraId="40CD0201" w14:textId="77777777" w:rsidR="00C22F2D" w:rsidRPr="006E170D" w:rsidRDefault="00C22F2D" w:rsidP="00C22F2D">
            <w:pPr>
              <w:pStyle w:val="TBLHeading"/>
            </w:pPr>
            <w:r>
              <w:t>IA Compliance</w:t>
            </w:r>
          </w:p>
        </w:tc>
        <w:tc>
          <w:tcPr>
            <w:tcW w:w="853" w:type="pct"/>
            <w:tcBorders>
              <w:top w:val="none" w:sz="0" w:space="0" w:color="auto"/>
              <w:bottom w:val="none" w:sz="0" w:space="0" w:color="auto"/>
            </w:tcBorders>
            <w:vAlign w:val="center"/>
          </w:tcPr>
          <w:p w14:paraId="13D2C67E" w14:textId="77777777" w:rsidR="00C22F2D" w:rsidRPr="006E170D" w:rsidRDefault="00C22F2D" w:rsidP="00C22F2D">
            <w:pPr>
              <w:pStyle w:val="TBLHeading"/>
            </w:pPr>
            <w:r>
              <w:t>Rating</w:t>
            </w:r>
          </w:p>
        </w:tc>
        <w:tc>
          <w:tcPr>
            <w:tcW w:w="971" w:type="pct"/>
            <w:tcBorders>
              <w:top w:val="none" w:sz="0" w:space="0" w:color="auto"/>
              <w:bottom w:val="none" w:sz="0" w:space="0" w:color="auto"/>
            </w:tcBorders>
            <w:vAlign w:val="center"/>
          </w:tcPr>
          <w:p w14:paraId="1815995B" w14:textId="77777777" w:rsidR="00C22F2D" w:rsidRPr="006E170D" w:rsidRDefault="00C22F2D" w:rsidP="00C22F2D">
            <w:pPr>
              <w:pStyle w:val="TBLHeading"/>
            </w:pPr>
            <w:r>
              <w:t>PIR Required</w:t>
            </w:r>
          </w:p>
        </w:tc>
        <w:tc>
          <w:tcPr>
            <w:tcW w:w="970" w:type="pct"/>
            <w:tcBorders>
              <w:top w:val="none" w:sz="0" w:space="0" w:color="auto"/>
              <w:bottom w:val="none" w:sz="0" w:space="0" w:color="auto"/>
              <w:right w:val="none" w:sz="0" w:space="0" w:color="auto"/>
            </w:tcBorders>
            <w:vAlign w:val="center"/>
          </w:tcPr>
          <w:p w14:paraId="0FA8F9C6" w14:textId="77777777" w:rsidR="00C22F2D" w:rsidRPr="006E170D" w:rsidRDefault="00C22F2D" w:rsidP="00C22F2D">
            <w:pPr>
              <w:pStyle w:val="TBLHeading"/>
            </w:pPr>
            <w:r>
              <w:t>Regulatory Burden ($m)</w:t>
            </w:r>
          </w:p>
        </w:tc>
      </w:tr>
      <w:tr w:rsidR="00C22F2D" w14:paraId="2E9D1E09" w14:textId="77777777" w:rsidTr="00C22F2D">
        <w:trPr>
          <w:trHeight w:val="20"/>
        </w:trPr>
        <w:tc>
          <w:tcPr>
            <w:tcW w:w="1513" w:type="pct"/>
            <w:shd w:val="clear" w:color="auto" w:fill="auto"/>
            <w:vAlign w:val="center"/>
          </w:tcPr>
          <w:p w14:paraId="17D337AB" w14:textId="77FAE883" w:rsidR="00C22F2D" w:rsidRPr="006E170D" w:rsidRDefault="00EA6FFE" w:rsidP="00C22F2D">
            <w:pPr>
              <w:pStyle w:val="TBLText"/>
            </w:pPr>
            <w:r w:rsidRPr="00EA6FFE">
              <w:t>Critical Infrastructure Risk Management Program </w:t>
            </w:r>
          </w:p>
        </w:tc>
        <w:tc>
          <w:tcPr>
            <w:tcW w:w="692" w:type="pct"/>
            <w:shd w:val="clear" w:color="auto" w:fill="auto"/>
            <w:vAlign w:val="center"/>
          </w:tcPr>
          <w:p w14:paraId="1D0B63CE" w14:textId="77777777" w:rsidR="00C22F2D" w:rsidRPr="006E170D" w:rsidRDefault="00C22F2D" w:rsidP="00C22F2D">
            <w:pPr>
              <w:pStyle w:val="TBLText"/>
            </w:pPr>
            <w:r w:rsidRPr="002B0DDE">
              <w:rPr>
                <w:rFonts w:eastAsia="MS Mincho"/>
                <w:spacing w:val="-3"/>
              </w:rPr>
              <w:t>Compliant</w:t>
            </w:r>
          </w:p>
        </w:tc>
        <w:tc>
          <w:tcPr>
            <w:tcW w:w="853" w:type="pct"/>
            <w:shd w:val="clear" w:color="auto" w:fill="auto"/>
            <w:vAlign w:val="center"/>
          </w:tcPr>
          <w:p w14:paraId="590090A7" w14:textId="683AEADA" w:rsidR="00C22F2D" w:rsidRPr="006E170D" w:rsidRDefault="00EA6FFE" w:rsidP="00C22F2D">
            <w:pPr>
              <w:pStyle w:val="TBLText"/>
            </w:pPr>
            <w:r>
              <w:rPr>
                <w:rFonts w:eastAsia="MS Mincho"/>
                <w:spacing w:val="-3"/>
              </w:rPr>
              <w:t>Good practice</w:t>
            </w:r>
          </w:p>
        </w:tc>
        <w:tc>
          <w:tcPr>
            <w:tcW w:w="971" w:type="pct"/>
            <w:shd w:val="clear" w:color="auto" w:fill="auto"/>
            <w:vAlign w:val="center"/>
          </w:tcPr>
          <w:p w14:paraId="05BA4710" w14:textId="7949E1EF" w:rsidR="00C22F2D" w:rsidRPr="00125BB5" w:rsidRDefault="009A097F" w:rsidP="00C22F2D">
            <w:pPr>
              <w:pStyle w:val="TBLText"/>
            </w:pPr>
            <w:r w:rsidRPr="00125BB5">
              <w:rPr>
                <w:rFonts w:eastAsia="MS Mincho"/>
                <w:spacing w:val="-3"/>
              </w:rPr>
              <w:t>Yes</w:t>
            </w:r>
          </w:p>
        </w:tc>
        <w:tc>
          <w:tcPr>
            <w:tcW w:w="970" w:type="pct"/>
            <w:shd w:val="clear" w:color="auto" w:fill="auto"/>
            <w:vAlign w:val="center"/>
          </w:tcPr>
          <w:p w14:paraId="5644F5F8" w14:textId="620BB90A" w:rsidR="00C22F2D" w:rsidRPr="00EA6FFE" w:rsidRDefault="00064EF1" w:rsidP="00064EF1">
            <w:pPr>
              <w:pStyle w:val="TBLText"/>
              <w:rPr>
                <w:highlight w:val="yellow"/>
              </w:rPr>
            </w:pPr>
            <w:r>
              <w:rPr>
                <w:rFonts w:eastAsia="MS Mincho"/>
                <w:spacing w:val="-3"/>
              </w:rPr>
              <w:t>$1,150.4</w:t>
            </w:r>
            <w:r w:rsidRPr="00064EF1">
              <w:rPr>
                <w:rFonts w:eastAsia="MS Mincho"/>
                <w:spacing w:val="-3"/>
              </w:rPr>
              <w:t>m</w:t>
            </w:r>
          </w:p>
        </w:tc>
      </w:tr>
      <w:tr w:rsidR="00C22F2D" w14:paraId="64EF6623" w14:textId="77777777" w:rsidTr="00734239">
        <w:trPr>
          <w:trHeight w:val="20"/>
        </w:trPr>
        <w:tc>
          <w:tcPr>
            <w:tcW w:w="1513" w:type="pct"/>
            <w:shd w:val="clear" w:color="auto" w:fill="DBE6F5" w:themeFill="text2" w:themeFillTint="1A"/>
            <w:vAlign w:val="center"/>
          </w:tcPr>
          <w:p w14:paraId="5C960B2C" w14:textId="77777777" w:rsidR="00C22F2D" w:rsidRPr="00363240" w:rsidRDefault="00C22F2D" w:rsidP="00C22F2D">
            <w:pPr>
              <w:pStyle w:val="TBLText"/>
              <w:rPr>
                <w:b/>
              </w:rPr>
            </w:pPr>
            <w:r w:rsidRPr="00363240">
              <w:rPr>
                <w:b/>
              </w:rPr>
              <w:t>Total proposals</w:t>
            </w:r>
          </w:p>
        </w:tc>
        <w:tc>
          <w:tcPr>
            <w:tcW w:w="692" w:type="pct"/>
            <w:shd w:val="clear" w:color="auto" w:fill="DBE6F5" w:themeFill="text2" w:themeFillTint="1A"/>
            <w:vAlign w:val="center"/>
          </w:tcPr>
          <w:p w14:paraId="033770E7" w14:textId="3B0FCE63" w:rsidR="00C22F2D" w:rsidRPr="00363240" w:rsidRDefault="00816FB2" w:rsidP="00816FB2">
            <w:pPr>
              <w:pStyle w:val="TBLText"/>
              <w:rPr>
                <w:b/>
              </w:rPr>
            </w:pPr>
            <w:r>
              <w:rPr>
                <w:b/>
              </w:rPr>
              <w:t>1/1</w:t>
            </w:r>
          </w:p>
        </w:tc>
        <w:tc>
          <w:tcPr>
            <w:tcW w:w="853" w:type="pct"/>
            <w:shd w:val="clear" w:color="auto" w:fill="DBE6F5" w:themeFill="text2" w:themeFillTint="1A"/>
            <w:vAlign w:val="center"/>
          </w:tcPr>
          <w:p w14:paraId="00F30033" w14:textId="77777777" w:rsidR="00C22F2D" w:rsidRPr="00363240" w:rsidRDefault="00C22F2D" w:rsidP="00C22F2D">
            <w:pPr>
              <w:pStyle w:val="TBLText"/>
              <w:rPr>
                <w:b/>
              </w:rPr>
            </w:pPr>
            <w:r w:rsidRPr="00363240">
              <w:rPr>
                <w:b/>
              </w:rPr>
              <w:t>-</w:t>
            </w:r>
          </w:p>
        </w:tc>
        <w:tc>
          <w:tcPr>
            <w:tcW w:w="971" w:type="pct"/>
            <w:shd w:val="clear" w:color="auto" w:fill="DBE6F5" w:themeFill="text2" w:themeFillTint="1A"/>
            <w:vAlign w:val="center"/>
          </w:tcPr>
          <w:p w14:paraId="055B5370" w14:textId="3403C694" w:rsidR="00C22F2D" w:rsidRPr="00125BB5" w:rsidRDefault="009A097F" w:rsidP="00D75E97">
            <w:pPr>
              <w:pStyle w:val="TBLText"/>
              <w:rPr>
                <w:b/>
              </w:rPr>
            </w:pPr>
            <w:r w:rsidRPr="00125BB5">
              <w:rPr>
                <w:b/>
              </w:rPr>
              <w:t>1</w:t>
            </w:r>
            <w:r w:rsidR="00C22F2D" w:rsidRPr="00125BB5">
              <w:rPr>
                <w:b/>
              </w:rPr>
              <w:t>/</w:t>
            </w:r>
            <w:r w:rsidR="00816FB2" w:rsidRPr="00125BB5">
              <w:rPr>
                <w:b/>
              </w:rPr>
              <w:t>1</w:t>
            </w:r>
          </w:p>
        </w:tc>
        <w:tc>
          <w:tcPr>
            <w:tcW w:w="970" w:type="pct"/>
            <w:shd w:val="clear" w:color="auto" w:fill="DBE6F5" w:themeFill="text2" w:themeFillTint="1A"/>
            <w:vAlign w:val="center"/>
          </w:tcPr>
          <w:p w14:paraId="1B9CAEEC" w14:textId="5EC75801" w:rsidR="00C22F2D" w:rsidRPr="00064EF1" w:rsidRDefault="00064EF1" w:rsidP="00EA6FFE">
            <w:pPr>
              <w:pStyle w:val="TBLText"/>
              <w:rPr>
                <w:b/>
                <w:highlight w:val="yellow"/>
              </w:rPr>
            </w:pPr>
            <w:r w:rsidRPr="00064EF1">
              <w:rPr>
                <w:rFonts w:eastAsia="MS Mincho"/>
                <w:b/>
                <w:spacing w:val="-3"/>
              </w:rPr>
              <w:t>$1,150.4m</w:t>
            </w:r>
          </w:p>
        </w:tc>
      </w:tr>
    </w:tbl>
    <w:p w14:paraId="062E2A6F" w14:textId="746A5AA1" w:rsidR="00CB5D91" w:rsidRDefault="00CB5D91" w:rsidP="002C6070">
      <w:pPr>
        <w:pStyle w:val="Heading2"/>
        <w:rPr>
          <w:noProof/>
        </w:rPr>
      </w:pPr>
      <w:bookmarkStart w:id="32" w:name="_Toc122424412"/>
      <w:bookmarkStart w:id="33" w:name="_Toc200111080"/>
      <w:r>
        <w:rPr>
          <w:noProof/>
        </w:rPr>
        <w:t>Department of Industry, Science, Energy and Resources</w:t>
      </w:r>
      <w:bookmarkEnd w:id="32"/>
      <w:bookmarkEnd w:id="33"/>
    </w:p>
    <w:p w14:paraId="6687E933" w14:textId="6FB21092" w:rsidR="00CB5D91" w:rsidRPr="00774646" w:rsidRDefault="00CB5D91" w:rsidP="00CB5D91">
      <w:pPr>
        <w:pStyle w:val="Figure"/>
        <w:ind w:hanging="2694"/>
      </w:pPr>
      <w:r w:rsidRPr="00057A02">
        <w:t xml:space="preserve">Compliance summary: </w:t>
      </w:r>
      <w:r w:rsidRPr="002C6070">
        <w:t xml:space="preserve">Department of </w:t>
      </w:r>
      <w:r>
        <w:t>Industry, Science, Energy and Resources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dustry, Science, Energy and Resources"/>
        <w:tblDescription w:val="Compliance summary: Department of Industry, Science, Energy and Resources"/>
      </w:tblPr>
      <w:tblGrid>
        <w:gridCol w:w="3017"/>
        <w:gridCol w:w="1380"/>
        <w:gridCol w:w="1701"/>
        <w:gridCol w:w="1936"/>
        <w:gridCol w:w="1934"/>
      </w:tblGrid>
      <w:tr w:rsidR="00CB5D91" w14:paraId="59043FE9" w14:textId="77777777" w:rsidTr="001231FF">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070A3DE5" w14:textId="77777777" w:rsidR="00CB5D91" w:rsidRPr="006E170D" w:rsidRDefault="00CB5D91" w:rsidP="001231FF">
            <w:pPr>
              <w:pStyle w:val="TBLHeading"/>
            </w:pPr>
            <w:r>
              <w:t>Proposal</w:t>
            </w:r>
          </w:p>
        </w:tc>
        <w:tc>
          <w:tcPr>
            <w:tcW w:w="692" w:type="pct"/>
            <w:tcBorders>
              <w:top w:val="none" w:sz="0" w:space="0" w:color="auto"/>
              <w:bottom w:val="none" w:sz="0" w:space="0" w:color="auto"/>
            </w:tcBorders>
            <w:vAlign w:val="center"/>
          </w:tcPr>
          <w:p w14:paraId="2EF5310A" w14:textId="77777777" w:rsidR="00CB5D91" w:rsidRPr="006E170D" w:rsidRDefault="00CB5D91" w:rsidP="001231FF">
            <w:pPr>
              <w:pStyle w:val="TBLHeading"/>
            </w:pPr>
            <w:r>
              <w:t>IA Compliance</w:t>
            </w:r>
          </w:p>
        </w:tc>
        <w:tc>
          <w:tcPr>
            <w:tcW w:w="853" w:type="pct"/>
            <w:tcBorders>
              <w:top w:val="none" w:sz="0" w:space="0" w:color="auto"/>
              <w:bottom w:val="none" w:sz="0" w:space="0" w:color="auto"/>
            </w:tcBorders>
            <w:vAlign w:val="center"/>
          </w:tcPr>
          <w:p w14:paraId="0F6724FA" w14:textId="77777777" w:rsidR="00CB5D91" w:rsidRPr="006E170D" w:rsidRDefault="00CB5D91" w:rsidP="001231FF">
            <w:pPr>
              <w:pStyle w:val="TBLHeading"/>
            </w:pPr>
            <w:r>
              <w:t>Rating</w:t>
            </w:r>
          </w:p>
        </w:tc>
        <w:tc>
          <w:tcPr>
            <w:tcW w:w="971" w:type="pct"/>
            <w:tcBorders>
              <w:top w:val="none" w:sz="0" w:space="0" w:color="auto"/>
              <w:bottom w:val="none" w:sz="0" w:space="0" w:color="auto"/>
            </w:tcBorders>
            <w:vAlign w:val="center"/>
          </w:tcPr>
          <w:p w14:paraId="03024438" w14:textId="77777777" w:rsidR="00CB5D91" w:rsidRPr="006E170D" w:rsidRDefault="00CB5D91" w:rsidP="001231FF">
            <w:pPr>
              <w:pStyle w:val="TBLHeading"/>
            </w:pPr>
            <w:r>
              <w:t>PIR Required</w:t>
            </w:r>
          </w:p>
        </w:tc>
        <w:tc>
          <w:tcPr>
            <w:tcW w:w="970" w:type="pct"/>
            <w:tcBorders>
              <w:top w:val="none" w:sz="0" w:space="0" w:color="auto"/>
              <w:bottom w:val="none" w:sz="0" w:space="0" w:color="auto"/>
              <w:right w:val="none" w:sz="0" w:space="0" w:color="auto"/>
            </w:tcBorders>
            <w:vAlign w:val="center"/>
          </w:tcPr>
          <w:p w14:paraId="08FFD111" w14:textId="77777777" w:rsidR="00CB5D91" w:rsidRPr="006E170D" w:rsidRDefault="00CB5D91" w:rsidP="001231FF">
            <w:pPr>
              <w:pStyle w:val="TBLHeading"/>
            </w:pPr>
            <w:r>
              <w:t>Regulatory Burden ($m)</w:t>
            </w:r>
          </w:p>
        </w:tc>
      </w:tr>
      <w:tr w:rsidR="00CB5D91" w14:paraId="1F36FF46" w14:textId="77777777" w:rsidTr="001231FF">
        <w:trPr>
          <w:trHeight w:val="20"/>
        </w:trPr>
        <w:tc>
          <w:tcPr>
            <w:tcW w:w="1513" w:type="pct"/>
            <w:shd w:val="clear" w:color="auto" w:fill="auto"/>
            <w:vAlign w:val="center"/>
          </w:tcPr>
          <w:p w14:paraId="1314AA1A" w14:textId="72047CFF" w:rsidR="00CB5D91" w:rsidRPr="006E170D" w:rsidRDefault="00CB5D91" w:rsidP="001231FF">
            <w:pPr>
              <w:pStyle w:val="TBLText"/>
            </w:pPr>
            <w:r w:rsidRPr="00CB5D91">
              <w:t>Securing Australia’s Domestic Fuel Stocks and Refining Capacity – Addendum</w:t>
            </w:r>
          </w:p>
        </w:tc>
        <w:tc>
          <w:tcPr>
            <w:tcW w:w="692" w:type="pct"/>
            <w:shd w:val="clear" w:color="auto" w:fill="auto"/>
            <w:vAlign w:val="center"/>
          </w:tcPr>
          <w:p w14:paraId="1ACE512F" w14:textId="77777777" w:rsidR="00CB5D91" w:rsidRPr="006E170D" w:rsidRDefault="00CB5D91" w:rsidP="001231FF">
            <w:pPr>
              <w:pStyle w:val="TBLText"/>
            </w:pPr>
            <w:r w:rsidRPr="002B0DDE">
              <w:rPr>
                <w:rFonts w:eastAsia="MS Mincho"/>
                <w:spacing w:val="-3"/>
              </w:rPr>
              <w:t>Compliant</w:t>
            </w:r>
          </w:p>
        </w:tc>
        <w:tc>
          <w:tcPr>
            <w:tcW w:w="853" w:type="pct"/>
            <w:shd w:val="clear" w:color="auto" w:fill="auto"/>
            <w:vAlign w:val="center"/>
          </w:tcPr>
          <w:p w14:paraId="780D3237" w14:textId="77777777" w:rsidR="00CB5D91" w:rsidRPr="006E170D" w:rsidRDefault="00CB5D91" w:rsidP="001231FF">
            <w:pPr>
              <w:pStyle w:val="TBLText"/>
            </w:pPr>
            <w:r>
              <w:rPr>
                <w:rFonts w:eastAsia="MS Mincho"/>
                <w:spacing w:val="-3"/>
              </w:rPr>
              <w:t>Adequate</w:t>
            </w:r>
          </w:p>
        </w:tc>
        <w:tc>
          <w:tcPr>
            <w:tcW w:w="971" w:type="pct"/>
            <w:shd w:val="clear" w:color="auto" w:fill="auto"/>
            <w:vAlign w:val="center"/>
          </w:tcPr>
          <w:p w14:paraId="2D4C6663" w14:textId="1A036B4F" w:rsidR="00CB5D91" w:rsidRPr="00254BDF" w:rsidRDefault="00254BDF" w:rsidP="001231FF">
            <w:pPr>
              <w:pStyle w:val="TBLText"/>
            </w:pPr>
            <w:r w:rsidRPr="00254BDF">
              <w:rPr>
                <w:rFonts w:eastAsia="MS Mincho"/>
                <w:spacing w:val="-3"/>
              </w:rPr>
              <w:t>No</w:t>
            </w:r>
          </w:p>
        </w:tc>
        <w:tc>
          <w:tcPr>
            <w:tcW w:w="970" w:type="pct"/>
            <w:shd w:val="clear" w:color="auto" w:fill="auto"/>
            <w:vAlign w:val="center"/>
          </w:tcPr>
          <w:p w14:paraId="6700A7EC" w14:textId="2943EDD4" w:rsidR="00CB5D91" w:rsidRPr="006E170D" w:rsidRDefault="00CB5D91" w:rsidP="00CB5D91">
            <w:pPr>
              <w:pStyle w:val="TBLText"/>
            </w:pPr>
            <w:r>
              <w:rPr>
                <w:rFonts w:eastAsia="MS Mincho"/>
                <w:spacing w:val="-3"/>
              </w:rPr>
              <w:t>-</w:t>
            </w:r>
          </w:p>
        </w:tc>
      </w:tr>
      <w:tr w:rsidR="001707A0" w14:paraId="58925EBF" w14:textId="77777777" w:rsidTr="001707A0">
        <w:trPr>
          <w:trHeight w:val="20"/>
        </w:trPr>
        <w:tc>
          <w:tcPr>
            <w:tcW w:w="1513" w:type="pct"/>
            <w:shd w:val="clear" w:color="auto" w:fill="E0E8F2" w:themeFill="background2"/>
            <w:vAlign w:val="center"/>
          </w:tcPr>
          <w:p w14:paraId="29A0DD2C" w14:textId="436AE026" w:rsidR="001707A0" w:rsidRPr="00CB5D91" w:rsidRDefault="001707A0" w:rsidP="001231FF">
            <w:pPr>
              <w:pStyle w:val="TBLText"/>
            </w:pPr>
            <w:r w:rsidRPr="001707A0">
              <w:t>Measurement Law Review</w:t>
            </w:r>
          </w:p>
        </w:tc>
        <w:tc>
          <w:tcPr>
            <w:tcW w:w="692" w:type="pct"/>
            <w:shd w:val="clear" w:color="auto" w:fill="E0E8F2" w:themeFill="background2"/>
            <w:vAlign w:val="center"/>
          </w:tcPr>
          <w:p w14:paraId="1B51980F" w14:textId="3B888F16" w:rsidR="001707A0" w:rsidRPr="002B0DDE" w:rsidRDefault="001707A0" w:rsidP="001231FF">
            <w:pPr>
              <w:pStyle w:val="TBLText"/>
              <w:rPr>
                <w:rFonts w:eastAsia="MS Mincho"/>
                <w:spacing w:val="-3"/>
              </w:rPr>
            </w:pPr>
            <w:r w:rsidRPr="002B0DDE">
              <w:rPr>
                <w:rFonts w:eastAsia="MS Mincho"/>
                <w:spacing w:val="-3"/>
              </w:rPr>
              <w:t>Compliant</w:t>
            </w:r>
          </w:p>
        </w:tc>
        <w:tc>
          <w:tcPr>
            <w:tcW w:w="853" w:type="pct"/>
            <w:shd w:val="clear" w:color="auto" w:fill="E0E8F2" w:themeFill="background2"/>
            <w:vAlign w:val="center"/>
          </w:tcPr>
          <w:p w14:paraId="24433E55" w14:textId="5EF124B6" w:rsidR="001707A0" w:rsidRDefault="001707A0" w:rsidP="001231FF">
            <w:pPr>
              <w:pStyle w:val="TBLText"/>
              <w:rPr>
                <w:rFonts w:eastAsia="MS Mincho"/>
                <w:spacing w:val="-3"/>
              </w:rPr>
            </w:pPr>
            <w:r>
              <w:rPr>
                <w:rFonts w:eastAsia="MS Mincho"/>
                <w:spacing w:val="-3"/>
              </w:rPr>
              <w:t>Exemplary</w:t>
            </w:r>
          </w:p>
        </w:tc>
        <w:tc>
          <w:tcPr>
            <w:tcW w:w="971" w:type="pct"/>
            <w:shd w:val="clear" w:color="auto" w:fill="E0E8F2" w:themeFill="background2"/>
            <w:vAlign w:val="center"/>
          </w:tcPr>
          <w:p w14:paraId="42BB1646" w14:textId="65E92595" w:rsidR="001707A0" w:rsidRPr="00254BDF" w:rsidRDefault="00EE4752" w:rsidP="001231FF">
            <w:pPr>
              <w:pStyle w:val="TBLText"/>
              <w:rPr>
                <w:rFonts w:eastAsia="MS Mincho"/>
                <w:spacing w:val="-3"/>
              </w:rPr>
            </w:pPr>
            <w:r>
              <w:rPr>
                <w:rFonts w:eastAsia="MS Mincho"/>
                <w:spacing w:val="-3"/>
              </w:rPr>
              <w:t>No</w:t>
            </w:r>
          </w:p>
        </w:tc>
        <w:tc>
          <w:tcPr>
            <w:tcW w:w="970" w:type="pct"/>
            <w:shd w:val="clear" w:color="auto" w:fill="E0E8F2" w:themeFill="background2"/>
            <w:vAlign w:val="center"/>
          </w:tcPr>
          <w:p w14:paraId="1E525BA4" w14:textId="24C3BBBE" w:rsidR="001707A0" w:rsidRDefault="001707A0" w:rsidP="00CB5D91">
            <w:pPr>
              <w:pStyle w:val="TBLText"/>
              <w:rPr>
                <w:rFonts w:eastAsia="MS Mincho"/>
                <w:spacing w:val="-3"/>
              </w:rPr>
            </w:pPr>
            <w:r>
              <w:rPr>
                <w:rFonts w:eastAsia="MS Mincho"/>
                <w:spacing w:val="-3"/>
              </w:rPr>
              <w:t>-$8.5m</w:t>
            </w:r>
          </w:p>
        </w:tc>
      </w:tr>
      <w:tr w:rsidR="00CB5D91" w14:paraId="4EB113D5" w14:textId="77777777" w:rsidTr="001707A0">
        <w:trPr>
          <w:trHeight w:val="20"/>
        </w:trPr>
        <w:tc>
          <w:tcPr>
            <w:tcW w:w="1513" w:type="pct"/>
            <w:shd w:val="clear" w:color="auto" w:fill="auto"/>
            <w:vAlign w:val="center"/>
          </w:tcPr>
          <w:p w14:paraId="1BEBE18B" w14:textId="77777777" w:rsidR="00CB5D91" w:rsidRPr="00363240" w:rsidRDefault="00CB5D91" w:rsidP="001231FF">
            <w:pPr>
              <w:pStyle w:val="TBLText"/>
              <w:rPr>
                <w:b/>
              </w:rPr>
            </w:pPr>
            <w:r w:rsidRPr="00363240">
              <w:rPr>
                <w:b/>
              </w:rPr>
              <w:t>Total proposals</w:t>
            </w:r>
          </w:p>
        </w:tc>
        <w:tc>
          <w:tcPr>
            <w:tcW w:w="692" w:type="pct"/>
            <w:shd w:val="clear" w:color="auto" w:fill="auto"/>
            <w:vAlign w:val="center"/>
          </w:tcPr>
          <w:p w14:paraId="4338656A" w14:textId="3D8FE530" w:rsidR="00CB5D91" w:rsidRPr="00363240" w:rsidRDefault="001707A0" w:rsidP="001707A0">
            <w:pPr>
              <w:pStyle w:val="TBLText"/>
              <w:rPr>
                <w:b/>
              </w:rPr>
            </w:pPr>
            <w:r>
              <w:rPr>
                <w:b/>
              </w:rPr>
              <w:t>2</w:t>
            </w:r>
            <w:r w:rsidR="00CB5D91" w:rsidRPr="00363240">
              <w:rPr>
                <w:b/>
              </w:rPr>
              <w:t>/</w:t>
            </w:r>
            <w:r>
              <w:rPr>
                <w:b/>
              </w:rPr>
              <w:t>2</w:t>
            </w:r>
          </w:p>
        </w:tc>
        <w:tc>
          <w:tcPr>
            <w:tcW w:w="853" w:type="pct"/>
            <w:shd w:val="clear" w:color="auto" w:fill="auto"/>
            <w:vAlign w:val="center"/>
          </w:tcPr>
          <w:p w14:paraId="65977E21" w14:textId="77777777" w:rsidR="00CB5D91" w:rsidRPr="00363240" w:rsidRDefault="00CB5D91" w:rsidP="001231FF">
            <w:pPr>
              <w:pStyle w:val="TBLText"/>
              <w:rPr>
                <w:b/>
              </w:rPr>
            </w:pPr>
            <w:r w:rsidRPr="00363240">
              <w:rPr>
                <w:b/>
              </w:rPr>
              <w:t>-</w:t>
            </w:r>
          </w:p>
        </w:tc>
        <w:tc>
          <w:tcPr>
            <w:tcW w:w="971" w:type="pct"/>
            <w:shd w:val="clear" w:color="auto" w:fill="auto"/>
            <w:vAlign w:val="center"/>
          </w:tcPr>
          <w:p w14:paraId="7FCEA408" w14:textId="4EC5D571" w:rsidR="00CB5D91" w:rsidRPr="00254BDF" w:rsidRDefault="001707A0" w:rsidP="001231FF">
            <w:pPr>
              <w:pStyle w:val="TBLText"/>
              <w:rPr>
                <w:b/>
              </w:rPr>
            </w:pPr>
            <w:r w:rsidRPr="00EE4752">
              <w:rPr>
                <w:b/>
              </w:rPr>
              <w:t>0/2</w:t>
            </w:r>
          </w:p>
        </w:tc>
        <w:tc>
          <w:tcPr>
            <w:tcW w:w="970" w:type="pct"/>
            <w:shd w:val="clear" w:color="auto" w:fill="auto"/>
            <w:vAlign w:val="center"/>
          </w:tcPr>
          <w:p w14:paraId="3577C443" w14:textId="4B1953EF" w:rsidR="00CB5D91" w:rsidRPr="001707A0" w:rsidRDefault="001707A0" w:rsidP="001231FF">
            <w:pPr>
              <w:pStyle w:val="TBLText"/>
              <w:rPr>
                <w:b/>
              </w:rPr>
            </w:pPr>
            <w:r w:rsidRPr="001707A0">
              <w:rPr>
                <w:rFonts w:eastAsia="MS Mincho"/>
                <w:b/>
                <w:spacing w:val="-3"/>
              </w:rPr>
              <w:t>-$8.5m</w:t>
            </w:r>
          </w:p>
        </w:tc>
      </w:tr>
    </w:tbl>
    <w:p w14:paraId="556F2479" w14:textId="30B3207A" w:rsidR="00CB5D91" w:rsidRDefault="00CB5D91" w:rsidP="00CB5D91"/>
    <w:p w14:paraId="50EA6AC1" w14:textId="77777777" w:rsidR="00FB6AB1" w:rsidRDefault="00FB6AB1">
      <w:pPr>
        <w:spacing w:after="200"/>
        <w:rPr>
          <w:rFonts w:asciiTheme="majorHAnsi" w:eastAsiaTheme="majorEastAsia" w:hAnsiTheme="majorHAnsi" w:cstheme="majorBidi"/>
          <w:color w:val="192D56" w:themeColor="accent1"/>
          <w:sz w:val="32"/>
          <w:szCs w:val="28"/>
        </w:rPr>
      </w:pPr>
      <w:bookmarkStart w:id="34" w:name="_Toc122424413"/>
      <w:r>
        <w:br w:type="page"/>
      </w:r>
    </w:p>
    <w:p w14:paraId="62F1BF16" w14:textId="56388245" w:rsidR="00CB5D91" w:rsidRDefault="00CB5D91" w:rsidP="00CB5D91">
      <w:pPr>
        <w:pStyle w:val="Heading2"/>
      </w:pPr>
      <w:bookmarkStart w:id="35" w:name="_Toc200111081"/>
      <w:r>
        <w:lastRenderedPageBreak/>
        <w:t>Department of Industry, Science and Resources</w:t>
      </w:r>
      <w:bookmarkEnd w:id="34"/>
      <w:bookmarkEnd w:id="35"/>
    </w:p>
    <w:p w14:paraId="3EBFEA5E" w14:textId="2173A0F0" w:rsidR="00CB5D91" w:rsidRPr="00774646" w:rsidRDefault="00CB5D91" w:rsidP="00CB5D91">
      <w:pPr>
        <w:pStyle w:val="Figure"/>
        <w:ind w:hanging="2694"/>
      </w:pPr>
      <w:r w:rsidRPr="00057A02">
        <w:t xml:space="preserve">Compliance summary: </w:t>
      </w:r>
      <w:r w:rsidRPr="002C6070">
        <w:t xml:space="preserve">Department of </w:t>
      </w:r>
      <w:r>
        <w:t>Industry, Science and Resources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dustry, Science and Resources"/>
        <w:tblDescription w:val="Compliance summary: Department of Industry, Science and Resources"/>
      </w:tblPr>
      <w:tblGrid>
        <w:gridCol w:w="3017"/>
        <w:gridCol w:w="1380"/>
        <w:gridCol w:w="1701"/>
        <w:gridCol w:w="1936"/>
        <w:gridCol w:w="1934"/>
      </w:tblGrid>
      <w:tr w:rsidR="00CB5D91" w14:paraId="086B2C31" w14:textId="77777777" w:rsidTr="001231FF">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638EF522" w14:textId="77777777" w:rsidR="00CB5D91" w:rsidRPr="006E170D" w:rsidRDefault="00CB5D91" w:rsidP="001231FF">
            <w:pPr>
              <w:pStyle w:val="TBLHeading"/>
            </w:pPr>
            <w:r>
              <w:t>Proposal</w:t>
            </w:r>
          </w:p>
        </w:tc>
        <w:tc>
          <w:tcPr>
            <w:tcW w:w="692" w:type="pct"/>
            <w:tcBorders>
              <w:top w:val="none" w:sz="0" w:space="0" w:color="auto"/>
              <w:bottom w:val="none" w:sz="0" w:space="0" w:color="auto"/>
            </w:tcBorders>
            <w:vAlign w:val="center"/>
          </w:tcPr>
          <w:p w14:paraId="7E5F0326" w14:textId="77777777" w:rsidR="00CB5D91" w:rsidRPr="006E170D" w:rsidRDefault="00CB5D91" w:rsidP="001231FF">
            <w:pPr>
              <w:pStyle w:val="TBLHeading"/>
            </w:pPr>
            <w:r>
              <w:t>IA Compliance</w:t>
            </w:r>
          </w:p>
        </w:tc>
        <w:tc>
          <w:tcPr>
            <w:tcW w:w="853" w:type="pct"/>
            <w:tcBorders>
              <w:top w:val="none" w:sz="0" w:space="0" w:color="auto"/>
              <w:bottom w:val="none" w:sz="0" w:space="0" w:color="auto"/>
            </w:tcBorders>
            <w:vAlign w:val="center"/>
          </w:tcPr>
          <w:p w14:paraId="1E08B4EE" w14:textId="77777777" w:rsidR="00CB5D91" w:rsidRPr="006E170D" w:rsidRDefault="00CB5D91" w:rsidP="001231FF">
            <w:pPr>
              <w:pStyle w:val="TBLHeading"/>
            </w:pPr>
            <w:r>
              <w:t>Rating</w:t>
            </w:r>
          </w:p>
        </w:tc>
        <w:tc>
          <w:tcPr>
            <w:tcW w:w="971" w:type="pct"/>
            <w:tcBorders>
              <w:top w:val="none" w:sz="0" w:space="0" w:color="auto"/>
              <w:bottom w:val="none" w:sz="0" w:space="0" w:color="auto"/>
            </w:tcBorders>
            <w:vAlign w:val="center"/>
          </w:tcPr>
          <w:p w14:paraId="4F11C622" w14:textId="77777777" w:rsidR="00CB5D91" w:rsidRPr="006E170D" w:rsidRDefault="00CB5D91" w:rsidP="001231FF">
            <w:pPr>
              <w:pStyle w:val="TBLHeading"/>
            </w:pPr>
            <w:r>
              <w:t>PIR Required</w:t>
            </w:r>
          </w:p>
        </w:tc>
        <w:tc>
          <w:tcPr>
            <w:tcW w:w="970" w:type="pct"/>
            <w:tcBorders>
              <w:top w:val="none" w:sz="0" w:space="0" w:color="auto"/>
              <w:bottom w:val="none" w:sz="0" w:space="0" w:color="auto"/>
              <w:right w:val="none" w:sz="0" w:space="0" w:color="auto"/>
            </w:tcBorders>
            <w:vAlign w:val="center"/>
          </w:tcPr>
          <w:p w14:paraId="77EADE9D" w14:textId="77777777" w:rsidR="00CB5D91" w:rsidRPr="006E170D" w:rsidRDefault="00CB5D91" w:rsidP="001231FF">
            <w:pPr>
              <w:pStyle w:val="TBLHeading"/>
            </w:pPr>
            <w:r>
              <w:t>Regulatory Burden ($m)</w:t>
            </w:r>
          </w:p>
        </w:tc>
      </w:tr>
      <w:tr w:rsidR="00CB5D91" w14:paraId="2B472DD7" w14:textId="77777777" w:rsidTr="001231FF">
        <w:trPr>
          <w:trHeight w:val="20"/>
        </w:trPr>
        <w:tc>
          <w:tcPr>
            <w:tcW w:w="1513" w:type="pct"/>
            <w:shd w:val="clear" w:color="auto" w:fill="auto"/>
            <w:vAlign w:val="center"/>
          </w:tcPr>
          <w:p w14:paraId="128B10B8" w14:textId="67AB7F4B" w:rsidR="00CB5D91" w:rsidRPr="006E170D" w:rsidRDefault="00CB5D91" w:rsidP="001231FF">
            <w:pPr>
              <w:pStyle w:val="TBLText"/>
            </w:pPr>
            <w:r w:rsidRPr="00CB5D91">
              <w:t>ADGSM - Refining the Australian Domestic Gas Security Mechanism</w:t>
            </w:r>
          </w:p>
        </w:tc>
        <w:tc>
          <w:tcPr>
            <w:tcW w:w="692" w:type="pct"/>
            <w:shd w:val="clear" w:color="auto" w:fill="auto"/>
            <w:vAlign w:val="center"/>
          </w:tcPr>
          <w:p w14:paraId="7C0D302B" w14:textId="77777777" w:rsidR="00CB5D91" w:rsidRPr="006E170D" w:rsidRDefault="00CB5D91" w:rsidP="001231FF">
            <w:pPr>
              <w:pStyle w:val="TBLText"/>
            </w:pPr>
            <w:r w:rsidRPr="002B0DDE">
              <w:rPr>
                <w:rFonts w:eastAsia="MS Mincho"/>
                <w:spacing w:val="-3"/>
              </w:rPr>
              <w:t>Compliant</w:t>
            </w:r>
          </w:p>
        </w:tc>
        <w:tc>
          <w:tcPr>
            <w:tcW w:w="853" w:type="pct"/>
            <w:shd w:val="clear" w:color="auto" w:fill="auto"/>
            <w:vAlign w:val="center"/>
          </w:tcPr>
          <w:p w14:paraId="20FDCCD9" w14:textId="77777777" w:rsidR="00CB5D91" w:rsidRPr="006E170D" w:rsidRDefault="00CB5D91" w:rsidP="001231FF">
            <w:pPr>
              <w:pStyle w:val="TBLText"/>
            </w:pPr>
            <w:r>
              <w:rPr>
                <w:rFonts w:eastAsia="MS Mincho"/>
                <w:spacing w:val="-3"/>
              </w:rPr>
              <w:t>Adequate</w:t>
            </w:r>
          </w:p>
        </w:tc>
        <w:tc>
          <w:tcPr>
            <w:tcW w:w="971" w:type="pct"/>
            <w:shd w:val="clear" w:color="auto" w:fill="auto"/>
            <w:vAlign w:val="center"/>
          </w:tcPr>
          <w:p w14:paraId="43A8519C" w14:textId="42168E93" w:rsidR="00CB5D91" w:rsidRPr="00254BDF" w:rsidRDefault="00254BDF" w:rsidP="001231FF">
            <w:pPr>
              <w:pStyle w:val="TBLText"/>
            </w:pPr>
            <w:r w:rsidRPr="00254BDF">
              <w:t>Yes</w:t>
            </w:r>
          </w:p>
        </w:tc>
        <w:tc>
          <w:tcPr>
            <w:tcW w:w="970" w:type="pct"/>
            <w:shd w:val="clear" w:color="auto" w:fill="auto"/>
            <w:vAlign w:val="center"/>
          </w:tcPr>
          <w:p w14:paraId="2B4FB107" w14:textId="36E57DF4" w:rsidR="00CB5D91" w:rsidRPr="006E170D" w:rsidRDefault="00CB5D91" w:rsidP="001231FF">
            <w:pPr>
              <w:pStyle w:val="TBLText"/>
            </w:pPr>
            <w:r>
              <w:rPr>
                <w:rFonts w:eastAsia="MS Mincho"/>
                <w:spacing w:val="-3"/>
              </w:rPr>
              <w:t>-</w:t>
            </w:r>
          </w:p>
        </w:tc>
      </w:tr>
      <w:tr w:rsidR="00CB5D91" w14:paraId="75712162" w14:textId="77777777" w:rsidTr="00734239">
        <w:trPr>
          <w:trHeight w:val="20"/>
        </w:trPr>
        <w:tc>
          <w:tcPr>
            <w:tcW w:w="1513" w:type="pct"/>
            <w:shd w:val="clear" w:color="auto" w:fill="DBE6F5" w:themeFill="text2" w:themeFillTint="1A"/>
            <w:vAlign w:val="center"/>
          </w:tcPr>
          <w:p w14:paraId="64B651D7" w14:textId="77777777" w:rsidR="00CB5D91" w:rsidRPr="00363240" w:rsidRDefault="00CB5D91" w:rsidP="001231FF">
            <w:pPr>
              <w:pStyle w:val="TBLText"/>
              <w:rPr>
                <w:b/>
              </w:rPr>
            </w:pPr>
            <w:r w:rsidRPr="00363240">
              <w:rPr>
                <w:b/>
              </w:rPr>
              <w:t>Total proposals</w:t>
            </w:r>
          </w:p>
        </w:tc>
        <w:tc>
          <w:tcPr>
            <w:tcW w:w="692" w:type="pct"/>
            <w:shd w:val="clear" w:color="auto" w:fill="DBE6F5" w:themeFill="text2" w:themeFillTint="1A"/>
            <w:vAlign w:val="center"/>
          </w:tcPr>
          <w:p w14:paraId="416EA2E9" w14:textId="77777777" w:rsidR="00CB5D91" w:rsidRPr="00363240" w:rsidRDefault="00CB5D91" w:rsidP="001231FF">
            <w:pPr>
              <w:pStyle w:val="TBLText"/>
              <w:rPr>
                <w:b/>
              </w:rPr>
            </w:pPr>
            <w:r>
              <w:rPr>
                <w:b/>
              </w:rPr>
              <w:t>1</w:t>
            </w:r>
            <w:r w:rsidRPr="00363240">
              <w:rPr>
                <w:b/>
              </w:rPr>
              <w:t>/</w:t>
            </w:r>
            <w:r>
              <w:rPr>
                <w:b/>
              </w:rPr>
              <w:t>1</w:t>
            </w:r>
          </w:p>
        </w:tc>
        <w:tc>
          <w:tcPr>
            <w:tcW w:w="853" w:type="pct"/>
            <w:shd w:val="clear" w:color="auto" w:fill="DBE6F5" w:themeFill="text2" w:themeFillTint="1A"/>
            <w:vAlign w:val="center"/>
          </w:tcPr>
          <w:p w14:paraId="4C6C9D82" w14:textId="77777777" w:rsidR="00CB5D91" w:rsidRPr="00363240" w:rsidRDefault="00CB5D91" w:rsidP="001231FF">
            <w:pPr>
              <w:pStyle w:val="TBLText"/>
              <w:rPr>
                <w:b/>
              </w:rPr>
            </w:pPr>
            <w:r w:rsidRPr="00363240">
              <w:rPr>
                <w:b/>
              </w:rPr>
              <w:t>-</w:t>
            </w:r>
          </w:p>
        </w:tc>
        <w:tc>
          <w:tcPr>
            <w:tcW w:w="971" w:type="pct"/>
            <w:shd w:val="clear" w:color="auto" w:fill="DBE6F5" w:themeFill="text2" w:themeFillTint="1A"/>
            <w:vAlign w:val="center"/>
          </w:tcPr>
          <w:p w14:paraId="7DE36E66" w14:textId="72F4CB09" w:rsidR="00CB5D91" w:rsidRPr="00254BDF" w:rsidRDefault="00254BDF" w:rsidP="001231FF">
            <w:pPr>
              <w:pStyle w:val="TBLText"/>
              <w:rPr>
                <w:b/>
              </w:rPr>
            </w:pPr>
            <w:r w:rsidRPr="00254BDF">
              <w:rPr>
                <w:b/>
              </w:rPr>
              <w:t>1</w:t>
            </w:r>
            <w:r w:rsidR="00CB5D91" w:rsidRPr="00254BDF">
              <w:rPr>
                <w:b/>
              </w:rPr>
              <w:t>/1</w:t>
            </w:r>
          </w:p>
        </w:tc>
        <w:tc>
          <w:tcPr>
            <w:tcW w:w="970" w:type="pct"/>
            <w:shd w:val="clear" w:color="auto" w:fill="DBE6F5" w:themeFill="text2" w:themeFillTint="1A"/>
            <w:vAlign w:val="center"/>
          </w:tcPr>
          <w:p w14:paraId="190F27A8" w14:textId="77777777" w:rsidR="00CB5D91" w:rsidRPr="00363240" w:rsidRDefault="00CB5D91" w:rsidP="001231FF">
            <w:pPr>
              <w:pStyle w:val="TBLText"/>
              <w:rPr>
                <w:b/>
              </w:rPr>
            </w:pPr>
            <w:r w:rsidRPr="00363240">
              <w:rPr>
                <w:b/>
              </w:rPr>
              <w:t>-</w:t>
            </w:r>
          </w:p>
        </w:tc>
      </w:tr>
    </w:tbl>
    <w:p w14:paraId="35E2906F" w14:textId="6143801C" w:rsidR="002C6070" w:rsidRDefault="002C6070" w:rsidP="002C6070">
      <w:pPr>
        <w:pStyle w:val="Heading2"/>
        <w:rPr>
          <w:noProof/>
        </w:rPr>
      </w:pPr>
      <w:bookmarkStart w:id="36" w:name="_Toc122424414"/>
      <w:bookmarkStart w:id="37" w:name="_Toc200111082"/>
      <w:r>
        <w:rPr>
          <w:noProof/>
        </w:rPr>
        <w:t xml:space="preserve">Department of Infrastructure, Transport, Regional Development, Communications and </w:t>
      </w:r>
      <w:r w:rsidR="00CB5D91">
        <w:rPr>
          <w:noProof/>
        </w:rPr>
        <w:t xml:space="preserve">the </w:t>
      </w:r>
      <w:r>
        <w:rPr>
          <w:noProof/>
        </w:rPr>
        <w:t>Arts</w:t>
      </w:r>
      <w:bookmarkEnd w:id="36"/>
      <w:bookmarkEnd w:id="37"/>
    </w:p>
    <w:p w14:paraId="4FCBCFE9" w14:textId="5F558697" w:rsidR="002C6070" w:rsidRPr="00774646" w:rsidRDefault="002C6070" w:rsidP="00C22F2D">
      <w:pPr>
        <w:pStyle w:val="Figure"/>
        <w:ind w:left="0" w:firstLine="0"/>
      </w:pPr>
      <w:r w:rsidRPr="00057A02">
        <w:t xml:space="preserve">Compliance summary: </w:t>
      </w:r>
      <w:r w:rsidRPr="002C6070">
        <w:t>Department of Infrastructure, Transport, Regional Development, Communication and the Arts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Infrastructure, Transport, Regional Development, Communication and the Arts"/>
        <w:tblDescription w:val="Compliance summary: Department of Infrastructure, Transport, Regional Development, Communication and the Arts"/>
      </w:tblPr>
      <w:tblGrid>
        <w:gridCol w:w="3017"/>
        <w:gridCol w:w="1380"/>
        <w:gridCol w:w="1701"/>
        <w:gridCol w:w="1936"/>
        <w:gridCol w:w="1934"/>
      </w:tblGrid>
      <w:tr w:rsidR="002C6070" w14:paraId="207BAE71" w14:textId="77777777" w:rsidTr="00B67D5D">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58F3F276" w14:textId="77777777" w:rsidR="002C6070" w:rsidRPr="006E170D" w:rsidRDefault="002C6070" w:rsidP="00B67D5D">
            <w:pPr>
              <w:pStyle w:val="TBLHeading"/>
            </w:pPr>
            <w:r>
              <w:t>Proposal</w:t>
            </w:r>
          </w:p>
        </w:tc>
        <w:tc>
          <w:tcPr>
            <w:tcW w:w="692" w:type="pct"/>
            <w:tcBorders>
              <w:top w:val="none" w:sz="0" w:space="0" w:color="auto"/>
              <w:bottom w:val="none" w:sz="0" w:space="0" w:color="auto"/>
            </w:tcBorders>
            <w:vAlign w:val="center"/>
          </w:tcPr>
          <w:p w14:paraId="21A98A63" w14:textId="7DC64D08" w:rsidR="002C6070" w:rsidRPr="006E170D" w:rsidRDefault="006B3940" w:rsidP="00B67D5D">
            <w:pPr>
              <w:pStyle w:val="TBLHeading"/>
            </w:pPr>
            <w:r>
              <w:t xml:space="preserve">IA </w:t>
            </w:r>
            <w:r w:rsidR="002C6070">
              <w:t>Compliance</w:t>
            </w:r>
          </w:p>
        </w:tc>
        <w:tc>
          <w:tcPr>
            <w:tcW w:w="853" w:type="pct"/>
            <w:tcBorders>
              <w:top w:val="none" w:sz="0" w:space="0" w:color="auto"/>
              <w:bottom w:val="none" w:sz="0" w:space="0" w:color="auto"/>
            </w:tcBorders>
            <w:vAlign w:val="center"/>
          </w:tcPr>
          <w:p w14:paraId="002EB290" w14:textId="77777777" w:rsidR="002C6070" w:rsidRPr="006E170D" w:rsidRDefault="002C6070" w:rsidP="00B67D5D">
            <w:pPr>
              <w:pStyle w:val="TBLHeading"/>
            </w:pPr>
            <w:r>
              <w:t>Rating</w:t>
            </w:r>
          </w:p>
        </w:tc>
        <w:tc>
          <w:tcPr>
            <w:tcW w:w="971" w:type="pct"/>
            <w:tcBorders>
              <w:top w:val="none" w:sz="0" w:space="0" w:color="auto"/>
              <w:bottom w:val="none" w:sz="0" w:space="0" w:color="auto"/>
            </w:tcBorders>
            <w:vAlign w:val="center"/>
          </w:tcPr>
          <w:p w14:paraId="1A84F370" w14:textId="77777777" w:rsidR="002C6070" w:rsidRPr="006E170D" w:rsidRDefault="002C6070" w:rsidP="00B67D5D">
            <w:pPr>
              <w:pStyle w:val="TBLHeading"/>
            </w:pPr>
            <w:r>
              <w:t>PIR Required</w:t>
            </w:r>
          </w:p>
        </w:tc>
        <w:tc>
          <w:tcPr>
            <w:tcW w:w="970" w:type="pct"/>
            <w:tcBorders>
              <w:top w:val="none" w:sz="0" w:space="0" w:color="auto"/>
              <w:bottom w:val="none" w:sz="0" w:space="0" w:color="auto"/>
              <w:right w:val="none" w:sz="0" w:space="0" w:color="auto"/>
            </w:tcBorders>
            <w:vAlign w:val="center"/>
          </w:tcPr>
          <w:p w14:paraId="797BE135" w14:textId="77777777" w:rsidR="002C6070" w:rsidRPr="006E170D" w:rsidRDefault="002C6070" w:rsidP="00B67D5D">
            <w:pPr>
              <w:pStyle w:val="TBLHeading"/>
            </w:pPr>
            <w:r>
              <w:t>Regulatory Burden ($m)</w:t>
            </w:r>
          </w:p>
        </w:tc>
      </w:tr>
      <w:tr w:rsidR="00E1281D" w14:paraId="481B6821" w14:textId="77777777" w:rsidTr="00B67D5D">
        <w:trPr>
          <w:trHeight w:val="20"/>
        </w:trPr>
        <w:tc>
          <w:tcPr>
            <w:tcW w:w="1513" w:type="pct"/>
            <w:shd w:val="clear" w:color="auto" w:fill="auto"/>
            <w:vAlign w:val="center"/>
          </w:tcPr>
          <w:p w14:paraId="4F421B4A" w14:textId="21D29F68" w:rsidR="00E1281D" w:rsidRPr="002C6070" w:rsidRDefault="00E1281D" w:rsidP="00E1281D">
            <w:pPr>
              <w:pStyle w:val="TBLText"/>
            </w:pPr>
            <w:r w:rsidRPr="00E1281D">
              <w:t>Heavy Vehicle Emission Standards for Cleaner Air</w:t>
            </w:r>
          </w:p>
        </w:tc>
        <w:tc>
          <w:tcPr>
            <w:tcW w:w="692" w:type="pct"/>
            <w:shd w:val="clear" w:color="auto" w:fill="auto"/>
            <w:vAlign w:val="center"/>
          </w:tcPr>
          <w:p w14:paraId="361DBC5A" w14:textId="375486A7" w:rsidR="00E1281D" w:rsidRPr="002B0DDE" w:rsidRDefault="00E1281D" w:rsidP="00E1281D">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2DCF93B3" w14:textId="71FF6BF8" w:rsidR="00E1281D" w:rsidRDefault="00E1281D" w:rsidP="00E1281D">
            <w:pPr>
              <w:pStyle w:val="TBLText"/>
              <w:rPr>
                <w:rFonts w:eastAsia="MS Mincho"/>
                <w:spacing w:val="-3"/>
              </w:rPr>
            </w:pPr>
            <w:r>
              <w:rPr>
                <w:rFonts w:eastAsia="MS Mincho"/>
                <w:spacing w:val="-3"/>
              </w:rPr>
              <w:t>Good Practice</w:t>
            </w:r>
          </w:p>
        </w:tc>
        <w:tc>
          <w:tcPr>
            <w:tcW w:w="971" w:type="pct"/>
            <w:shd w:val="clear" w:color="auto" w:fill="auto"/>
            <w:vAlign w:val="center"/>
          </w:tcPr>
          <w:p w14:paraId="0F620D0D" w14:textId="55655E56" w:rsidR="00E1281D" w:rsidRPr="00884959" w:rsidRDefault="00254BDF" w:rsidP="00E1281D">
            <w:pPr>
              <w:pStyle w:val="TBLText"/>
              <w:rPr>
                <w:rFonts w:eastAsia="MS Mincho"/>
                <w:spacing w:val="-3"/>
              </w:rPr>
            </w:pPr>
            <w:r>
              <w:rPr>
                <w:rFonts w:eastAsia="MS Mincho"/>
                <w:spacing w:val="-3"/>
              </w:rPr>
              <w:t>No</w:t>
            </w:r>
          </w:p>
        </w:tc>
        <w:tc>
          <w:tcPr>
            <w:tcW w:w="970" w:type="pct"/>
            <w:shd w:val="clear" w:color="auto" w:fill="auto"/>
            <w:vAlign w:val="center"/>
          </w:tcPr>
          <w:p w14:paraId="3F9B6917" w14:textId="5078AB03" w:rsidR="00E1281D" w:rsidRDefault="00E1281D" w:rsidP="00E1281D">
            <w:pPr>
              <w:pStyle w:val="TBLText"/>
              <w:rPr>
                <w:rFonts w:eastAsia="MS Mincho"/>
                <w:spacing w:val="-3"/>
              </w:rPr>
            </w:pPr>
            <w:r>
              <w:rPr>
                <w:rFonts w:eastAsia="MS Mincho"/>
                <w:spacing w:val="-3"/>
              </w:rPr>
              <w:t>$2.063m</w:t>
            </w:r>
          </w:p>
        </w:tc>
      </w:tr>
      <w:tr w:rsidR="00E1281D" w14:paraId="60C2F266" w14:textId="77777777" w:rsidTr="00734239">
        <w:trPr>
          <w:trHeight w:val="20"/>
        </w:trPr>
        <w:tc>
          <w:tcPr>
            <w:tcW w:w="1513" w:type="pct"/>
            <w:shd w:val="clear" w:color="auto" w:fill="DBE6F5" w:themeFill="text2" w:themeFillTint="1A"/>
            <w:vAlign w:val="center"/>
          </w:tcPr>
          <w:p w14:paraId="0453B934" w14:textId="57328623" w:rsidR="00E1281D" w:rsidRDefault="00E1281D" w:rsidP="00E1281D">
            <w:pPr>
              <w:pStyle w:val="TBLText"/>
            </w:pPr>
            <w:r w:rsidRPr="00E1281D">
              <w:t>Remaking the Broadcasting Services Exclusion Determination</w:t>
            </w:r>
          </w:p>
        </w:tc>
        <w:tc>
          <w:tcPr>
            <w:tcW w:w="692" w:type="pct"/>
            <w:shd w:val="clear" w:color="auto" w:fill="DBE6F5" w:themeFill="text2" w:themeFillTint="1A"/>
            <w:vAlign w:val="center"/>
          </w:tcPr>
          <w:p w14:paraId="1AF4BBB0" w14:textId="47656A90" w:rsidR="00E1281D" w:rsidRPr="002B0DDE" w:rsidRDefault="00E1281D" w:rsidP="00E1281D">
            <w:pPr>
              <w:pStyle w:val="TBLText"/>
              <w:rPr>
                <w:rFonts w:eastAsia="MS Mincho"/>
                <w:spacing w:val="-3"/>
              </w:rPr>
            </w:pPr>
            <w:r w:rsidRPr="002B0DDE">
              <w:rPr>
                <w:rFonts w:eastAsia="MS Mincho"/>
                <w:spacing w:val="-3"/>
              </w:rPr>
              <w:t>Compliant</w:t>
            </w:r>
          </w:p>
        </w:tc>
        <w:tc>
          <w:tcPr>
            <w:tcW w:w="853" w:type="pct"/>
            <w:shd w:val="clear" w:color="auto" w:fill="DBE6F5" w:themeFill="text2" w:themeFillTint="1A"/>
            <w:vAlign w:val="center"/>
          </w:tcPr>
          <w:p w14:paraId="39D10077" w14:textId="34365DF5" w:rsidR="00E1281D" w:rsidRDefault="00E1281D" w:rsidP="00E1281D">
            <w:pPr>
              <w:pStyle w:val="TBLText"/>
              <w:rPr>
                <w:rFonts w:eastAsia="MS Mincho"/>
                <w:spacing w:val="-3"/>
              </w:rPr>
            </w:pPr>
            <w:r>
              <w:rPr>
                <w:rFonts w:eastAsia="MS Mincho"/>
                <w:spacing w:val="-3"/>
              </w:rPr>
              <w:t>Adequate</w:t>
            </w:r>
          </w:p>
        </w:tc>
        <w:tc>
          <w:tcPr>
            <w:tcW w:w="971" w:type="pct"/>
            <w:shd w:val="clear" w:color="auto" w:fill="DBE6F5" w:themeFill="text2" w:themeFillTint="1A"/>
            <w:vAlign w:val="center"/>
          </w:tcPr>
          <w:p w14:paraId="220BB18B" w14:textId="1EEC6101" w:rsidR="00E1281D" w:rsidRPr="00884959" w:rsidRDefault="00254BDF" w:rsidP="00E1281D">
            <w:pPr>
              <w:pStyle w:val="TBLText"/>
              <w:rPr>
                <w:rFonts w:eastAsia="MS Mincho"/>
                <w:spacing w:val="-3"/>
              </w:rPr>
            </w:pPr>
            <w:r>
              <w:rPr>
                <w:rFonts w:eastAsia="MS Mincho"/>
                <w:spacing w:val="-3"/>
              </w:rPr>
              <w:t>No</w:t>
            </w:r>
          </w:p>
        </w:tc>
        <w:tc>
          <w:tcPr>
            <w:tcW w:w="970" w:type="pct"/>
            <w:shd w:val="clear" w:color="auto" w:fill="DBE6F5" w:themeFill="text2" w:themeFillTint="1A"/>
            <w:vAlign w:val="center"/>
          </w:tcPr>
          <w:p w14:paraId="35A6F2F2" w14:textId="19D27A04" w:rsidR="00E1281D" w:rsidRDefault="00E1281D" w:rsidP="00E1281D">
            <w:pPr>
              <w:pStyle w:val="TBLText"/>
              <w:rPr>
                <w:rFonts w:eastAsia="MS Mincho"/>
                <w:spacing w:val="-3"/>
              </w:rPr>
            </w:pPr>
            <w:r>
              <w:rPr>
                <w:rFonts w:eastAsia="MS Mincho"/>
                <w:spacing w:val="-3"/>
              </w:rPr>
              <w:t>-</w:t>
            </w:r>
          </w:p>
        </w:tc>
      </w:tr>
      <w:tr w:rsidR="00D755E3" w14:paraId="25F0317B" w14:textId="77777777" w:rsidTr="00D755E3">
        <w:trPr>
          <w:trHeight w:val="20"/>
        </w:trPr>
        <w:tc>
          <w:tcPr>
            <w:tcW w:w="1513" w:type="pct"/>
            <w:shd w:val="clear" w:color="auto" w:fill="auto"/>
            <w:vAlign w:val="center"/>
          </w:tcPr>
          <w:p w14:paraId="40ADEE93" w14:textId="71BC4BA9" w:rsidR="00D755E3" w:rsidRPr="00E1281D" w:rsidRDefault="00D755E3" w:rsidP="00E1281D">
            <w:pPr>
              <w:pStyle w:val="TBLText"/>
            </w:pPr>
            <w:r w:rsidRPr="00D755E3">
              <w:t>Australia’s Accession to the Nairobi International Convention on the Removal of Wrecks</w:t>
            </w:r>
          </w:p>
        </w:tc>
        <w:tc>
          <w:tcPr>
            <w:tcW w:w="692" w:type="pct"/>
            <w:shd w:val="clear" w:color="auto" w:fill="auto"/>
            <w:vAlign w:val="center"/>
          </w:tcPr>
          <w:p w14:paraId="6BA65883" w14:textId="5393946F" w:rsidR="00D755E3" w:rsidRPr="002B0DDE" w:rsidRDefault="00D755E3" w:rsidP="00E1281D">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679E94FF" w14:textId="1AD4033D" w:rsidR="00D755E3" w:rsidRDefault="00D755E3" w:rsidP="00E1281D">
            <w:pPr>
              <w:pStyle w:val="TBLText"/>
              <w:rPr>
                <w:rFonts w:eastAsia="MS Mincho"/>
                <w:spacing w:val="-3"/>
              </w:rPr>
            </w:pPr>
            <w:r>
              <w:rPr>
                <w:rFonts w:eastAsia="MS Mincho"/>
                <w:spacing w:val="-3"/>
              </w:rPr>
              <w:t>Exemplary</w:t>
            </w:r>
          </w:p>
        </w:tc>
        <w:tc>
          <w:tcPr>
            <w:tcW w:w="971" w:type="pct"/>
            <w:shd w:val="clear" w:color="auto" w:fill="auto"/>
            <w:vAlign w:val="center"/>
          </w:tcPr>
          <w:p w14:paraId="49C6DAC5" w14:textId="2D141163" w:rsidR="00D755E3" w:rsidRDefault="00CF65F6" w:rsidP="00E1281D">
            <w:pPr>
              <w:pStyle w:val="TBLText"/>
              <w:rPr>
                <w:rFonts w:eastAsia="MS Mincho"/>
                <w:spacing w:val="-3"/>
              </w:rPr>
            </w:pPr>
            <w:r>
              <w:rPr>
                <w:rFonts w:eastAsia="MS Mincho"/>
                <w:spacing w:val="-3"/>
              </w:rPr>
              <w:t>No</w:t>
            </w:r>
          </w:p>
        </w:tc>
        <w:tc>
          <w:tcPr>
            <w:tcW w:w="970" w:type="pct"/>
            <w:shd w:val="clear" w:color="auto" w:fill="auto"/>
            <w:vAlign w:val="center"/>
          </w:tcPr>
          <w:p w14:paraId="6CC39320" w14:textId="140AD0A6" w:rsidR="00D755E3" w:rsidRDefault="00D755E3" w:rsidP="00E1281D">
            <w:pPr>
              <w:pStyle w:val="TBLText"/>
              <w:rPr>
                <w:rFonts w:eastAsia="MS Mincho"/>
                <w:spacing w:val="-3"/>
              </w:rPr>
            </w:pPr>
            <w:r>
              <w:rPr>
                <w:rFonts w:eastAsia="MS Mincho"/>
                <w:spacing w:val="-3"/>
              </w:rPr>
              <w:t>-</w:t>
            </w:r>
          </w:p>
        </w:tc>
      </w:tr>
      <w:tr w:rsidR="00E1281D" w14:paraId="33899760" w14:textId="77777777" w:rsidTr="00D755E3">
        <w:trPr>
          <w:trHeight w:val="20"/>
        </w:trPr>
        <w:tc>
          <w:tcPr>
            <w:tcW w:w="1513" w:type="pct"/>
            <w:shd w:val="clear" w:color="auto" w:fill="DBE6F5" w:themeFill="text2" w:themeFillTint="1A"/>
            <w:vAlign w:val="center"/>
          </w:tcPr>
          <w:p w14:paraId="55B92D17" w14:textId="5B4DCB68" w:rsidR="00E1281D" w:rsidRPr="00363240" w:rsidRDefault="00E1281D" w:rsidP="00E1281D">
            <w:pPr>
              <w:pStyle w:val="TBLText"/>
              <w:rPr>
                <w:b/>
              </w:rPr>
            </w:pPr>
            <w:r w:rsidRPr="00363240">
              <w:rPr>
                <w:b/>
              </w:rPr>
              <w:t>Total proposals</w:t>
            </w:r>
          </w:p>
        </w:tc>
        <w:tc>
          <w:tcPr>
            <w:tcW w:w="692" w:type="pct"/>
            <w:shd w:val="clear" w:color="auto" w:fill="DBE6F5" w:themeFill="text2" w:themeFillTint="1A"/>
            <w:vAlign w:val="center"/>
          </w:tcPr>
          <w:p w14:paraId="3C039D07" w14:textId="12096D29" w:rsidR="00E1281D" w:rsidRPr="00363240" w:rsidRDefault="00D755E3" w:rsidP="00016A64">
            <w:pPr>
              <w:pStyle w:val="TBLText"/>
              <w:rPr>
                <w:b/>
              </w:rPr>
            </w:pPr>
            <w:r>
              <w:rPr>
                <w:b/>
              </w:rPr>
              <w:t>3</w:t>
            </w:r>
            <w:r w:rsidR="00E1281D" w:rsidRPr="00363240">
              <w:rPr>
                <w:b/>
              </w:rPr>
              <w:t>/</w:t>
            </w:r>
            <w:r>
              <w:rPr>
                <w:b/>
              </w:rPr>
              <w:t>3</w:t>
            </w:r>
          </w:p>
        </w:tc>
        <w:tc>
          <w:tcPr>
            <w:tcW w:w="853" w:type="pct"/>
            <w:shd w:val="clear" w:color="auto" w:fill="DBE6F5" w:themeFill="text2" w:themeFillTint="1A"/>
            <w:vAlign w:val="center"/>
          </w:tcPr>
          <w:p w14:paraId="71ABEEEE" w14:textId="77777777" w:rsidR="00E1281D" w:rsidRPr="00363240" w:rsidRDefault="00E1281D" w:rsidP="00E1281D">
            <w:pPr>
              <w:pStyle w:val="TBLText"/>
              <w:rPr>
                <w:b/>
              </w:rPr>
            </w:pPr>
            <w:r w:rsidRPr="00363240">
              <w:rPr>
                <w:b/>
              </w:rPr>
              <w:t>-</w:t>
            </w:r>
          </w:p>
        </w:tc>
        <w:tc>
          <w:tcPr>
            <w:tcW w:w="971" w:type="pct"/>
            <w:shd w:val="clear" w:color="auto" w:fill="DBE6F5" w:themeFill="text2" w:themeFillTint="1A"/>
            <w:vAlign w:val="center"/>
          </w:tcPr>
          <w:p w14:paraId="6BFA150C" w14:textId="53581721" w:rsidR="00E1281D" w:rsidRPr="00884959" w:rsidRDefault="00E1281D" w:rsidP="00D755E3">
            <w:pPr>
              <w:pStyle w:val="TBLText"/>
              <w:rPr>
                <w:b/>
              </w:rPr>
            </w:pPr>
            <w:r w:rsidRPr="00CF65F6">
              <w:rPr>
                <w:b/>
              </w:rPr>
              <w:t>0/</w:t>
            </w:r>
            <w:r w:rsidR="00D755E3" w:rsidRPr="00CF65F6">
              <w:rPr>
                <w:b/>
              </w:rPr>
              <w:t>3</w:t>
            </w:r>
          </w:p>
        </w:tc>
        <w:tc>
          <w:tcPr>
            <w:tcW w:w="970" w:type="pct"/>
            <w:shd w:val="clear" w:color="auto" w:fill="DBE6F5" w:themeFill="text2" w:themeFillTint="1A"/>
            <w:vAlign w:val="center"/>
          </w:tcPr>
          <w:p w14:paraId="74065F79" w14:textId="325E4768" w:rsidR="00E1281D" w:rsidRPr="00363240" w:rsidRDefault="00E1281D" w:rsidP="00E1281D">
            <w:pPr>
              <w:pStyle w:val="TBLText"/>
              <w:rPr>
                <w:b/>
              </w:rPr>
            </w:pPr>
            <w:r>
              <w:rPr>
                <w:b/>
              </w:rPr>
              <w:t>$2.063m</w:t>
            </w:r>
          </w:p>
        </w:tc>
      </w:tr>
    </w:tbl>
    <w:p w14:paraId="7380E146" w14:textId="5B3AD569" w:rsidR="00483BAB" w:rsidRDefault="00483BAB" w:rsidP="00483BAB">
      <w:pPr>
        <w:pStyle w:val="Heading2"/>
        <w:rPr>
          <w:noProof/>
        </w:rPr>
      </w:pPr>
      <w:bookmarkStart w:id="38" w:name="_Toc122424415"/>
      <w:bookmarkStart w:id="39" w:name="_Toc200111083"/>
      <w:r>
        <w:rPr>
          <w:noProof/>
        </w:rPr>
        <w:t>Department of the Prime Minister and Cabinet</w:t>
      </w:r>
      <w:bookmarkEnd w:id="39"/>
    </w:p>
    <w:p w14:paraId="324F30BF" w14:textId="75A67C05" w:rsidR="00483BAB" w:rsidRPr="00774646" w:rsidRDefault="00483BAB" w:rsidP="00483BAB">
      <w:pPr>
        <w:pStyle w:val="Figure"/>
        <w:ind w:left="0" w:firstLine="0"/>
      </w:pPr>
      <w:r w:rsidRPr="00057A02">
        <w:t xml:space="preserve">Compliance summary: </w:t>
      </w:r>
      <w:r w:rsidRPr="002C6070">
        <w:t xml:space="preserve">Department of </w:t>
      </w:r>
      <w:r>
        <w:t>the Prime Minister and Cabinet</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Social Services"/>
        <w:tblDescription w:val="Compliance summary: Department of Social Services"/>
      </w:tblPr>
      <w:tblGrid>
        <w:gridCol w:w="3017"/>
        <w:gridCol w:w="1380"/>
        <w:gridCol w:w="1701"/>
        <w:gridCol w:w="1936"/>
        <w:gridCol w:w="1934"/>
      </w:tblGrid>
      <w:tr w:rsidR="00483BAB" w14:paraId="5F4C8A07" w14:textId="77777777" w:rsidTr="00483BAB">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230DD299" w14:textId="77777777" w:rsidR="00483BAB" w:rsidRPr="006E170D" w:rsidRDefault="00483BAB" w:rsidP="00483BAB">
            <w:pPr>
              <w:pStyle w:val="TBLHeading"/>
            </w:pPr>
            <w:r>
              <w:t>Proposal</w:t>
            </w:r>
          </w:p>
        </w:tc>
        <w:tc>
          <w:tcPr>
            <w:tcW w:w="692" w:type="pct"/>
            <w:tcBorders>
              <w:top w:val="none" w:sz="0" w:space="0" w:color="auto"/>
              <w:bottom w:val="none" w:sz="0" w:space="0" w:color="auto"/>
            </w:tcBorders>
            <w:vAlign w:val="center"/>
          </w:tcPr>
          <w:p w14:paraId="64550ECC" w14:textId="77777777" w:rsidR="00483BAB" w:rsidRPr="006E170D" w:rsidRDefault="00483BAB" w:rsidP="00483BAB">
            <w:pPr>
              <w:pStyle w:val="TBLHeading"/>
            </w:pPr>
            <w:r>
              <w:t>IA Compliance</w:t>
            </w:r>
          </w:p>
        </w:tc>
        <w:tc>
          <w:tcPr>
            <w:tcW w:w="853" w:type="pct"/>
            <w:tcBorders>
              <w:top w:val="none" w:sz="0" w:space="0" w:color="auto"/>
              <w:bottom w:val="none" w:sz="0" w:space="0" w:color="auto"/>
            </w:tcBorders>
            <w:vAlign w:val="center"/>
          </w:tcPr>
          <w:p w14:paraId="2E25926F" w14:textId="77777777" w:rsidR="00483BAB" w:rsidRPr="006E170D" w:rsidRDefault="00483BAB" w:rsidP="00483BAB">
            <w:pPr>
              <w:pStyle w:val="TBLHeading"/>
            </w:pPr>
            <w:r>
              <w:t>Rating</w:t>
            </w:r>
          </w:p>
        </w:tc>
        <w:tc>
          <w:tcPr>
            <w:tcW w:w="971" w:type="pct"/>
            <w:tcBorders>
              <w:top w:val="none" w:sz="0" w:space="0" w:color="auto"/>
              <w:bottom w:val="none" w:sz="0" w:space="0" w:color="auto"/>
            </w:tcBorders>
            <w:vAlign w:val="center"/>
          </w:tcPr>
          <w:p w14:paraId="726F7C7F" w14:textId="77777777" w:rsidR="00483BAB" w:rsidRPr="006E170D" w:rsidRDefault="00483BAB" w:rsidP="00483BAB">
            <w:pPr>
              <w:pStyle w:val="TBLHeading"/>
            </w:pPr>
            <w:r>
              <w:t>PIR Required</w:t>
            </w:r>
          </w:p>
        </w:tc>
        <w:tc>
          <w:tcPr>
            <w:tcW w:w="970" w:type="pct"/>
            <w:tcBorders>
              <w:top w:val="none" w:sz="0" w:space="0" w:color="auto"/>
              <w:bottom w:val="none" w:sz="0" w:space="0" w:color="auto"/>
              <w:right w:val="none" w:sz="0" w:space="0" w:color="auto"/>
            </w:tcBorders>
            <w:vAlign w:val="center"/>
          </w:tcPr>
          <w:p w14:paraId="3A07FB9D" w14:textId="77777777" w:rsidR="00483BAB" w:rsidRPr="006E170D" w:rsidRDefault="00483BAB" w:rsidP="00483BAB">
            <w:pPr>
              <w:pStyle w:val="TBLHeading"/>
            </w:pPr>
            <w:r>
              <w:t>Regulatory Burden ($m)</w:t>
            </w:r>
          </w:p>
        </w:tc>
      </w:tr>
      <w:tr w:rsidR="00483BAB" w14:paraId="6E408912" w14:textId="77777777" w:rsidTr="00483BAB">
        <w:trPr>
          <w:trHeight w:val="20"/>
        </w:trPr>
        <w:tc>
          <w:tcPr>
            <w:tcW w:w="1513" w:type="pct"/>
            <w:shd w:val="clear" w:color="auto" w:fill="auto"/>
            <w:vAlign w:val="center"/>
          </w:tcPr>
          <w:p w14:paraId="16582023" w14:textId="179466E5" w:rsidR="00483BAB" w:rsidRPr="002C6070" w:rsidRDefault="00483BAB" w:rsidP="00483BAB">
            <w:pPr>
              <w:pStyle w:val="TBLText"/>
            </w:pPr>
            <w:r w:rsidRPr="00483BAB">
              <w:t>Changes to the Workplace Gender Equality Act 2012 and Associated Instruments</w:t>
            </w:r>
          </w:p>
        </w:tc>
        <w:tc>
          <w:tcPr>
            <w:tcW w:w="692" w:type="pct"/>
            <w:shd w:val="clear" w:color="auto" w:fill="auto"/>
            <w:vAlign w:val="center"/>
          </w:tcPr>
          <w:p w14:paraId="4DD5A047" w14:textId="77777777" w:rsidR="00483BAB" w:rsidRPr="002B0DDE" w:rsidRDefault="00483BAB" w:rsidP="00483BAB">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17729B2A" w14:textId="77777777" w:rsidR="00483BAB" w:rsidRDefault="00483BAB" w:rsidP="00483BAB">
            <w:pPr>
              <w:pStyle w:val="TBLText"/>
              <w:rPr>
                <w:rFonts w:eastAsia="MS Mincho"/>
                <w:spacing w:val="-3"/>
              </w:rPr>
            </w:pPr>
            <w:r>
              <w:rPr>
                <w:rFonts w:eastAsia="MS Mincho"/>
                <w:spacing w:val="-3"/>
              </w:rPr>
              <w:t>Good Practice</w:t>
            </w:r>
          </w:p>
        </w:tc>
        <w:tc>
          <w:tcPr>
            <w:tcW w:w="971" w:type="pct"/>
            <w:shd w:val="clear" w:color="auto" w:fill="auto"/>
            <w:vAlign w:val="center"/>
          </w:tcPr>
          <w:p w14:paraId="22B745CB" w14:textId="77777777" w:rsidR="00483BAB" w:rsidRPr="001D0BF9" w:rsidRDefault="00483BAB" w:rsidP="00483BAB">
            <w:pPr>
              <w:pStyle w:val="TBLText"/>
              <w:rPr>
                <w:rFonts w:eastAsia="MS Mincho"/>
                <w:spacing w:val="-3"/>
              </w:rPr>
            </w:pPr>
            <w:r w:rsidRPr="001D0BF9">
              <w:rPr>
                <w:rFonts w:eastAsia="MS Mincho"/>
                <w:spacing w:val="-3"/>
              </w:rPr>
              <w:t>No</w:t>
            </w:r>
          </w:p>
        </w:tc>
        <w:tc>
          <w:tcPr>
            <w:tcW w:w="970" w:type="pct"/>
            <w:shd w:val="clear" w:color="auto" w:fill="auto"/>
            <w:vAlign w:val="center"/>
          </w:tcPr>
          <w:p w14:paraId="6BFD44AD" w14:textId="1C194026" w:rsidR="00483BAB" w:rsidRDefault="006F639F" w:rsidP="006F639F">
            <w:pPr>
              <w:pStyle w:val="TBLText"/>
              <w:rPr>
                <w:rFonts w:eastAsia="MS Mincho"/>
                <w:spacing w:val="-3"/>
              </w:rPr>
            </w:pPr>
            <w:r>
              <w:rPr>
                <w:rFonts w:eastAsia="MS Mincho"/>
                <w:spacing w:val="-3"/>
              </w:rPr>
              <w:t>-</w:t>
            </w:r>
            <w:r w:rsidR="00483BAB">
              <w:rPr>
                <w:rFonts w:eastAsia="MS Mincho"/>
                <w:spacing w:val="-3"/>
              </w:rPr>
              <w:t>$</w:t>
            </w:r>
            <w:r>
              <w:rPr>
                <w:rFonts w:eastAsia="MS Mincho"/>
                <w:spacing w:val="-3"/>
              </w:rPr>
              <w:t>0.12</w:t>
            </w:r>
            <w:r w:rsidR="00483BAB">
              <w:rPr>
                <w:rFonts w:eastAsia="MS Mincho"/>
                <w:spacing w:val="-3"/>
              </w:rPr>
              <w:t>m</w:t>
            </w:r>
          </w:p>
        </w:tc>
      </w:tr>
      <w:tr w:rsidR="00483BAB" w14:paraId="16B9C0FD" w14:textId="77777777" w:rsidTr="00483BAB">
        <w:trPr>
          <w:trHeight w:val="20"/>
        </w:trPr>
        <w:tc>
          <w:tcPr>
            <w:tcW w:w="1513" w:type="pct"/>
            <w:shd w:val="clear" w:color="auto" w:fill="DBE6F5" w:themeFill="text2" w:themeFillTint="1A"/>
            <w:vAlign w:val="center"/>
          </w:tcPr>
          <w:p w14:paraId="62534223" w14:textId="77777777" w:rsidR="00483BAB" w:rsidRPr="00363240" w:rsidRDefault="00483BAB" w:rsidP="00483BAB">
            <w:pPr>
              <w:pStyle w:val="TBLText"/>
              <w:rPr>
                <w:b/>
              </w:rPr>
            </w:pPr>
            <w:r w:rsidRPr="00363240">
              <w:rPr>
                <w:b/>
              </w:rPr>
              <w:t>Total proposals</w:t>
            </w:r>
          </w:p>
        </w:tc>
        <w:tc>
          <w:tcPr>
            <w:tcW w:w="692" w:type="pct"/>
            <w:shd w:val="clear" w:color="auto" w:fill="DBE6F5" w:themeFill="text2" w:themeFillTint="1A"/>
            <w:vAlign w:val="center"/>
          </w:tcPr>
          <w:p w14:paraId="2F1D3386" w14:textId="5F6DAF0A" w:rsidR="00483BAB" w:rsidRPr="00363240" w:rsidRDefault="006F639F" w:rsidP="00483BAB">
            <w:pPr>
              <w:pStyle w:val="TBLText"/>
              <w:rPr>
                <w:b/>
              </w:rPr>
            </w:pPr>
            <w:r>
              <w:rPr>
                <w:b/>
              </w:rPr>
              <w:t>1</w:t>
            </w:r>
            <w:r w:rsidR="00483BAB" w:rsidRPr="00363240">
              <w:rPr>
                <w:b/>
              </w:rPr>
              <w:t>/</w:t>
            </w:r>
            <w:r>
              <w:rPr>
                <w:b/>
              </w:rPr>
              <w:t>1</w:t>
            </w:r>
          </w:p>
        </w:tc>
        <w:tc>
          <w:tcPr>
            <w:tcW w:w="853" w:type="pct"/>
            <w:shd w:val="clear" w:color="auto" w:fill="DBE6F5" w:themeFill="text2" w:themeFillTint="1A"/>
            <w:vAlign w:val="center"/>
          </w:tcPr>
          <w:p w14:paraId="0E4E6A5C" w14:textId="77777777" w:rsidR="00483BAB" w:rsidRPr="00363240" w:rsidRDefault="00483BAB" w:rsidP="00483BAB">
            <w:pPr>
              <w:pStyle w:val="TBLText"/>
              <w:rPr>
                <w:b/>
              </w:rPr>
            </w:pPr>
            <w:r w:rsidRPr="00363240">
              <w:rPr>
                <w:b/>
              </w:rPr>
              <w:t>-</w:t>
            </w:r>
          </w:p>
        </w:tc>
        <w:tc>
          <w:tcPr>
            <w:tcW w:w="971" w:type="pct"/>
            <w:shd w:val="clear" w:color="auto" w:fill="DBE6F5" w:themeFill="text2" w:themeFillTint="1A"/>
            <w:vAlign w:val="center"/>
          </w:tcPr>
          <w:p w14:paraId="7152F441" w14:textId="7DF82F23" w:rsidR="00483BAB" w:rsidRPr="001D0BF9" w:rsidRDefault="006F639F" w:rsidP="00483BAB">
            <w:pPr>
              <w:pStyle w:val="TBLText"/>
              <w:rPr>
                <w:b/>
              </w:rPr>
            </w:pPr>
            <w:r w:rsidRPr="001D0BF9">
              <w:rPr>
                <w:b/>
              </w:rPr>
              <w:t>0/1</w:t>
            </w:r>
          </w:p>
        </w:tc>
        <w:tc>
          <w:tcPr>
            <w:tcW w:w="970" w:type="pct"/>
            <w:shd w:val="clear" w:color="auto" w:fill="DBE6F5" w:themeFill="text2" w:themeFillTint="1A"/>
            <w:vAlign w:val="center"/>
          </w:tcPr>
          <w:p w14:paraId="16716198" w14:textId="09082CA0" w:rsidR="00483BAB" w:rsidRPr="00363240" w:rsidRDefault="006F639F" w:rsidP="006F639F">
            <w:pPr>
              <w:pStyle w:val="TBLText"/>
              <w:rPr>
                <w:b/>
              </w:rPr>
            </w:pPr>
            <w:r>
              <w:rPr>
                <w:b/>
              </w:rPr>
              <w:t>-</w:t>
            </w:r>
            <w:r w:rsidR="00483BAB">
              <w:rPr>
                <w:b/>
              </w:rPr>
              <w:t>$</w:t>
            </w:r>
            <w:r>
              <w:rPr>
                <w:b/>
              </w:rPr>
              <w:t>0.12</w:t>
            </w:r>
            <w:r w:rsidR="00483BAB">
              <w:rPr>
                <w:b/>
              </w:rPr>
              <w:t>m</w:t>
            </w:r>
          </w:p>
        </w:tc>
      </w:tr>
    </w:tbl>
    <w:p w14:paraId="5F7C2FEC" w14:textId="70C0DCEC" w:rsidR="00425E27" w:rsidRDefault="00425E27" w:rsidP="00897BE9">
      <w:pPr>
        <w:pStyle w:val="Heading2"/>
      </w:pPr>
      <w:bookmarkStart w:id="40" w:name="_Toc200111084"/>
      <w:r>
        <w:t>Department of Social Services</w:t>
      </w:r>
      <w:bookmarkEnd w:id="38"/>
      <w:bookmarkEnd w:id="40"/>
    </w:p>
    <w:p w14:paraId="62CF7B04" w14:textId="2D7A45C0" w:rsidR="00425E27" w:rsidRPr="00774646" w:rsidRDefault="00425E27" w:rsidP="00425E27">
      <w:pPr>
        <w:pStyle w:val="Figure"/>
        <w:ind w:left="0" w:firstLine="0"/>
      </w:pPr>
      <w:r w:rsidRPr="00057A02">
        <w:t xml:space="preserve">Compliance summary: </w:t>
      </w:r>
      <w:r>
        <w:t xml:space="preserve">Department of </w:t>
      </w:r>
      <w:r w:rsidR="00254BDF">
        <w:t>Social Services</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Social Services"/>
        <w:tblDescription w:val="Compliance summary: Department of Social Services"/>
      </w:tblPr>
      <w:tblGrid>
        <w:gridCol w:w="3017"/>
        <w:gridCol w:w="1380"/>
        <w:gridCol w:w="1701"/>
        <w:gridCol w:w="1936"/>
        <w:gridCol w:w="1934"/>
      </w:tblGrid>
      <w:tr w:rsidR="00425E27" w14:paraId="264BB9BA" w14:textId="77777777" w:rsidTr="48D54834">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4CAF444F" w14:textId="77777777" w:rsidR="00425E27" w:rsidRPr="006E170D" w:rsidRDefault="00425E27" w:rsidP="00016A64">
            <w:pPr>
              <w:pStyle w:val="TBLHeading"/>
            </w:pPr>
            <w:r>
              <w:t>Proposal</w:t>
            </w:r>
          </w:p>
        </w:tc>
        <w:tc>
          <w:tcPr>
            <w:tcW w:w="692" w:type="pct"/>
            <w:tcBorders>
              <w:top w:val="none" w:sz="0" w:space="0" w:color="auto"/>
              <w:bottom w:val="none" w:sz="0" w:space="0" w:color="auto"/>
            </w:tcBorders>
            <w:vAlign w:val="center"/>
          </w:tcPr>
          <w:p w14:paraId="7ADC6E33" w14:textId="77777777" w:rsidR="00425E27" w:rsidRPr="006E170D" w:rsidRDefault="00425E27" w:rsidP="00016A64">
            <w:pPr>
              <w:pStyle w:val="TBLHeading"/>
            </w:pPr>
            <w:r>
              <w:t>IA Compliance</w:t>
            </w:r>
          </w:p>
        </w:tc>
        <w:tc>
          <w:tcPr>
            <w:tcW w:w="853" w:type="pct"/>
            <w:tcBorders>
              <w:top w:val="none" w:sz="0" w:space="0" w:color="auto"/>
              <w:bottom w:val="none" w:sz="0" w:space="0" w:color="auto"/>
            </w:tcBorders>
            <w:vAlign w:val="center"/>
          </w:tcPr>
          <w:p w14:paraId="757CA31E" w14:textId="77777777" w:rsidR="00425E27" w:rsidRPr="006E170D" w:rsidRDefault="00425E27" w:rsidP="00016A64">
            <w:pPr>
              <w:pStyle w:val="TBLHeading"/>
            </w:pPr>
            <w:r>
              <w:t>Rating</w:t>
            </w:r>
          </w:p>
        </w:tc>
        <w:tc>
          <w:tcPr>
            <w:tcW w:w="971" w:type="pct"/>
            <w:tcBorders>
              <w:top w:val="none" w:sz="0" w:space="0" w:color="auto"/>
              <w:bottom w:val="none" w:sz="0" w:space="0" w:color="auto"/>
            </w:tcBorders>
            <w:vAlign w:val="center"/>
          </w:tcPr>
          <w:p w14:paraId="498ABB32" w14:textId="77777777" w:rsidR="00425E27" w:rsidRPr="006E170D" w:rsidRDefault="00425E27" w:rsidP="00016A64">
            <w:pPr>
              <w:pStyle w:val="TBLHeading"/>
            </w:pPr>
            <w:r>
              <w:t>PIR Required</w:t>
            </w:r>
          </w:p>
        </w:tc>
        <w:tc>
          <w:tcPr>
            <w:tcW w:w="970" w:type="pct"/>
            <w:tcBorders>
              <w:top w:val="none" w:sz="0" w:space="0" w:color="auto"/>
              <w:bottom w:val="none" w:sz="0" w:space="0" w:color="auto"/>
              <w:right w:val="none" w:sz="0" w:space="0" w:color="auto"/>
            </w:tcBorders>
            <w:vAlign w:val="center"/>
          </w:tcPr>
          <w:p w14:paraId="6A3C4C65" w14:textId="77777777" w:rsidR="00425E27" w:rsidRPr="006E170D" w:rsidRDefault="00425E27" w:rsidP="00016A64">
            <w:pPr>
              <w:pStyle w:val="TBLHeading"/>
            </w:pPr>
            <w:r>
              <w:t>Regulatory Burden ($m)</w:t>
            </w:r>
          </w:p>
        </w:tc>
      </w:tr>
      <w:tr w:rsidR="00425E27" w14:paraId="72DBD91E" w14:textId="77777777" w:rsidTr="48D54834">
        <w:trPr>
          <w:trHeight w:val="20"/>
        </w:trPr>
        <w:tc>
          <w:tcPr>
            <w:tcW w:w="1513" w:type="pct"/>
            <w:shd w:val="clear" w:color="auto" w:fill="auto"/>
            <w:vAlign w:val="center"/>
          </w:tcPr>
          <w:p w14:paraId="4220D1C9" w14:textId="069CBAC8" w:rsidR="00425E27" w:rsidRPr="006E170D" w:rsidRDefault="00425E27" w:rsidP="00016A64">
            <w:pPr>
              <w:pStyle w:val="TBLText"/>
            </w:pPr>
            <w:r w:rsidRPr="00425E27">
              <w:t>Enhanced Paid Parental Leave for Families</w:t>
            </w:r>
          </w:p>
        </w:tc>
        <w:tc>
          <w:tcPr>
            <w:tcW w:w="692" w:type="pct"/>
            <w:shd w:val="clear" w:color="auto" w:fill="auto"/>
            <w:vAlign w:val="center"/>
          </w:tcPr>
          <w:p w14:paraId="001CF539" w14:textId="77777777" w:rsidR="00425E27" w:rsidRPr="006E170D" w:rsidRDefault="00425E27" w:rsidP="00016A64">
            <w:pPr>
              <w:pStyle w:val="TBLText"/>
            </w:pPr>
            <w:r w:rsidRPr="002B0DDE">
              <w:rPr>
                <w:rFonts w:eastAsia="MS Mincho"/>
                <w:spacing w:val="-3"/>
              </w:rPr>
              <w:t>Compliant</w:t>
            </w:r>
          </w:p>
        </w:tc>
        <w:tc>
          <w:tcPr>
            <w:tcW w:w="853" w:type="pct"/>
            <w:shd w:val="clear" w:color="auto" w:fill="auto"/>
            <w:vAlign w:val="center"/>
          </w:tcPr>
          <w:p w14:paraId="71F84014" w14:textId="332F1AB0" w:rsidR="00425E27" w:rsidRPr="006E170D" w:rsidRDefault="00425E27" w:rsidP="00016A64">
            <w:pPr>
              <w:pStyle w:val="TBLText"/>
            </w:pPr>
            <w:r>
              <w:rPr>
                <w:rFonts w:eastAsia="MS Mincho"/>
                <w:spacing w:val="-3"/>
              </w:rPr>
              <w:t>Adequate</w:t>
            </w:r>
          </w:p>
        </w:tc>
        <w:tc>
          <w:tcPr>
            <w:tcW w:w="971" w:type="pct"/>
            <w:shd w:val="clear" w:color="auto" w:fill="auto"/>
            <w:vAlign w:val="center"/>
          </w:tcPr>
          <w:p w14:paraId="5BBF3E32" w14:textId="7E931CBE" w:rsidR="00425E27" w:rsidRPr="00530BF5" w:rsidRDefault="0027119B" w:rsidP="00016A64">
            <w:pPr>
              <w:pStyle w:val="TBLText"/>
            </w:pPr>
            <w:r w:rsidRPr="00D4624D">
              <w:rPr>
                <w:rFonts w:eastAsia="MS Mincho"/>
                <w:spacing w:val="-3"/>
              </w:rPr>
              <w:t>No</w:t>
            </w:r>
          </w:p>
        </w:tc>
        <w:tc>
          <w:tcPr>
            <w:tcW w:w="970" w:type="pct"/>
            <w:shd w:val="clear" w:color="auto" w:fill="auto"/>
            <w:vAlign w:val="center"/>
          </w:tcPr>
          <w:p w14:paraId="52C1E0D9" w14:textId="568FB6F4" w:rsidR="00425E27" w:rsidRPr="006E170D" w:rsidRDefault="00425E27" w:rsidP="00425E27">
            <w:pPr>
              <w:pStyle w:val="TBLText"/>
            </w:pPr>
            <w:r>
              <w:rPr>
                <w:rFonts w:eastAsia="MS Mincho"/>
                <w:spacing w:val="-3"/>
              </w:rPr>
              <w:t>$7.48</w:t>
            </w:r>
          </w:p>
        </w:tc>
      </w:tr>
      <w:tr w:rsidR="00425E27" w14:paraId="3D60EF07" w14:textId="77777777" w:rsidTr="48D54834">
        <w:trPr>
          <w:trHeight w:val="20"/>
        </w:trPr>
        <w:tc>
          <w:tcPr>
            <w:tcW w:w="1513" w:type="pct"/>
            <w:shd w:val="clear" w:color="auto" w:fill="DBE6F5" w:themeFill="text2" w:themeFillTint="1A"/>
            <w:vAlign w:val="center"/>
          </w:tcPr>
          <w:p w14:paraId="77255080" w14:textId="25BA20E4" w:rsidR="00425E27" w:rsidRPr="0088267D" w:rsidRDefault="00425E27" w:rsidP="00016A64">
            <w:pPr>
              <w:pStyle w:val="TBLText"/>
            </w:pPr>
            <w:r w:rsidRPr="00425E27">
              <w:lastRenderedPageBreak/>
              <w:t>Abolish the Cashless Debit Card</w:t>
            </w:r>
          </w:p>
        </w:tc>
        <w:tc>
          <w:tcPr>
            <w:tcW w:w="692" w:type="pct"/>
            <w:shd w:val="clear" w:color="auto" w:fill="DBE6F5" w:themeFill="text2" w:themeFillTint="1A"/>
            <w:vAlign w:val="center"/>
          </w:tcPr>
          <w:p w14:paraId="6D8E4166" w14:textId="77777777" w:rsidR="00425E27" w:rsidRPr="002B0DDE" w:rsidRDefault="00425E27" w:rsidP="00016A64">
            <w:pPr>
              <w:pStyle w:val="TBLText"/>
              <w:rPr>
                <w:rFonts w:eastAsia="MS Mincho"/>
                <w:spacing w:val="-3"/>
              </w:rPr>
            </w:pPr>
            <w:r w:rsidRPr="002B0DDE">
              <w:rPr>
                <w:rFonts w:eastAsia="MS Mincho"/>
                <w:spacing w:val="-3"/>
              </w:rPr>
              <w:t>Compliant</w:t>
            </w:r>
          </w:p>
        </w:tc>
        <w:tc>
          <w:tcPr>
            <w:tcW w:w="853" w:type="pct"/>
            <w:shd w:val="clear" w:color="auto" w:fill="DBE6F5" w:themeFill="text2" w:themeFillTint="1A"/>
            <w:vAlign w:val="center"/>
          </w:tcPr>
          <w:p w14:paraId="056FCC7C" w14:textId="77777777" w:rsidR="00425E27" w:rsidRPr="002B0DDE" w:rsidRDefault="00425E27" w:rsidP="00016A64">
            <w:pPr>
              <w:pStyle w:val="TBLText"/>
              <w:rPr>
                <w:rFonts w:eastAsia="MS Mincho"/>
                <w:spacing w:val="-3"/>
              </w:rPr>
            </w:pPr>
            <w:r>
              <w:rPr>
                <w:rFonts w:eastAsia="MS Mincho"/>
                <w:spacing w:val="-3"/>
              </w:rPr>
              <w:t>Adequate</w:t>
            </w:r>
          </w:p>
        </w:tc>
        <w:tc>
          <w:tcPr>
            <w:tcW w:w="971" w:type="pct"/>
            <w:shd w:val="clear" w:color="auto" w:fill="DBE6F5" w:themeFill="text2" w:themeFillTint="1A"/>
            <w:vAlign w:val="center"/>
          </w:tcPr>
          <w:p w14:paraId="2D047037" w14:textId="6CC28E98" w:rsidR="00425E27" w:rsidRPr="00530BF5" w:rsidRDefault="0027119B" w:rsidP="00016A64">
            <w:pPr>
              <w:pStyle w:val="TBLText"/>
              <w:rPr>
                <w:rFonts w:eastAsia="MS Mincho"/>
                <w:spacing w:val="-3"/>
              </w:rPr>
            </w:pPr>
            <w:r w:rsidRPr="00D4624D">
              <w:rPr>
                <w:rFonts w:eastAsia="MS Mincho"/>
                <w:spacing w:val="-3"/>
              </w:rPr>
              <w:t>No</w:t>
            </w:r>
          </w:p>
        </w:tc>
        <w:tc>
          <w:tcPr>
            <w:tcW w:w="970" w:type="pct"/>
            <w:shd w:val="clear" w:color="auto" w:fill="DBE6F5" w:themeFill="text2" w:themeFillTint="1A"/>
            <w:vAlign w:val="center"/>
          </w:tcPr>
          <w:p w14:paraId="1E51A62E" w14:textId="756A6D00" w:rsidR="00425E27" w:rsidRDefault="00425E27" w:rsidP="0027119B">
            <w:pPr>
              <w:pStyle w:val="TBLText"/>
              <w:rPr>
                <w:rFonts w:eastAsia="MS Mincho"/>
                <w:spacing w:val="-3"/>
              </w:rPr>
            </w:pPr>
            <w:r>
              <w:rPr>
                <w:rFonts w:eastAsia="MS Mincho"/>
                <w:spacing w:val="-3"/>
              </w:rPr>
              <w:t>-$2</w:t>
            </w:r>
            <w:r w:rsidR="0027119B">
              <w:rPr>
                <w:rFonts w:eastAsia="MS Mincho"/>
                <w:spacing w:val="-3"/>
              </w:rPr>
              <w:t>1</w:t>
            </w:r>
            <w:r w:rsidR="1535A1A3">
              <w:rPr>
                <w:rFonts w:eastAsia="MS Mincho"/>
                <w:spacing w:val="-3"/>
              </w:rPr>
              <w:t>.</w:t>
            </w:r>
            <w:r>
              <w:rPr>
                <w:rFonts w:eastAsia="MS Mincho"/>
                <w:spacing w:val="-3"/>
              </w:rPr>
              <w:t>5</w:t>
            </w:r>
          </w:p>
        </w:tc>
      </w:tr>
      <w:tr w:rsidR="004B3821" w14:paraId="5C4F803C" w14:textId="77777777" w:rsidTr="48D54834">
        <w:trPr>
          <w:trHeight w:val="20"/>
        </w:trPr>
        <w:tc>
          <w:tcPr>
            <w:tcW w:w="1513" w:type="pct"/>
            <w:shd w:val="clear" w:color="auto" w:fill="auto"/>
            <w:vAlign w:val="center"/>
          </w:tcPr>
          <w:p w14:paraId="5EC83047" w14:textId="2D1E57E6" w:rsidR="004B3821" w:rsidRPr="00425E27" w:rsidRDefault="004B3821" w:rsidP="00016A64">
            <w:pPr>
              <w:pStyle w:val="TBLText"/>
            </w:pPr>
            <w:r w:rsidRPr="004B3821">
              <w:t>Additional Support for Single Parents</w:t>
            </w:r>
          </w:p>
        </w:tc>
        <w:tc>
          <w:tcPr>
            <w:tcW w:w="692" w:type="pct"/>
            <w:shd w:val="clear" w:color="auto" w:fill="auto"/>
            <w:vAlign w:val="center"/>
          </w:tcPr>
          <w:p w14:paraId="40F10AC8" w14:textId="5775DF0E" w:rsidR="004B3821" w:rsidRPr="002B0DDE" w:rsidRDefault="004B3821" w:rsidP="00016A64">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7A375F36" w14:textId="21AF2DC1" w:rsidR="004B3821" w:rsidRDefault="004B3821" w:rsidP="00016A64">
            <w:pPr>
              <w:pStyle w:val="TBLText"/>
              <w:rPr>
                <w:rFonts w:eastAsia="MS Mincho"/>
                <w:spacing w:val="-3"/>
              </w:rPr>
            </w:pPr>
            <w:r>
              <w:rPr>
                <w:rFonts w:eastAsia="MS Mincho"/>
                <w:spacing w:val="-3"/>
              </w:rPr>
              <w:t>Adequate</w:t>
            </w:r>
          </w:p>
        </w:tc>
        <w:tc>
          <w:tcPr>
            <w:tcW w:w="971" w:type="pct"/>
            <w:shd w:val="clear" w:color="auto" w:fill="auto"/>
            <w:vAlign w:val="center"/>
          </w:tcPr>
          <w:p w14:paraId="394CA28A" w14:textId="63CFCD89" w:rsidR="004B3821" w:rsidRPr="00D4624D" w:rsidRDefault="00F6724C" w:rsidP="00016A64">
            <w:pPr>
              <w:pStyle w:val="TBLText"/>
              <w:rPr>
                <w:rFonts w:eastAsia="MS Mincho"/>
                <w:spacing w:val="-3"/>
              </w:rPr>
            </w:pPr>
            <w:r>
              <w:rPr>
                <w:rFonts w:eastAsia="MS Mincho"/>
                <w:spacing w:val="-3"/>
              </w:rPr>
              <w:t>No</w:t>
            </w:r>
          </w:p>
        </w:tc>
        <w:tc>
          <w:tcPr>
            <w:tcW w:w="970" w:type="pct"/>
            <w:shd w:val="clear" w:color="auto" w:fill="auto"/>
            <w:vAlign w:val="center"/>
          </w:tcPr>
          <w:p w14:paraId="4C044ECA" w14:textId="7B90A451" w:rsidR="004B3821" w:rsidRDefault="004B3821" w:rsidP="0027119B">
            <w:pPr>
              <w:pStyle w:val="TBLText"/>
              <w:rPr>
                <w:rFonts w:eastAsia="MS Mincho"/>
                <w:spacing w:val="-3"/>
              </w:rPr>
            </w:pPr>
            <w:r>
              <w:rPr>
                <w:rFonts w:eastAsia="MS Mincho"/>
                <w:spacing w:val="-3"/>
              </w:rPr>
              <w:t>-</w:t>
            </w:r>
          </w:p>
        </w:tc>
      </w:tr>
      <w:tr w:rsidR="00425E27" w14:paraId="066D780E" w14:textId="77777777" w:rsidTr="48D54834">
        <w:trPr>
          <w:trHeight w:val="20"/>
        </w:trPr>
        <w:tc>
          <w:tcPr>
            <w:tcW w:w="1513" w:type="pct"/>
            <w:shd w:val="clear" w:color="auto" w:fill="DBE6F5" w:themeFill="text2" w:themeFillTint="1A"/>
            <w:vAlign w:val="center"/>
          </w:tcPr>
          <w:p w14:paraId="2B259445" w14:textId="77777777" w:rsidR="00425E27" w:rsidRPr="00363240" w:rsidRDefault="00425E27" w:rsidP="00016A64">
            <w:pPr>
              <w:pStyle w:val="TBLText"/>
              <w:rPr>
                <w:b/>
              </w:rPr>
            </w:pPr>
            <w:r w:rsidRPr="00363240">
              <w:rPr>
                <w:b/>
              </w:rPr>
              <w:t>Total proposals</w:t>
            </w:r>
          </w:p>
        </w:tc>
        <w:tc>
          <w:tcPr>
            <w:tcW w:w="692" w:type="pct"/>
            <w:shd w:val="clear" w:color="auto" w:fill="DBE6F5" w:themeFill="text2" w:themeFillTint="1A"/>
            <w:vAlign w:val="center"/>
          </w:tcPr>
          <w:p w14:paraId="5BB5F4E7" w14:textId="1B33695A" w:rsidR="00425E27" w:rsidRPr="00363240" w:rsidRDefault="004B3821" w:rsidP="004B3821">
            <w:pPr>
              <w:pStyle w:val="TBLText"/>
              <w:rPr>
                <w:b/>
              </w:rPr>
            </w:pPr>
            <w:r>
              <w:rPr>
                <w:b/>
              </w:rPr>
              <w:t>3</w:t>
            </w:r>
            <w:r w:rsidR="00425E27" w:rsidRPr="00363240">
              <w:rPr>
                <w:b/>
              </w:rPr>
              <w:t>/</w:t>
            </w:r>
            <w:r>
              <w:rPr>
                <w:b/>
              </w:rPr>
              <w:t>3</w:t>
            </w:r>
          </w:p>
        </w:tc>
        <w:tc>
          <w:tcPr>
            <w:tcW w:w="853" w:type="pct"/>
            <w:shd w:val="clear" w:color="auto" w:fill="DBE6F5" w:themeFill="text2" w:themeFillTint="1A"/>
            <w:vAlign w:val="center"/>
          </w:tcPr>
          <w:p w14:paraId="6E8139F3" w14:textId="77777777" w:rsidR="00425E27" w:rsidRPr="00363240" w:rsidRDefault="00425E27" w:rsidP="00016A64">
            <w:pPr>
              <w:pStyle w:val="TBLText"/>
              <w:rPr>
                <w:b/>
              </w:rPr>
            </w:pPr>
            <w:r w:rsidRPr="00363240">
              <w:rPr>
                <w:b/>
              </w:rPr>
              <w:t>-</w:t>
            </w:r>
          </w:p>
        </w:tc>
        <w:tc>
          <w:tcPr>
            <w:tcW w:w="971" w:type="pct"/>
            <w:shd w:val="clear" w:color="auto" w:fill="DBE6F5" w:themeFill="text2" w:themeFillTint="1A"/>
            <w:vAlign w:val="center"/>
          </w:tcPr>
          <w:p w14:paraId="6E991F07" w14:textId="5CB42031" w:rsidR="00425E27" w:rsidRPr="00530BF5" w:rsidRDefault="00425E27" w:rsidP="004B3821">
            <w:pPr>
              <w:pStyle w:val="TBLText"/>
              <w:rPr>
                <w:b/>
              </w:rPr>
            </w:pPr>
            <w:r w:rsidRPr="00F6724C">
              <w:rPr>
                <w:b/>
              </w:rPr>
              <w:t>0/</w:t>
            </w:r>
            <w:r w:rsidR="004B3821" w:rsidRPr="00F6724C">
              <w:rPr>
                <w:b/>
              </w:rPr>
              <w:t>3</w:t>
            </w:r>
          </w:p>
        </w:tc>
        <w:tc>
          <w:tcPr>
            <w:tcW w:w="970" w:type="pct"/>
            <w:shd w:val="clear" w:color="auto" w:fill="DBE6F5" w:themeFill="text2" w:themeFillTint="1A"/>
            <w:vAlign w:val="center"/>
          </w:tcPr>
          <w:p w14:paraId="03484436" w14:textId="1BD4205D" w:rsidR="00425E27" w:rsidRPr="00363240" w:rsidRDefault="00425E27" w:rsidP="48D54834">
            <w:pPr>
              <w:pStyle w:val="TBLText"/>
              <w:rPr>
                <w:b/>
                <w:bCs/>
              </w:rPr>
            </w:pPr>
            <w:r>
              <w:rPr>
                <w:rFonts w:eastAsia="MS Mincho"/>
                <w:spacing w:val="-3"/>
              </w:rPr>
              <w:t>-$14.02</w:t>
            </w:r>
          </w:p>
        </w:tc>
      </w:tr>
    </w:tbl>
    <w:p w14:paraId="736D5095" w14:textId="1027BCA1" w:rsidR="00897BE9" w:rsidRDefault="00897BE9" w:rsidP="00897BE9">
      <w:pPr>
        <w:pStyle w:val="Heading2"/>
      </w:pPr>
      <w:bookmarkStart w:id="41" w:name="_Toc122424416"/>
      <w:bookmarkStart w:id="42" w:name="_Toc200111085"/>
      <w:r>
        <w:t>Department of the Treasury</w:t>
      </w:r>
      <w:bookmarkEnd w:id="41"/>
      <w:bookmarkEnd w:id="42"/>
    </w:p>
    <w:p w14:paraId="28DFEB7C" w14:textId="44B911CC" w:rsidR="00897BE9" w:rsidRPr="00774646" w:rsidRDefault="00897BE9" w:rsidP="00897BE9">
      <w:pPr>
        <w:pStyle w:val="Figure"/>
        <w:ind w:left="0" w:firstLine="0"/>
      </w:pPr>
      <w:r w:rsidRPr="00057A02">
        <w:t xml:space="preserve">Compliance summary: </w:t>
      </w:r>
      <w:r>
        <w:t>Department of the Treasury</w:t>
      </w:r>
    </w:p>
    <w:tbl>
      <w:tblPr>
        <w:tblStyle w:val="ListTable4-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right w:w="57" w:type="dxa"/>
        </w:tblCellMar>
        <w:tblLook w:val="0620" w:firstRow="1" w:lastRow="0" w:firstColumn="0" w:lastColumn="0" w:noHBand="1" w:noVBand="1"/>
        <w:tblCaption w:val="Compliance summary: Department of the Treasury"/>
        <w:tblDescription w:val="Compliance summary: Department of the Treasury"/>
      </w:tblPr>
      <w:tblGrid>
        <w:gridCol w:w="3017"/>
        <w:gridCol w:w="1380"/>
        <w:gridCol w:w="1701"/>
        <w:gridCol w:w="1936"/>
        <w:gridCol w:w="1934"/>
      </w:tblGrid>
      <w:tr w:rsidR="00897BE9" w14:paraId="18E8AD7E" w14:textId="77777777" w:rsidTr="001B69E2">
        <w:trPr>
          <w:cnfStyle w:val="100000000000" w:firstRow="1" w:lastRow="0" w:firstColumn="0" w:lastColumn="0" w:oddVBand="0" w:evenVBand="0" w:oddHBand="0" w:evenHBand="0" w:firstRowFirstColumn="0" w:firstRowLastColumn="0" w:lastRowFirstColumn="0" w:lastRowLastColumn="0"/>
          <w:trHeight w:val="20"/>
          <w:tblHeader/>
        </w:trPr>
        <w:tc>
          <w:tcPr>
            <w:tcW w:w="1513" w:type="pct"/>
            <w:tcBorders>
              <w:top w:val="none" w:sz="0" w:space="0" w:color="auto"/>
              <w:left w:val="none" w:sz="0" w:space="0" w:color="auto"/>
              <w:bottom w:val="none" w:sz="0" w:space="0" w:color="auto"/>
            </w:tcBorders>
            <w:vAlign w:val="center"/>
          </w:tcPr>
          <w:p w14:paraId="3159BCCE" w14:textId="77777777" w:rsidR="00897BE9" w:rsidRPr="006E170D" w:rsidRDefault="00897BE9" w:rsidP="001B69E2">
            <w:pPr>
              <w:pStyle w:val="TBLHeading"/>
            </w:pPr>
            <w:r>
              <w:t>Proposal</w:t>
            </w:r>
          </w:p>
        </w:tc>
        <w:tc>
          <w:tcPr>
            <w:tcW w:w="692" w:type="pct"/>
            <w:tcBorders>
              <w:top w:val="none" w:sz="0" w:space="0" w:color="auto"/>
              <w:bottom w:val="none" w:sz="0" w:space="0" w:color="auto"/>
            </w:tcBorders>
            <w:vAlign w:val="center"/>
          </w:tcPr>
          <w:p w14:paraId="5AACEC9F" w14:textId="77777777" w:rsidR="00897BE9" w:rsidRPr="006E170D" w:rsidRDefault="00897BE9" w:rsidP="001B69E2">
            <w:pPr>
              <w:pStyle w:val="TBLHeading"/>
            </w:pPr>
            <w:r>
              <w:t>IA Compliance</w:t>
            </w:r>
          </w:p>
        </w:tc>
        <w:tc>
          <w:tcPr>
            <w:tcW w:w="853" w:type="pct"/>
            <w:tcBorders>
              <w:top w:val="none" w:sz="0" w:space="0" w:color="auto"/>
              <w:bottom w:val="none" w:sz="0" w:space="0" w:color="auto"/>
            </w:tcBorders>
            <w:vAlign w:val="center"/>
          </w:tcPr>
          <w:p w14:paraId="36FE7C09" w14:textId="77777777" w:rsidR="00897BE9" w:rsidRPr="006E170D" w:rsidRDefault="00897BE9" w:rsidP="001B69E2">
            <w:pPr>
              <w:pStyle w:val="TBLHeading"/>
            </w:pPr>
            <w:r>
              <w:t>Rating</w:t>
            </w:r>
          </w:p>
        </w:tc>
        <w:tc>
          <w:tcPr>
            <w:tcW w:w="971" w:type="pct"/>
            <w:tcBorders>
              <w:top w:val="none" w:sz="0" w:space="0" w:color="auto"/>
              <w:bottom w:val="none" w:sz="0" w:space="0" w:color="auto"/>
            </w:tcBorders>
            <w:vAlign w:val="center"/>
          </w:tcPr>
          <w:p w14:paraId="5BE92ACD" w14:textId="77777777" w:rsidR="00897BE9" w:rsidRPr="006E170D" w:rsidRDefault="00897BE9" w:rsidP="001B69E2">
            <w:pPr>
              <w:pStyle w:val="TBLHeading"/>
            </w:pPr>
            <w:r>
              <w:t>PIR Required</w:t>
            </w:r>
          </w:p>
        </w:tc>
        <w:tc>
          <w:tcPr>
            <w:tcW w:w="970" w:type="pct"/>
            <w:tcBorders>
              <w:top w:val="none" w:sz="0" w:space="0" w:color="auto"/>
              <w:bottom w:val="none" w:sz="0" w:space="0" w:color="auto"/>
              <w:right w:val="none" w:sz="0" w:space="0" w:color="auto"/>
            </w:tcBorders>
            <w:vAlign w:val="center"/>
          </w:tcPr>
          <w:p w14:paraId="1B1BE9E5" w14:textId="77777777" w:rsidR="00897BE9" w:rsidRPr="006E170D" w:rsidRDefault="00897BE9" w:rsidP="001B69E2">
            <w:pPr>
              <w:pStyle w:val="TBLHeading"/>
            </w:pPr>
            <w:r>
              <w:t>Regulatory Burden ($m)</w:t>
            </w:r>
          </w:p>
        </w:tc>
      </w:tr>
      <w:tr w:rsidR="00897BE9" w14:paraId="135FD1E6" w14:textId="77777777" w:rsidTr="001B69E2">
        <w:trPr>
          <w:trHeight w:val="20"/>
        </w:trPr>
        <w:tc>
          <w:tcPr>
            <w:tcW w:w="1513" w:type="pct"/>
            <w:shd w:val="clear" w:color="auto" w:fill="auto"/>
            <w:vAlign w:val="center"/>
          </w:tcPr>
          <w:p w14:paraId="31547033" w14:textId="5C75FFB9" w:rsidR="00897BE9" w:rsidRPr="006E170D" w:rsidRDefault="00897BE9" w:rsidP="001B69E2">
            <w:pPr>
              <w:pStyle w:val="TBLText"/>
            </w:pPr>
            <w:r w:rsidRPr="00897BE9">
              <w:t>Small Amount Credit Contracts and Consumer Lease Reforms</w:t>
            </w:r>
          </w:p>
        </w:tc>
        <w:tc>
          <w:tcPr>
            <w:tcW w:w="692" w:type="pct"/>
            <w:shd w:val="clear" w:color="auto" w:fill="auto"/>
            <w:vAlign w:val="center"/>
          </w:tcPr>
          <w:p w14:paraId="0F611B90" w14:textId="77777777" w:rsidR="00897BE9" w:rsidRPr="006E170D" w:rsidRDefault="00897BE9" w:rsidP="001B69E2">
            <w:pPr>
              <w:pStyle w:val="TBLText"/>
            </w:pPr>
            <w:r w:rsidRPr="002B0DDE">
              <w:rPr>
                <w:rFonts w:eastAsia="MS Mincho"/>
                <w:spacing w:val="-3"/>
              </w:rPr>
              <w:t>Compliant</w:t>
            </w:r>
          </w:p>
        </w:tc>
        <w:tc>
          <w:tcPr>
            <w:tcW w:w="853" w:type="pct"/>
            <w:shd w:val="clear" w:color="auto" w:fill="auto"/>
            <w:vAlign w:val="center"/>
          </w:tcPr>
          <w:p w14:paraId="1B6B1E49" w14:textId="77777777" w:rsidR="00897BE9" w:rsidRPr="006E170D" w:rsidRDefault="00897BE9" w:rsidP="001B69E2">
            <w:pPr>
              <w:pStyle w:val="TBLText"/>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auto"/>
            <w:vAlign w:val="center"/>
          </w:tcPr>
          <w:p w14:paraId="7775881E" w14:textId="2EB721C7" w:rsidR="00897BE9" w:rsidRPr="00724D88" w:rsidRDefault="00254BDF" w:rsidP="001B69E2">
            <w:pPr>
              <w:pStyle w:val="TBLText"/>
            </w:pPr>
            <w:r>
              <w:t>No</w:t>
            </w:r>
          </w:p>
        </w:tc>
        <w:tc>
          <w:tcPr>
            <w:tcW w:w="970" w:type="pct"/>
            <w:shd w:val="clear" w:color="auto" w:fill="auto"/>
            <w:vAlign w:val="center"/>
          </w:tcPr>
          <w:p w14:paraId="72F3F08A" w14:textId="4F6FC29B" w:rsidR="00897BE9" w:rsidRPr="006E170D" w:rsidRDefault="00897BE9" w:rsidP="001B69E2">
            <w:pPr>
              <w:pStyle w:val="TBLText"/>
            </w:pPr>
            <w:r>
              <w:rPr>
                <w:rFonts w:eastAsia="MS Mincho"/>
                <w:spacing w:val="-3"/>
              </w:rPr>
              <w:t>$17.62m</w:t>
            </w:r>
          </w:p>
        </w:tc>
      </w:tr>
      <w:tr w:rsidR="00897BE9" w14:paraId="787547E8" w14:textId="77777777" w:rsidTr="00734239">
        <w:trPr>
          <w:trHeight w:val="20"/>
        </w:trPr>
        <w:tc>
          <w:tcPr>
            <w:tcW w:w="1513" w:type="pct"/>
            <w:shd w:val="clear" w:color="auto" w:fill="DBE6F5" w:themeFill="text2" w:themeFillTint="1A"/>
            <w:vAlign w:val="center"/>
          </w:tcPr>
          <w:p w14:paraId="5E043075" w14:textId="15775150" w:rsidR="00897BE9" w:rsidRPr="0088267D" w:rsidRDefault="00897BE9" w:rsidP="001B69E2">
            <w:pPr>
              <w:pStyle w:val="TBLText"/>
            </w:pPr>
            <w:r w:rsidRPr="00897BE9">
              <w:t>Regional First Home Buyer Guarantee</w:t>
            </w:r>
          </w:p>
        </w:tc>
        <w:tc>
          <w:tcPr>
            <w:tcW w:w="692" w:type="pct"/>
            <w:shd w:val="clear" w:color="auto" w:fill="DBE6F5" w:themeFill="text2" w:themeFillTint="1A"/>
            <w:vAlign w:val="center"/>
          </w:tcPr>
          <w:p w14:paraId="61C3D26B" w14:textId="09B5B21F" w:rsidR="00897BE9" w:rsidRPr="002B0DDE" w:rsidRDefault="00897BE9" w:rsidP="001B69E2">
            <w:pPr>
              <w:pStyle w:val="TBLText"/>
              <w:rPr>
                <w:rFonts w:eastAsia="MS Mincho"/>
                <w:spacing w:val="-3"/>
              </w:rPr>
            </w:pPr>
            <w:r w:rsidRPr="002B0DDE">
              <w:rPr>
                <w:rFonts w:eastAsia="MS Mincho"/>
                <w:spacing w:val="-3"/>
              </w:rPr>
              <w:t>Compliant</w:t>
            </w:r>
          </w:p>
        </w:tc>
        <w:tc>
          <w:tcPr>
            <w:tcW w:w="853" w:type="pct"/>
            <w:shd w:val="clear" w:color="auto" w:fill="DBE6F5" w:themeFill="text2" w:themeFillTint="1A"/>
            <w:vAlign w:val="center"/>
          </w:tcPr>
          <w:p w14:paraId="306C2B83" w14:textId="6CC3138B" w:rsidR="00897BE9" w:rsidRPr="002B0DDE" w:rsidRDefault="00897BE9" w:rsidP="001B69E2">
            <w:pPr>
              <w:pStyle w:val="TBLText"/>
              <w:rPr>
                <w:rFonts w:eastAsia="MS Mincho"/>
                <w:spacing w:val="-3"/>
              </w:rPr>
            </w:pPr>
            <w:r>
              <w:rPr>
                <w:rFonts w:eastAsia="MS Mincho"/>
                <w:spacing w:val="-3"/>
              </w:rPr>
              <w:t>Adequate</w:t>
            </w:r>
          </w:p>
        </w:tc>
        <w:tc>
          <w:tcPr>
            <w:tcW w:w="971" w:type="pct"/>
            <w:shd w:val="clear" w:color="auto" w:fill="DBE6F5" w:themeFill="text2" w:themeFillTint="1A"/>
            <w:vAlign w:val="center"/>
          </w:tcPr>
          <w:p w14:paraId="40CE15DC" w14:textId="610C8A63" w:rsidR="00897BE9" w:rsidRPr="00724D88" w:rsidRDefault="00254BDF" w:rsidP="001B69E2">
            <w:pPr>
              <w:pStyle w:val="TBLText"/>
              <w:rPr>
                <w:rFonts w:eastAsia="MS Mincho"/>
                <w:spacing w:val="-3"/>
              </w:rPr>
            </w:pPr>
            <w:r>
              <w:rPr>
                <w:rFonts w:eastAsia="MS Mincho"/>
                <w:spacing w:val="-3"/>
              </w:rPr>
              <w:t>No</w:t>
            </w:r>
          </w:p>
        </w:tc>
        <w:tc>
          <w:tcPr>
            <w:tcW w:w="970" w:type="pct"/>
            <w:shd w:val="clear" w:color="auto" w:fill="DBE6F5" w:themeFill="text2" w:themeFillTint="1A"/>
            <w:vAlign w:val="center"/>
          </w:tcPr>
          <w:p w14:paraId="3D296786" w14:textId="6A43496D" w:rsidR="00897BE9" w:rsidRDefault="00897BE9" w:rsidP="001B69E2">
            <w:pPr>
              <w:pStyle w:val="TBLText"/>
              <w:rPr>
                <w:rFonts w:eastAsia="MS Mincho"/>
                <w:spacing w:val="-3"/>
              </w:rPr>
            </w:pPr>
            <w:r>
              <w:rPr>
                <w:rFonts w:eastAsia="MS Mincho"/>
                <w:spacing w:val="-3"/>
              </w:rPr>
              <w:t>-</w:t>
            </w:r>
          </w:p>
        </w:tc>
      </w:tr>
      <w:tr w:rsidR="00722874" w14:paraId="5E7C453D" w14:textId="77777777" w:rsidTr="001B69E2">
        <w:trPr>
          <w:trHeight w:val="20"/>
        </w:trPr>
        <w:tc>
          <w:tcPr>
            <w:tcW w:w="1513" w:type="pct"/>
            <w:shd w:val="clear" w:color="auto" w:fill="auto"/>
            <w:vAlign w:val="center"/>
          </w:tcPr>
          <w:p w14:paraId="17A6FA97" w14:textId="4AB10600" w:rsidR="00722874" w:rsidRPr="00897BE9" w:rsidRDefault="00722874" w:rsidP="001B69E2">
            <w:pPr>
              <w:pStyle w:val="TBLText"/>
            </w:pPr>
            <w:r w:rsidRPr="00722874">
              <w:t>Improving insurance outcomes in natural hazard-prone regions</w:t>
            </w:r>
          </w:p>
        </w:tc>
        <w:tc>
          <w:tcPr>
            <w:tcW w:w="692" w:type="pct"/>
            <w:shd w:val="clear" w:color="auto" w:fill="auto"/>
            <w:vAlign w:val="center"/>
          </w:tcPr>
          <w:p w14:paraId="7BE82671" w14:textId="6957157C" w:rsidR="00722874" w:rsidRPr="002B0DDE" w:rsidRDefault="00722874" w:rsidP="001B69E2">
            <w:pPr>
              <w:pStyle w:val="TBLText"/>
              <w:rPr>
                <w:rFonts w:eastAsia="MS Mincho"/>
                <w:spacing w:val="-3"/>
              </w:rPr>
            </w:pPr>
            <w:r w:rsidRPr="002B0DDE">
              <w:rPr>
                <w:rFonts w:eastAsia="MS Mincho"/>
                <w:spacing w:val="-3"/>
              </w:rPr>
              <w:t>Compliant</w:t>
            </w:r>
          </w:p>
        </w:tc>
        <w:tc>
          <w:tcPr>
            <w:tcW w:w="853" w:type="pct"/>
            <w:shd w:val="clear" w:color="auto" w:fill="auto"/>
            <w:vAlign w:val="center"/>
          </w:tcPr>
          <w:p w14:paraId="1417AC5C" w14:textId="774FE8A1" w:rsidR="00722874" w:rsidRDefault="00722874" w:rsidP="001B69E2">
            <w:pPr>
              <w:pStyle w:val="TBLText"/>
              <w:rPr>
                <w:rFonts w:eastAsia="MS Mincho"/>
                <w:spacing w:val="-3"/>
              </w:rPr>
            </w:pPr>
            <w:r w:rsidRPr="002B0DDE">
              <w:rPr>
                <w:rFonts w:eastAsia="MS Mincho"/>
                <w:spacing w:val="-3"/>
              </w:rPr>
              <w:t>I</w:t>
            </w:r>
            <w:r>
              <w:rPr>
                <w:rFonts w:eastAsia="MS Mincho"/>
                <w:spacing w:val="-3"/>
              </w:rPr>
              <w:t xml:space="preserve">ndependent </w:t>
            </w:r>
            <w:r w:rsidRPr="002B0DDE">
              <w:rPr>
                <w:rFonts w:eastAsia="MS Mincho"/>
                <w:spacing w:val="-3"/>
              </w:rPr>
              <w:t>R</w:t>
            </w:r>
            <w:r>
              <w:rPr>
                <w:rFonts w:eastAsia="MS Mincho"/>
                <w:spacing w:val="-3"/>
              </w:rPr>
              <w:t>eview</w:t>
            </w:r>
          </w:p>
        </w:tc>
        <w:tc>
          <w:tcPr>
            <w:tcW w:w="971" w:type="pct"/>
            <w:shd w:val="clear" w:color="auto" w:fill="auto"/>
            <w:vAlign w:val="center"/>
          </w:tcPr>
          <w:p w14:paraId="6B3C057C" w14:textId="59265514" w:rsidR="00722874" w:rsidRPr="00254BDF" w:rsidRDefault="00254BDF" w:rsidP="001B69E2">
            <w:pPr>
              <w:pStyle w:val="TBLText"/>
              <w:rPr>
                <w:rFonts w:eastAsia="MS Mincho"/>
                <w:spacing w:val="-3"/>
              </w:rPr>
            </w:pPr>
            <w:r w:rsidRPr="00254BDF">
              <w:rPr>
                <w:rFonts w:eastAsia="MS Mincho"/>
                <w:spacing w:val="-3"/>
              </w:rPr>
              <w:t>No</w:t>
            </w:r>
          </w:p>
        </w:tc>
        <w:tc>
          <w:tcPr>
            <w:tcW w:w="970" w:type="pct"/>
            <w:shd w:val="clear" w:color="auto" w:fill="auto"/>
            <w:vAlign w:val="center"/>
          </w:tcPr>
          <w:p w14:paraId="78AB4B7F" w14:textId="647E033D" w:rsidR="00722874" w:rsidRDefault="00722874" w:rsidP="001B69E2">
            <w:pPr>
              <w:pStyle w:val="TBLText"/>
              <w:rPr>
                <w:rFonts w:eastAsia="MS Mincho"/>
                <w:spacing w:val="-3"/>
              </w:rPr>
            </w:pPr>
            <w:r>
              <w:rPr>
                <w:rFonts w:eastAsia="MS Mincho"/>
                <w:spacing w:val="-3"/>
              </w:rPr>
              <w:t>$0.7m</w:t>
            </w:r>
          </w:p>
        </w:tc>
      </w:tr>
      <w:tr w:rsidR="00C77476" w14:paraId="24630C6D" w14:textId="77777777" w:rsidTr="00734239">
        <w:trPr>
          <w:trHeight w:val="20"/>
        </w:trPr>
        <w:tc>
          <w:tcPr>
            <w:tcW w:w="1513" w:type="pct"/>
            <w:shd w:val="clear" w:color="auto" w:fill="DBE6F5" w:themeFill="text2" w:themeFillTint="1A"/>
            <w:vAlign w:val="center"/>
          </w:tcPr>
          <w:p w14:paraId="6C530694" w14:textId="3E924930" w:rsidR="00C77476" w:rsidRPr="00722874" w:rsidRDefault="00C77476" w:rsidP="001277DC">
            <w:pPr>
              <w:pStyle w:val="TBLText"/>
            </w:pPr>
            <w:r w:rsidRPr="002F494C">
              <w:t>Options for Energy Price Relief</w:t>
            </w:r>
            <w:r>
              <w:t xml:space="preserve"> </w:t>
            </w:r>
            <w:r w:rsidR="001277DC">
              <w:rPr>
                <w:vertAlign w:val="superscript"/>
              </w:rPr>
              <w:t>b</w:t>
            </w:r>
          </w:p>
        </w:tc>
        <w:tc>
          <w:tcPr>
            <w:tcW w:w="692" w:type="pct"/>
            <w:shd w:val="clear" w:color="auto" w:fill="DBE6F5" w:themeFill="text2" w:themeFillTint="1A"/>
            <w:vAlign w:val="center"/>
          </w:tcPr>
          <w:p w14:paraId="483052E7" w14:textId="3C9FD088" w:rsidR="00C77476" w:rsidRPr="002B0DDE" w:rsidRDefault="00C77476" w:rsidP="001B69E2">
            <w:pPr>
              <w:pStyle w:val="TBLText"/>
              <w:rPr>
                <w:rFonts w:eastAsia="MS Mincho"/>
                <w:spacing w:val="-3"/>
              </w:rPr>
            </w:pPr>
            <w:r>
              <w:rPr>
                <w:rFonts w:eastAsia="MS Mincho"/>
                <w:spacing w:val="-3"/>
              </w:rPr>
              <w:t>Compliant</w:t>
            </w:r>
          </w:p>
        </w:tc>
        <w:tc>
          <w:tcPr>
            <w:tcW w:w="853" w:type="pct"/>
            <w:shd w:val="clear" w:color="auto" w:fill="DBE6F5" w:themeFill="text2" w:themeFillTint="1A"/>
            <w:vAlign w:val="center"/>
          </w:tcPr>
          <w:p w14:paraId="00E93A91" w14:textId="518A00E7" w:rsidR="00C77476" w:rsidRPr="002B0DDE" w:rsidRDefault="00C77476" w:rsidP="001B69E2">
            <w:pPr>
              <w:pStyle w:val="TBLText"/>
              <w:rPr>
                <w:rFonts w:eastAsia="MS Mincho"/>
                <w:spacing w:val="-3"/>
              </w:rPr>
            </w:pPr>
            <w:r>
              <w:rPr>
                <w:rFonts w:eastAsia="MS Mincho"/>
                <w:spacing w:val="-3"/>
              </w:rPr>
              <w:t>Adequate</w:t>
            </w:r>
          </w:p>
        </w:tc>
        <w:tc>
          <w:tcPr>
            <w:tcW w:w="971" w:type="pct"/>
            <w:shd w:val="clear" w:color="auto" w:fill="DBE6F5" w:themeFill="text2" w:themeFillTint="1A"/>
            <w:vAlign w:val="center"/>
          </w:tcPr>
          <w:p w14:paraId="0E788D91" w14:textId="46AC8F7A" w:rsidR="00C77476" w:rsidRPr="00254BDF" w:rsidRDefault="00C77476" w:rsidP="001B69E2">
            <w:pPr>
              <w:pStyle w:val="TBLText"/>
              <w:rPr>
                <w:rFonts w:eastAsia="MS Mincho"/>
                <w:spacing w:val="-3"/>
              </w:rPr>
            </w:pPr>
            <w:r w:rsidRPr="00254BDF">
              <w:rPr>
                <w:rFonts w:eastAsia="MS Mincho"/>
                <w:spacing w:val="-3"/>
              </w:rPr>
              <w:t>Yes</w:t>
            </w:r>
          </w:p>
        </w:tc>
        <w:tc>
          <w:tcPr>
            <w:tcW w:w="970" w:type="pct"/>
            <w:shd w:val="clear" w:color="auto" w:fill="DBE6F5" w:themeFill="text2" w:themeFillTint="1A"/>
            <w:vAlign w:val="center"/>
          </w:tcPr>
          <w:p w14:paraId="41DBB2B1" w14:textId="56095773" w:rsidR="00C77476" w:rsidRDefault="00C77476" w:rsidP="001B69E2">
            <w:pPr>
              <w:pStyle w:val="TBLText"/>
              <w:rPr>
                <w:rFonts w:eastAsia="MS Mincho"/>
                <w:spacing w:val="-3"/>
              </w:rPr>
            </w:pPr>
            <w:r>
              <w:rPr>
                <w:rFonts w:eastAsia="MS Mincho"/>
                <w:spacing w:val="-3"/>
              </w:rPr>
              <w:t>$0.96m</w:t>
            </w:r>
          </w:p>
        </w:tc>
      </w:tr>
      <w:tr w:rsidR="00734239" w14:paraId="3107F7B7" w14:textId="77777777" w:rsidTr="001B69E2">
        <w:trPr>
          <w:trHeight w:val="20"/>
        </w:trPr>
        <w:tc>
          <w:tcPr>
            <w:tcW w:w="1513" w:type="pct"/>
            <w:shd w:val="clear" w:color="auto" w:fill="auto"/>
            <w:vAlign w:val="center"/>
          </w:tcPr>
          <w:p w14:paraId="767DA1B1" w14:textId="42299315" w:rsidR="00734239" w:rsidRPr="002F494C" w:rsidRDefault="00734239" w:rsidP="00C77476">
            <w:pPr>
              <w:pStyle w:val="TBLText"/>
            </w:pPr>
            <w:r w:rsidRPr="00734239">
              <w:t>CDR Non-bank lending sectoral assessment</w:t>
            </w:r>
          </w:p>
        </w:tc>
        <w:tc>
          <w:tcPr>
            <w:tcW w:w="692" w:type="pct"/>
            <w:shd w:val="clear" w:color="auto" w:fill="auto"/>
            <w:vAlign w:val="center"/>
          </w:tcPr>
          <w:p w14:paraId="4CB107A0" w14:textId="11BCC7C9" w:rsidR="00734239" w:rsidRDefault="00734239" w:rsidP="001B69E2">
            <w:pPr>
              <w:pStyle w:val="TBLText"/>
              <w:rPr>
                <w:rFonts w:eastAsia="MS Mincho"/>
                <w:spacing w:val="-3"/>
              </w:rPr>
            </w:pPr>
            <w:r>
              <w:rPr>
                <w:rFonts w:eastAsia="MS Mincho"/>
                <w:spacing w:val="-3"/>
              </w:rPr>
              <w:t>Compliant</w:t>
            </w:r>
          </w:p>
        </w:tc>
        <w:tc>
          <w:tcPr>
            <w:tcW w:w="853" w:type="pct"/>
            <w:shd w:val="clear" w:color="auto" w:fill="auto"/>
            <w:vAlign w:val="center"/>
          </w:tcPr>
          <w:p w14:paraId="3E7E5693" w14:textId="3C714B23" w:rsidR="00734239" w:rsidRDefault="00734239" w:rsidP="001B69E2">
            <w:pPr>
              <w:pStyle w:val="TBLText"/>
              <w:rPr>
                <w:rFonts w:eastAsia="MS Mincho"/>
                <w:spacing w:val="-3"/>
              </w:rPr>
            </w:pPr>
            <w:r>
              <w:rPr>
                <w:rFonts w:eastAsia="MS Mincho"/>
                <w:spacing w:val="-3"/>
              </w:rPr>
              <w:t>Independent Review</w:t>
            </w:r>
          </w:p>
        </w:tc>
        <w:tc>
          <w:tcPr>
            <w:tcW w:w="971" w:type="pct"/>
            <w:shd w:val="clear" w:color="auto" w:fill="auto"/>
            <w:vAlign w:val="center"/>
          </w:tcPr>
          <w:p w14:paraId="0FCC09E4" w14:textId="78207255" w:rsidR="00734239" w:rsidRPr="00254BDF" w:rsidRDefault="00E8277E" w:rsidP="001B69E2">
            <w:pPr>
              <w:pStyle w:val="TBLText"/>
              <w:rPr>
                <w:rFonts w:eastAsia="MS Mincho"/>
                <w:spacing w:val="-3"/>
              </w:rPr>
            </w:pPr>
            <w:r>
              <w:rPr>
                <w:rFonts w:eastAsia="MS Mincho"/>
                <w:spacing w:val="-3"/>
              </w:rPr>
              <w:t>No</w:t>
            </w:r>
          </w:p>
        </w:tc>
        <w:tc>
          <w:tcPr>
            <w:tcW w:w="970" w:type="pct"/>
            <w:shd w:val="clear" w:color="auto" w:fill="auto"/>
            <w:vAlign w:val="center"/>
          </w:tcPr>
          <w:p w14:paraId="21A4240E" w14:textId="5DC26B8E" w:rsidR="00734239" w:rsidRDefault="00734239" w:rsidP="001B69E2">
            <w:pPr>
              <w:pStyle w:val="TBLText"/>
              <w:rPr>
                <w:rFonts w:eastAsia="MS Mincho"/>
                <w:spacing w:val="-3"/>
              </w:rPr>
            </w:pPr>
            <w:r>
              <w:rPr>
                <w:rFonts w:eastAsia="MS Mincho"/>
                <w:spacing w:val="-3"/>
              </w:rPr>
              <w:t>$18.6m</w:t>
            </w:r>
          </w:p>
        </w:tc>
      </w:tr>
      <w:tr w:rsidR="00BC156E" w14:paraId="0AADC5AA" w14:textId="77777777" w:rsidTr="00BC156E">
        <w:trPr>
          <w:trHeight w:val="20"/>
        </w:trPr>
        <w:tc>
          <w:tcPr>
            <w:tcW w:w="1513" w:type="pct"/>
            <w:shd w:val="clear" w:color="auto" w:fill="DBE6F5" w:themeFill="text2" w:themeFillTint="1A"/>
            <w:vAlign w:val="center"/>
          </w:tcPr>
          <w:p w14:paraId="13944F59" w14:textId="487DC03B" w:rsidR="00BC156E" w:rsidRPr="00734239" w:rsidRDefault="00096142" w:rsidP="00C77476">
            <w:pPr>
              <w:pStyle w:val="TBLText"/>
            </w:pPr>
            <w:r w:rsidRPr="00096142">
              <w:t>Competition in Clearing and Settlement in Cash Equities</w:t>
            </w:r>
          </w:p>
        </w:tc>
        <w:tc>
          <w:tcPr>
            <w:tcW w:w="692" w:type="pct"/>
            <w:shd w:val="clear" w:color="auto" w:fill="DBE6F5" w:themeFill="text2" w:themeFillTint="1A"/>
            <w:vAlign w:val="center"/>
          </w:tcPr>
          <w:p w14:paraId="3BB4CCD8" w14:textId="7D74B861" w:rsidR="00BC156E" w:rsidRDefault="00096142" w:rsidP="001B69E2">
            <w:pPr>
              <w:pStyle w:val="TBLText"/>
              <w:rPr>
                <w:rFonts w:eastAsia="MS Mincho"/>
                <w:spacing w:val="-3"/>
              </w:rPr>
            </w:pPr>
            <w:r>
              <w:rPr>
                <w:rFonts w:eastAsia="MS Mincho"/>
                <w:spacing w:val="-3"/>
              </w:rPr>
              <w:t>Compliant</w:t>
            </w:r>
          </w:p>
        </w:tc>
        <w:tc>
          <w:tcPr>
            <w:tcW w:w="853" w:type="pct"/>
            <w:shd w:val="clear" w:color="auto" w:fill="DBE6F5" w:themeFill="text2" w:themeFillTint="1A"/>
            <w:vAlign w:val="center"/>
          </w:tcPr>
          <w:p w14:paraId="22234733" w14:textId="51E1161C" w:rsidR="00BC156E" w:rsidRDefault="00096142" w:rsidP="001B69E2">
            <w:pPr>
              <w:pStyle w:val="TBLText"/>
              <w:rPr>
                <w:rFonts w:eastAsia="MS Mincho"/>
                <w:spacing w:val="-3"/>
              </w:rPr>
            </w:pPr>
            <w:r>
              <w:rPr>
                <w:rFonts w:eastAsia="MS Mincho"/>
                <w:spacing w:val="-3"/>
              </w:rPr>
              <w:t>Independent Review</w:t>
            </w:r>
          </w:p>
        </w:tc>
        <w:tc>
          <w:tcPr>
            <w:tcW w:w="971" w:type="pct"/>
            <w:shd w:val="clear" w:color="auto" w:fill="DBE6F5" w:themeFill="text2" w:themeFillTint="1A"/>
            <w:vAlign w:val="center"/>
          </w:tcPr>
          <w:p w14:paraId="3E6F2301" w14:textId="064BFFA5" w:rsidR="00BC156E" w:rsidRPr="00FA0A1F" w:rsidRDefault="00BC156E" w:rsidP="001B69E2">
            <w:pPr>
              <w:pStyle w:val="TBLText"/>
              <w:rPr>
                <w:rFonts w:eastAsia="MS Mincho"/>
                <w:spacing w:val="-3"/>
              </w:rPr>
            </w:pPr>
            <w:r w:rsidRPr="00FA0A1F">
              <w:rPr>
                <w:rFonts w:eastAsia="MS Mincho"/>
                <w:spacing w:val="-3"/>
              </w:rPr>
              <w:t>No</w:t>
            </w:r>
          </w:p>
        </w:tc>
        <w:tc>
          <w:tcPr>
            <w:tcW w:w="970" w:type="pct"/>
            <w:shd w:val="clear" w:color="auto" w:fill="DBE6F5" w:themeFill="text2" w:themeFillTint="1A"/>
            <w:vAlign w:val="center"/>
          </w:tcPr>
          <w:p w14:paraId="489EAF09" w14:textId="2A9500DC" w:rsidR="00BC156E" w:rsidRDefault="00BC156E" w:rsidP="001B69E2">
            <w:pPr>
              <w:pStyle w:val="TBLText"/>
              <w:rPr>
                <w:rFonts w:eastAsia="MS Mincho"/>
                <w:spacing w:val="-3"/>
              </w:rPr>
            </w:pPr>
            <w:r>
              <w:rPr>
                <w:rFonts w:eastAsia="MS Mincho"/>
                <w:spacing w:val="-3"/>
              </w:rPr>
              <w:t>$0.27m</w:t>
            </w:r>
          </w:p>
        </w:tc>
      </w:tr>
      <w:tr w:rsidR="00207A5A" w14:paraId="4693E4C2" w14:textId="77777777" w:rsidTr="00207A5A">
        <w:trPr>
          <w:trHeight w:val="20"/>
        </w:trPr>
        <w:tc>
          <w:tcPr>
            <w:tcW w:w="1513" w:type="pct"/>
            <w:shd w:val="clear" w:color="auto" w:fill="auto"/>
            <w:vAlign w:val="center"/>
          </w:tcPr>
          <w:p w14:paraId="3959A037" w14:textId="50F50091" w:rsidR="00207A5A" w:rsidRPr="00096142" w:rsidRDefault="00207A5A" w:rsidP="00C77476">
            <w:pPr>
              <w:pStyle w:val="TBLText"/>
            </w:pPr>
            <w:r w:rsidRPr="00207A5A">
              <w:t>Future Directions of the Consumer Data Right</w:t>
            </w:r>
          </w:p>
        </w:tc>
        <w:tc>
          <w:tcPr>
            <w:tcW w:w="692" w:type="pct"/>
            <w:shd w:val="clear" w:color="auto" w:fill="auto"/>
            <w:vAlign w:val="center"/>
          </w:tcPr>
          <w:p w14:paraId="3E642E9B" w14:textId="47D054BA" w:rsidR="00207A5A" w:rsidRDefault="00207A5A" w:rsidP="001B69E2">
            <w:pPr>
              <w:pStyle w:val="TBLText"/>
              <w:rPr>
                <w:rFonts w:eastAsia="MS Mincho"/>
                <w:spacing w:val="-3"/>
              </w:rPr>
            </w:pPr>
            <w:r>
              <w:rPr>
                <w:rFonts w:eastAsia="MS Mincho"/>
                <w:spacing w:val="-3"/>
              </w:rPr>
              <w:t>Compliant</w:t>
            </w:r>
          </w:p>
        </w:tc>
        <w:tc>
          <w:tcPr>
            <w:tcW w:w="853" w:type="pct"/>
            <w:shd w:val="clear" w:color="auto" w:fill="auto"/>
            <w:vAlign w:val="center"/>
          </w:tcPr>
          <w:p w14:paraId="245CB4DF" w14:textId="14CF20FE" w:rsidR="00207A5A" w:rsidRDefault="00207A5A" w:rsidP="001B69E2">
            <w:pPr>
              <w:pStyle w:val="TBLText"/>
              <w:rPr>
                <w:rFonts w:eastAsia="MS Mincho"/>
                <w:spacing w:val="-3"/>
              </w:rPr>
            </w:pPr>
            <w:r>
              <w:rPr>
                <w:rFonts w:eastAsia="MS Mincho"/>
                <w:spacing w:val="-3"/>
              </w:rPr>
              <w:t>Independent Review</w:t>
            </w:r>
          </w:p>
        </w:tc>
        <w:tc>
          <w:tcPr>
            <w:tcW w:w="971" w:type="pct"/>
            <w:shd w:val="clear" w:color="auto" w:fill="auto"/>
            <w:vAlign w:val="center"/>
          </w:tcPr>
          <w:p w14:paraId="13938A35" w14:textId="5BCA73FE" w:rsidR="00207A5A" w:rsidRPr="00207A5A" w:rsidRDefault="00207A5A" w:rsidP="001B69E2">
            <w:pPr>
              <w:pStyle w:val="TBLText"/>
              <w:rPr>
                <w:rFonts w:eastAsia="MS Mincho"/>
                <w:spacing w:val="-3"/>
                <w:highlight w:val="yellow"/>
              </w:rPr>
            </w:pPr>
            <w:r w:rsidRPr="009A097F">
              <w:rPr>
                <w:rFonts w:eastAsia="MS Mincho"/>
                <w:spacing w:val="-3"/>
              </w:rPr>
              <w:t>No</w:t>
            </w:r>
          </w:p>
        </w:tc>
        <w:tc>
          <w:tcPr>
            <w:tcW w:w="970" w:type="pct"/>
            <w:shd w:val="clear" w:color="auto" w:fill="auto"/>
            <w:vAlign w:val="center"/>
          </w:tcPr>
          <w:p w14:paraId="1E29D9C4" w14:textId="50BE2C81" w:rsidR="00207A5A" w:rsidRDefault="00207A5A" w:rsidP="001B69E2">
            <w:pPr>
              <w:pStyle w:val="TBLText"/>
              <w:rPr>
                <w:rFonts w:eastAsia="MS Mincho"/>
                <w:spacing w:val="-3"/>
              </w:rPr>
            </w:pPr>
            <w:r>
              <w:rPr>
                <w:rFonts w:eastAsia="MS Mincho"/>
                <w:spacing w:val="-3"/>
              </w:rPr>
              <w:t>$15.3m</w:t>
            </w:r>
          </w:p>
        </w:tc>
      </w:tr>
      <w:tr w:rsidR="00207A5A" w14:paraId="01BEC238" w14:textId="77777777" w:rsidTr="00BC156E">
        <w:trPr>
          <w:trHeight w:val="20"/>
        </w:trPr>
        <w:tc>
          <w:tcPr>
            <w:tcW w:w="1513" w:type="pct"/>
            <w:shd w:val="clear" w:color="auto" w:fill="DBE6F5" w:themeFill="text2" w:themeFillTint="1A"/>
            <w:vAlign w:val="center"/>
          </w:tcPr>
          <w:p w14:paraId="32BBB4ED" w14:textId="0725374F" w:rsidR="00207A5A" w:rsidRPr="00096142" w:rsidRDefault="00207A5A" w:rsidP="00C77476">
            <w:pPr>
              <w:pStyle w:val="TBLText"/>
            </w:pPr>
            <w:r w:rsidRPr="00207A5A">
              <w:t>Reducing tax concessions on superannuation balances exceeding $3 million</w:t>
            </w:r>
          </w:p>
        </w:tc>
        <w:tc>
          <w:tcPr>
            <w:tcW w:w="692" w:type="pct"/>
            <w:shd w:val="clear" w:color="auto" w:fill="DBE6F5" w:themeFill="text2" w:themeFillTint="1A"/>
            <w:vAlign w:val="center"/>
          </w:tcPr>
          <w:p w14:paraId="6618C8C1" w14:textId="40DDA8FF" w:rsidR="00207A5A" w:rsidRDefault="00207A5A" w:rsidP="001B69E2">
            <w:pPr>
              <w:pStyle w:val="TBLText"/>
              <w:rPr>
                <w:rFonts w:eastAsia="MS Mincho"/>
                <w:spacing w:val="-3"/>
              </w:rPr>
            </w:pPr>
            <w:r>
              <w:rPr>
                <w:rFonts w:eastAsia="MS Mincho"/>
                <w:spacing w:val="-3"/>
              </w:rPr>
              <w:t>Non-compliant</w:t>
            </w:r>
          </w:p>
        </w:tc>
        <w:tc>
          <w:tcPr>
            <w:tcW w:w="853" w:type="pct"/>
            <w:shd w:val="clear" w:color="auto" w:fill="DBE6F5" w:themeFill="text2" w:themeFillTint="1A"/>
            <w:vAlign w:val="center"/>
          </w:tcPr>
          <w:p w14:paraId="5FDA7A17" w14:textId="6423AA20" w:rsidR="00207A5A" w:rsidRDefault="00207A5A" w:rsidP="001B69E2">
            <w:pPr>
              <w:pStyle w:val="TBLText"/>
              <w:rPr>
                <w:rFonts w:eastAsia="MS Mincho"/>
                <w:spacing w:val="-3"/>
              </w:rPr>
            </w:pPr>
            <w:r>
              <w:rPr>
                <w:rFonts w:eastAsia="MS Mincho"/>
                <w:spacing w:val="-3"/>
              </w:rPr>
              <w:t>Insufficient</w:t>
            </w:r>
          </w:p>
        </w:tc>
        <w:tc>
          <w:tcPr>
            <w:tcW w:w="971" w:type="pct"/>
            <w:shd w:val="clear" w:color="auto" w:fill="DBE6F5" w:themeFill="text2" w:themeFillTint="1A"/>
            <w:vAlign w:val="center"/>
          </w:tcPr>
          <w:p w14:paraId="5B8AA65C" w14:textId="6446C97A" w:rsidR="00207A5A" w:rsidRPr="00207A5A" w:rsidRDefault="00207A5A" w:rsidP="001B69E2">
            <w:pPr>
              <w:pStyle w:val="TBLText"/>
              <w:rPr>
                <w:rFonts w:eastAsia="MS Mincho"/>
                <w:spacing w:val="-3"/>
                <w:highlight w:val="yellow"/>
              </w:rPr>
            </w:pPr>
            <w:r w:rsidRPr="00207A5A">
              <w:rPr>
                <w:rFonts w:eastAsia="MS Mincho"/>
                <w:spacing w:val="-3"/>
              </w:rPr>
              <w:t>Yes</w:t>
            </w:r>
          </w:p>
        </w:tc>
        <w:tc>
          <w:tcPr>
            <w:tcW w:w="970" w:type="pct"/>
            <w:shd w:val="clear" w:color="auto" w:fill="DBE6F5" w:themeFill="text2" w:themeFillTint="1A"/>
            <w:vAlign w:val="center"/>
          </w:tcPr>
          <w:p w14:paraId="711D07BD" w14:textId="4CEEE44E" w:rsidR="00207A5A" w:rsidRDefault="00207A5A" w:rsidP="001B69E2">
            <w:pPr>
              <w:pStyle w:val="TBLText"/>
              <w:rPr>
                <w:rFonts w:eastAsia="MS Mincho"/>
                <w:spacing w:val="-3"/>
              </w:rPr>
            </w:pPr>
            <w:r>
              <w:rPr>
                <w:rFonts w:eastAsia="MS Mincho"/>
                <w:spacing w:val="-3"/>
              </w:rPr>
              <w:t>-</w:t>
            </w:r>
          </w:p>
        </w:tc>
      </w:tr>
      <w:tr w:rsidR="00461A9F" w14:paraId="561B135C" w14:textId="77777777" w:rsidTr="00461A9F">
        <w:trPr>
          <w:trHeight w:val="20"/>
        </w:trPr>
        <w:tc>
          <w:tcPr>
            <w:tcW w:w="1513" w:type="pct"/>
            <w:shd w:val="clear" w:color="auto" w:fill="auto"/>
            <w:vAlign w:val="center"/>
          </w:tcPr>
          <w:p w14:paraId="6CE4246E" w14:textId="75AF6925" w:rsidR="00461A9F" w:rsidRPr="00207A5A" w:rsidRDefault="00461A9F" w:rsidP="00C77476">
            <w:pPr>
              <w:pStyle w:val="TBLText"/>
            </w:pPr>
            <w:r w:rsidRPr="00461A9F">
              <w:t>Unpaid Superannuation Guarantee Package</w:t>
            </w:r>
          </w:p>
        </w:tc>
        <w:tc>
          <w:tcPr>
            <w:tcW w:w="692" w:type="pct"/>
            <w:shd w:val="clear" w:color="auto" w:fill="auto"/>
            <w:vAlign w:val="center"/>
          </w:tcPr>
          <w:p w14:paraId="075689F3" w14:textId="4657FB66" w:rsidR="00461A9F" w:rsidRDefault="00461A9F" w:rsidP="001B69E2">
            <w:pPr>
              <w:pStyle w:val="TBLText"/>
              <w:rPr>
                <w:rFonts w:eastAsia="MS Mincho"/>
                <w:spacing w:val="-3"/>
              </w:rPr>
            </w:pPr>
            <w:r>
              <w:rPr>
                <w:rFonts w:eastAsia="MS Mincho"/>
                <w:spacing w:val="-3"/>
              </w:rPr>
              <w:t>Compliant</w:t>
            </w:r>
          </w:p>
        </w:tc>
        <w:tc>
          <w:tcPr>
            <w:tcW w:w="853" w:type="pct"/>
            <w:shd w:val="clear" w:color="auto" w:fill="auto"/>
            <w:vAlign w:val="center"/>
          </w:tcPr>
          <w:p w14:paraId="1DF6D7AB" w14:textId="224FF986" w:rsidR="00461A9F" w:rsidRDefault="00461A9F" w:rsidP="001B69E2">
            <w:pPr>
              <w:pStyle w:val="TBLText"/>
              <w:rPr>
                <w:rFonts w:eastAsia="MS Mincho"/>
                <w:spacing w:val="-3"/>
              </w:rPr>
            </w:pPr>
            <w:r>
              <w:rPr>
                <w:rFonts w:eastAsia="MS Mincho"/>
                <w:spacing w:val="-3"/>
              </w:rPr>
              <w:t>Adequate</w:t>
            </w:r>
          </w:p>
        </w:tc>
        <w:tc>
          <w:tcPr>
            <w:tcW w:w="971" w:type="pct"/>
            <w:shd w:val="clear" w:color="auto" w:fill="auto"/>
            <w:vAlign w:val="center"/>
          </w:tcPr>
          <w:p w14:paraId="21BC6AED" w14:textId="211D3661" w:rsidR="00461A9F" w:rsidRPr="00207A5A" w:rsidRDefault="007F2EE7" w:rsidP="007F2EE7">
            <w:pPr>
              <w:pStyle w:val="TBLText"/>
              <w:rPr>
                <w:rFonts w:eastAsia="MS Mincho"/>
                <w:spacing w:val="-3"/>
              </w:rPr>
            </w:pPr>
            <w:r>
              <w:rPr>
                <w:rFonts w:eastAsia="MS Mincho"/>
                <w:spacing w:val="-3"/>
              </w:rPr>
              <w:t>No</w:t>
            </w:r>
          </w:p>
        </w:tc>
        <w:tc>
          <w:tcPr>
            <w:tcW w:w="970" w:type="pct"/>
            <w:shd w:val="clear" w:color="auto" w:fill="auto"/>
            <w:vAlign w:val="center"/>
          </w:tcPr>
          <w:p w14:paraId="545EDB97" w14:textId="01AA0215" w:rsidR="00461A9F" w:rsidRDefault="00461A9F" w:rsidP="001B69E2">
            <w:pPr>
              <w:pStyle w:val="TBLText"/>
              <w:rPr>
                <w:rFonts w:eastAsia="MS Mincho"/>
                <w:spacing w:val="-3"/>
              </w:rPr>
            </w:pPr>
            <w:r>
              <w:rPr>
                <w:rFonts w:eastAsia="MS Mincho"/>
                <w:spacing w:val="-3"/>
              </w:rPr>
              <w:t>$135.6m</w:t>
            </w:r>
          </w:p>
        </w:tc>
      </w:tr>
      <w:tr w:rsidR="007F3CDA" w14:paraId="19A79450" w14:textId="77777777" w:rsidTr="00916F8E">
        <w:trPr>
          <w:trHeight w:val="20"/>
        </w:trPr>
        <w:tc>
          <w:tcPr>
            <w:tcW w:w="1513" w:type="pct"/>
            <w:shd w:val="clear" w:color="auto" w:fill="E0E8F2" w:themeFill="background2"/>
            <w:vAlign w:val="center"/>
          </w:tcPr>
          <w:p w14:paraId="3042F36A" w14:textId="2D0366D7" w:rsidR="007F3CDA" w:rsidRPr="00461A9F" w:rsidRDefault="007F3CDA" w:rsidP="00C77476">
            <w:pPr>
              <w:pStyle w:val="TBLText"/>
            </w:pPr>
            <w:r w:rsidRPr="007F3CDA">
              <w:t>Two-Pillar Solution: addressing the tax challenges arising from the digitalisation of the economy</w:t>
            </w:r>
          </w:p>
        </w:tc>
        <w:tc>
          <w:tcPr>
            <w:tcW w:w="692" w:type="pct"/>
            <w:shd w:val="clear" w:color="auto" w:fill="E0E8F2" w:themeFill="background2"/>
            <w:vAlign w:val="center"/>
          </w:tcPr>
          <w:p w14:paraId="138103F3" w14:textId="18D3282C" w:rsidR="007F3CDA" w:rsidRDefault="007F3CDA" w:rsidP="001B69E2">
            <w:pPr>
              <w:pStyle w:val="TBLText"/>
              <w:rPr>
                <w:rFonts w:eastAsia="MS Mincho"/>
                <w:spacing w:val="-3"/>
              </w:rPr>
            </w:pPr>
            <w:r>
              <w:rPr>
                <w:rFonts w:eastAsia="MS Mincho"/>
                <w:spacing w:val="-3"/>
              </w:rPr>
              <w:t>Compliant</w:t>
            </w:r>
          </w:p>
        </w:tc>
        <w:tc>
          <w:tcPr>
            <w:tcW w:w="853" w:type="pct"/>
            <w:shd w:val="clear" w:color="auto" w:fill="E0E8F2" w:themeFill="background2"/>
            <w:vAlign w:val="center"/>
          </w:tcPr>
          <w:p w14:paraId="57813DF8" w14:textId="3BC8F22A" w:rsidR="007F3CDA" w:rsidRDefault="007F3CDA" w:rsidP="001B69E2">
            <w:pPr>
              <w:pStyle w:val="TBLText"/>
              <w:rPr>
                <w:rFonts w:eastAsia="MS Mincho"/>
                <w:spacing w:val="-3"/>
              </w:rPr>
            </w:pPr>
            <w:r>
              <w:rPr>
                <w:rFonts w:eastAsia="MS Mincho"/>
                <w:spacing w:val="-3"/>
              </w:rPr>
              <w:t>Good Practice</w:t>
            </w:r>
          </w:p>
        </w:tc>
        <w:tc>
          <w:tcPr>
            <w:tcW w:w="971" w:type="pct"/>
            <w:shd w:val="clear" w:color="auto" w:fill="E0E8F2" w:themeFill="background2"/>
            <w:vAlign w:val="center"/>
          </w:tcPr>
          <w:p w14:paraId="143331E2" w14:textId="15C30AA0" w:rsidR="007F3CDA" w:rsidRDefault="00713554" w:rsidP="007F2EE7">
            <w:pPr>
              <w:pStyle w:val="TBLText"/>
              <w:rPr>
                <w:rFonts w:eastAsia="MS Mincho"/>
                <w:spacing w:val="-3"/>
              </w:rPr>
            </w:pPr>
            <w:r>
              <w:rPr>
                <w:rFonts w:eastAsia="MS Mincho"/>
                <w:spacing w:val="-3"/>
              </w:rPr>
              <w:t>No</w:t>
            </w:r>
          </w:p>
        </w:tc>
        <w:tc>
          <w:tcPr>
            <w:tcW w:w="970" w:type="pct"/>
            <w:shd w:val="clear" w:color="auto" w:fill="E0E8F2" w:themeFill="background2"/>
            <w:vAlign w:val="center"/>
          </w:tcPr>
          <w:p w14:paraId="0B0D55F7" w14:textId="43555173" w:rsidR="007F3CDA" w:rsidRDefault="007F3CDA" w:rsidP="001B69E2">
            <w:pPr>
              <w:pStyle w:val="TBLText"/>
              <w:rPr>
                <w:rFonts w:eastAsia="MS Mincho"/>
                <w:spacing w:val="-3"/>
              </w:rPr>
            </w:pPr>
            <w:r>
              <w:rPr>
                <w:rFonts w:eastAsia="MS Mincho"/>
                <w:spacing w:val="-3"/>
              </w:rPr>
              <w:t>$32.3m</w:t>
            </w:r>
          </w:p>
        </w:tc>
      </w:tr>
      <w:tr w:rsidR="007F3CDA" w14:paraId="7148CA23" w14:textId="77777777" w:rsidTr="00461A9F">
        <w:trPr>
          <w:trHeight w:val="20"/>
        </w:trPr>
        <w:tc>
          <w:tcPr>
            <w:tcW w:w="1513" w:type="pct"/>
            <w:shd w:val="clear" w:color="auto" w:fill="auto"/>
            <w:vAlign w:val="center"/>
          </w:tcPr>
          <w:p w14:paraId="15B39805" w14:textId="3D7573FD" w:rsidR="007F3CDA" w:rsidRDefault="007F3CDA" w:rsidP="00C77476">
            <w:pPr>
              <w:pStyle w:val="TBLText"/>
            </w:pPr>
            <w:r w:rsidRPr="007F3CDA">
              <w:t>Buy Now Pay Later Credit Products</w:t>
            </w:r>
          </w:p>
        </w:tc>
        <w:tc>
          <w:tcPr>
            <w:tcW w:w="692" w:type="pct"/>
            <w:shd w:val="clear" w:color="auto" w:fill="auto"/>
            <w:vAlign w:val="center"/>
          </w:tcPr>
          <w:p w14:paraId="25DBA3E0" w14:textId="7A4D65DD" w:rsidR="007F3CDA" w:rsidRDefault="007F3CDA" w:rsidP="001B69E2">
            <w:pPr>
              <w:pStyle w:val="TBLText"/>
              <w:rPr>
                <w:rFonts w:eastAsia="MS Mincho"/>
                <w:spacing w:val="-3"/>
              </w:rPr>
            </w:pPr>
            <w:r>
              <w:rPr>
                <w:rFonts w:eastAsia="MS Mincho"/>
                <w:spacing w:val="-3"/>
              </w:rPr>
              <w:t>Compliant</w:t>
            </w:r>
          </w:p>
        </w:tc>
        <w:tc>
          <w:tcPr>
            <w:tcW w:w="853" w:type="pct"/>
            <w:shd w:val="clear" w:color="auto" w:fill="auto"/>
            <w:vAlign w:val="center"/>
          </w:tcPr>
          <w:p w14:paraId="762A9AB8" w14:textId="29A53199" w:rsidR="007F3CDA" w:rsidRDefault="007F3CDA" w:rsidP="001B69E2">
            <w:pPr>
              <w:pStyle w:val="TBLText"/>
              <w:rPr>
                <w:rFonts w:eastAsia="MS Mincho"/>
                <w:spacing w:val="-3"/>
              </w:rPr>
            </w:pPr>
            <w:r>
              <w:rPr>
                <w:rFonts w:eastAsia="MS Mincho"/>
                <w:spacing w:val="-3"/>
              </w:rPr>
              <w:t>Good Practice</w:t>
            </w:r>
          </w:p>
        </w:tc>
        <w:tc>
          <w:tcPr>
            <w:tcW w:w="971" w:type="pct"/>
            <w:shd w:val="clear" w:color="auto" w:fill="auto"/>
            <w:vAlign w:val="center"/>
          </w:tcPr>
          <w:p w14:paraId="5B7E7695" w14:textId="7E419439" w:rsidR="007F3CDA" w:rsidRDefault="00713554" w:rsidP="007F2EE7">
            <w:pPr>
              <w:pStyle w:val="TBLText"/>
              <w:rPr>
                <w:rFonts w:eastAsia="MS Mincho"/>
                <w:spacing w:val="-3"/>
              </w:rPr>
            </w:pPr>
            <w:r>
              <w:rPr>
                <w:rFonts w:eastAsia="MS Mincho"/>
                <w:spacing w:val="-3"/>
              </w:rPr>
              <w:t>No</w:t>
            </w:r>
          </w:p>
        </w:tc>
        <w:tc>
          <w:tcPr>
            <w:tcW w:w="970" w:type="pct"/>
            <w:shd w:val="clear" w:color="auto" w:fill="auto"/>
            <w:vAlign w:val="center"/>
          </w:tcPr>
          <w:p w14:paraId="1D982825" w14:textId="250277F3" w:rsidR="007F3CDA" w:rsidRDefault="007F3CDA" w:rsidP="001B69E2">
            <w:pPr>
              <w:pStyle w:val="TBLText"/>
              <w:rPr>
                <w:rFonts w:eastAsia="MS Mincho"/>
                <w:spacing w:val="-3"/>
              </w:rPr>
            </w:pPr>
            <w:r>
              <w:rPr>
                <w:rFonts w:eastAsia="MS Mincho"/>
                <w:spacing w:val="-3"/>
              </w:rPr>
              <w:t>$15m</w:t>
            </w:r>
          </w:p>
        </w:tc>
      </w:tr>
      <w:tr w:rsidR="007F3CDA" w14:paraId="4C8D83E1" w14:textId="77777777" w:rsidTr="00916F8E">
        <w:trPr>
          <w:trHeight w:val="20"/>
        </w:trPr>
        <w:tc>
          <w:tcPr>
            <w:tcW w:w="1513" w:type="pct"/>
            <w:shd w:val="clear" w:color="auto" w:fill="E0E8F2" w:themeFill="background2"/>
            <w:vAlign w:val="center"/>
          </w:tcPr>
          <w:p w14:paraId="2BDC178D" w14:textId="5966E607" w:rsidR="007F3CDA" w:rsidRDefault="007F3CDA" w:rsidP="00C77476">
            <w:pPr>
              <w:pStyle w:val="TBLText"/>
            </w:pPr>
            <w:r w:rsidRPr="007F3CDA">
              <w:t>Financial adviser education standards</w:t>
            </w:r>
          </w:p>
        </w:tc>
        <w:tc>
          <w:tcPr>
            <w:tcW w:w="692" w:type="pct"/>
            <w:shd w:val="clear" w:color="auto" w:fill="E0E8F2" w:themeFill="background2"/>
            <w:vAlign w:val="center"/>
          </w:tcPr>
          <w:p w14:paraId="358057B6" w14:textId="3679D980" w:rsidR="007F3CDA" w:rsidRDefault="007F3CDA" w:rsidP="001B69E2">
            <w:pPr>
              <w:pStyle w:val="TBLText"/>
              <w:rPr>
                <w:rFonts w:eastAsia="MS Mincho"/>
                <w:spacing w:val="-3"/>
              </w:rPr>
            </w:pPr>
            <w:r>
              <w:rPr>
                <w:rFonts w:eastAsia="MS Mincho"/>
                <w:spacing w:val="-3"/>
              </w:rPr>
              <w:t>Compliant</w:t>
            </w:r>
          </w:p>
        </w:tc>
        <w:tc>
          <w:tcPr>
            <w:tcW w:w="853" w:type="pct"/>
            <w:shd w:val="clear" w:color="auto" w:fill="E0E8F2" w:themeFill="background2"/>
            <w:vAlign w:val="center"/>
          </w:tcPr>
          <w:p w14:paraId="17B1B2A4" w14:textId="017F36B3" w:rsidR="007F3CDA" w:rsidRDefault="007F3CDA" w:rsidP="001B69E2">
            <w:pPr>
              <w:pStyle w:val="TBLText"/>
              <w:rPr>
                <w:rFonts w:eastAsia="MS Mincho"/>
                <w:spacing w:val="-3"/>
              </w:rPr>
            </w:pPr>
            <w:r>
              <w:rPr>
                <w:rFonts w:eastAsia="MS Mincho"/>
                <w:spacing w:val="-3"/>
              </w:rPr>
              <w:t>Good Practice</w:t>
            </w:r>
          </w:p>
        </w:tc>
        <w:tc>
          <w:tcPr>
            <w:tcW w:w="971" w:type="pct"/>
            <w:shd w:val="clear" w:color="auto" w:fill="E0E8F2" w:themeFill="background2"/>
            <w:vAlign w:val="center"/>
          </w:tcPr>
          <w:p w14:paraId="171F0909" w14:textId="2D6B868C" w:rsidR="007F3CDA" w:rsidRDefault="00713554" w:rsidP="007F2EE7">
            <w:pPr>
              <w:pStyle w:val="TBLText"/>
              <w:rPr>
                <w:rFonts w:eastAsia="MS Mincho"/>
                <w:spacing w:val="-3"/>
              </w:rPr>
            </w:pPr>
            <w:r>
              <w:rPr>
                <w:rFonts w:eastAsia="MS Mincho"/>
                <w:spacing w:val="-3"/>
              </w:rPr>
              <w:t>No</w:t>
            </w:r>
          </w:p>
        </w:tc>
        <w:tc>
          <w:tcPr>
            <w:tcW w:w="970" w:type="pct"/>
            <w:shd w:val="clear" w:color="auto" w:fill="E0E8F2" w:themeFill="background2"/>
            <w:vAlign w:val="center"/>
          </w:tcPr>
          <w:p w14:paraId="1CAA4E60" w14:textId="34A7D689" w:rsidR="007F3CDA" w:rsidRDefault="007F3CDA" w:rsidP="001B69E2">
            <w:pPr>
              <w:pStyle w:val="TBLText"/>
              <w:rPr>
                <w:rFonts w:eastAsia="MS Mincho"/>
                <w:spacing w:val="-3"/>
              </w:rPr>
            </w:pPr>
            <w:r>
              <w:rPr>
                <w:rFonts w:eastAsia="MS Mincho"/>
                <w:spacing w:val="-3"/>
              </w:rPr>
              <w:t>-</w:t>
            </w:r>
          </w:p>
        </w:tc>
      </w:tr>
      <w:tr w:rsidR="00897BE9" w14:paraId="50B2494E" w14:textId="77777777" w:rsidTr="00BC156E">
        <w:trPr>
          <w:trHeight w:val="20"/>
        </w:trPr>
        <w:tc>
          <w:tcPr>
            <w:tcW w:w="1513" w:type="pct"/>
            <w:shd w:val="clear" w:color="auto" w:fill="auto"/>
            <w:vAlign w:val="center"/>
          </w:tcPr>
          <w:p w14:paraId="46549361" w14:textId="77777777" w:rsidR="00897BE9" w:rsidRPr="00363240" w:rsidRDefault="00897BE9" w:rsidP="001B69E2">
            <w:pPr>
              <w:pStyle w:val="TBLText"/>
              <w:rPr>
                <w:b/>
              </w:rPr>
            </w:pPr>
            <w:r w:rsidRPr="00363240">
              <w:rPr>
                <w:b/>
              </w:rPr>
              <w:t>Total proposals</w:t>
            </w:r>
          </w:p>
        </w:tc>
        <w:tc>
          <w:tcPr>
            <w:tcW w:w="692" w:type="pct"/>
            <w:shd w:val="clear" w:color="auto" w:fill="auto"/>
            <w:vAlign w:val="center"/>
          </w:tcPr>
          <w:p w14:paraId="35A6D312" w14:textId="0C30D5C4" w:rsidR="00897BE9" w:rsidRPr="00363240" w:rsidRDefault="007F3CDA" w:rsidP="007F3CDA">
            <w:pPr>
              <w:pStyle w:val="TBLText"/>
              <w:rPr>
                <w:b/>
              </w:rPr>
            </w:pPr>
            <w:r>
              <w:rPr>
                <w:b/>
              </w:rPr>
              <w:t>11</w:t>
            </w:r>
            <w:r w:rsidR="00207A5A">
              <w:rPr>
                <w:b/>
              </w:rPr>
              <w:t>/</w:t>
            </w:r>
            <w:r>
              <w:rPr>
                <w:b/>
              </w:rPr>
              <w:t>12</w:t>
            </w:r>
          </w:p>
        </w:tc>
        <w:tc>
          <w:tcPr>
            <w:tcW w:w="853" w:type="pct"/>
            <w:shd w:val="clear" w:color="auto" w:fill="auto"/>
            <w:vAlign w:val="center"/>
          </w:tcPr>
          <w:p w14:paraId="5BFC236B" w14:textId="77777777" w:rsidR="00897BE9" w:rsidRPr="00E8277E" w:rsidRDefault="00897BE9" w:rsidP="001B69E2">
            <w:pPr>
              <w:pStyle w:val="TBLText"/>
              <w:rPr>
                <w:b/>
              </w:rPr>
            </w:pPr>
            <w:r w:rsidRPr="00E8277E">
              <w:rPr>
                <w:b/>
              </w:rPr>
              <w:t>-</w:t>
            </w:r>
          </w:p>
        </w:tc>
        <w:tc>
          <w:tcPr>
            <w:tcW w:w="971" w:type="pct"/>
            <w:shd w:val="clear" w:color="auto" w:fill="auto"/>
            <w:vAlign w:val="center"/>
          </w:tcPr>
          <w:p w14:paraId="72E79D74" w14:textId="2A101E39" w:rsidR="00897BE9" w:rsidRPr="00FA0A1F" w:rsidRDefault="00207A5A" w:rsidP="007F3CDA">
            <w:pPr>
              <w:pStyle w:val="TBLText"/>
              <w:rPr>
                <w:b/>
              </w:rPr>
            </w:pPr>
            <w:r w:rsidRPr="00713554">
              <w:rPr>
                <w:b/>
              </w:rPr>
              <w:t>2</w:t>
            </w:r>
            <w:r w:rsidR="00897BE9" w:rsidRPr="00713554">
              <w:rPr>
                <w:b/>
              </w:rPr>
              <w:t>/</w:t>
            </w:r>
            <w:r w:rsidR="007F3CDA" w:rsidRPr="00713554">
              <w:rPr>
                <w:b/>
              </w:rPr>
              <w:t>12</w:t>
            </w:r>
          </w:p>
        </w:tc>
        <w:tc>
          <w:tcPr>
            <w:tcW w:w="970" w:type="pct"/>
            <w:shd w:val="clear" w:color="auto" w:fill="auto"/>
            <w:vAlign w:val="center"/>
          </w:tcPr>
          <w:p w14:paraId="3A906653" w14:textId="70442C40" w:rsidR="00897BE9" w:rsidRPr="00254BDF" w:rsidRDefault="00C77476" w:rsidP="007F3CDA">
            <w:pPr>
              <w:pStyle w:val="TBLText"/>
              <w:rPr>
                <w:b/>
              </w:rPr>
            </w:pPr>
            <w:r w:rsidRPr="00254BDF">
              <w:rPr>
                <w:b/>
              </w:rPr>
              <w:t>$</w:t>
            </w:r>
            <w:r w:rsidR="007F3CDA">
              <w:rPr>
                <w:b/>
              </w:rPr>
              <w:t>236.35m</w:t>
            </w:r>
          </w:p>
        </w:tc>
      </w:tr>
    </w:tbl>
    <w:p w14:paraId="73404405" w14:textId="16BA6AA9" w:rsidR="00897BE9" w:rsidRPr="00D4624D" w:rsidRDefault="001277DC" w:rsidP="00897BE9">
      <w:pPr>
        <w:rPr>
          <w:sz w:val="16"/>
        </w:rPr>
      </w:pPr>
      <w:r>
        <w:rPr>
          <w:sz w:val="16"/>
        </w:rPr>
        <w:t>b</w:t>
      </w:r>
      <w:r w:rsidR="00E8277E" w:rsidRPr="00D4624D">
        <w:rPr>
          <w:sz w:val="16"/>
        </w:rPr>
        <w:t xml:space="preserve"> </w:t>
      </w:r>
      <w:r w:rsidR="00C77476" w:rsidRPr="00D4624D">
        <w:rPr>
          <w:sz w:val="16"/>
        </w:rPr>
        <w:t>Joint proposal with Department of Climate Change, Energy, the Environment and Water</w:t>
      </w:r>
      <w:r w:rsidR="00D4624D">
        <w:rPr>
          <w:sz w:val="16"/>
        </w:rPr>
        <w:t>.</w:t>
      </w:r>
    </w:p>
    <w:p w14:paraId="770B2D0E" w14:textId="3E5F51DB" w:rsidR="00C37506" w:rsidRDefault="00C37506" w:rsidP="00C37506">
      <w:pPr>
        <w:pStyle w:val="Heading1"/>
      </w:pPr>
      <w:bookmarkStart w:id="43" w:name="_Toc122424417"/>
      <w:bookmarkStart w:id="44" w:name="_Toc200111086"/>
      <w:r>
        <w:lastRenderedPageBreak/>
        <w:t>Detailed info</w:t>
      </w:r>
      <w:r w:rsidR="006B3940">
        <w:t>rmation on proposals requiring I</w:t>
      </w:r>
      <w:r w:rsidR="004B515A">
        <w:t xml:space="preserve">mpact </w:t>
      </w:r>
      <w:r w:rsidR="006B3940">
        <w:t>A</w:t>
      </w:r>
      <w:r w:rsidR="004B515A">
        <w:t>nalysis</w:t>
      </w:r>
      <w:r w:rsidR="008A10D6">
        <w:t>, 202</w:t>
      </w:r>
      <w:r w:rsidR="00C256B0">
        <w:t>2</w:t>
      </w:r>
      <w:r w:rsidR="008A10D6">
        <w:t>-2</w:t>
      </w:r>
      <w:r w:rsidR="00C256B0">
        <w:t>3</w:t>
      </w:r>
      <w:bookmarkEnd w:id="43"/>
      <w:bookmarkEnd w:id="44"/>
    </w:p>
    <w:p w14:paraId="5912178A" w14:textId="77777777" w:rsidR="002840FF" w:rsidRDefault="002840FF" w:rsidP="001A5755">
      <w:pPr>
        <w:pStyle w:val="Heading2"/>
        <w:rPr>
          <w:noProof/>
        </w:rPr>
      </w:pPr>
      <w:bookmarkStart w:id="45" w:name="_Toc122424418"/>
      <w:bookmarkStart w:id="46" w:name="_Toc200111087"/>
      <w:r>
        <w:rPr>
          <w:noProof/>
        </w:rPr>
        <w:t>Prime Minister’s Exemptions</w:t>
      </w:r>
      <w:bookmarkEnd w:id="45"/>
      <w:bookmarkEnd w:id="46"/>
    </w:p>
    <w:p w14:paraId="59258112" w14:textId="77777777" w:rsidR="00663A48" w:rsidRPr="001A7674" w:rsidRDefault="00663A48" w:rsidP="00663A48">
      <w:r>
        <w:t xml:space="preserve">IA </w:t>
      </w:r>
      <w:r w:rsidRPr="001A7674">
        <w:t xml:space="preserve">Status: </w:t>
      </w:r>
      <w:r w:rsidRPr="001A7674">
        <w:rPr>
          <w:rFonts w:eastAsia="MS Mincho"/>
          <w:w w:val="105"/>
          <w:szCs w:val="22"/>
        </w:rPr>
        <w:t>Compliant</w:t>
      </w:r>
    </w:p>
    <w:p w14:paraId="0ED572F9" w14:textId="7952A270" w:rsidR="00663A48" w:rsidRPr="001A7674" w:rsidRDefault="00663A48" w:rsidP="00663A48">
      <w:r w:rsidRPr="001A7674">
        <w:t xml:space="preserve">Assessment Rating: </w:t>
      </w:r>
      <w:r>
        <w:rPr>
          <w:w w:val="105"/>
          <w:szCs w:val="22"/>
        </w:rPr>
        <w:t>PM Exemption</w:t>
      </w:r>
    </w:p>
    <w:p w14:paraId="2DA86F5C" w14:textId="04F37A7A" w:rsidR="00663A48" w:rsidRPr="001A7674" w:rsidRDefault="00663A48" w:rsidP="00663A48">
      <w:r w:rsidRPr="00724D88">
        <w:t xml:space="preserve">PIR Required: </w:t>
      </w:r>
      <w:r w:rsidR="00C77476">
        <w:rPr>
          <w:rFonts w:eastAsia="MS Mincho"/>
          <w:w w:val="105"/>
          <w:szCs w:val="22"/>
        </w:rPr>
        <w:t>Yes</w:t>
      </w:r>
    </w:p>
    <w:p w14:paraId="18808CEA" w14:textId="77777777" w:rsidR="00663A48" w:rsidRDefault="00663A48" w:rsidP="00663A48">
      <w:r w:rsidRPr="001A7674">
        <w:t xml:space="preserve">Regulatory Burden: </w:t>
      </w:r>
      <w:r>
        <w:t>N/A</w:t>
      </w:r>
    </w:p>
    <w:p w14:paraId="0E0AE475" w14:textId="525FA657" w:rsidR="00663A48" w:rsidRDefault="00663A48" w:rsidP="00663A48">
      <w:pPr>
        <w:rPr>
          <w:noProof/>
        </w:rPr>
      </w:pPr>
      <w:r w:rsidRPr="00663A48">
        <w:rPr>
          <w:noProof/>
        </w:rPr>
        <w:t>On 28 October 2022 Energy Ministers agreed the Government will expand the functions and powers of AEMO under the National Gas Law to ensure it can address east coast gas system reliability and supply adequacy issues ahead of Winter 2023.</w:t>
      </w:r>
      <w:r>
        <w:rPr>
          <w:noProof/>
        </w:rPr>
        <w:t xml:space="preserve"> </w:t>
      </w:r>
      <w:r w:rsidRPr="00663A48">
        <w:rPr>
          <w:noProof/>
        </w:rPr>
        <w:t>The expanded powers will ensure AEMO can:</w:t>
      </w:r>
    </w:p>
    <w:p w14:paraId="32C69127" w14:textId="77777777" w:rsidR="00663A48" w:rsidRDefault="00663A48" w:rsidP="00D72303">
      <w:pPr>
        <w:pStyle w:val="ListParagraph"/>
        <w:numPr>
          <w:ilvl w:val="0"/>
          <w:numId w:val="13"/>
        </w:numPr>
        <w:rPr>
          <w:noProof/>
        </w:rPr>
      </w:pPr>
      <w:r w:rsidRPr="00663A48">
        <w:rPr>
          <w:noProof/>
        </w:rPr>
        <w:t>Obtain the information it requires to identify if there are shortfall risks emerging in the east coast gas supply demand outlook (e.g. supply injections, storage levels, southern gas flows);</w:t>
      </w:r>
    </w:p>
    <w:p w14:paraId="33699288" w14:textId="77777777" w:rsidR="00663A48" w:rsidRDefault="00663A48" w:rsidP="00D72303">
      <w:pPr>
        <w:pStyle w:val="ListParagraph"/>
        <w:numPr>
          <w:ilvl w:val="0"/>
          <w:numId w:val="13"/>
        </w:numPr>
        <w:rPr>
          <w:noProof/>
        </w:rPr>
      </w:pPr>
      <w:r w:rsidRPr="00663A48">
        <w:rPr>
          <w:noProof/>
        </w:rPr>
        <w:t>Issue notifications to the east coast gas market about identified issues and the outcome that needs to be achieved to address emerging shortfalls (e.g. extra volumed/day required to flow south over a defined period); and</w:t>
      </w:r>
    </w:p>
    <w:p w14:paraId="3EC30008" w14:textId="37437EF0" w:rsidR="00663A48" w:rsidRPr="00663A48" w:rsidRDefault="00663A48" w:rsidP="00D72303">
      <w:pPr>
        <w:pStyle w:val="ListParagraph"/>
        <w:numPr>
          <w:ilvl w:val="0"/>
          <w:numId w:val="13"/>
        </w:numPr>
        <w:rPr>
          <w:noProof/>
        </w:rPr>
      </w:pPr>
      <w:r w:rsidRPr="00663A48">
        <w:rPr>
          <w:noProof/>
        </w:rPr>
        <w:t>As a last resort, direct market participants to take or refrain from actions.</w:t>
      </w:r>
    </w:p>
    <w:p w14:paraId="4526ABFF" w14:textId="4B098907" w:rsidR="00663A48" w:rsidRDefault="00663A48" w:rsidP="00663A48">
      <w:pPr>
        <w:rPr>
          <w:noProof/>
        </w:rPr>
      </w:pPr>
      <w:r w:rsidRPr="00663A48">
        <w:rPr>
          <w:noProof/>
        </w:rPr>
        <w:t>The Prime Minister granted an exemption from the need to complete a</w:t>
      </w:r>
      <w:r>
        <w:rPr>
          <w:noProof/>
        </w:rPr>
        <w:t>n Impact Analysis</w:t>
      </w:r>
      <w:r w:rsidRPr="00663A48">
        <w:rPr>
          <w:noProof/>
        </w:rPr>
        <w:t xml:space="preserve"> (</w:t>
      </w:r>
      <w:r>
        <w:rPr>
          <w:noProof/>
        </w:rPr>
        <w:t>IA</w:t>
      </w:r>
      <w:r w:rsidRPr="00663A48">
        <w:rPr>
          <w:noProof/>
        </w:rPr>
        <w:t xml:space="preserve">) due to truly urgent and unforeseen circumstances requiring a decision before an adequate </w:t>
      </w:r>
      <w:r>
        <w:rPr>
          <w:noProof/>
        </w:rPr>
        <w:t>IA</w:t>
      </w:r>
      <w:r w:rsidRPr="00663A48">
        <w:rPr>
          <w:noProof/>
        </w:rPr>
        <w:t xml:space="preserve"> could be undertaken.</w:t>
      </w:r>
    </w:p>
    <w:p w14:paraId="02CC6BEC" w14:textId="04763046" w:rsidR="001A5755" w:rsidRDefault="001A5755" w:rsidP="00663A48">
      <w:pPr>
        <w:pStyle w:val="Heading2"/>
        <w:rPr>
          <w:noProof/>
        </w:rPr>
      </w:pPr>
      <w:bookmarkStart w:id="47" w:name="_Toc122424419"/>
      <w:bookmarkStart w:id="48" w:name="_Toc200111088"/>
      <w:r>
        <w:rPr>
          <w:noProof/>
        </w:rPr>
        <w:t>Attorney-General’s Department</w:t>
      </w:r>
      <w:bookmarkEnd w:id="47"/>
      <w:bookmarkEnd w:id="48"/>
    </w:p>
    <w:p w14:paraId="7754FDB2" w14:textId="77777777" w:rsidR="001A5755" w:rsidRDefault="001A5755" w:rsidP="00DC6355">
      <w:pPr>
        <w:pStyle w:val="Heading3"/>
        <w:rPr>
          <w:rFonts w:eastAsia="MS Mincho"/>
        </w:rPr>
      </w:pPr>
      <w:bookmarkStart w:id="49" w:name="_Toc122424420"/>
      <w:bookmarkStart w:id="50" w:name="_Toc200111089"/>
      <w:r w:rsidRPr="00B57CB4">
        <w:rPr>
          <w:rFonts w:eastAsia="MS Mincho"/>
        </w:rPr>
        <w:t>Legislating a right to ten days paid family and domestic violence leave</w:t>
      </w:r>
      <w:bookmarkEnd w:id="49"/>
      <w:bookmarkEnd w:id="50"/>
    </w:p>
    <w:p w14:paraId="12958204" w14:textId="22D11BE1" w:rsidR="001A5755" w:rsidRPr="001A7674" w:rsidRDefault="006B3940" w:rsidP="001A5755">
      <w:r>
        <w:t xml:space="preserve">IA </w:t>
      </w:r>
      <w:r w:rsidR="001A5755" w:rsidRPr="001A7674">
        <w:t xml:space="preserve">Status: </w:t>
      </w:r>
      <w:r w:rsidR="001A5755" w:rsidRPr="001A7674">
        <w:rPr>
          <w:rFonts w:eastAsia="MS Mincho"/>
          <w:w w:val="105"/>
          <w:szCs w:val="22"/>
        </w:rPr>
        <w:t>Compliant</w:t>
      </w:r>
    </w:p>
    <w:p w14:paraId="0CA990AC" w14:textId="77777777" w:rsidR="001A5755" w:rsidRPr="001A7674" w:rsidRDefault="001A5755" w:rsidP="001A5755">
      <w:r w:rsidRPr="001A7674">
        <w:t xml:space="preserve">Assessment Rating: </w:t>
      </w:r>
      <w:r>
        <w:rPr>
          <w:w w:val="105"/>
          <w:szCs w:val="22"/>
        </w:rPr>
        <w:t>Independent review</w:t>
      </w:r>
    </w:p>
    <w:p w14:paraId="601FD952" w14:textId="77777777" w:rsidR="001A5755" w:rsidRPr="001A7674" w:rsidRDefault="001A5755" w:rsidP="001A5755">
      <w:r w:rsidRPr="00724D88">
        <w:t xml:space="preserve">PIR Required: </w:t>
      </w:r>
      <w:r w:rsidRPr="00724D88">
        <w:rPr>
          <w:rFonts w:eastAsia="MS Mincho"/>
          <w:w w:val="105"/>
          <w:szCs w:val="22"/>
        </w:rPr>
        <w:t>No</w:t>
      </w:r>
    </w:p>
    <w:p w14:paraId="40E0F987" w14:textId="77777777" w:rsidR="001A5755" w:rsidRPr="001A7674" w:rsidRDefault="001A5755" w:rsidP="001A5755">
      <w:r w:rsidRPr="001A7674">
        <w:t xml:space="preserve">Regulatory Burden: </w:t>
      </w:r>
      <w:r>
        <w:t>$0.6 million</w:t>
      </w:r>
    </w:p>
    <w:p w14:paraId="11D1889D" w14:textId="58527C51" w:rsidR="001A5755" w:rsidRDefault="001A5755" w:rsidP="001A5755">
      <w:pPr>
        <w:rPr>
          <w:shd w:val="clear" w:color="auto" w:fill="FFFFFF"/>
        </w:rPr>
      </w:pPr>
      <w:r>
        <w:rPr>
          <w:shd w:val="clear" w:color="auto" w:fill="FFFFFF"/>
        </w:rPr>
        <w:t>The Government introduced legislation to amend the Fair Work Act 2009, to provide for ten days of paid family and domestic violence leave in the National Employment Standards (NES). This replaced the existing entitlement in the NES to five days of unpaid family and domestic violence leave. Introducing the scheme was an election commitment, and was part of a national push to help close the gender pay gap.</w:t>
      </w:r>
    </w:p>
    <w:p w14:paraId="2DD62E93" w14:textId="77777777" w:rsidR="00FB6AB1" w:rsidRDefault="00FB6AB1">
      <w:pPr>
        <w:spacing w:after="200"/>
        <w:rPr>
          <w:rFonts w:asciiTheme="majorHAnsi" w:eastAsia="MS Mincho" w:hAnsiTheme="majorHAnsi" w:cstheme="majorBidi"/>
          <w:color w:val="192D56" w:themeColor="accent1"/>
          <w:sz w:val="26"/>
          <w:szCs w:val="22"/>
        </w:rPr>
      </w:pPr>
      <w:bookmarkStart w:id="51" w:name="_Toc122424421"/>
      <w:r>
        <w:rPr>
          <w:rFonts w:eastAsia="MS Mincho"/>
        </w:rPr>
        <w:br w:type="page"/>
      </w:r>
    </w:p>
    <w:p w14:paraId="5CD91D63" w14:textId="00D2B0D3" w:rsidR="00A66EF3" w:rsidRDefault="00630241" w:rsidP="00A66EF3">
      <w:pPr>
        <w:pStyle w:val="Heading3"/>
        <w:rPr>
          <w:rFonts w:eastAsia="MS Mincho"/>
        </w:rPr>
      </w:pPr>
      <w:bookmarkStart w:id="52" w:name="_Toc200111090"/>
      <w:r w:rsidRPr="00630241">
        <w:rPr>
          <w:rFonts w:eastAsia="MS Mincho"/>
        </w:rPr>
        <w:lastRenderedPageBreak/>
        <w:t>Fully Implement the Respect at Work Report Package</w:t>
      </w:r>
      <w:bookmarkEnd w:id="51"/>
      <w:bookmarkEnd w:id="52"/>
    </w:p>
    <w:p w14:paraId="104951E8" w14:textId="095A3AD9" w:rsidR="00A66EF3" w:rsidRPr="001A7674" w:rsidRDefault="006B3940" w:rsidP="00A66EF3">
      <w:r>
        <w:t xml:space="preserve">IA </w:t>
      </w:r>
      <w:r w:rsidR="00A66EF3" w:rsidRPr="001A7674">
        <w:t xml:space="preserve">Status: </w:t>
      </w:r>
      <w:r w:rsidR="00A66EF3" w:rsidRPr="001A7674">
        <w:rPr>
          <w:rFonts w:eastAsia="MS Mincho"/>
          <w:w w:val="105"/>
          <w:szCs w:val="22"/>
        </w:rPr>
        <w:t>Compliant</w:t>
      </w:r>
    </w:p>
    <w:p w14:paraId="67D7FD2E" w14:textId="77777777" w:rsidR="00A66EF3" w:rsidRPr="001A7674" w:rsidRDefault="00A66EF3" w:rsidP="00A66EF3">
      <w:r w:rsidRPr="001A7674">
        <w:t xml:space="preserve">Assessment Rating: </w:t>
      </w:r>
      <w:r>
        <w:rPr>
          <w:w w:val="105"/>
          <w:szCs w:val="22"/>
        </w:rPr>
        <w:t>Independent review</w:t>
      </w:r>
    </w:p>
    <w:p w14:paraId="6418CDFC" w14:textId="77777777" w:rsidR="00A66EF3" w:rsidRPr="001A7674" w:rsidRDefault="00A66EF3" w:rsidP="00A66EF3">
      <w:r w:rsidRPr="00724D88">
        <w:t xml:space="preserve">PIR Required: </w:t>
      </w:r>
      <w:r w:rsidRPr="00884959">
        <w:rPr>
          <w:rFonts w:eastAsia="MS Mincho"/>
          <w:w w:val="105"/>
          <w:szCs w:val="22"/>
        </w:rPr>
        <w:t>No</w:t>
      </w:r>
    </w:p>
    <w:p w14:paraId="26A33B8D" w14:textId="7C31FFE8" w:rsidR="00A66EF3" w:rsidRPr="001A7674" w:rsidRDefault="00A66EF3" w:rsidP="00A66EF3">
      <w:r w:rsidRPr="001A7674">
        <w:t xml:space="preserve">Regulatory Burden: </w:t>
      </w:r>
      <w:r>
        <w:t>$</w:t>
      </w:r>
      <w:r w:rsidR="00630241">
        <w:t>226.4</w:t>
      </w:r>
      <w:r>
        <w:t xml:space="preserve"> million</w:t>
      </w:r>
    </w:p>
    <w:p w14:paraId="5D58D8D7" w14:textId="77777777" w:rsidR="00630241" w:rsidRDefault="00630241" w:rsidP="00630241">
      <w:r>
        <w:t xml:space="preserve">The Government has introduced the Anti-Discrimination and Human Rights Legislation Amendment (Respect at Work) Bill 2022 which would implement seven of the recommendations from the Respect@Work Report regarding discrimination and workplace gender equality, including:  </w:t>
      </w:r>
    </w:p>
    <w:p w14:paraId="35C5B549" w14:textId="77777777" w:rsidR="00630241" w:rsidRDefault="00630241" w:rsidP="00D72303">
      <w:pPr>
        <w:pStyle w:val="ListParagraph"/>
        <w:numPr>
          <w:ilvl w:val="0"/>
          <w:numId w:val="10"/>
        </w:numPr>
      </w:pPr>
      <w:r>
        <w:t>introducing a positive duty on employers to take reasonable and proportionate measures to eliminate specified forms of unlawful sex discrimination, including  sexual harassment, as far as possible, and</w:t>
      </w:r>
    </w:p>
    <w:p w14:paraId="6F781434" w14:textId="7CC87B65" w:rsidR="00A66EF3" w:rsidRPr="001A7674" w:rsidRDefault="00630241" w:rsidP="00D72303">
      <w:pPr>
        <w:pStyle w:val="ListParagraph"/>
        <w:numPr>
          <w:ilvl w:val="0"/>
          <w:numId w:val="10"/>
        </w:numPr>
      </w:pPr>
      <w:r>
        <w:t>providing the Australian Human Rights Commission with new functions to assess and enforce compliance with the positive duty.</w:t>
      </w:r>
    </w:p>
    <w:p w14:paraId="2E7296F9" w14:textId="77777777" w:rsidR="004F4EEF" w:rsidRDefault="004F4EEF" w:rsidP="004F4EEF">
      <w:pPr>
        <w:pStyle w:val="Heading2"/>
        <w:rPr>
          <w:noProof/>
        </w:rPr>
      </w:pPr>
      <w:bookmarkStart w:id="53" w:name="_Toc122424422"/>
      <w:bookmarkStart w:id="54" w:name="_Toc200111091"/>
      <w:r>
        <w:rPr>
          <w:noProof/>
        </w:rPr>
        <w:t>Australian Communications and Media Authority</w:t>
      </w:r>
      <w:bookmarkEnd w:id="53"/>
      <w:bookmarkEnd w:id="54"/>
    </w:p>
    <w:p w14:paraId="7D16A12D" w14:textId="77777777" w:rsidR="00C256B0" w:rsidRDefault="00C256B0" w:rsidP="00C256B0">
      <w:pPr>
        <w:pStyle w:val="Heading3"/>
        <w:rPr>
          <w:rFonts w:eastAsia="MS Mincho"/>
        </w:rPr>
      </w:pPr>
      <w:bookmarkStart w:id="55" w:name="_Toc122424423"/>
      <w:bookmarkStart w:id="56" w:name="_Toc200111092"/>
      <w:r w:rsidRPr="00C256B0">
        <w:rPr>
          <w:rFonts w:eastAsia="MS Mincho"/>
        </w:rPr>
        <w:t>Reducing the impact of SMS scams</w:t>
      </w:r>
      <w:bookmarkEnd w:id="55"/>
      <w:bookmarkEnd w:id="56"/>
      <w:r w:rsidRPr="00C256B0">
        <w:rPr>
          <w:rFonts w:eastAsia="MS Mincho"/>
        </w:rPr>
        <w:t xml:space="preserve"> </w:t>
      </w:r>
    </w:p>
    <w:p w14:paraId="68322991" w14:textId="5E47E78F" w:rsidR="004F4EEF" w:rsidRPr="001A7674" w:rsidRDefault="006B3940" w:rsidP="004F4EEF">
      <w:r>
        <w:t xml:space="preserve">IA </w:t>
      </w:r>
      <w:r w:rsidR="004F4EEF" w:rsidRPr="001A7674">
        <w:t xml:space="preserve">Status: </w:t>
      </w:r>
      <w:r w:rsidR="004F4EEF" w:rsidRPr="001A7674">
        <w:rPr>
          <w:rFonts w:eastAsia="MS Mincho"/>
          <w:w w:val="105"/>
          <w:szCs w:val="22"/>
        </w:rPr>
        <w:t>Compliant</w:t>
      </w:r>
    </w:p>
    <w:p w14:paraId="67718101" w14:textId="77777777" w:rsidR="004F4EEF" w:rsidRPr="001A7674" w:rsidRDefault="004F4EEF" w:rsidP="004F4EEF">
      <w:r w:rsidRPr="001A7674">
        <w:t xml:space="preserve">Assessment Rating: </w:t>
      </w:r>
      <w:r>
        <w:rPr>
          <w:w w:val="105"/>
          <w:szCs w:val="22"/>
        </w:rPr>
        <w:t>Good Practice</w:t>
      </w:r>
    </w:p>
    <w:p w14:paraId="086F01B2" w14:textId="77777777" w:rsidR="004F4EEF" w:rsidRPr="001A7674" w:rsidRDefault="004F4EEF" w:rsidP="004F4EEF">
      <w:r w:rsidRPr="00DC6355">
        <w:t xml:space="preserve">PIR Required: </w:t>
      </w:r>
      <w:r w:rsidRPr="00DC6355">
        <w:rPr>
          <w:rFonts w:eastAsia="MS Mincho"/>
          <w:w w:val="105"/>
          <w:szCs w:val="22"/>
        </w:rPr>
        <w:t>No</w:t>
      </w:r>
    </w:p>
    <w:p w14:paraId="25A0C695" w14:textId="77777777" w:rsidR="004F4EEF" w:rsidRPr="001A7674" w:rsidRDefault="004F4EEF" w:rsidP="004F4EEF">
      <w:r w:rsidRPr="001A7674">
        <w:t>Regulatory Burden: N/A</w:t>
      </w:r>
    </w:p>
    <w:p w14:paraId="23EF0F75" w14:textId="77777777" w:rsidR="00C256B0" w:rsidRDefault="00C256B0" w:rsidP="00C256B0">
      <w:pPr>
        <w:rPr>
          <w:noProof/>
        </w:rPr>
      </w:pPr>
      <w:r>
        <w:rPr>
          <w:shd w:val="clear" w:color="auto" w:fill="FFFFFF"/>
        </w:rPr>
        <w:t>Scam activity impacts directly on the financial and emotional wellbeing of many Australians. It also undermines confidence in our telecommunications services and legitimate marketing. Bad actors (or scammers) are increasingly finding new ways to target business processes and technologies to perpetrate scams on and through telecommunications services. This includes scams delivered by short message service (SMS).</w:t>
      </w:r>
      <w:r>
        <w:br/>
      </w:r>
      <w:r>
        <w:rPr>
          <w:shd w:val="clear" w:color="auto" w:fill="FFFFFF"/>
        </w:rPr>
        <w:t>The government’s policy objective is to reduce the incidence of fraud and identity crime from scams delivered by SMS occurring, given the realised harms and potential for Australians to experience significant impacts.</w:t>
      </w:r>
      <w:r>
        <w:rPr>
          <w:noProof/>
        </w:rPr>
        <w:t xml:space="preserve"> </w:t>
      </w:r>
    </w:p>
    <w:p w14:paraId="5E710F61" w14:textId="77777777" w:rsidR="00FB6AB1" w:rsidRDefault="00FB6AB1">
      <w:pPr>
        <w:spacing w:after="200"/>
        <w:rPr>
          <w:rFonts w:asciiTheme="majorHAnsi" w:eastAsia="MS Mincho" w:hAnsiTheme="majorHAnsi" w:cstheme="majorBidi"/>
          <w:color w:val="192D56" w:themeColor="accent1"/>
          <w:sz w:val="26"/>
          <w:szCs w:val="22"/>
        </w:rPr>
      </w:pPr>
      <w:bookmarkStart w:id="57" w:name="_Toc122424424"/>
      <w:r>
        <w:rPr>
          <w:rFonts w:eastAsia="MS Mincho"/>
        </w:rPr>
        <w:br w:type="page"/>
      </w:r>
    </w:p>
    <w:p w14:paraId="2530C05D" w14:textId="7FD9B7E7" w:rsidR="00C256B0" w:rsidRDefault="00C256B0" w:rsidP="00C256B0">
      <w:pPr>
        <w:pStyle w:val="Heading3"/>
        <w:rPr>
          <w:rFonts w:eastAsia="MS Mincho"/>
        </w:rPr>
      </w:pPr>
      <w:bookmarkStart w:id="58" w:name="_Toc200111093"/>
      <w:r w:rsidRPr="00C256B0">
        <w:rPr>
          <w:rFonts w:eastAsia="MS Mincho"/>
        </w:rPr>
        <w:lastRenderedPageBreak/>
        <w:t>Spectrum Pricing Review: 2nd Tranche of Reform Options</w:t>
      </w:r>
      <w:bookmarkEnd w:id="57"/>
      <w:bookmarkEnd w:id="58"/>
    </w:p>
    <w:p w14:paraId="5A5086DA" w14:textId="2E83FEA3" w:rsidR="00C256B0" w:rsidRPr="001A7674" w:rsidRDefault="006B3940" w:rsidP="00C256B0">
      <w:r>
        <w:t xml:space="preserve">IA </w:t>
      </w:r>
      <w:r w:rsidR="00C256B0" w:rsidRPr="001A7674">
        <w:t xml:space="preserve">Status: </w:t>
      </w:r>
      <w:r w:rsidR="00C256B0" w:rsidRPr="001A7674">
        <w:rPr>
          <w:rFonts w:eastAsia="MS Mincho"/>
          <w:w w:val="105"/>
          <w:szCs w:val="22"/>
        </w:rPr>
        <w:t>Compliant</w:t>
      </w:r>
    </w:p>
    <w:p w14:paraId="5E523595" w14:textId="77777777" w:rsidR="00C256B0" w:rsidRPr="001A7674" w:rsidRDefault="00C256B0" w:rsidP="00C256B0">
      <w:r w:rsidRPr="001A7674">
        <w:t xml:space="preserve">Assessment Rating: </w:t>
      </w:r>
      <w:r>
        <w:rPr>
          <w:w w:val="105"/>
          <w:szCs w:val="22"/>
        </w:rPr>
        <w:t>Good Practice</w:t>
      </w:r>
    </w:p>
    <w:p w14:paraId="12DE6D8C" w14:textId="77777777" w:rsidR="00C256B0" w:rsidRPr="001A7674" w:rsidRDefault="00C256B0" w:rsidP="00C256B0">
      <w:r w:rsidRPr="00DC6355">
        <w:t xml:space="preserve">PIR Required: </w:t>
      </w:r>
      <w:r w:rsidRPr="00DC6355">
        <w:rPr>
          <w:rFonts w:eastAsia="MS Mincho"/>
          <w:w w:val="105"/>
          <w:szCs w:val="22"/>
        </w:rPr>
        <w:t>No</w:t>
      </w:r>
    </w:p>
    <w:p w14:paraId="7A1D5438" w14:textId="77777777" w:rsidR="00C256B0" w:rsidRDefault="00C256B0" w:rsidP="00C256B0">
      <w:r w:rsidRPr="001A7674">
        <w:t>Regulatory Burden: N/A</w:t>
      </w:r>
    </w:p>
    <w:p w14:paraId="5234E9AB" w14:textId="350B33FF" w:rsidR="00C256B0" w:rsidRDefault="00C256B0" w:rsidP="00C256B0">
      <w:pPr>
        <w:rPr>
          <w:shd w:val="clear" w:color="auto" w:fill="FFFFFF"/>
        </w:rPr>
      </w:pPr>
      <w:r>
        <w:rPr>
          <w:shd w:val="clear" w:color="auto" w:fill="FFFFFF"/>
        </w:rPr>
        <w:t xml:space="preserve">The </w:t>
      </w:r>
      <w:r w:rsidR="006C0042">
        <w:rPr>
          <w:shd w:val="clear" w:color="auto" w:fill="FFFFFF"/>
        </w:rPr>
        <w:t>Impact Analysis</w:t>
      </w:r>
      <w:r>
        <w:rPr>
          <w:shd w:val="clear" w:color="auto" w:fill="FFFFFF"/>
        </w:rPr>
        <w:t xml:space="preserve"> (</w:t>
      </w:r>
      <w:r w:rsidR="006C0042">
        <w:rPr>
          <w:shd w:val="clear" w:color="auto" w:fill="FFFFFF"/>
        </w:rPr>
        <w:t>IA</w:t>
      </w:r>
      <w:r>
        <w:rPr>
          <w:shd w:val="clear" w:color="auto" w:fill="FFFFFF"/>
        </w:rPr>
        <w:t>) identifies a number of inefficiencies in existing pricing arrangements for holders of radio</w:t>
      </w:r>
      <w:r w:rsidR="00A16215">
        <w:rPr>
          <w:shd w:val="clear" w:color="auto" w:fill="FFFFFF"/>
        </w:rPr>
        <w:t xml:space="preserve"> </w:t>
      </w:r>
      <w:r>
        <w:rPr>
          <w:shd w:val="clear" w:color="auto" w:fill="FFFFFF"/>
        </w:rPr>
        <w:t>communications apparatus licences, following recommendations from the Spectrum Pricing Review (SPR) made by the Department of Infrastructure, Transport, Regional Development and Communications. The SPR was endorsed by the then government in February 2018.</w:t>
      </w:r>
      <w:r>
        <w:br/>
      </w:r>
      <w:r>
        <w:rPr>
          <w:shd w:val="clear" w:color="auto" w:fill="FFFFFF"/>
        </w:rPr>
        <w:t xml:space="preserve">This </w:t>
      </w:r>
      <w:r w:rsidR="006C0042">
        <w:rPr>
          <w:shd w:val="clear" w:color="auto" w:fill="FFFFFF"/>
        </w:rPr>
        <w:t>IA</w:t>
      </w:r>
      <w:r>
        <w:rPr>
          <w:shd w:val="clear" w:color="auto" w:fill="FFFFFF"/>
        </w:rPr>
        <w:t xml:space="preserve"> extends on the implementation of reforms under the 1st tranche of the Spectrum Pricing Review in June 2021. An independent re</w:t>
      </w:r>
      <w:r w:rsidR="006C0042">
        <w:rPr>
          <w:shd w:val="clear" w:color="auto" w:fill="FFFFFF"/>
        </w:rPr>
        <w:t xml:space="preserve">view was certified in lieu of an IA </w:t>
      </w:r>
      <w:r>
        <w:rPr>
          <w:shd w:val="clear" w:color="auto" w:fill="FFFFFF"/>
        </w:rPr>
        <w:t>regarding the 1st tranche of the review.</w:t>
      </w:r>
      <w:r>
        <w:br/>
      </w:r>
      <w:r>
        <w:br/>
      </w:r>
      <w:r>
        <w:rPr>
          <w:shd w:val="clear" w:color="auto" w:fill="FFFFFF"/>
        </w:rPr>
        <w:t xml:space="preserve">The </w:t>
      </w:r>
      <w:r w:rsidR="006C0042">
        <w:rPr>
          <w:shd w:val="clear" w:color="auto" w:fill="FFFFFF"/>
        </w:rPr>
        <w:t>IA</w:t>
      </w:r>
      <w:r>
        <w:rPr>
          <w:shd w:val="clear" w:color="auto" w:fill="FFFFFF"/>
        </w:rPr>
        <w:t xml:space="preserve"> proposes that the preferred option is to update the pricing formula to better reflect current demand with the intention to smooth demand across spectrum locations and geographic locations.</w:t>
      </w:r>
    </w:p>
    <w:p w14:paraId="2FB76C89" w14:textId="77777777" w:rsidR="00E23560" w:rsidRPr="00E23560" w:rsidRDefault="00E23560" w:rsidP="00E23560">
      <w:pPr>
        <w:pStyle w:val="Heading3"/>
      </w:pPr>
      <w:bookmarkStart w:id="59" w:name="_Toc200111094"/>
      <w:r w:rsidRPr="00E23560">
        <w:t>3.4-4 GHz remote allocation of area-wide licences</w:t>
      </w:r>
      <w:bookmarkEnd w:id="59"/>
      <w:r w:rsidRPr="00E23560">
        <w:t xml:space="preserve"> </w:t>
      </w:r>
    </w:p>
    <w:p w14:paraId="61198EAB" w14:textId="75754A7C" w:rsidR="00E23560" w:rsidRPr="001A7674" w:rsidRDefault="00E23560" w:rsidP="00E23560">
      <w:r>
        <w:t xml:space="preserve">IA </w:t>
      </w:r>
      <w:r w:rsidRPr="001A7674">
        <w:t xml:space="preserve">Status: </w:t>
      </w:r>
      <w:r w:rsidRPr="001A7674">
        <w:rPr>
          <w:rFonts w:eastAsia="MS Mincho"/>
          <w:w w:val="105"/>
          <w:szCs w:val="22"/>
        </w:rPr>
        <w:t>Compliant</w:t>
      </w:r>
    </w:p>
    <w:p w14:paraId="2C8323F8" w14:textId="787B45DE" w:rsidR="00E23560" w:rsidRPr="001A7674" w:rsidRDefault="00E23560" w:rsidP="00E23560">
      <w:r w:rsidRPr="001A7674">
        <w:t xml:space="preserve">Assessment Rating: </w:t>
      </w:r>
      <w:r>
        <w:rPr>
          <w:w w:val="105"/>
          <w:szCs w:val="22"/>
        </w:rPr>
        <w:t>Adequate</w:t>
      </w:r>
    </w:p>
    <w:p w14:paraId="3E079F82" w14:textId="7A5DF199" w:rsidR="00E23560" w:rsidRPr="001A7674" w:rsidRDefault="00E23560" w:rsidP="00E23560">
      <w:r w:rsidRPr="00DC6355">
        <w:t xml:space="preserve">PIR Required: </w:t>
      </w:r>
      <w:r w:rsidR="00EE4752">
        <w:rPr>
          <w:rFonts w:eastAsia="MS Mincho"/>
          <w:w w:val="105"/>
          <w:szCs w:val="22"/>
        </w:rPr>
        <w:t>No</w:t>
      </w:r>
    </w:p>
    <w:p w14:paraId="457F23D4" w14:textId="77777777" w:rsidR="00E23560" w:rsidRDefault="00E23560" w:rsidP="00E23560">
      <w:r w:rsidRPr="001A7674">
        <w:t>Regulatory Burden: N/A</w:t>
      </w:r>
    </w:p>
    <w:p w14:paraId="60E4CEC6" w14:textId="77777777" w:rsidR="00E23560" w:rsidRPr="00E23560" w:rsidRDefault="00E23560" w:rsidP="00E23560">
      <w:pPr>
        <w:rPr>
          <w:shd w:val="clear" w:color="auto" w:fill="FFFFFF"/>
        </w:rPr>
      </w:pPr>
      <w:bookmarkStart w:id="60" w:name="_Toc122424425"/>
      <w:r w:rsidRPr="00E23560">
        <w:rPr>
          <w:shd w:val="clear" w:color="auto" w:fill="FFFFFF"/>
        </w:rPr>
        <w:t xml:space="preserve">Demand for spectrum in the 3.4 - 4.0 GHz band from local area wireless broadband services in remote areas is expected to grow. This demand arises in smaller, localised areas (such as from wireless internet service providers) and in business enterprise services operated by private entities on their own premises or estate (such as a hospital or industrial facility). While the Australian Communications and Media Authority (ACMA) can facilitate these services using ‘service-specific’ apparatus licences, this does not provide flexibility to use this spectrum for a variety of services, uses, applications and technologies. </w:t>
      </w:r>
    </w:p>
    <w:p w14:paraId="483B1B64" w14:textId="77777777" w:rsidR="00E23560" w:rsidRDefault="00E23560" w:rsidP="00E23560">
      <w:pPr>
        <w:rPr>
          <w:shd w:val="clear" w:color="auto" w:fill="FFFFFF"/>
        </w:rPr>
      </w:pPr>
      <w:r w:rsidRPr="00E23560">
        <w:rPr>
          <w:shd w:val="clear" w:color="auto" w:fill="FFFFFF"/>
        </w:rPr>
        <w:t xml:space="preserve">To accommodate expected demand, the ACMA would introduce area-wide licences (AWLs). An AWL is more flexible than existing licences as it can be designed to fit the needs of a range of service types and does not tie licensees to specific site locations, topologies or exact technical parameters. Introducing AWLs in remote areas to the 3.4-4GHz band requires regulatory changes to the Radiocommunications (Area-Wide Licences) Licence Conditions Determination 2020 and the Radiocommunications (Transmitter Licence Tax) Determination 2015.  </w:t>
      </w:r>
    </w:p>
    <w:p w14:paraId="52F532BE" w14:textId="45EDA0B5" w:rsidR="00B027A8" w:rsidRPr="00E23560" w:rsidRDefault="00B027A8" w:rsidP="00E23560">
      <w:pPr>
        <w:pStyle w:val="Heading2"/>
      </w:pPr>
      <w:bookmarkStart w:id="61" w:name="_Toc200111095"/>
      <w:r w:rsidRPr="00E23560">
        <w:lastRenderedPageBreak/>
        <w:t>Australian Prudential Regulation Authority</w:t>
      </w:r>
      <w:bookmarkEnd w:id="60"/>
      <w:bookmarkEnd w:id="61"/>
    </w:p>
    <w:p w14:paraId="23A872E6" w14:textId="77777777" w:rsidR="00C256B0" w:rsidRDefault="00C256B0" w:rsidP="00C256B0">
      <w:pPr>
        <w:pStyle w:val="Heading3"/>
        <w:rPr>
          <w:rFonts w:eastAsia="MS Mincho"/>
        </w:rPr>
      </w:pPr>
      <w:bookmarkStart w:id="62" w:name="_Toc122424426"/>
      <w:bookmarkStart w:id="63" w:name="_Toc200111096"/>
      <w:r w:rsidRPr="00C256B0">
        <w:rPr>
          <w:rFonts w:eastAsia="MS Mincho"/>
        </w:rPr>
        <w:t>Review of Prudential Standard APS 111 Capital Adequacy</w:t>
      </w:r>
      <w:bookmarkEnd w:id="62"/>
      <w:bookmarkEnd w:id="63"/>
    </w:p>
    <w:p w14:paraId="104CAD29" w14:textId="5A3D4C3B" w:rsidR="002B3A70" w:rsidRPr="002B3A70" w:rsidRDefault="006B3940" w:rsidP="00E745F5">
      <w:r>
        <w:t xml:space="preserve">IA </w:t>
      </w:r>
      <w:r w:rsidR="002B3A70" w:rsidRPr="002B3A70">
        <w:t xml:space="preserve">Status: </w:t>
      </w:r>
      <w:r w:rsidR="002B3A70" w:rsidRPr="002B3A70">
        <w:rPr>
          <w:rFonts w:eastAsia="MS Mincho"/>
          <w:w w:val="105"/>
          <w:szCs w:val="22"/>
        </w:rPr>
        <w:t>Compliant</w:t>
      </w:r>
    </w:p>
    <w:p w14:paraId="689BBBEF" w14:textId="77777777" w:rsidR="002B3A70" w:rsidRPr="002B3A70" w:rsidRDefault="002B3A70" w:rsidP="00E8522F">
      <w:r w:rsidRPr="002B3A70">
        <w:t xml:space="preserve">Assessment Rating: </w:t>
      </w:r>
      <w:r w:rsidRPr="002B3A70">
        <w:rPr>
          <w:w w:val="105"/>
          <w:szCs w:val="22"/>
        </w:rPr>
        <w:t>Independent review</w:t>
      </w:r>
    </w:p>
    <w:p w14:paraId="3985A8F3" w14:textId="77777777" w:rsidR="002B3A70" w:rsidRPr="002B3A70" w:rsidRDefault="002B3A70" w:rsidP="00E8522F">
      <w:r w:rsidRPr="00724D88">
        <w:t>PIR Required: No</w:t>
      </w:r>
    </w:p>
    <w:p w14:paraId="57AF460C" w14:textId="77777777" w:rsidR="002B3A70" w:rsidRPr="002B3A70" w:rsidRDefault="002B3A70" w:rsidP="00E8522F">
      <w:r w:rsidRPr="002B3A70">
        <w:t xml:space="preserve">Regulatory Burden: </w:t>
      </w:r>
      <w:r w:rsidR="00C256B0">
        <w:rPr>
          <w:rFonts w:eastAsia="MS Mincho"/>
          <w:spacing w:val="-3"/>
          <w:szCs w:val="22"/>
        </w:rPr>
        <w:t>$0.74 million</w:t>
      </w:r>
    </w:p>
    <w:p w14:paraId="7A1F170B" w14:textId="77777777" w:rsidR="00C256B0" w:rsidRPr="00C256B0" w:rsidRDefault="00C256B0" w:rsidP="00C256B0">
      <w:r w:rsidRPr="00C256B0">
        <w:t>On 5 August 2021, the Australian Prudential Regulation Authority (APRA) announced a final revised Prudential Standard APS 111 Capital Adequacy: Measurement of Capital (APS 111).</w:t>
      </w:r>
    </w:p>
    <w:p w14:paraId="15C3F54A" w14:textId="68A7B80F" w:rsidR="00C256B0" w:rsidRDefault="00C256B0" w:rsidP="00C256B0">
      <w:r w:rsidRPr="00C256B0">
        <w:t>The updates to the Prudential Standard on capital adequacy are designed to reinforce financial system resilience, promote simple and transparent capital issuance through removing the allowance for the use of special purpose vehicles (SPVs) in regulatory capital issuance, and clarify aspects of APS 111 to assist Authorised Deposit-Taking Institutions issue capital instruments.</w:t>
      </w:r>
    </w:p>
    <w:p w14:paraId="2F611168" w14:textId="77777777" w:rsidR="00A45118" w:rsidRDefault="00A45118" w:rsidP="00A45118">
      <w:pPr>
        <w:pStyle w:val="Heading3"/>
        <w:rPr>
          <w:rFonts w:eastAsia="MS Mincho"/>
        </w:rPr>
      </w:pPr>
      <w:bookmarkStart w:id="64" w:name="_Toc122424427"/>
      <w:bookmarkStart w:id="65" w:name="_Toc200111097"/>
      <w:r w:rsidRPr="00A45118">
        <w:rPr>
          <w:rFonts w:eastAsia="MS Mincho"/>
        </w:rPr>
        <w:t>Certification of APRA’s Review of the Private Health Insurance Capital Framework</w:t>
      </w:r>
      <w:bookmarkEnd w:id="64"/>
      <w:bookmarkEnd w:id="65"/>
    </w:p>
    <w:p w14:paraId="2D5172B3" w14:textId="38C9C396" w:rsidR="00A45118" w:rsidRPr="00A45118" w:rsidRDefault="00A45118" w:rsidP="00E745F5">
      <w:r w:rsidRPr="00A45118">
        <w:t>IA Status: Compliant</w:t>
      </w:r>
    </w:p>
    <w:p w14:paraId="28AA0675" w14:textId="77777777" w:rsidR="00A45118" w:rsidRPr="002B3A70" w:rsidRDefault="00A45118" w:rsidP="00E745F5">
      <w:r w:rsidRPr="002B3A70">
        <w:t xml:space="preserve">Assessment Rating: </w:t>
      </w:r>
      <w:r w:rsidRPr="002B3A70">
        <w:rPr>
          <w:w w:val="105"/>
          <w:szCs w:val="22"/>
        </w:rPr>
        <w:t>Independent review</w:t>
      </w:r>
    </w:p>
    <w:p w14:paraId="1DC690A5" w14:textId="0D07EAC9" w:rsidR="00A45118" w:rsidRPr="002B3A70" w:rsidRDefault="00A45118" w:rsidP="00E745F5">
      <w:r w:rsidRPr="00724D88">
        <w:t xml:space="preserve">PIR Required: </w:t>
      </w:r>
      <w:r w:rsidR="00C77476">
        <w:t>No</w:t>
      </w:r>
    </w:p>
    <w:p w14:paraId="65A7D11F" w14:textId="63696069" w:rsidR="00A45118" w:rsidRPr="002B3A70" w:rsidRDefault="00A45118" w:rsidP="00E745F5">
      <w:r w:rsidRPr="002B3A70">
        <w:t xml:space="preserve">Regulatory Burden: </w:t>
      </w:r>
      <w:r>
        <w:rPr>
          <w:rFonts w:eastAsia="MS Mincho"/>
          <w:spacing w:val="-3"/>
          <w:szCs w:val="22"/>
        </w:rPr>
        <w:t>$1.8 million</w:t>
      </w:r>
    </w:p>
    <w:p w14:paraId="2113838B" w14:textId="53A7BE11" w:rsidR="00A82D8D" w:rsidRDefault="00A82D8D" w:rsidP="00A82D8D">
      <w:r w:rsidRPr="00A82D8D">
        <w:t>On 27 September 2022, the Australian Prudential Regulation Authority (APRA) announced that it had finalised the capital framework for private health insurers.</w:t>
      </w:r>
      <w:r>
        <w:t xml:space="preserve"> </w:t>
      </w:r>
      <w:r w:rsidRPr="00A82D8D">
        <w:t>The new framework is designed to enhance policyholder protection by ensuring that private health insurers maintain an appropriate level of financial resilience. The new prudential standards better reflect the risks faced by insurers, improve comparability across insurers and align with international best practice. The new standards also align with the introduction of new accounting standards for insurance AASB 17 Insurance Contracts. The framework takes effect from 1 July 2023.</w:t>
      </w:r>
    </w:p>
    <w:p w14:paraId="7779FF80" w14:textId="5EC76465" w:rsidR="00096142" w:rsidRDefault="00096142" w:rsidP="00096142">
      <w:pPr>
        <w:pStyle w:val="Heading2"/>
        <w:rPr>
          <w:noProof/>
        </w:rPr>
      </w:pPr>
      <w:bookmarkStart w:id="66" w:name="_Toc122424428"/>
      <w:bookmarkStart w:id="67" w:name="_Toc200111098"/>
      <w:r>
        <w:rPr>
          <w:noProof/>
        </w:rPr>
        <w:t>Australian Securities and Investment Commission</w:t>
      </w:r>
      <w:bookmarkEnd w:id="67"/>
    </w:p>
    <w:p w14:paraId="2DE9A0B7" w14:textId="1C4566C9" w:rsidR="00096142" w:rsidRDefault="00096142" w:rsidP="00096142">
      <w:pPr>
        <w:pStyle w:val="Heading3"/>
      </w:pPr>
      <w:bookmarkStart w:id="68" w:name="_Toc200111099"/>
      <w:r w:rsidRPr="00096142">
        <w:t>Updating the ASIC Derivative Transaction Rules (Reporting) 2013</w:t>
      </w:r>
      <w:bookmarkEnd w:id="68"/>
      <w:r w:rsidRPr="00096142">
        <w:t> </w:t>
      </w:r>
    </w:p>
    <w:p w14:paraId="2A0184B2" w14:textId="77777777" w:rsidR="00096142" w:rsidRPr="00A45118" w:rsidRDefault="00096142" w:rsidP="00350AEB">
      <w:r w:rsidRPr="00A45118">
        <w:t>IA Status: Compliant</w:t>
      </w:r>
    </w:p>
    <w:p w14:paraId="174C5E1C" w14:textId="77777777" w:rsidR="00096142" w:rsidRPr="002B3A70" w:rsidRDefault="00096142" w:rsidP="00350AEB">
      <w:r w:rsidRPr="002B3A70">
        <w:t xml:space="preserve">Assessment Rating: </w:t>
      </w:r>
      <w:r>
        <w:rPr>
          <w:w w:val="105"/>
          <w:szCs w:val="22"/>
        </w:rPr>
        <w:t>Independent Review</w:t>
      </w:r>
    </w:p>
    <w:p w14:paraId="67C3098C" w14:textId="77777777" w:rsidR="00096142" w:rsidRPr="002B3A70" w:rsidRDefault="00096142" w:rsidP="00350AEB">
      <w:r w:rsidRPr="00724D88">
        <w:t xml:space="preserve">PIR Required: </w:t>
      </w:r>
      <w:r w:rsidRPr="002244CB">
        <w:t>No</w:t>
      </w:r>
    </w:p>
    <w:p w14:paraId="40523499" w14:textId="54EAE345" w:rsidR="00096142" w:rsidRPr="002B3A70" w:rsidRDefault="00096142" w:rsidP="00350AEB">
      <w:r w:rsidRPr="002B3A70">
        <w:t xml:space="preserve">Regulatory Burden: </w:t>
      </w:r>
      <w:r>
        <w:rPr>
          <w:rFonts w:eastAsia="MS Mincho"/>
          <w:spacing w:val="-3"/>
          <w:szCs w:val="22"/>
        </w:rPr>
        <w:t>$3.7 million</w:t>
      </w:r>
    </w:p>
    <w:p w14:paraId="0C601312" w14:textId="77777777" w:rsidR="00096142" w:rsidRPr="00096142" w:rsidRDefault="00096142" w:rsidP="00350AEB">
      <w:r w:rsidRPr="00096142">
        <w:lastRenderedPageBreak/>
        <w:t>To update the Rules in line with Australia’s Group of Twenty (G20) commitments and the expectations of the Financial Stability Board so that they are:</w:t>
      </w:r>
    </w:p>
    <w:p w14:paraId="094E1A81" w14:textId="77777777" w:rsidR="00096142" w:rsidRPr="00096142" w:rsidRDefault="00096142" w:rsidP="00350AEB">
      <w:pPr>
        <w:pStyle w:val="ListParagraph"/>
        <w:numPr>
          <w:ilvl w:val="0"/>
          <w:numId w:val="24"/>
        </w:numPr>
      </w:pPr>
      <w:r w:rsidRPr="00096142">
        <w:t>harmonised to international standards resulting in reduced cost and complexity for industry, improved data quality for the Australian regulators, more comprehensive and fit-for-purpose trade details and improved inter-jurisdictional data handling</w:t>
      </w:r>
    </w:p>
    <w:p w14:paraId="145B69EF" w14:textId="77777777" w:rsidR="00096142" w:rsidRPr="00096142" w:rsidRDefault="00096142" w:rsidP="00350AEB">
      <w:pPr>
        <w:pStyle w:val="ListParagraph"/>
        <w:numPr>
          <w:ilvl w:val="0"/>
          <w:numId w:val="24"/>
        </w:numPr>
      </w:pPr>
      <w:r w:rsidRPr="00096142">
        <w:t>simplified by the removal of outdated transitional provisions and consolidation of exemptions within the Rules</w:t>
      </w:r>
    </w:p>
    <w:p w14:paraId="3FBD9512" w14:textId="77777777" w:rsidR="00096142" w:rsidRDefault="00096142" w:rsidP="00350AEB">
      <w:pPr>
        <w:pStyle w:val="ListParagraph"/>
        <w:numPr>
          <w:ilvl w:val="0"/>
          <w:numId w:val="24"/>
        </w:numPr>
      </w:pPr>
      <w:r w:rsidRPr="00096142">
        <w:t>fit-for-purpose as to the scope of reporting entities, derivative products and lifecycle transaction events that are subject to the Rules and clear as to the roles and responsibilities of entities submitting derivative transaction reports.</w:t>
      </w:r>
    </w:p>
    <w:p w14:paraId="1FC7F561" w14:textId="09F417F1" w:rsidR="004C567E" w:rsidRPr="004C567E" w:rsidRDefault="004C567E" w:rsidP="004C567E">
      <w:pPr>
        <w:pStyle w:val="Heading2"/>
      </w:pPr>
      <w:bookmarkStart w:id="69" w:name="_Toc200111100"/>
      <w:r w:rsidRPr="004C567E">
        <w:t>Department of Agriculture, Fisheries and Forestry</w:t>
      </w:r>
      <w:bookmarkEnd w:id="69"/>
    </w:p>
    <w:p w14:paraId="551D3C11" w14:textId="1EBA6C1A" w:rsidR="004C567E" w:rsidRPr="004C567E" w:rsidRDefault="004C567E" w:rsidP="004C567E">
      <w:pPr>
        <w:pStyle w:val="Heading3"/>
      </w:pPr>
      <w:bookmarkStart w:id="70" w:name="_Toc200111101"/>
      <w:r w:rsidRPr="004C567E">
        <w:t>Biosecurity sustainable funding submission</w:t>
      </w:r>
      <w:bookmarkEnd w:id="70"/>
    </w:p>
    <w:p w14:paraId="5D9629FF" w14:textId="77777777" w:rsidR="004C567E" w:rsidRPr="00A45118" w:rsidRDefault="004C567E" w:rsidP="004C567E">
      <w:r w:rsidRPr="00A45118">
        <w:t>IA Status: Compliant</w:t>
      </w:r>
    </w:p>
    <w:p w14:paraId="64D602F6" w14:textId="3697C6BA" w:rsidR="004C567E" w:rsidRPr="002B3A70" w:rsidRDefault="004C567E" w:rsidP="004C567E">
      <w:r w:rsidRPr="002B3A70">
        <w:t xml:space="preserve">Assessment Rating: </w:t>
      </w:r>
      <w:r>
        <w:rPr>
          <w:w w:val="105"/>
          <w:szCs w:val="22"/>
        </w:rPr>
        <w:t>Adequate</w:t>
      </w:r>
    </w:p>
    <w:p w14:paraId="013C83B8" w14:textId="3DC9BF5A" w:rsidR="004C567E" w:rsidRPr="002B3A70" w:rsidRDefault="004C567E" w:rsidP="004C567E">
      <w:r w:rsidRPr="00724D88">
        <w:t xml:space="preserve">PIR Required: </w:t>
      </w:r>
      <w:r w:rsidR="000244FE">
        <w:t>No</w:t>
      </w:r>
    </w:p>
    <w:p w14:paraId="0995CFFC" w14:textId="5B599DC8" w:rsidR="004C567E" w:rsidRPr="002B3A70" w:rsidRDefault="004C567E" w:rsidP="004C567E">
      <w:r w:rsidRPr="002B3A70">
        <w:t xml:space="preserve">Regulatory Burden: </w:t>
      </w:r>
      <w:r>
        <w:rPr>
          <w:rFonts w:eastAsia="MS Mincho"/>
          <w:spacing w:val="-3"/>
          <w:szCs w:val="22"/>
        </w:rPr>
        <w:t>$1 million</w:t>
      </w:r>
    </w:p>
    <w:p w14:paraId="1E05AF7D" w14:textId="759E5BB4" w:rsidR="004C567E" w:rsidRDefault="004C567E" w:rsidP="004C567E">
      <w:r>
        <w:t>An open public consultation process obtained feedback on what sustainable funding and resourcing for Australia’s biosecurity system might look like. Stakeholders</w:t>
      </w:r>
      <w:r w:rsidR="00440B45">
        <w:t>’</w:t>
      </w:r>
      <w:r>
        <w:t xml:space="preserve"> views were incorporated into implementation considerations. Findings and recommendations of previous reports into the biosecurity system were also considered. </w:t>
      </w:r>
    </w:p>
    <w:p w14:paraId="13A2BC43" w14:textId="71BF9B7E" w:rsidR="00FC10AE" w:rsidRDefault="004C567E" w:rsidP="004C567E">
      <w:r>
        <w:t xml:space="preserve">Both stakeholders and previous biosecurity reports have highlighted the need for more funding avenues for biosecurity.  In response to this, the Department of Agriculture, Fisheries and Forestry (DAFF) developed two revenue proposals. Together, these two new revenue streams would improve the alignment of funding mechanisms to beneficiaries and risk creators while supporting the delivery of a stronger and more sustainably funded biosecurity system. </w:t>
      </w:r>
      <w:bookmarkEnd w:id="66"/>
    </w:p>
    <w:p w14:paraId="22D17A02" w14:textId="77777777" w:rsidR="00993FBF" w:rsidRDefault="00993FBF" w:rsidP="00993FBF">
      <w:pPr>
        <w:pStyle w:val="Heading3"/>
      </w:pPr>
      <w:bookmarkStart w:id="71" w:name="_Toc200111102"/>
      <w:r w:rsidRPr="00993FBF">
        <w:t>Improving illegal logging traceability and timber identification testing</w:t>
      </w:r>
      <w:bookmarkEnd w:id="71"/>
      <w:r w:rsidRPr="00993FBF">
        <w:t xml:space="preserve"> </w:t>
      </w:r>
    </w:p>
    <w:p w14:paraId="6EC11058" w14:textId="646C1E40" w:rsidR="00993FBF" w:rsidRPr="00A45118" w:rsidRDefault="00993FBF" w:rsidP="00993FBF">
      <w:r w:rsidRPr="00A45118">
        <w:t>IA Status: Compliant</w:t>
      </w:r>
    </w:p>
    <w:p w14:paraId="7F9CEC9C" w14:textId="77777777" w:rsidR="00993FBF" w:rsidRPr="002B3A70" w:rsidRDefault="00993FBF" w:rsidP="00993FBF">
      <w:r w:rsidRPr="002B3A70">
        <w:t xml:space="preserve">Assessment Rating: </w:t>
      </w:r>
      <w:r>
        <w:rPr>
          <w:w w:val="105"/>
          <w:szCs w:val="22"/>
        </w:rPr>
        <w:t>Adequate</w:t>
      </w:r>
    </w:p>
    <w:p w14:paraId="422E2B8F" w14:textId="6C70D6A6" w:rsidR="00993FBF" w:rsidRPr="002B3A70" w:rsidRDefault="00993FBF" w:rsidP="00993FBF">
      <w:r w:rsidRPr="00724D88">
        <w:t xml:space="preserve">PIR Required: </w:t>
      </w:r>
      <w:r w:rsidR="00EE4752">
        <w:t>No</w:t>
      </w:r>
    </w:p>
    <w:p w14:paraId="0049F5C7" w14:textId="30289471" w:rsidR="00993FBF" w:rsidRPr="002B3A70" w:rsidRDefault="00993FBF" w:rsidP="00993FBF">
      <w:r w:rsidRPr="002B3A70">
        <w:t xml:space="preserve">Regulatory Burden: </w:t>
      </w:r>
      <w:r>
        <w:rPr>
          <w:rFonts w:eastAsia="MS Mincho"/>
          <w:spacing w:val="-3"/>
          <w:szCs w:val="22"/>
        </w:rPr>
        <w:t>$2.8 million</w:t>
      </w:r>
    </w:p>
    <w:p w14:paraId="22598BB8" w14:textId="77777777" w:rsidR="00993FBF" w:rsidRPr="00993FBF" w:rsidRDefault="00993FBF" w:rsidP="00993FBF">
      <w:bookmarkStart w:id="72" w:name="_Toc122424429"/>
      <w:r w:rsidRPr="00993FBF">
        <w:t xml:space="preserve">Pilot testing suggests that there may still be volumes of illegal timber on the market in Australia, as the species and origin have been incorrectly identified. Under current regulations, verifying if timber was legally </w:t>
      </w:r>
      <w:r w:rsidRPr="00993FBF">
        <w:lastRenderedPageBreak/>
        <w:t>harvested, identifying breaches and taking appropriate and timely action is challenging. This is because due diligence information is provided after timber is imported or processed. It is also difficult to prove that timber was illegally harvested without using timber testing technologies. The current reliance on desktop audits for compliance action can be inefficient and ineffective in some scenarios.</w:t>
      </w:r>
    </w:p>
    <w:p w14:paraId="75384750" w14:textId="3DAFE228" w:rsidR="00993FBF" w:rsidRDefault="00993FBF" w:rsidP="00993FBF">
      <w:r w:rsidRPr="00993FBF">
        <w:t>The department will pursue seven reforms to the legislation to ensure that the illegal logging laws create an efficient regulatory framework in line with international best practice. Amendments to due diligence requirements and the implementation of timber testing technologies, supported by sampling and seizure powers, will support industry and regulators to verify claims about timber species, origin, and legality. This option will also ensure that regulatory impacts do not burden businesses and indi</w:t>
      </w:r>
      <w:r w:rsidR="00EC3C89">
        <w:t>viduals any more than necessary.</w:t>
      </w:r>
    </w:p>
    <w:p w14:paraId="42659091" w14:textId="77777777" w:rsidR="00EC3C89" w:rsidRPr="00EC3C89" w:rsidRDefault="00EC3C89" w:rsidP="00EC3C89">
      <w:pPr>
        <w:pStyle w:val="Heading3"/>
      </w:pPr>
      <w:bookmarkStart w:id="73" w:name="_Toc200111103"/>
      <w:r w:rsidRPr="00EC3C89">
        <w:t>Changes to regulatory charging for biosecurity activities</w:t>
      </w:r>
      <w:bookmarkEnd w:id="73"/>
      <w:r w:rsidRPr="00EC3C89">
        <w:t xml:space="preserve"> </w:t>
      </w:r>
    </w:p>
    <w:p w14:paraId="405B898E" w14:textId="226972CB" w:rsidR="00EC3C89" w:rsidRPr="00A45118" w:rsidRDefault="00EC3C89" w:rsidP="00EC3C89">
      <w:r w:rsidRPr="00A45118">
        <w:t>IA Status: Compliant</w:t>
      </w:r>
    </w:p>
    <w:p w14:paraId="12B8EC0C" w14:textId="54F04968" w:rsidR="00EC3C89" w:rsidRPr="002B3A70" w:rsidRDefault="00EC3C89" w:rsidP="00EC3C89">
      <w:r w:rsidRPr="002B3A70">
        <w:t xml:space="preserve">Assessment Rating: </w:t>
      </w:r>
      <w:r>
        <w:rPr>
          <w:w w:val="105"/>
          <w:szCs w:val="22"/>
        </w:rPr>
        <w:t>Good Practice</w:t>
      </w:r>
    </w:p>
    <w:p w14:paraId="5B444B92" w14:textId="2485FBD9" w:rsidR="00EC3C89" w:rsidRPr="002B3A70" w:rsidRDefault="00EE4752" w:rsidP="00EC3C89">
      <w:r>
        <w:t>PIR Required: No</w:t>
      </w:r>
    </w:p>
    <w:p w14:paraId="6613F741" w14:textId="7F345639" w:rsidR="00EC3C89" w:rsidRPr="002B3A70" w:rsidRDefault="00EC3C89" w:rsidP="00EC3C89">
      <w:r w:rsidRPr="002B3A70">
        <w:t xml:space="preserve">Regulatory Burden: </w:t>
      </w:r>
      <w:r>
        <w:rPr>
          <w:rFonts w:eastAsia="MS Mincho"/>
          <w:spacing w:val="-3"/>
          <w:szCs w:val="22"/>
        </w:rPr>
        <w:t>N/A</w:t>
      </w:r>
    </w:p>
    <w:p w14:paraId="7CD21C00" w14:textId="77777777" w:rsidR="00EC3C89" w:rsidRPr="00EC3C89" w:rsidRDefault="00EC3C89" w:rsidP="00EC3C89">
      <w:r w:rsidRPr="00EC3C89">
        <w:t>Biosecurity activities manage the risk of pests and diseases that threaten Australia’s economy and environment. The Department of Agriculture, Fisheries and Forestry (DAFF) undertakes a range of regulatory activity and recovers the costs associated with this activity to ensure that the Australian biosecurity system remains robust, responsive to emerging risks and enables market access for Australian products.</w:t>
      </w:r>
    </w:p>
    <w:p w14:paraId="5EE7CA6E" w14:textId="77777777" w:rsidR="00EC3C89" w:rsidRPr="00EC3C89" w:rsidRDefault="00EC3C89" w:rsidP="00EC3C89">
      <w:r w:rsidRPr="00EC3C89">
        <w:t>The biosecurity cost recovery arrangement was last reviewed in 2015, prior to the commencement of the Biosecurity Act 2015 and Biosecurity Regulations 2016. Since the 2015 review, both the Australian and global economy have changed significantly and Australia’s biosecurity system has become more complex. These changes have placed pressure on DAFF’s resources and ability to continue to deliver biosecurity activities effectively.</w:t>
      </w:r>
    </w:p>
    <w:p w14:paraId="29F5A09F" w14:textId="77777777" w:rsidR="00EC3C89" w:rsidRPr="00EC3C89" w:rsidRDefault="00EC3C89" w:rsidP="00EC3C89">
      <w:r w:rsidRPr="00EC3C89">
        <w:t>As fees and charges have not kept pace with inflationary pressures, there is now a large gap between the cost of the regulatory activity and recovered revenue. This increasing gap is unsustainable and will impact delivery of existing regulatory activities and DAFF’s ability to manage the risk of pests and diseases entering the country.</w:t>
      </w:r>
    </w:p>
    <w:p w14:paraId="443686CC" w14:textId="77777777" w:rsidR="00FB6AB1" w:rsidRDefault="00FB6AB1">
      <w:pPr>
        <w:spacing w:after="200"/>
        <w:rPr>
          <w:rFonts w:asciiTheme="majorHAnsi" w:eastAsiaTheme="majorEastAsia" w:hAnsiTheme="majorHAnsi" w:cstheme="majorBidi"/>
          <w:color w:val="192D56" w:themeColor="accent1"/>
          <w:sz w:val="32"/>
          <w:szCs w:val="28"/>
        </w:rPr>
      </w:pPr>
      <w:r>
        <w:br w:type="page"/>
      </w:r>
    </w:p>
    <w:p w14:paraId="467847EF" w14:textId="41FA8E6B" w:rsidR="003867CB" w:rsidRDefault="003867CB" w:rsidP="00EC3C89">
      <w:pPr>
        <w:pStyle w:val="Heading2"/>
      </w:pPr>
      <w:bookmarkStart w:id="74" w:name="_Toc200111104"/>
      <w:r w:rsidRPr="003867CB">
        <w:lastRenderedPageBreak/>
        <w:t>Department of Climate Change, Energy, the Environment and Water</w:t>
      </w:r>
      <w:bookmarkEnd w:id="74"/>
    </w:p>
    <w:p w14:paraId="30E738F4" w14:textId="42F830E3" w:rsidR="00FC10AE" w:rsidRPr="00FC10AE" w:rsidRDefault="00FC10AE" w:rsidP="00FC10AE">
      <w:pPr>
        <w:pStyle w:val="Heading3"/>
      </w:pPr>
      <w:bookmarkStart w:id="75" w:name="_Toc200111105"/>
      <w:r w:rsidRPr="00FC10AE">
        <w:t>Certification of Final Report of the EPBC Act Review</w:t>
      </w:r>
      <w:bookmarkEnd w:id="72"/>
      <w:bookmarkEnd w:id="75"/>
    </w:p>
    <w:p w14:paraId="79068B2C" w14:textId="77777777" w:rsidR="00FC10AE" w:rsidRPr="00A45118" w:rsidRDefault="00FC10AE" w:rsidP="00FC10AE">
      <w:r w:rsidRPr="00A45118">
        <w:t>IA Status: Compliant</w:t>
      </w:r>
    </w:p>
    <w:p w14:paraId="0B15FEEA" w14:textId="0859793B" w:rsidR="00FC10AE" w:rsidRPr="002B3A70" w:rsidRDefault="00FC10AE" w:rsidP="00FC10AE">
      <w:r w:rsidRPr="002B3A70">
        <w:t xml:space="preserve">Assessment Rating: </w:t>
      </w:r>
      <w:r w:rsidR="006614B1">
        <w:rPr>
          <w:w w:val="105"/>
          <w:szCs w:val="22"/>
        </w:rPr>
        <w:t>Independent Review</w:t>
      </w:r>
    </w:p>
    <w:p w14:paraId="65E10815" w14:textId="321E4605" w:rsidR="00FC10AE" w:rsidRPr="002B3A70" w:rsidRDefault="00FC10AE" w:rsidP="00FC10AE">
      <w:r w:rsidRPr="00724D88">
        <w:t xml:space="preserve">PIR Required: </w:t>
      </w:r>
      <w:r w:rsidR="00AE5FEF">
        <w:t>No</w:t>
      </w:r>
    </w:p>
    <w:p w14:paraId="05000CDC" w14:textId="77777777" w:rsidR="00FC10AE" w:rsidRPr="002B3A70" w:rsidRDefault="00FC10AE" w:rsidP="00FC10AE">
      <w:r w:rsidRPr="002B3A70">
        <w:t xml:space="preserve">Regulatory Burden: </w:t>
      </w:r>
      <w:r>
        <w:rPr>
          <w:rFonts w:eastAsia="MS Mincho"/>
          <w:spacing w:val="-3"/>
          <w:szCs w:val="22"/>
        </w:rPr>
        <w:t>N/A</w:t>
      </w:r>
    </w:p>
    <w:p w14:paraId="29EA6A37" w14:textId="77777777" w:rsidR="006614B1" w:rsidRDefault="006614B1" w:rsidP="006614B1">
      <w:r>
        <w:t>On 8 December 2022 Minister Plibersek released the Australian Government response to the Samuel Review, Nature Positive Plan: better for the environment, better for business. The Nature Positive Plan fully responds to the recommendations of the Samuel Review, and sets out the government’s commitment to reform Australia’s environment laws to better protect, restore and manage the environment.</w:t>
      </w:r>
    </w:p>
    <w:p w14:paraId="0EE0A624" w14:textId="1D6A5A32" w:rsidR="00FC10AE" w:rsidRPr="00FC10AE" w:rsidRDefault="006614B1" w:rsidP="006614B1">
      <w:r>
        <w:t>Key reforms include: delivering National Environmental Standards, improving environmental data and information, progressing regional planning, improving conservation planning, reform of approaches to environmental offsets and enhancing First Nations partnerships to give First Nations peoples a stronger voice in our system of environmental protection.</w:t>
      </w:r>
    </w:p>
    <w:p w14:paraId="3CD4AA5C" w14:textId="7E17C15F" w:rsidR="003058F5" w:rsidRDefault="003058F5" w:rsidP="003058F5">
      <w:pPr>
        <w:pStyle w:val="Heading3"/>
        <w:rPr>
          <w:noProof/>
        </w:rPr>
      </w:pPr>
      <w:bookmarkStart w:id="76" w:name="_Toc122424430"/>
      <w:bookmarkStart w:id="77" w:name="_Toc200111106"/>
      <w:r w:rsidRPr="003058F5">
        <w:rPr>
          <w:noProof/>
        </w:rPr>
        <w:t>Options for Energy Price Relief</w:t>
      </w:r>
      <w:bookmarkEnd w:id="76"/>
      <w:bookmarkEnd w:id="77"/>
    </w:p>
    <w:p w14:paraId="7B97FC0B" w14:textId="77777777" w:rsidR="003058F5" w:rsidRPr="00A45118" w:rsidRDefault="003058F5" w:rsidP="003058F5">
      <w:r w:rsidRPr="00A45118">
        <w:t>IA Status: Compliant</w:t>
      </w:r>
    </w:p>
    <w:p w14:paraId="10AD29F6" w14:textId="038B3B0D" w:rsidR="003058F5" w:rsidRPr="002B3A70" w:rsidRDefault="003058F5" w:rsidP="003058F5">
      <w:r w:rsidRPr="002B3A70">
        <w:t xml:space="preserve">Assessment Rating: </w:t>
      </w:r>
      <w:r>
        <w:rPr>
          <w:w w:val="105"/>
          <w:szCs w:val="22"/>
        </w:rPr>
        <w:t>Adequate</w:t>
      </w:r>
    </w:p>
    <w:p w14:paraId="5E2F6E80" w14:textId="7E0DD9E7" w:rsidR="003058F5" w:rsidRPr="002B3A70" w:rsidRDefault="003058F5" w:rsidP="003058F5">
      <w:r w:rsidRPr="00724D88">
        <w:t xml:space="preserve">PIR Required: </w:t>
      </w:r>
      <w:r w:rsidR="00C77476">
        <w:t>Yes</w:t>
      </w:r>
    </w:p>
    <w:p w14:paraId="3179A9A1" w14:textId="77777777" w:rsidR="00C77476" w:rsidRDefault="003058F5" w:rsidP="003058F5">
      <w:pPr>
        <w:rPr>
          <w:rFonts w:eastAsia="MS Mincho"/>
          <w:spacing w:val="-3"/>
          <w:szCs w:val="22"/>
        </w:rPr>
      </w:pPr>
      <w:r w:rsidRPr="003058F5">
        <w:rPr>
          <w:szCs w:val="22"/>
        </w:rPr>
        <w:t xml:space="preserve">Regulatory Burden: </w:t>
      </w:r>
      <w:r w:rsidRPr="003058F5">
        <w:rPr>
          <w:rFonts w:eastAsia="MS Mincho"/>
          <w:spacing w:val="-3"/>
          <w:szCs w:val="22"/>
        </w:rPr>
        <w:t>$0.96 million</w:t>
      </w:r>
      <w:r w:rsidR="00C77476">
        <w:rPr>
          <w:rFonts w:eastAsia="MS Mincho"/>
          <w:spacing w:val="-3"/>
          <w:szCs w:val="22"/>
        </w:rPr>
        <w:t>.</w:t>
      </w:r>
    </w:p>
    <w:p w14:paraId="5CC7C7BF" w14:textId="5C8D3D68" w:rsidR="003058F5" w:rsidRPr="003058F5" w:rsidRDefault="003058F5" w:rsidP="003058F5">
      <w:pPr>
        <w:rPr>
          <w:szCs w:val="22"/>
        </w:rPr>
      </w:pPr>
      <w:r w:rsidRPr="003058F5">
        <w:rPr>
          <w:szCs w:val="22"/>
        </w:rPr>
        <w:t>On 9 December 2022 the Prime Minister announced a combination of three Commonwealth responses to address the problem:</w:t>
      </w:r>
    </w:p>
    <w:p w14:paraId="74ED882F" w14:textId="77777777" w:rsidR="003058F5" w:rsidRPr="003058F5" w:rsidRDefault="003058F5" w:rsidP="003058F5">
      <w:pPr>
        <w:pStyle w:val="ListParagraph"/>
        <w:numPr>
          <w:ilvl w:val="0"/>
          <w:numId w:val="22"/>
        </w:numPr>
        <w:rPr>
          <w:szCs w:val="22"/>
        </w:rPr>
      </w:pPr>
      <w:r w:rsidRPr="003058F5">
        <w:rPr>
          <w:szCs w:val="22"/>
        </w:rPr>
        <w:t>Introducing a mandatory code of conduct for the wholesale gas market that includes a reasonable pricing provision</w:t>
      </w:r>
    </w:p>
    <w:p w14:paraId="578E5933" w14:textId="77777777" w:rsidR="003058F5" w:rsidRPr="003058F5" w:rsidRDefault="003058F5" w:rsidP="003058F5">
      <w:pPr>
        <w:pStyle w:val="ListParagraph"/>
        <w:numPr>
          <w:ilvl w:val="0"/>
          <w:numId w:val="22"/>
        </w:numPr>
        <w:rPr>
          <w:szCs w:val="22"/>
        </w:rPr>
      </w:pPr>
      <w:r w:rsidRPr="003058F5">
        <w:rPr>
          <w:szCs w:val="22"/>
        </w:rPr>
        <w:t>Introducing a temporary 12-month gas price cap</w:t>
      </w:r>
    </w:p>
    <w:p w14:paraId="7D6F1B39" w14:textId="178D30A1" w:rsidR="003058F5" w:rsidRPr="00E90024" w:rsidRDefault="003058F5" w:rsidP="003058F5">
      <w:pPr>
        <w:pStyle w:val="ListParagraph"/>
        <w:numPr>
          <w:ilvl w:val="0"/>
          <w:numId w:val="22"/>
        </w:numPr>
        <w:rPr>
          <w:rFonts w:asciiTheme="majorHAnsi" w:eastAsiaTheme="majorEastAsia" w:hAnsiTheme="majorHAnsi" w:cstheme="majorBidi"/>
          <w:noProof/>
          <w:color w:val="192D56" w:themeColor="accent1"/>
          <w:szCs w:val="22"/>
        </w:rPr>
      </w:pPr>
      <w:r w:rsidRPr="003058F5">
        <w:rPr>
          <w:szCs w:val="22"/>
        </w:rPr>
        <w:t>Bringing forward commencement of reforms to the Australian Domestic Gas Security Mechanism (ADGSM)</w:t>
      </w:r>
      <w:r w:rsidRPr="003058F5">
        <w:rPr>
          <w:noProof/>
          <w:szCs w:val="22"/>
        </w:rPr>
        <w:t xml:space="preserve"> </w:t>
      </w:r>
    </w:p>
    <w:p w14:paraId="19133032" w14:textId="77777777" w:rsidR="00FB6AB1" w:rsidRDefault="00FB6AB1">
      <w:pPr>
        <w:spacing w:after="200"/>
        <w:rPr>
          <w:rFonts w:asciiTheme="majorHAnsi" w:eastAsiaTheme="majorEastAsia" w:hAnsiTheme="majorHAnsi" w:cstheme="majorBidi"/>
          <w:color w:val="192D56" w:themeColor="accent1"/>
          <w:sz w:val="26"/>
          <w:szCs w:val="22"/>
        </w:rPr>
      </w:pPr>
      <w:r>
        <w:br w:type="page"/>
      </w:r>
    </w:p>
    <w:p w14:paraId="542AB5F8" w14:textId="20A946F0" w:rsidR="00E90024" w:rsidRDefault="00E90024" w:rsidP="00E90024">
      <w:pPr>
        <w:pStyle w:val="Heading3"/>
      </w:pPr>
      <w:bookmarkStart w:id="78" w:name="_Toc200111107"/>
      <w:r w:rsidRPr="00E90024">
        <w:lastRenderedPageBreak/>
        <w:t>Chubb Review of Australian Carbon Credit Units</w:t>
      </w:r>
      <w:bookmarkEnd w:id="78"/>
    </w:p>
    <w:p w14:paraId="64645E94" w14:textId="3CF9BF3F" w:rsidR="00E90024" w:rsidRPr="00E90024" w:rsidRDefault="00E90024" w:rsidP="001B2FA0">
      <w:r w:rsidRPr="00E90024">
        <w:t>IA Status: Compliant</w:t>
      </w:r>
    </w:p>
    <w:p w14:paraId="798D364B" w14:textId="77777777" w:rsidR="00E90024" w:rsidRPr="002B3A70" w:rsidRDefault="00E90024" w:rsidP="001B2FA0">
      <w:r w:rsidRPr="002B3A70">
        <w:t xml:space="preserve">Assessment Rating: </w:t>
      </w:r>
      <w:r>
        <w:rPr>
          <w:w w:val="105"/>
          <w:szCs w:val="22"/>
        </w:rPr>
        <w:t>Independent Review</w:t>
      </w:r>
    </w:p>
    <w:p w14:paraId="3968D5FB" w14:textId="77777777" w:rsidR="00E90024" w:rsidRPr="002B3A70" w:rsidRDefault="00E90024" w:rsidP="001B2FA0">
      <w:r w:rsidRPr="00724D88">
        <w:t xml:space="preserve">PIR Required: </w:t>
      </w:r>
      <w:r>
        <w:t>No</w:t>
      </w:r>
    </w:p>
    <w:p w14:paraId="05E5C60B" w14:textId="77777777" w:rsidR="00E90024" w:rsidRPr="002B3A70" w:rsidRDefault="00E90024" w:rsidP="00E90024">
      <w:r w:rsidRPr="002B3A70">
        <w:t xml:space="preserve">Regulatory Burden: </w:t>
      </w:r>
      <w:r>
        <w:rPr>
          <w:rFonts w:eastAsia="MS Mincho"/>
          <w:spacing w:val="-3"/>
          <w:szCs w:val="22"/>
        </w:rPr>
        <w:t>N/A</w:t>
      </w:r>
    </w:p>
    <w:p w14:paraId="15B9ADE4" w14:textId="77777777" w:rsidR="00E90024" w:rsidRPr="00E90024" w:rsidRDefault="00E90024" w:rsidP="00A04C5F">
      <w:bookmarkStart w:id="79" w:name="_Toc122424431"/>
      <w:r w:rsidRPr="00E90024">
        <w:t>On 9 January 2023 Minister Bowen released the Australian Government response to the Chubb Review, which concluded that the ACCU scheme arrangements are essentially sound, incorporating mechanisms for regular review and improvement. It found that after 11 years of operation there is room for further improvement.</w:t>
      </w:r>
    </w:p>
    <w:p w14:paraId="191328A6" w14:textId="6B46AE4F" w:rsidR="00E90024" w:rsidRDefault="00E90024" w:rsidP="00A04C5F">
      <w:r w:rsidRPr="00E90024">
        <w:t>The Government has agreed in principle to the 16 recommendations, which include a range of proposals to improve the operation of the scheme, including for the accreditation and regulation of carbon service providers and carbon market advisors.</w:t>
      </w:r>
    </w:p>
    <w:p w14:paraId="7149F030" w14:textId="77777777" w:rsidR="001512C8" w:rsidRPr="000E7CE5" w:rsidRDefault="001512C8" w:rsidP="000E7CE5">
      <w:pPr>
        <w:pStyle w:val="Heading3"/>
      </w:pPr>
      <w:bookmarkStart w:id="80" w:name="_Toc200111108"/>
      <w:r w:rsidRPr="000E7CE5">
        <w:t>Reforms to the Safeguard Mechanism</w:t>
      </w:r>
      <w:bookmarkEnd w:id="80"/>
    </w:p>
    <w:p w14:paraId="5B2F857D" w14:textId="4457DFC2" w:rsidR="001512C8" w:rsidRPr="00E90024" w:rsidRDefault="001512C8" w:rsidP="00041CA3">
      <w:r w:rsidRPr="00E90024">
        <w:t xml:space="preserve">IA Status: </w:t>
      </w:r>
      <w:r>
        <w:t>Compliant</w:t>
      </w:r>
    </w:p>
    <w:p w14:paraId="4920F130" w14:textId="0D9844B8" w:rsidR="001512C8" w:rsidRPr="002B3A70" w:rsidRDefault="001512C8" w:rsidP="001512C8">
      <w:r w:rsidRPr="002B3A70">
        <w:t xml:space="preserve">Assessment Rating: </w:t>
      </w:r>
      <w:r>
        <w:rPr>
          <w:w w:val="105"/>
          <w:szCs w:val="22"/>
        </w:rPr>
        <w:t>Adequate</w:t>
      </w:r>
    </w:p>
    <w:p w14:paraId="0FD1A40B" w14:textId="47DD50E8" w:rsidR="001512C8" w:rsidRPr="002B3A70" w:rsidRDefault="001512C8" w:rsidP="001512C8">
      <w:r w:rsidRPr="00724D88">
        <w:t xml:space="preserve">PIR Required: </w:t>
      </w:r>
      <w:r w:rsidR="00CF65F6">
        <w:t>Yes</w:t>
      </w:r>
    </w:p>
    <w:p w14:paraId="788EF928" w14:textId="124E6205" w:rsidR="001512C8" w:rsidRPr="002B3A70" w:rsidRDefault="001512C8" w:rsidP="001512C8">
      <w:r w:rsidRPr="002B3A70">
        <w:t xml:space="preserve">Regulatory Burden: </w:t>
      </w:r>
      <w:r>
        <w:rPr>
          <w:rFonts w:eastAsia="MS Mincho"/>
          <w:spacing w:val="-3"/>
          <w:szCs w:val="22"/>
        </w:rPr>
        <w:t>$4.5 million</w:t>
      </w:r>
    </w:p>
    <w:p w14:paraId="3DBF392F" w14:textId="385D2059" w:rsidR="001512C8" w:rsidRDefault="001512C8" w:rsidP="00154581">
      <w:r w:rsidRPr="001512C8">
        <w:t>The Government is reforming the Safeguard Mechanism to support Australia’s largest industrial greenhouse gas emitters to gradually and predictably reduce their emissions, delivering on an election commitment within the Powering Australia plan. The reformed Mechanism will help Australia achieve a 43 per cent reduction of emissions on 2005 levels by 2030 and net zero emissions by 2050. Under the three proposed options, Safeguard covered emissions take on a proportional share of the national emissions target to 2030 and reach net zero by 2050.</w:t>
      </w:r>
    </w:p>
    <w:p w14:paraId="79F3F149" w14:textId="77777777" w:rsidR="00071B99" w:rsidRPr="00071B99" w:rsidRDefault="00071B99" w:rsidP="00071B99">
      <w:pPr>
        <w:pStyle w:val="Heading3"/>
      </w:pPr>
      <w:bookmarkStart w:id="81" w:name="_Toc200111109"/>
      <w:r w:rsidRPr="00071B99">
        <w:t>Product Stewardship for Oil scheme</w:t>
      </w:r>
      <w:bookmarkEnd w:id="81"/>
      <w:r w:rsidRPr="00071B99">
        <w:t xml:space="preserve"> </w:t>
      </w:r>
    </w:p>
    <w:p w14:paraId="735B9A9D" w14:textId="033A985E" w:rsidR="00071B99" w:rsidRPr="00071B99" w:rsidRDefault="00071B99" w:rsidP="00041CA3">
      <w:r w:rsidRPr="00071B99">
        <w:t>IA Status: Compliant</w:t>
      </w:r>
    </w:p>
    <w:p w14:paraId="1C476E27" w14:textId="5263F4D2" w:rsidR="00071B99" w:rsidRPr="002B3A70" w:rsidRDefault="00071B99" w:rsidP="00071B99">
      <w:r w:rsidRPr="002B3A70">
        <w:t xml:space="preserve">Assessment Rating: </w:t>
      </w:r>
      <w:r>
        <w:rPr>
          <w:w w:val="105"/>
          <w:szCs w:val="22"/>
        </w:rPr>
        <w:t>Independent Review</w:t>
      </w:r>
    </w:p>
    <w:p w14:paraId="7B597E0B" w14:textId="0A74B472" w:rsidR="00071B99" w:rsidRPr="002B3A70" w:rsidRDefault="00071B99" w:rsidP="00071B99">
      <w:r w:rsidRPr="00724D88">
        <w:t xml:space="preserve">PIR Required: </w:t>
      </w:r>
      <w:r w:rsidR="00EE4752">
        <w:t>No</w:t>
      </w:r>
    </w:p>
    <w:p w14:paraId="33456ED2" w14:textId="0DDD8BB6" w:rsidR="00071B99" w:rsidRPr="002B3A70" w:rsidRDefault="00071B99" w:rsidP="00071B99">
      <w:r w:rsidRPr="002B3A70">
        <w:t xml:space="preserve">Regulatory Burden: </w:t>
      </w:r>
      <w:r w:rsidR="00F715D8" w:rsidRPr="00F715D8">
        <w:t xml:space="preserve">The Department has estimated that this decision will have annual average regulatory costs of $34.75 million across the Australian community.  OIA notes that the estimated value of additional revenue (i.e. the change in the amount paid through the levy) should not be included in the regulatory costs </w:t>
      </w:r>
      <w:r w:rsidR="00F715D8" w:rsidRPr="00F715D8">
        <w:lastRenderedPageBreak/>
        <w:t>calculation as it is outside the scope of the Australian Government’s Regulatory Burden Measurement Framework.</w:t>
      </w:r>
    </w:p>
    <w:p w14:paraId="14732205" w14:textId="77777777" w:rsidR="00071B99" w:rsidRPr="00071B99" w:rsidRDefault="00071B99" w:rsidP="00071B99">
      <w:r w:rsidRPr="00071B99">
        <w:t xml:space="preserve">The Product Stewardship for Oil (PSO) Scheme pays incentives to industry to encourage the environmentally sustainable management and re-refining of used and recycled oil.  There have been minimal changes to the PSO scheme since it was established in 2000. This has led to the PSO scheme not meeting its original policy intent, due to the increase in the volume of oil products recycled, and the stagnation of the levy collected to cover this growing cost. </w:t>
      </w:r>
    </w:p>
    <w:p w14:paraId="1FECD550" w14:textId="77777777" w:rsidR="00071B99" w:rsidRPr="00071B99" w:rsidRDefault="00071B99" w:rsidP="00071B99">
      <w:r w:rsidRPr="00071B99">
        <w:t>There are three aspects to this issue:</w:t>
      </w:r>
    </w:p>
    <w:p w14:paraId="5BC01A14" w14:textId="77777777" w:rsidR="00071B99" w:rsidRPr="00071B99" w:rsidRDefault="00071B99" w:rsidP="00071B99">
      <w:r w:rsidRPr="00071B99">
        <w:t xml:space="preserve"> 1. The PSO scheme provides significant environmental benefits but is not financially sustainable;</w:t>
      </w:r>
    </w:p>
    <w:p w14:paraId="73B55E0F" w14:textId="77777777" w:rsidR="00071B99" w:rsidRPr="00071B99" w:rsidRDefault="00071B99" w:rsidP="00071B99">
      <w:r w:rsidRPr="00071B99">
        <w:t>2. There has been no adjustment to the benefits paid to oil recyclers in more than 20 years; and</w:t>
      </w:r>
    </w:p>
    <w:p w14:paraId="0FE65BC4" w14:textId="77777777" w:rsidR="00071B99" w:rsidRPr="00071B99" w:rsidRDefault="00071B99" w:rsidP="00071B99">
      <w:r w:rsidRPr="00071B99">
        <w:t xml:space="preserve">3. There are significant information gaps that prevent an appropriate understanding of the level of access regional areas have to the scheme; and therefore if environmental protection objectives of the scheme are achieved in regional and remote Australia. </w:t>
      </w:r>
    </w:p>
    <w:p w14:paraId="69F9CF6D" w14:textId="3F50AA65" w:rsidR="00071B99" w:rsidRDefault="00071B99" w:rsidP="00071B99">
      <w:r w:rsidRPr="00071B99">
        <w:t xml:space="preserve">To address the problem, the policy will increase scheme benefits to ensure that the PSO provides sufficient incentives to recycle waste oil and raise the levy to make the PSO Scheme financially sustainable. Additional ‘light touch’ reporting requirements for the waste oil collection industry will be implemented to deliver additional oversight to the Department of the PSO Scheme. </w:t>
      </w:r>
    </w:p>
    <w:p w14:paraId="772C1D23" w14:textId="77777777" w:rsidR="0031018D" w:rsidRPr="0031018D" w:rsidRDefault="0031018D" w:rsidP="0031018D">
      <w:pPr>
        <w:pStyle w:val="Heading3"/>
      </w:pPr>
      <w:bookmarkStart w:id="82" w:name="_Toc200111110"/>
      <w:r w:rsidRPr="0031018D">
        <w:t>Certification of Independent Review of the Greenhouse and Energy Minimum Standards (GEMS) Act 2012</w:t>
      </w:r>
      <w:bookmarkEnd w:id="82"/>
      <w:r w:rsidRPr="0031018D">
        <w:t xml:space="preserve"> </w:t>
      </w:r>
    </w:p>
    <w:p w14:paraId="2A0C0A73" w14:textId="7089F294" w:rsidR="0031018D" w:rsidRPr="00071B99" w:rsidRDefault="0031018D" w:rsidP="0031018D">
      <w:r w:rsidRPr="00071B99">
        <w:t>IA Status: Compliant</w:t>
      </w:r>
    </w:p>
    <w:p w14:paraId="2AF9A0C4" w14:textId="77777777" w:rsidR="0031018D" w:rsidRPr="002B3A70" w:rsidRDefault="0031018D" w:rsidP="0031018D">
      <w:r w:rsidRPr="002B3A70">
        <w:t xml:space="preserve">Assessment Rating: </w:t>
      </w:r>
      <w:r>
        <w:rPr>
          <w:w w:val="105"/>
          <w:szCs w:val="22"/>
        </w:rPr>
        <w:t>Independent Review</w:t>
      </w:r>
    </w:p>
    <w:p w14:paraId="45994184" w14:textId="4E5B6CE3" w:rsidR="0031018D" w:rsidRPr="002B3A70" w:rsidRDefault="0031018D" w:rsidP="0031018D">
      <w:r w:rsidRPr="00724D88">
        <w:t xml:space="preserve">PIR Required: </w:t>
      </w:r>
      <w:r w:rsidR="00EE4752">
        <w:t>No</w:t>
      </w:r>
    </w:p>
    <w:p w14:paraId="23733547" w14:textId="2C1454C8" w:rsidR="0031018D" w:rsidRPr="002B3A70" w:rsidRDefault="0031018D" w:rsidP="0031018D">
      <w:r w:rsidRPr="002B3A70">
        <w:t xml:space="preserve">Regulatory Burden: </w:t>
      </w:r>
      <w:r>
        <w:rPr>
          <w:rFonts w:eastAsia="MS Mincho"/>
          <w:spacing w:val="-3"/>
          <w:szCs w:val="22"/>
        </w:rPr>
        <w:t>N/A</w:t>
      </w:r>
    </w:p>
    <w:p w14:paraId="713388EC" w14:textId="77777777" w:rsidR="0031018D" w:rsidRPr="0031018D" w:rsidRDefault="0031018D" w:rsidP="0031018D">
      <w:r w:rsidRPr="0031018D">
        <w:t>The Greenhouse and Energy Minimum Standards Act 2012 (the GEMS Act) permits the Australian Government to set mandatory minimum efficiency requirements for products, which helps drive greater energy efficiency and exclude the poorest performing products from the market. The GEMS Act also allows the Australian Government to set nationally consistent labelling requirements to increase consumers’ awareness of options to improve energy efficiency and reduce energy consumption, energy costs and greenhouse gas emissions.</w:t>
      </w:r>
    </w:p>
    <w:p w14:paraId="0BE1D738" w14:textId="77777777" w:rsidR="0031018D" w:rsidRPr="0031018D" w:rsidRDefault="0031018D" w:rsidP="0031018D">
      <w:r w:rsidRPr="0031018D">
        <w:t xml:space="preserve">The Final Report on the Independent Review of the GEMS Act (the Review) was released by the then Department of the Environment and Energy on 12 September 2019.  The review was undertaken in accordance with Section 176 of the GEMS Act, which specifies a review of the operation of the Act be </w:t>
      </w:r>
      <w:r w:rsidRPr="0031018D">
        <w:lastRenderedPageBreak/>
        <w:t>commenced as soon as possible after the fifth anniversary of its commencement date. The Review made 39 recommendations.</w:t>
      </w:r>
    </w:p>
    <w:p w14:paraId="32927EF3" w14:textId="77777777" w:rsidR="0031018D" w:rsidRPr="0031018D" w:rsidRDefault="0031018D" w:rsidP="0031018D">
      <w:r w:rsidRPr="0031018D">
        <w:t>On 15 June 2023, the Greenhouse and Energy Minimum Standards Amendment (Administrative Changes) Bill 2023 was introduced an initial tranche of administrative changes to address some of the recommendations of the Review.</w:t>
      </w:r>
    </w:p>
    <w:p w14:paraId="64E0315B" w14:textId="7E4201B2" w:rsidR="009254EE" w:rsidRDefault="0031018D" w:rsidP="0031018D">
      <w:pPr>
        <w:rPr>
          <w:noProof/>
        </w:rPr>
      </w:pPr>
      <w:r w:rsidRPr="0031018D">
        <w:t>More complex changes to the GEMS Act, to address the remaining recommendations, will be pursued following an in-depth consultative process with stakeholders.</w:t>
      </w:r>
      <w:r w:rsidRPr="0031018D">
        <w:rPr>
          <w:noProof/>
        </w:rPr>
        <w:t xml:space="preserve"> </w:t>
      </w:r>
    </w:p>
    <w:p w14:paraId="016983B0" w14:textId="6D996BA2" w:rsidR="009254EE" w:rsidRDefault="009254EE" w:rsidP="009254EE">
      <w:pPr>
        <w:pStyle w:val="Heading3"/>
      </w:pPr>
      <w:bookmarkStart w:id="83" w:name="_Toc200111111"/>
      <w:r w:rsidRPr="009254EE">
        <w:t>Commencing a Nature Repair Market</w:t>
      </w:r>
      <w:bookmarkEnd w:id="83"/>
    </w:p>
    <w:p w14:paraId="6890DC3E" w14:textId="41F3F427" w:rsidR="009254EE" w:rsidRDefault="009254EE" w:rsidP="009254EE">
      <w:r w:rsidRPr="009254EE">
        <w:t>IA Status: Compliant</w:t>
      </w:r>
    </w:p>
    <w:p w14:paraId="185E263F" w14:textId="77777777" w:rsidR="009254EE" w:rsidRPr="009254EE" w:rsidRDefault="009254EE" w:rsidP="009254EE">
      <w:r w:rsidRPr="009254EE">
        <w:t>Assessment Rating: Adequate</w:t>
      </w:r>
    </w:p>
    <w:p w14:paraId="6EEDEBB1" w14:textId="77777777" w:rsidR="009254EE" w:rsidRPr="009254EE" w:rsidRDefault="009254EE" w:rsidP="009254EE">
      <w:r w:rsidRPr="009254EE">
        <w:t>PIR Required: Yes</w:t>
      </w:r>
    </w:p>
    <w:p w14:paraId="3877D6F8" w14:textId="77777777" w:rsidR="009254EE" w:rsidRPr="009254EE" w:rsidRDefault="009254EE" w:rsidP="009254EE">
      <w:r w:rsidRPr="009254EE">
        <w:t xml:space="preserve">Regulatory Burden: </w:t>
      </w:r>
      <w:r w:rsidRPr="009254EE">
        <w:rPr>
          <w:spacing w:val="-3"/>
        </w:rPr>
        <w:t>$1.7 million</w:t>
      </w:r>
    </w:p>
    <w:p w14:paraId="3F4D0AB4" w14:textId="6CB4D122" w:rsidR="009254EE" w:rsidRDefault="009254EE" w:rsidP="0031018D">
      <w:pPr>
        <w:rPr>
          <w:noProof/>
        </w:rPr>
      </w:pPr>
      <w:r w:rsidRPr="009254EE">
        <w:t>The Government announced the intention to develop legislation to establish a Nature Repair Market (NRM) in August 2022. This voluntary market would establish and allow the trading of Biodiversity Certificates, for undertaking successful projects that provide biodiversity outcomes such as the regeneration of landscapes, and the protection and enhancement of remnant vegetation and habitats for native species. OIA acknowledged the difficulty in the assessment of costs and benefits before the individual methodology determinations are established. As such, the Department of Climate Change, Energy, the Environment and Water is required to test each draft methodology against IA requirements with OIA, which may result in additional analysis.</w:t>
      </w:r>
    </w:p>
    <w:p w14:paraId="061FF139" w14:textId="49C8D392" w:rsidR="00EB39DF" w:rsidRDefault="00EB39DF" w:rsidP="0031018D">
      <w:pPr>
        <w:pStyle w:val="Heading2"/>
        <w:rPr>
          <w:noProof/>
        </w:rPr>
      </w:pPr>
      <w:bookmarkStart w:id="84" w:name="_Toc200111112"/>
      <w:r>
        <w:rPr>
          <w:noProof/>
        </w:rPr>
        <w:t>Department of Employment and Workplace Relations</w:t>
      </w:r>
      <w:bookmarkEnd w:id="79"/>
      <w:bookmarkEnd w:id="84"/>
    </w:p>
    <w:p w14:paraId="2186862A" w14:textId="488A628F" w:rsidR="00EB39DF" w:rsidRDefault="00EB39DF" w:rsidP="00EB39DF">
      <w:pPr>
        <w:pStyle w:val="Heading3"/>
        <w:rPr>
          <w:noProof/>
        </w:rPr>
      </w:pPr>
      <w:bookmarkStart w:id="85" w:name="_Toc122424432"/>
      <w:bookmarkStart w:id="86" w:name="_Toc200111113"/>
      <w:r w:rsidRPr="00EB39DF">
        <w:rPr>
          <w:noProof/>
        </w:rPr>
        <w:t>Fair Work Legislation Amendment (Secure Jobs, Better Pay) Bill</w:t>
      </w:r>
      <w:bookmarkEnd w:id="85"/>
      <w:bookmarkEnd w:id="86"/>
    </w:p>
    <w:p w14:paraId="52B46D1D" w14:textId="77777777" w:rsidR="00EB39DF" w:rsidRPr="00A45118" w:rsidRDefault="00EB39DF" w:rsidP="00EB39DF">
      <w:r w:rsidRPr="00A45118">
        <w:t>IA Status: Compliant</w:t>
      </w:r>
    </w:p>
    <w:p w14:paraId="6ECACAD9" w14:textId="667011DD" w:rsidR="00EB39DF" w:rsidRPr="002B3A70" w:rsidRDefault="00EB39DF" w:rsidP="00EB39DF">
      <w:r w:rsidRPr="002B3A70">
        <w:t xml:space="preserve">Assessment Rating: </w:t>
      </w:r>
      <w:r>
        <w:rPr>
          <w:w w:val="105"/>
          <w:szCs w:val="22"/>
        </w:rPr>
        <w:t>Adequate</w:t>
      </w:r>
    </w:p>
    <w:p w14:paraId="74D4D473" w14:textId="10E2A165" w:rsidR="00EB39DF" w:rsidRPr="002B3A70" w:rsidRDefault="00EB39DF" w:rsidP="00EB39DF">
      <w:r w:rsidRPr="00724D88">
        <w:t xml:space="preserve">PIR Required: </w:t>
      </w:r>
      <w:r w:rsidR="00C77476">
        <w:t>Yes</w:t>
      </w:r>
    </w:p>
    <w:p w14:paraId="23E73617" w14:textId="3A09385C" w:rsidR="00EB39DF" w:rsidRPr="002B3A70" w:rsidRDefault="00EB39DF" w:rsidP="00EB39DF">
      <w:r w:rsidRPr="002B3A70">
        <w:t xml:space="preserve">Regulatory Burden: </w:t>
      </w:r>
      <w:r>
        <w:rPr>
          <w:rFonts w:eastAsia="MS Mincho"/>
          <w:spacing w:val="-3"/>
          <w:szCs w:val="22"/>
        </w:rPr>
        <w:t>N/A</w:t>
      </w:r>
    </w:p>
    <w:p w14:paraId="5B394E5E" w14:textId="77777777" w:rsidR="00EB39DF" w:rsidRDefault="00EB39DF" w:rsidP="00EB39DF">
      <w:r>
        <w:t xml:space="preserve">The Fair Work Legislation Amendment (Secure Jobs, Better Pay) Bill seeks to implement enterprise bargaining outcomes from the Australian Jobs and Skills Summit by amending the Fair Work Act (2009) in five areas;  </w:t>
      </w:r>
    </w:p>
    <w:p w14:paraId="16F24B17" w14:textId="77777777" w:rsidR="00EB39DF" w:rsidRDefault="00EB39DF" w:rsidP="00EB39DF">
      <w:pPr>
        <w:pStyle w:val="ListParagraph"/>
        <w:numPr>
          <w:ilvl w:val="0"/>
          <w:numId w:val="15"/>
        </w:numPr>
      </w:pPr>
      <w:r>
        <w:t>Limiting the termination of nominally expired workplace agreements.</w:t>
      </w:r>
    </w:p>
    <w:p w14:paraId="68376B33" w14:textId="77777777" w:rsidR="00EB39DF" w:rsidRDefault="00EB39DF" w:rsidP="00EB39DF">
      <w:pPr>
        <w:pStyle w:val="ListParagraph"/>
        <w:numPr>
          <w:ilvl w:val="0"/>
          <w:numId w:val="15"/>
        </w:numPr>
      </w:pPr>
      <w:r>
        <w:lastRenderedPageBreak/>
        <w:t xml:space="preserve">Automatically sunsetting 'zombie' agreements made prior to the commencement of the Fair Work Act and subsequent bridging period. </w:t>
      </w:r>
    </w:p>
    <w:p w14:paraId="3118660F" w14:textId="50F9CC13" w:rsidR="00EB39DF" w:rsidRDefault="00EB39DF" w:rsidP="00EB39DF">
      <w:pPr>
        <w:pStyle w:val="ListParagraph"/>
        <w:numPr>
          <w:ilvl w:val="0"/>
          <w:numId w:val="15"/>
        </w:numPr>
      </w:pPr>
      <w:r>
        <w:t>Expanding access to single and multi-employer agreements.</w:t>
      </w:r>
    </w:p>
    <w:p w14:paraId="101021D2" w14:textId="77777777" w:rsidR="00EB39DF" w:rsidRDefault="00EB39DF" w:rsidP="00EB39DF">
      <w:pPr>
        <w:pStyle w:val="ListParagraph"/>
        <w:numPr>
          <w:ilvl w:val="0"/>
          <w:numId w:val="15"/>
        </w:numPr>
      </w:pPr>
      <w:r>
        <w:t>Removal of unnecessary complexity and making the Better Off Overall Test simple, flexible and fair.</w:t>
      </w:r>
    </w:p>
    <w:p w14:paraId="7FF3D86B" w14:textId="55EE3CFF" w:rsidR="00EB39DF" w:rsidRPr="00EB39DF" w:rsidRDefault="00EB39DF" w:rsidP="00EB39DF">
      <w:pPr>
        <w:pStyle w:val="ListParagraph"/>
        <w:numPr>
          <w:ilvl w:val="0"/>
          <w:numId w:val="15"/>
        </w:numPr>
      </w:pPr>
      <w:r>
        <w:t>Expanding the capacity of the Fair Work Commission to address bargaining disputes.</w:t>
      </w:r>
    </w:p>
    <w:p w14:paraId="5BD25554" w14:textId="7DD45813" w:rsidR="00F1099F" w:rsidRDefault="00F1099F" w:rsidP="00A82D8D">
      <w:pPr>
        <w:pStyle w:val="Heading2"/>
        <w:rPr>
          <w:noProof/>
        </w:rPr>
      </w:pPr>
      <w:bookmarkStart w:id="87" w:name="_Toc122424433"/>
      <w:bookmarkStart w:id="88" w:name="_Toc200111114"/>
      <w:r>
        <w:rPr>
          <w:noProof/>
        </w:rPr>
        <w:t>Department of Foreign Affairs and Trade</w:t>
      </w:r>
      <w:bookmarkEnd w:id="87"/>
      <w:bookmarkEnd w:id="88"/>
    </w:p>
    <w:p w14:paraId="5643D320" w14:textId="6F04A384" w:rsidR="00F1099F" w:rsidRDefault="00F1099F" w:rsidP="00F1099F">
      <w:pPr>
        <w:pStyle w:val="Heading3"/>
      </w:pPr>
      <w:bookmarkStart w:id="89" w:name="_Toc122424434"/>
      <w:bookmarkStart w:id="90" w:name="_Toc200111115"/>
      <w:r w:rsidRPr="00F1099F">
        <w:t>WTO Services Domestic Regulation Joint Statement Initiative</w:t>
      </w:r>
      <w:bookmarkEnd w:id="89"/>
      <w:bookmarkEnd w:id="90"/>
    </w:p>
    <w:p w14:paraId="1800C7D7" w14:textId="77777777" w:rsidR="00F1099F" w:rsidRPr="001A7674" w:rsidRDefault="00F1099F" w:rsidP="00F1099F">
      <w:r>
        <w:t xml:space="preserve">IA </w:t>
      </w:r>
      <w:r w:rsidRPr="001A7674">
        <w:t xml:space="preserve">Status: </w:t>
      </w:r>
      <w:r w:rsidRPr="001A7674">
        <w:rPr>
          <w:rFonts w:eastAsia="MS Mincho"/>
          <w:w w:val="105"/>
          <w:szCs w:val="22"/>
        </w:rPr>
        <w:t>Compliant</w:t>
      </w:r>
    </w:p>
    <w:p w14:paraId="70FF3F58" w14:textId="77777777" w:rsidR="00F1099F" w:rsidRPr="001A7674" w:rsidRDefault="00F1099F" w:rsidP="00F1099F">
      <w:r w:rsidRPr="001A7674">
        <w:t xml:space="preserve">Assessment Rating: </w:t>
      </w:r>
      <w:r>
        <w:rPr>
          <w:w w:val="105"/>
          <w:szCs w:val="22"/>
        </w:rPr>
        <w:t>Adequate</w:t>
      </w:r>
    </w:p>
    <w:p w14:paraId="0B2E14AC" w14:textId="5F82AA96" w:rsidR="00F1099F" w:rsidRPr="001A7674" w:rsidRDefault="00F1099F" w:rsidP="00F1099F">
      <w:r w:rsidRPr="00DC6355">
        <w:t xml:space="preserve">PIR Required: </w:t>
      </w:r>
      <w:r w:rsidR="00AE5FEF">
        <w:rPr>
          <w:rFonts w:eastAsia="MS Mincho"/>
          <w:w w:val="105"/>
          <w:szCs w:val="22"/>
        </w:rPr>
        <w:t>No</w:t>
      </w:r>
    </w:p>
    <w:p w14:paraId="01DBCE26" w14:textId="77777777" w:rsidR="00F1099F" w:rsidRDefault="00F1099F" w:rsidP="00F1099F">
      <w:r w:rsidRPr="001A7674">
        <w:t>Regulatory Burden: N/A</w:t>
      </w:r>
    </w:p>
    <w:p w14:paraId="420C21AE" w14:textId="77777777" w:rsidR="00F1099F" w:rsidRDefault="00F1099F" w:rsidP="00F1099F">
      <w:r w:rsidRPr="00F1099F">
        <w:t>Implementing the Domestic Regulation Joint Statement Initiative, by modifying Australia’s WTO GATS schedule alongside the 68 other participating WTO Members, will improve the business environment, and reduce costs and uncertainty for Australian services exporters.  This will provide critical support to the sector, which represents a significant proportion of Australian exports, to recover from the sharp decline resulting from the COVID-19 pandemic.  It will also signal Australia’s support for rule-making through the WTO and reinforce the WTO’s role at the centre of the rules-based international trading system.</w:t>
      </w:r>
    </w:p>
    <w:p w14:paraId="6E648A75" w14:textId="77777777" w:rsidR="001231FF" w:rsidRDefault="001231FF" w:rsidP="001231FF">
      <w:pPr>
        <w:pStyle w:val="Heading2"/>
        <w:rPr>
          <w:noProof/>
        </w:rPr>
      </w:pPr>
      <w:bookmarkStart w:id="91" w:name="_Toc122424435"/>
      <w:bookmarkStart w:id="92" w:name="_Toc200111116"/>
      <w:r>
        <w:rPr>
          <w:noProof/>
        </w:rPr>
        <w:t>Department of Health and Aged Care</w:t>
      </w:r>
      <w:bookmarkEnd w:id="91"/>
      <w:bookmarkEnd w:id="92"/>
    </w:p>
    <w:p w14:paraId="22208F82" w14:textId="77777777" w:rsidR="001231FF" w:rsidRDefault="001231FF" w:rsidP="001231FF">
      <w:pPr>
        <w:pStyle w:val="Heading3"/>
        <w:rPr>
          <w:rFonts w:eastAsia="Times New Roman"/>
          <w:lang w:eastAsia="en-AU"/>
        </w:rPr>
      </w:pPr>
      <w:bookmarkStart w:id="93" w:name="_Toc122424436"/>
      <w:bookmarkStart w:id="94" w:name="_Toc200111117"/>
      <w:r w:rsidRPr="00C22F2D">
        <w:rPr>
          <w:rFonts w:eastAsia="Times New Roman"/>
          <w:lang w:eastAsia="en-AU"/>
        </w:rPr>
        <w:t>Capping Home Care Administration and Management Charges</w:t>
      </w:r>
      <w:bookmarkEnd w:id="93"/>
      <w:bookmarkEnd w:id="94"/>
    </w:p>
    <w:p w14:paraId="562E425F" w14:textId="77777777" w:rsidR="001231FF" w:rsidRPr="00A45118" w:rsidRDefault="001231FF" w:rsidP="001231FF">
      <w:r w:rsidRPr="00A45118">
        <w:t>IA Status: Compliant</w:t>
      </w:r>
    </w:p>
    <w:p w14:paraId="47B50FAD" w14:textId="77777777" w:rsidR="001231FF" w:rsidRPr="002B3A70" w:rsidRDefault="001231FF" w:rsidP="001231FF">
      <w:r w:rsidRPr="002B3A70">
        <w:t xml:space="preserve">Assessment Rating: </w:t>
      </w:r>
      <w:r>
        <w:rPr>
          <w:w w:val="105"/>
          <w:szCs w:val="22"/>
        </w:rPr>
        <w:t>Adequate</w:t>
      </w:r>
    </w:p>
    <w:p w14:paraId="08273F89" w14:textId="200F06BE" w:rsidR="001231FF" w:rsidRPr="002B3A70" w:rsidRDefault="001231FF" w:rsidP="001231FF">
      <w:r w:rsidRPr="00724D88">
        <w:t xml:space="preserve">PIR Required: </w:t>
      </w:r>
      <w:r w:rsidR="00E55F30" w:rsidRPr="00D4624D">
        <w:t>No</w:t>
      </w:r>
    </w:p>
    <w:p w14:paraId="64BD1C85" w14:textId="77777777" w:rsidR="001231FF" w:rsidRDefault="001231FF" w:rsidP="001231FF">
      <w:pPr>
        <w:rPr>
          <w:rFonts w:eastAsia="MS Mincho"/>
          <w:spacing w:val="-3"/>
          <w:szCs w:val="22"/>
        </w:rPr>
      </w:pPr>
      <w:r w:rsidRPr="002B3A70">
        <w:t xml:space="preserve">Regulatory Burden: </w:t>
      </w:r>
      <w:r>
        <w:rPr>
          <w:rFonts w:eastAsia="MS Mincho"/>
          <w:spacing w:val="-3"/>
          <w:szCs w:val="22"/>
        </w:rPr>
        <w:t>$4.7 million</w:t>
      </w:r>
    </w:p>
    <w:p w14:paraId="45FC0B88" w14:textId="77777777" w:rsidR="001231FF" w:rsidRDefault="001231FF" w:rsidP="001231FF">
      <w:r>
        <w:t>The Australian Government has committed to cap administration and management charges in the Home Care Packages (HCP) Program. The proposed changes outlined in the Impact Analysis (IA) include:</w:t>
      </w:r>
    </w:p>
    <w:p w14:paraId="71534BDA" w14:textId="76E79308" w:rsidR="001231FF" w:rsidRDefault="001231FF" w:rsidP="001231FF">
      <w:r>
        <w:t xml:space="preserve">a) </w:t>
      </w:r>
      <w:r w:rsidR="00440B45">
        <w:t>C</w:t>
      </w:r>
      <w:r>
        <w:t>apping care management at 20 per cent of the package level, update definition and require all providers to charge separately for this as a mandatory service;</w:t>
      </w:r>
    </w:p>
    <w:p w14:paraId="2391D62B" w14:textId="2C1CF7FC" w:rsidR="001231FF" w:rsidRDefault="001231FF" w:rsidP="001231FF">
      <w:r>
        <w:t xml:space="preserve">b) </w:t>
      </w:r>
      <w:r w:rsidR="00440B45">
        <w:t>C</w:t>
      </w:r>
      <w:r>
        <w:t>apping package management at 15 per cent of the package level, update definition and continue to allow providers to roll into direct service costs;</w:t>
      </w:r>
    </w:p>
    <w:p w14:paraId="2CD1FFB9" w14:textId="3AF9B49A" w:rsidR="001231FF" w:rsidRDefault="001231FF" w:rsidP="001231FF">
      <w:r>
        <w:t xml:space="preserve">c) </w:t>
      </w:r>
      <w:r w:rsidR="00440B45">
        <w:t>E</w:t>
      </w:r>
      <w:r>
        <w:t>liminating the ability for providers to charge package management where the care recipient receives no services (other than care management) in a month;</w:t>
      </w:r>
    </w:p>
    <w:p w14:paraId="0F4C165B" w14:textId="5871F55A" w:rsidR="001231FF" w:rsidRDefault="001231FF" w:rsidP="001231FF">
      <w:r>
        <w:lastRenderedPageBreak/>
        <w:t xml:space="preserve">d) </w:t>
      </w:r>
      <w:r w:rsidR="00440B45">
        <w:t>S</w:t>
      </w:r>
      <w:r>
        <w:t>pecify that providers may charge 25 per cent of the agreed price for care management when a care recipient receives no other services in a month;</w:t>
      </w:r>
    </w:p>
    <w:p w14:paraId="750252BC" w14:textId="7BD857B6" w:rsidR="001231FF" w:rsidRDefault="001231FF" w:rsidP="001231FF">
      <w:r>
        <w:t xml:space="preserve">e) </w:t>
      </w:r>
      <w:r w:rsidR="00440B45">
        <w:t>E</w:t>
      </w:r>
      <w:r>
        <w:t>liminating charges for brokerage and subcontracting of third-party services; and</w:t>
      </w:r>
    </w:p>
    <w:p w14:paraId="752CE08B" w14:textId="25F36223" w:rsidR="001231FF" w:rsidRDefault="001231FF" w:rsidP="001231FF">
      <w:r>
        <w:t xml:space="preserve">f) </w:t>
      </w:r>
      <w:r w:rsidR="00440B45">
        <w:t>O</w:t>
      </w:r>
      <w:r>
        <w:t>nce implemented, considering the need for additional caps to apply from July 2023.</w:t>
      </w:r>
    </w:p>
    <w:p w14:paraId="55AF2437" w14:textId="110C5F87" w:rsidR="001231FF" w:rsidRDefault="001231FF" w:rsidP="001231FF">
      <w:r>
        <w:t>The Government agreed to all of the above, except for d).</w:t>
      </w:r>
    </w:p>
    <w:p w14:paraId="0D026224" w14:textId="77777777" w:rsidR="00A16A40" w:rsidRPr="00A16A40" w:rsidRDefault="00A16A40" w:rsidP="00A16A40">
      <w:pPr>
        <w:pStyle w:val="Heading3"/>
      </w:pPr>
      <w:bookmarkStart w:id="95" w:name="_Toc200111118"/>
      <w:r w:rsidRPr="00A16A40">
        <w:t>Lowering the Costs of Medicines through Changes to Maximum Dispensing Quantities</w:t>
      </w:r>
      <w:bookmarkEnd w:id="95"/>
      <w:r w:rsidRPr="00A16A40">
        <w:t xml:space="preserve"> </w:t>
      </w:r>
    </w:p>
    <w:p w14:paraId="371EE572" w14:textId="5D4DCEC6" w:rsidR="00A16A40" w:rsidRPr="00A45118" w:rsidRDefault="00A16A40" w:rsidP="00A16A40">
      <w:r w:rsidRPr="00A45118">
        <w:t>IA Status: Compliant</w:t>
      </w:r>
    </w:p>
    <w:p w14:paraId="37550F2C" w14:textId="77777777" w:rsidR="00A16A40" w:rsidRPr="002B3A70" w:rsidRDefault="00A16A40" w:rsidP="00A16A40">
      <w:r w:rsidRPr="002B3A70">
        <w:t xml:space="preserve">Assessment Rating: </w:t>
      </w:r>
      <w:r>
        <w:rPr>
          <w:w w:val="105"/>
          <w:szCs w:val="22"/>
        </w:rPr>
        <w:t>Adequate</w:t>
      </w:r>
    </w:p>
    <w:p w14:paraId="5533CCC5" w14:textId="77EC1AAC" w:rsidR="00A16A40" w:rsidRPr="002B3A70" w:rsidRDefault="00A16A40" w:rsidP="00A16A40">
      <w:r w:rsidRPr="00724D88">
        <w:t xml:space="preserve">PIR Required: </w:t>
      </w:r>
      <w:r w:rsidR="00F6724C">
        <w:t>No</w:t>
      </w:r>
    </w:p>
    <w:p w14:paraId="3F438DD7" w14:textId="3C2B6741" w:rsidR="00A16A40" w:rsidRDefault="00A16A40" w:rsidP="00A16A40">
      <w:pPr>
        <w:rPr>
          <w:rFonts w:eastAsia="MS Mincho"/>
          <w:spacing w:val="-3"/>
          <w:szCs w:val="22"/>
        </w:rPr>
      </w:pPr>
      <w:r w:rsidRPr="002B3A70">
        <w:t xml:space="preserve">Regulatory Burden: </w:t>
      </w:r>
      <w:r>
        <w:rPr>
          <w:rFonts w:eastAsia="MS Mincho"/>
          <w:spacing w:val="-3"/>
          <w:szCs w:val="22"/>
        </w:rPr>
        <w:t>N/A</w:t>
      </w:r>
    </w:p>
    <w:p w14:paraId="6098419A" w14:textId="151881D6" w:rsidR="00A16A40" w:rsidRDefault="00A16A40" w:rsidP="00A16A40">
      <w:r w:rsidRPr="00A16A40">
        <w:t xml:space="preserve">This proposal will enable consumers to have an increased maximum dispensed quantity (MDQ) of certain Pharmaceutical Benefits Scheme (PBS) medicines used for common and chronic diseases, as recommended by the independent Pharmaceutical Benefits Advisory Committee (PBAC). An increase to the MDQ will mean that consumers with chronic, stable medical conditions will be able to collect a two-month supply of some medicines rather than a one-month supply, when they fill their script. As well as direct savings on payments to fill prescriptions, patients may realise savings from avoided visits to the pharmacy and to a GP or other prescriber to obtain repeat prescriptions. Pharmacies will receive less dispensing remuneration from the Government, as well as other related income due to the proposed changes. The Government intends to reinvest savings from the proposal to support the development of new and/or expanded existing programs and services by community pharmacy. </w:t>
      </w:r>
    </w:p>
    <w:p w14:paraId="1C01A12F" w14:textId="77777777" w:rsidR="002E46F4" w:rsidRPr="002E46F4" w:rsidRDefault="002E46F4" w:rsidP="002E46F4">
      <w:pPr>
        <w:pStyle w:val="Heading3"/>
      </w:pPr>
      <w:bookmarkStart w:id="96" w:name="_Toc200111119"/>
      <w:r w:rsidRPr="002E46F4">
        <w:t>Primary Health Care Reform (Voluntary Patient Registration)</w:t>
      </w:r>
      <w:bookmarkEnd w:id="96"/>
      <w:r w:rsidRPr="002E46F4">
        <w:t xml:space="preserve"> </w:t>
      </w:r>
    </w:p>
    <w:p w14:paraId="4B82AC8F" w14:textId="23CD74AC" w:rsidR="002E46F4" w:rsidRPr="00A45118" w:rsidRDefault="002E46F4" w:rsidP="002E46F4">
      <w:r w:rsidRPr="00A45118">
        <w:t>IA Status: Compliant</w:t>
      </w:r>
    </w:p>
    <w:p w14:paraId="6F22D40C" w14:textId="77777777" w:rsidR="002E46F4" w:rsidRPr="002B3A70" w:rsidRDefault="002E46F4" w:rsidP="002E46F4">
      <w:r w:rsidRPr="002B3A70">
        <w:t xml:space="preserve">Assessment Rating: </w:t>
      </w:r>
      <w:r>
        <w:rPr>
          <w:w w:val="105"/>
          <w:szCs w:val="22"/>
        </w:rPr>
        <w:t>Adequate</w:t>
      </w:r>
    </w:p>
    <w:p w14:paraId="262DB1FE" w14:textId="4D3C1956" w:rsidR="002E46F4" w:rsidRPr="002B3A70" w:rsidRDefault="002E46F4" w:rsidP="002E46F4">
      <w:r w:rsidRPr="00724D88">
        <w:t xml:space="preserve">PIR Required: </w:t>
      </w:r>
      <w:r w:rsidR="00F6724C">
        <w:t>No</w:t>
      </w:r>
    </w:p>
    <w:p w14:paraId="42122AD3" w14:textId="77777777" w:rsidR="002E46F4" w:rsidRDefault="002E46F4" w:rsidP="002E46F4">
      <w:pPr>
        <w:rPr>
          <w:rFonts w:eastAsia="MS Mincho"/>
          <w:spacing w:val="-3"/>
          <w:szCs w:val="22"/>
        </w:rPr>
      </w:pPr>
      <w:r w:rsidRPr="002B3A70">
        <w:t xml:space="preserve">Regulatory Burden: </w:t>
      </w:r>
      <w:r>
        <w:rPr>
          <w:rFonts w:eastAsia="MS Mincho"/>
          <w:spacing w:val="-3"/>
          <w:szCs w:val="22"/>
        </w:rPr>
        <w:t>N/A</w:t>
      </w:r>
    </w:p>
    <w:p w14:paraId="0407B226" w14:textId="77777777" w:rsidR="002E46F4" w:rsidRPr="002E46F4" w:rsidRDefault="002E46F4" w:rsidP="002E46F4">
      <w:r w:rsidRPr="002E46F4">
        <w:t>This proposal recommends the implementation of Voluntary Patient Registration (VPR) to promote continuity of care, strengthen the relationship between a patient, their General Practice and preferred care team, and help participating practices and providers better understand and meet their patients’ needs.</w:t>
      </w:r>
    </w:p>
    <w:p w14:paraId="3AAA0A61" w14:textId="3AEE8C51" w:rsidR="002E46F4" w:rsidRDefault="002E46F4" w:rsidP="002E46F4">
      <w:pPr>
        <w:rPr>
          <w:noProof/>
        </w:rPr>
      </w:pPr>
      <w:r w:rsidRPr="002E46F4">
        <w:t xml:space="preserve">The implementation of VPR was a recommendation of the Strengthening Medicare Taskforce Report and is proposed to be implemented from 1 October 2023. It will be voluntary for patients, providers and practices and available to all Australians. Patients will be able to choose to register with their regular general practice and nominate their preferred provider. This information will be available on the patient’s My Health Record </w:t>
      </w:r>
      <w:r w:rsidRPr="002E46F4">
        <w:lastRenderedPageBreak/>
        <w:t>to assist with coordination of care across the health sector. This will provide greater visibility over their patients’ care and support a cohesive team care approach among different health professionals. VPR will also enable access to person-centred funding packages to drive quality, continuous care for people who need it most.</w:t>
      </w:r>
      <w:r w:rsidRPr="002E46F4">
        <w:rPr>
          <w:noProof/>
        </w:rPr>
        <w:t xml:space="preserve"> </w:t>
      </w:r>
    </w:p>
    <w:p w14:paraId="7900FBB2" w14:textId="77777777" w:rsidR="00ED0743" w:rsidRPr="00ED0743" w:rsidRDefault="00ED0743" w:rsidP="00ED0743">
      <w:pPr>
        <w:pStyle w:val="Heading3"/>
      </w:pPr>
      <w:bookmarkStart w:id="97" w:name="_Toc200111120"/>
      <w:r w:rsidRPr="00ED0743">
        <w:t>Support at Home Single Comprehensive Assessment System</w:t>
      </w:r>
      <w:bookmarkEnd w:id="97"/>
      <w:r w:rsidRPr="00ED0743">
        <w:t xml:space="preserve"> </w:t>
      </w:r>
    </w:p>
    <w:p w14:paraId="178D77BC" w14:textId="1C440859" w:rsidR="00ED0743" w:rsidRPr="00A45118" w:rsidRDefault="00ED0743" w:rsidP="00ED0743">
      <w:r w:rsidRPr="00A45118">
        <w:t>IA Status: Compliant</w:t>
      </w:r>
    </w:p>
    <w:p w14:paraId="293717ED" w14:textId="77777777" w:rsidR="00ED0743" w:rsidRPr="002B3A70" w:rsidRDefault="00ED0743" w:rsidP="00ED0743">
      <w:r w:rsidRPr="002B3A70">
        <w:t xml:space="preserve">Assessment Rating: </w:t>
      </w:r>
      <w:r>
        <w:rPr>
          <w:w w:val="105"/>
          <w:szCs w:val="22"/>
        </w:rPr>
        <w:t>Adequate</w:t>
      </w:r>
    </w:p>
    <w:p w14:paraId="419DB484" w14:textId="33F79857" w:rsidR="00ED0743" w:rsidRPr="002B3A70" w:rsidRDefault="00ED0743" w:rsidP="00ED0743">
      <w:r w:rsidRPr="00724D88">
        <w:t xml:space="preserve">PIR Required: </w:t>
      </w:r>
      <w:r w:rsidR="00F6724C">
        <w:t>No</w:t>
      </w:r>
    </w:p>
    <w:p w14:paraId="5A23087D" w14:textId="66FDC47F" w:rsidR="00ED0743" w:rsidRDefault="00ED0743" w:rsidP="00ED0743">
      <w:pPr>
        <w:rPr>
          <w:rFonts w:eastAsia="MS Mincho"/>
          <w:spacing w:val="-3"/>
          <w:szCs w:val="22"/>
        </w:rPr>
      </w:pPr>
      <w:r w:rsidRPr="002B3A70">
        <w:t>Regulatory Burden</w:t>
      </w:r>
      <w:r>
        <w:t>: $4.34 million</w:t>
      </w:r>
    </w:p>
    <w:p w14:paraId="0C6986BC" w14:textId="77777777" w:rsidR="00ED0743" w:rsidRPr="00ED0743" w:rsidRDefault="00ED0743" w:rsidP="00ED0743">
      <w:r w:rsidRPr="00ED0743">
        <w:t xml:space="preserve">The proposed reforms would streamline the assessment pathway for the 470,000 older people who enter aged care each year such that all assessment organisations can assess for all aged care services as well as conducting residential funding assessments. This will involve expanding the role of existing assessment organisations through direct negotiations with States and Territories on the role of ACATs, and a limited tender with Regional Assessment Organisations and AN-ACC assessment providers.  </w:t>
      </w:r>
    </w:p>
    <w:p w14:paraId="2B05552E" w14:textId="77777777" w:rsidR="00ED0743" w:rsidRPr="00ED0743" w:rsidRDefault="00ED0743" w:rsidP="00ED0743">
      <w:r w:rsidRPr="00ED0743">
        <w:t xml:space="preserve">To ensure cultural safety, Indigenous-specific assessment organisations will be established to conduct aged care assessments of First Nations people with the new organisations expected to be established across 2024-25. Assessors across all organisations will also have undertaken training in cultural safety and trauma-informed approaches. </w:t>
      </w:r>
    </w:p>
    <w:p w14:paraId="5F6044AD" w14:textId="77777777" w:rsidR="00ED0743" w:rsidRDefault="00ED0743" w:rsidP="00ED0743">
      <w:pPr>
        <w:rPr>
          <w:noProof/>
        </w:rPr>
      </w:pPr>
      <w:r w:rsidRPr="00ED0743">
        <w:t>The proposed reforms will commence on 1 July 2024.</w:t>
      </w:r>
      <w:r w:rsidRPr="00ED0743">
        <w:rPr>
          <w:noProof/>
        </w:rPr>
        <w:t xml:space="preserve"> </w:t>
      </w:r>
    </w:p>
    <w:p w14:paraId="7002CA71" w14:textId="15BF1A4A" w:rsidR="00EA6FFE" w:rsidRDefault="00EA6FFE" w:rsidP="00ED0743">
      <w:pPr>
        <w:pStyle w:val="Heading2"/>
        <w:rPr>
          <w:noProof/>
        </w:rPr>
      </w:pPr>
      <w:bookmarkStart w:id="98" w:name="_Toc200111121"/>
      <w:r>
        <w:rPr>
          <w:noProof/>
        </w:rPr>
        <w:t>Department of Home Affairs</w:t>
      </w:r>
      <w:bookmarkEnd w:id="98"/>
    </w:p>
    <w:p w14:paraId="1BA59D4B" w14:textId="77777777" w:rsidR="00EA6FFE" w:rsidRDefault="00EA6FFE" w:rsidP="00EA6FFE">
      <w:pPr>
        <w:pStyle w:val="Heading3"/>
        <w:rPr>
          <w:rFonts w:eastAsia="Times New Roman"/>
          <w:lang w:eastAsia="en-AU"/>
        </w:rPr>
      </w:pPr>
      <w:bookmarkStart w:id="99" w:name="_Toc200111122"/>
      <w:r w:rsidRPr="00EA6FFE">
        <w:rPr>
          <w:rFonts w:eastAsia="Times New Roman"/>
          <w:lang w:eastAsia="en-AU"/>
        </w:rPr>
        <w:t>Critical Infrastructure Risk Management Program</w:t>
      </w:r>
      <w:bookmarkEnd w:id="99"/>
      <w:r w:rsidRPr="00EA6FFE">
        <w:rPr>
          <w:rFonts w:eastAsia="Times New Roman"/>
          <w:lang w:eastAsia="en-AU"/>
        </w:rPr>
        <w:t xml:space="preserve">  </w:t>
      </w:r>
    </w:p>
    <w:p w14:paraId="1DBA5CAD" w14:textId="0DC3627A" w:rsidR="00EA6FFE" w:rsidRPr="00A45118" w:rsidRDefault="00EA6FFE" w:rsidP="00EA6FFE">
      <w:r w:rsidRPr="00A45118">
        <w:t>IA Status: Compliant</w:t>
      </w:r>
    </w:p>
    <w:p w14:paraId="1182183D" w14:textId="271F940E" w:rsidR="00EA6FFE" w:rsidRPr="002B3A70" w:rsidRDefault="00EA6FFE" w:rsidP="00EA6FFE">
      <w:r w:rsidRPr="002B3A70">
        <w:t xml:space="preserve">Assessment Rating: </w:t>
      </w:r>
      <w:r>
        <w:rPr>
          <w:w w:val="105"/>
          <w:szCs w:val="22"/>
        </w:rPr>
        <w:t>Good practice</w:t>
      </w:r>
    </w:p>
    <w:p w14:paraId="46E8A943" w14:textId="1A3C8123" w:rsidR="00EA6FFE" w:rsidRPr="002B3A70" w:rsidRDefault="00EA6FFE" w:rsidP="00EA6FFE">
      <w:r w:rsidRPr="00724D88">
        <w:t xml:space="preserve">PIR Required: </w:t>
      </w:r>
      <w:r w:rsidR="00504E42">
        <w:t>Yes</w:t>
      </w:r>
    </w:p>
    <w:p w14:paraId="20150148" w14:textId="4C3E292B" w:rsidR="00504E42" w:rsidRDefault="00EA6FFE" w:rsidP="00EA6FFE">
      <w:pPr>
        <w:rPr>
          <w:rFonts w:eastAsia="MS Mincho"/>
          <w:spacing w:val="-3"/>
          <w:szCs w:val="22"/>
        </w:rPr>
      </w:pPr>
      <w:r w:rsidRPr="002B3A70">
        <w:t xml:space="preserve">Regulatory Burden: </w:t>
      </w:r>
      <w:bookmarkStart w:id="100" w:name="_Toc122424437"/>
      <w:r w:rsidR="00504E42" w:rsidRPr="00504E42">
        <w:rPr>
          <w:rFonts w:eastAsia="MS Mincho"/>
          <w:spacing w:val="-3"/>
          <w:szCs w:val="22"/>
        </w:rPr>
        <w:t>$1,150.4</w:t>
      </w:r>
      <w:r w:rsidR="00504E42">
        <w:rPr>
          <w:rFonts w:eastAsia="MS Mincho"/>
          <w:spacing w:val="-3"/>
          <w:szCs w:val="22"/>
        </w:rPr>
        <w:t xml:space="preserve"> </w:t>
      </w:r>
      <w:r w:rsidR="00504E42" w:rsidRPr="00504E42">
        <w:rPr>
          <w:rFonts w:eastAsia="MS Mincho"/>
          <w:spacing w:val="-3"/>
          <w:szCs w:val="22"/>
        </w:rPr>
        <w:t>m</w:t>
      </w:r>
      <w:r w:rsidR="00504E42">
        <w:rPr>
          <w:rFonts w:eastAsia="MS Mincho"/>
          <w:spacing w:val="-3"/>
          <w:szCs w:val="22"/>
        </w:rPr>
        <w:t>illion</w:t>
      </w:r>
      <w:r w:rsidR="00504E42" w:rsidRPr="00504E42">
        <w:rPr>
          <w:rFonts w:eastAsia="MS Mincho"/>
          <w:spacing w:val="-3"/>
          <w:szCs w:val="22"/>
        </w:rPr>
        <w:t xml:space="preserve"> </w:t>
      </w:r>
    </w:p>
    <w:p w14:paraId="7A240A34" w14:textId="0DC6D639" w:rsidR="00EA6FFE" w:rsidRPr="00EA6FFE" w:rsidRDefault="00EA6FFE" w:rsidP="00EA6FFE">
      <w:r w:rsidRPr="00EA6FFE">
        <w:t>Critical infrastructure is essential for Australia’s social and economic prosperity, national security and defence, and facilitating the provision of essential services across Australia. However, risks to Australia’s critical infrastructure have evolved in recent years. These risks are inherently complex and reflect factors including increased cyber connectivity and greater participation in, and reliance on, global supply chains to support the provision of essential services. The increased threat environment requires a regulatory environment that is proportionate to the potential damage caused by the disruption of one or many critical infrastructure assets.</w:t>
      </w:r>
    </w:p>
    <w:p w14:paraId="7C4087FD" w14:textId="7767BD8C" w:rsidR="00EA6FFE" w:rsidRPr="00EA6FFE" w:rsidRDefault="00EA6FFE" w:rsidP="00EA6FFE">
      <w:r w:rsidRPr="00EA6FFE">
        <w:lastRenderedPageBreak/>
        <w:t>The Impact Analysis (IA) focuses on four key problems:</w:t>
      </w:r>
    </w:p>
    <w:p w14:paraId="731D73D5" w14:textId="77777777" w:rsidR="00EA6FFE" w:rsidRPr="00EA6FFE" w:rsidRDefault="00EA6FFE" w:rsidP="00EA6FFE">
      <w:pPr>
        <w:pStyle w:val="NumberedList-Level1"/>
      </w:pPr>
      <w:r w:rsidRPr="00EA6FFE">
        <w:t>There are growing risks to critical infrastructure assets.</w:t>
      </w:r>
    </w:p>
    <w:p w14:paraId="4BF1B19B" w14:textId="77777777" w:rsidR="00EA6FFE" w:rsidRPr="00EA6FFE" w:rsidRDefault="00EA6FFE" w:rsidP="00EA6FFE">
      <w:pPr>
        <w:pStyle w:val="NumberedList-Level1"/>
      </w:pPr>
      <w:r w:rsidRPr="00EA6FFE">
        <w:t>Existing legislative arrangements are insufficient for the current threat environment.</w:t>
      </w:r>
    </w:p>
    <w:p w14:paraId="123771A3" w14:textId="77777777" w:rsidR="00EA6FFE" w:rsidRPr="00EA6FFE" w:rsidRDefault="00EA6FFE" w:rsidP="00EA6FFE">
      <w:pPr>
        <w:pStyle w:val="NumberedList-Level1"/>
      </w:pPr>
      <w:r w:rsidRPr="00EA6FFE">
        <w:t>The Government has limited visibility of current risk management practices, and limited ability to ensure that risks are appropriately managed across sectors.</w:t>
      </w:r>
    </w:p>
    <w:p w14:paraId="13F5C767" w14:textId="03E5E1A9" w:rsidR="001231FF" w:rsidRDefault="00EA6FFE" w:rsidP="00EA6FFE">
      <w:pPr>
        <w:pStyle w:val="NumberedList-Level1"/>
        <w:rPr>
          <w:noProof/>
        </w:rPr>
      </w:pPr>
      <w:r w:rsidRPr="00EA6FFE">
        <w:t>A stronger partnership between Government and industry is needed to drive a wholesale uplift in security and resilience.</w:t>
      </w:r>
      <w:r w:rsidRPr="00EA6FFE">
        <w:rPr>
          <w:noProof/>
        </w:rPr>
        <w:t xml:space="preserve"> </w:t>
      </w:r>
      <w:r w:rsidR="001231FF">
        <w:rPr>
          <w:noProof/>
        </w:rPr>
        <w:t>Department of Industry, Science, Energy and Resources</w:t>
      </w:r>
      <w:bookmarkEnd w:id="100"/>
    </w:p>
    <w:p w14:paraId="45832181" w14:textId="77777777" w:rsidR="001231FF" w:rsidRDefault="001231FF" w:rsidP="009B464B">
      <w:pPr>
        <w:pStyle w:val="Heading3"/>
        <w:rPr>
          <w:rFonts w:eastAsia="Times New Roman"/>
          <w:lang w:eastAsia="en-AU"/>
        </w:rPr>
      </w:pPr>
      <w:bookmarkStart w:id="101" w:name="_Toc122424438"/>
      <w:bookmarkStart w:id="102" w:name="_Toc200111123"/>
      <w:r w:rsidRPr="001231FF">
        <w:rPr>
          <w:rFonts w:eastAsia="Times New Roman"/>
          <w:lang w:eastAsia="en-AU"/>
        </w:rPr>
        <w:t>Securing Australia’s Domestic Fuel Stocks and Refining Capacity – Addendum</w:t>
      </w:r>
      <w:bookmarkEnd w:id="101"/>
      <w:bookmarkEnd w:id="102"/>
      <w:r w:rsidRPr="001231FF">
        <w:rPr>
          <w:rFonts w:eastAsia="Times New Roman"/>
          <w:lang w:eastAsia="en-AU"/>
        </w:rPr>
        <w:t xml:space="preserve"> </w:t>
      </w:r>
    </w:p>
    <w:p w14:paraId="131287EC" w14:textId="6D2F2AA0" w:rsidR="001231FF" w:rsidRPr="00A45118" w:rsidRDefault="001231FF" w:rsidP="001231FF">
      <w:r w:rsidRPr="00A45118">
        <w:t>IA Status: Compliant</w:t>
      </w:r>
    </w:p>
    <w:p w14:paraId="48F53769" w14:textId="77777777" w:rsidR="001231FF" w:rsidRPr="002B3A70" w:rsidRDefault="001231FF" w:rsidP="001231FF">
      <w:r w:rsidRPr="002B3A70">
        <w:t xml:space="preserve">Assessment Rating: </w:t>
      </w:r>
      <w:r>
        <w:rPr>
          <w:w w:val="105"/>
          <w:szCs w:val="22"/>
        </w:rPr>
        <w:t>Adequate</w:t>
      </w:r>
    </w:p>
    <w:p w14:paraId="025B8659" w14:textId="1423A1BB" w:rsidR="001231FF" w:rsidRPr="002B3A70" w:rsidRDefault="001231FF" w:rsidP="001231FF">
      <w:r w:rsidRPr="00724D88">
        <w:t xml:space="preserve">PIR Required: </w:t>
      </w:r>
      <w:r w:rsidR="00AE5FEF">
        <w:t>No</w:t>
      </w:r>
    </w:p>
    <w:p w14:paraId="0C3DB796" w14:textId="27D16596" w:rsidR="001231FF" w:rsidRDefault="001231FF" w:rsidP="001231FF">
      <w:pPr>
        <w:rPr>
          <w:rFonts w:eastAsia="MS Mincho"/>
          <w:spacing w:val="-3"/>
          <w:szCs w:val="22"/>
        </w:rPr>
      </w:pPr>
      <w:r w:rsidRPr="002B3A70">
        <w:t xml:space="preserve">Regulatory Burden: </w:t>
      </w:r>
      <w:r>
        <w:rPr>
          <w:rFonts w:eastAsia="MS Mincho"/>
          <w:spacing w:val="-3"/>
          <w:szCs w:val="22"/>
        </w:rPr>
        <w:t>N/A</w:t>
      </w:r>
    </w:p>
    <w:p w14:paraId="11153744" w14:textId="77777777" w:rsidR="001231FF" w:rsidRPr="001231FF" w:rsidRDefault="001231FF" w:rsidP="001231FF">
      <w:r w:rsidRPr="001231FF">
        <w:t>Introduction of measures to improve Australia’s fuel security:</w:t>
      </w:r>
    </w:p>
    <w:p w14:paraId="77A1B54C" w14:textId="77777777" w:rsidR="001231FF" w:rsidRPr="001231FF" w:rsidRDefault="001231FF" w:rsidP="001231FF">
      <w:pPr>
        <w:pStyle w:val="ListParagraph"/>
        <w:numPr>
          <w:ilvl w:val="0"/>
          <w:numId w:val="18"/>
        </w:numPr>
      </w:pPr>
      <w:r w:rsidRPr="001231FF">
        <w:t>A Minimum Stockholding Obligation (MSO) on industry to put a floor under stocks of primary transport fuels held in Australia, providing greater security of supply in the event of a significant disruption to local fuel supplies.</w:t>
      </w:r>
    </w:p>
    <w:p w14:paraId="11B52590" w14:textId="77777777" w:rsidR="001231FF" w:rsidRPr="001231FF" w:rsidRDefault="001231FF" w:rsidP="001231FF">
      <w:pPr>
        <w:pStyle w:val="ListParagraph"/>
        <w:numPr>
          <w:ilvl w:val="0"/>
          <w:numId w:val="18"/>
        </w:numPr>
      </w:pPr>
      <w:r w:rsidRPr="001231FF">
        <w:t>A Fuel Security Services Payment (FSSP) to maintain a sovereign refining capability for primary transport fuels, in recognition of the security it provides to Australia.</w:t>
      </w:r>
    </w:p>
    <w:p w14:paraId="28CFD63B" w14:textId="77777777" w:rsidR="001231FF" w:rsidRDefault="001231FF" w:rsidP="001231FF">
      <w:pPr>
        <w:pStyle w:val="ListParagraph"/>
        <w:numPr>
          <w:ilvl w:val="0"/>
          <w:numId w:val="18"/>
        </w:numPr>
        <w:rPr>
          <w:noProof/>
        </w:rPr>
      </w:pPr>
      <w:r w:rsidRPr="001231FF">
        <w:t>Support for refiners to undertake the infrastructure investment required to comply with improved fuel quality standards</w:t>
      </w:r>
      <w:r w:rsidRPr="001231FF">
        <w:rPr>
          <w:noProof/>
        </w:rPr>
        <w:t xml:space="preserve"> </w:t>
      </w:r>
    </w:p>
    <w:p w14:paraId="4173CD2B" w14:textId="62D1E1C9" w:rsidR="001231FF" w:rsidRDefault="001231FF" w:rsidP="001231FF">
      <w:pPr>
        <w:pStyle w:val="Heading2"/>
        <w:rPr>
          <w:noProof/>
        </w:rPr>
      </w:pPr>
      <w:bookmarkStart w:id="103" w:name="_Toc122424439"/>
      <w:bookmarkStart w:id="104" w:name="_Toc200111124"/>
      <w:r>
        <w:rPr>
          <w:noProof/>
        </w:rPr>
        <w:t>Department of Industry, Science and Resources</w:t>
      </w:r>
      <w:bookmarkEnd w:id="103"/>
      <w:bookmarkEnd w:id="104"/>
    </w:p>
    <w:p w14:paraId="7CDD1E38" w14:textId="77777777" w:rsidR="001231FF" w:rsidRDefault="001231FF" w:rsidP="009B464B">
      <w:pPr>
        <w:pStyle w:val="Heading3"/>
        <w:rPr>
          <w:rFonts w:eastAsia="Times New Roman"/>
          <w:lang w:eastAsia="en-AU"/>
        </w:rPr>
      </w:pPr>
      <w:bookmarkStart w:id="105" w:name="_Toc122424440"/>
      <w:bookmarkStart w:id="106" w:name="_Toc200111125"/>
      <w:r w:rsidRPr="001231FF">
        <w:rPr>
          <w:rFonts w:eastAsia="Times New Roman"/>
          <w:lang w:eastAsia="en-AU"/>
        </w:rPr>
        <w:t>ADGSM - Refining the Australian Domestic Gas Security Mechanism</w:t>
      </w:r>
      <w:bookmarkEnd w:id="105"/>
      <w:bookmarkEnd w:id="106"/>
      <w:r w:rsidRPr="001231FF">
        <w:rPr>
          <w:rFonts w:eastAsia="Times New Roman"/>
          <w:lang w:eastAsia="en-AU"/>
        </w:rPr>
        <w:t xml:space="preserve"> </w:t>
      </w:r>
    </w:p>
    <w:p w14:paraId="6E123BBD" w14:textId="7B47643B" w:rsidR="001231FF" w:rsidRPr="00A45118" w:rsidRDefault="001231FF" w:rsidP="001231FF">
      <w:r w:rsidRPr="00A45118">
        <w:t>IA Status: Compliant</w:t>
      </w:r>
    </w:p>
    <w:p w14:paraId="4C8ABE44" w14:textId="77777777" w:rsidR="001231FF" w:rsidRPr="002B3A70" w:rsidRDefault="001231FF" w:rsidP="001231FF">
      <w:r w:rsidRPr="002B3A70">
        <w:t xml:space="preserve">Assessment Rating: </w:t>
      </w:r>
      <w:r>
        <w:rPr>
          <w:w w:val="105"/>
          <w:szCs w:val="22"/>
        </w:rPr>
        <w:t>Adequate</w:t>
      </w:r>
    </w:p>
    <w:p w14:paraId="01B2133E" w14:textId="0847EF4A" w:rsidR="001231FF" w:rsidRPr="002B3A70" w:rsidRDefault="001231FF" w:rsidP="001231FF">
      <w:r w:rsidRPr="00724D88">
        <w:t xml:space="preserve">PIR Required: </w:t>
      </w:r>
      <w:r w:rsidR="00AE5FEF">
        <w:t>Yes</w:t>
      </w:r>
    </w:p>
    <w:p w14:paraId="20FE15A0" w14:textId="77777777" w:rsidR="008929E8" w:rsidRDefault="001231FF" w:rsidP="008929E8">
      <w:pPr>
        <w:rPr>
          <w:rFonts w:eastAsia="MS Mincho"/>
          <w:spacing w:val="-3"/>
          <w:szCs w:val="22"/>
        </w:rPr>
      </w:pPr>
      <w:r w:rsidRPr="002B3A70">
        <w:t xml:space="preserve">Regulatory Burden: </w:t>
      </w:r>
      <w:r>
        <w:rPr>
          <w:rFonts w:eastAsia="MS Mincho"/>
          <w:spacing w:val="-3"/>
          <w:szCs w:val="22"/>
        </w:rPr>
        <w:t>N/A</w:t>
      </w:r>
    </w:p>
    <w:p w14:paraId="7558EE24" w14:textId="74499ADC" w:rsidR="008929E8" w:rsidRDefault="008929E8" w:rsidP="008929E8">
      <w:r w:rsidRPr="008929E8">
        <w:t xml:space="preserve">On 25 October 2022, the government announced the ADGSM would be reformed to incorporate the following three elements, which were selected from a broader set of options considered within the </w:t>
      </w:r>
      <w:r>
        <w:t>IA:</w:t>
      </w:r>
    </w:p>
    <w:p w14:paraId="647366D7" w14:textId="77777777" w:rsidR="008929E8" w:rsidRDefault="008929E8" w:rsidP="008929E8">
      <w:pPr>
        <w:pStyle w:val="ListParagraph"/>
        <w:numPr>
          <w:ilvl w:val="0"/>
          <w:numId w:val="19"/>
        </w:numPr>
      </w:pPr>
      <w:r w:rsidRPr="008929E8">
        <w:t>Activation to be considered every three months to align risk mitigation timelines with risk emergence timelines.</w:t>
      </w:r>
    </w:p>
    <w:p w14:paraId="54FA5CF9" w14:textId="77777777" w:rsidR="008929E8" w:rsidRDefault="008929E8" w:rsidP="008929E8">
      <w:pPr>
        <w:pStyle w:val="ListParagraph"/>
        <w:numPr>
          <w:ilvl w:val="0"/>
          <w:numId w:val="19"/>
        </w:numPr>
      </w:pPr>
      <w:r w:rsidRPr="008929E8">
        <w:lastRenderedPageBreak/>
        <w:t>All LNG exporters in a shortfall market to share the shortfall liability equally (in volumetric terms). This would ensure enough gas stays in Australia to prevent an emerging shortfall, and is administratively simple.</w:t>
      </w:r>
    </w:p>
    <w:p w14:paraId="547C7BFE" w14:textId="77777777" w:rsidR="008929E8" w:rsidRDefault="008929E8" w:rsidP="008929E8">
      <w:pPr>
        <w:pStyle w:val="ListParagraph"/>
        <w:numPr>
          <w:ilvl w:val="0"/>
          <w:numId w:val="19"/>
        </w:numPr>
        <w:rPr>
          <w:noProof/>
        </w:rPr>
      </w:pPr>
      <w:r w:rsidRPr="008929E8">
        <w:t>Export permissions to be made tradable to improve the economic efficiency of an activated ADGSM.</w:t>
      </w:r>
      <w:r w:rsidRPr="008929E8">
        <w:rPr>
          <w:noProof/>
        </w:rPr>
        <w:t xml:space="preserve"> </w:t>
      </w:r>
    </w:p>
    <w:p w14:paraId="2AF9533E" w14:textId="77777777" w:rsidR="008A656C" w:rsidRPr="008A656C" w:rsidRDefault="008A656C" w:rsidP="008A656C">
      <w:pPr>
        <w:pStyle w:val="Heading3"/>
      </w:pPr>
      <w:bookmarkStart w:id="107" w:name="_Toc122424441"/>
      <w:bookmarkStart w:id="108" w:name="_Toc200111126"/>
      <w:r w:rsidRPr="008A656C">
        <w:t>Measurement Law Review</w:t>
      </w:r>
      <w:bookmarkEnd w:id="108"/>
      <w:r w:rsidRPr="008A656C">
        <w:t xml:space="preserve"> </w:t>
      </w:r>
    </w:p>
    <w:p w14:paraId="275913B7" w14:textId="291BCFA2" w:rsidR="008A656C" w:rsidRPr="00A45118" w:rsidRDefault="008A656C" w:rsidP="008A656C">
      <w:r w:rsidRPr="00A45118">
        <w:t>IA Status: Compliant</w:t>
      </w:r>
    </w:p>
    <w:p w14:paraId="1F560982" w14:textId="445BD783" w:rsidR="008A656C" w:rsidRPr="002B3A70" w:rsidRDefault="008A656C" w:rsidP="008A656C">
      <w:r w:rsidRPr="002B3A70">
        <w:t xml:space="preserve">Assessment Rating: </w:t>
      </w:r>
      <w:r>
        <w:rPr>
          <w:w w:val="105"/>
          <w:szCs w:val="22"/>
        </w:rPr>
        <w:t>Exemplary</w:t>
      </w:r>
    </w:p>
    <w:p w14:paraId="42B77247" w14:textId="70EB3222" w:rsidR="008A656C" w:rsidRPr="002B3A70" w:rsidRDefault="008A656C" w:rsidP="008A656C">
      <w:r w:rsidRPr="00724D88">
        <w:t xml:space="preserve">PIR Required: </w:t>
      </w:r>
      <w:r w:rsidR="00EE4752">
        <w:t>No</w:t>
      </w:r>
    </w:p>
    <w:p w14:paraId="12A7F486" w14:textId="073F1854" w:rsidR="008A656C" w:rsidRDefault="008A656C" w:rsidP="008A656C">
      <w:pPr>
        <w:rPr>
          <w:rFonts w:eastAsia="MS Mincho"/>
          <w:spacing w:val="-3"/>
          <w:szCs w:val="22"/>
        </w:rPr>
      </w:pPr>
      <w:r w:rsidRPr="002B3A70">
        <w:t xml:space="preserve">Regulatory Burden: </w:t>
      </w:r>
      <w:r>
        <w:rPr>
          <w:rFonts w:eastAsia="MS Mincho"/>
          <w:spacing w:val="-3"/>
          <w:szCs w:val="22"/>
        </w:rPr>
        <w:t>-$8.5 million</w:t>
      </w:r>
    </w:p>
    <w:p w14:paraId="0E1D0EA2" w14:textId="77777777" w:rsidR="005772D9" w:rsidRDefault="005772D9" w:rsidP="005772D9">
      <w:r>
        <w:t>Australia’s measurement legislation underpins significant economic and social outcomes. The current legislation is outdated, imposes unnecessary regulatory burden and does not adequately support future industry or government needs. Modern legislation will minimise burden on industry, ensure continued confidence in measurement and adapt to evolving measurement needs.</w:t>
      </w:r>
    </w:p>
    <w:p w14:paraId="0BC72828" w14:textId="66A021ED" w:rsidR="005772D9" w:rsidRDefault="005772D9" w:rsidP="005772D9">
      <w:r>
        <w:t>The National Measurement Institute created three options, alongside the status quo, through the development of this RIS:</w:t>
      </w:r>
    </w:p>
    <w:p w14:paraId="725C4F0F" w14:textId="77777777" w:rsidR="005772D9" w:rsidRPr="005772D9" w:rsidRDefault="005772D9" w:rsidP="005772D9">
      <w:pPr>
        <w:pStyle w:val="ListParagraph"/>
        <w:numPr>
          <w:ilvl w:val="0"/>
          <w:numId w:val="32"/>
        </w:numPr>
      </w:pPr>
      <w:r w:rsidRPr="005772D9">
        <w:t>Option 1 (streamline with minimal change) simplifies the legislation and reduces prescription by taking a principles-based approach with minimal change in scope.</w:t>
      </w:r>
    </w:p>
    <w:p w14:paraId="5A51EC0E" w14:textId="77777777" w:rsidR="005772D9" w:rsidRPr="005772D9" w:rsidRDefault="005772D9" w:rsidP="005772D9">
      <w:pPr>
        <w:pStyle w:val="ListParagraph"/>
        <w:numPr>
          <w:ilvl w:val="0"/>
          <w:numId w:val="32"/>
        </w:numPr>
      </w:pPr>
      <w:r w:rsidRPr="005772D9">
        <w:t>Option 2 (flexible and future-focused) proposes option 1’s changes, plus further reform by significantly increasing flexibility and support for innovation.</w:t>
      </w:r>
    </w:p>
    <w:p w14:paraId="13D9CDCC" w14:textId="77777777" w:rsidR="005772D9" w:rsidRPr="005772D9" w:rsidRDefault="005772D9" w:rsidP="005772D9">
      <w:pPr>
        <w:pStyle w:val="ListParagraph"/>
        <w:numPr>
          <w:ilvl w:val="0"/>
          <w:numId w:val="32"/>
        </w:numPr>
      </w:pPr>
      <w:r w:rsidRPr="005772D9">
        <w:t>Option 3 (flexible with additional regulatory powers) extends option 2 with appropriate powers to regulate measurements relied upon by other policy owners.</w:t>
      </w:r>
    </w:p>
    <w:p w14:paraId="25B8D67D" w14:textId="77777777" w:rsidR="005772D9" w:rsidRPr="005772D9" w:rsidRDefault="005772D9" w:rsidP="005772D9">
      <w:pPr>
        <w:rPr>
          <w:rFonts w:cs="Times New Roman"/>
        </w:rPr>
      </w:pPr>
      <w:r w:rsidRPr="005772D9">
        <w:t>Through analysis and consultation, the National Measurement Institute recommended Option 2 as the preferred option as it:</w:t>
      </w:r>
    </w:p>
    <w:p w14:paraId="3F0948E9" w14:textId="77777777" w:rsidR="005772D9" w:rsidRPr="005772D9" w:rsidRDefault="005772D9" w:rsidP="005772D9">
      <w:pPr>
        <w:pStyle w:val="ListParagraph"/>
        <w:numPr>
          <w:ilvl w:val="0"/>
          <w:numId w:val="33"/>
        </w:numPr>
      </w:pPr>
      <w:r w:rsidRPr="005772D9">
        <w:t>Provides the equal highest quantifiable reduction in annual regulatory burden of $8.5 million.</w:t>
      </w:r>
    </w:p>
    <w:p w14:paraId="623EE1C4" w14:textId="77777777" w:rsidR="005772D9" w:rsidRPr="005772D9" w:rsidRDefault="005772D9" w:rsidP="005772D9">
      <w:pPr>
        <w:pStyle w:val="ListParagraph"/>
        <w:numPr>
          <w:ilvl w:val="0"/>
          <w:numId w:val="33"/>
        </w:numPr>
      </w:pPr>
      <w:r w:rsidRPr="005772D9">
        <w:t>Offers the greatest alignment with policy objectives, ensuring industry is best positioned to develop and adopt new technologies under modern regulation.</w:t>
      </w:r>
    </w:p>
    <w:p w14:paraId="21681537" w14:textId="77777777" w:rsidR="005772D9" w:rsidRPr="005772D9" w:rsidRDefault="005772D9" w:rsidP="005772D9">
      <w:pPr>
        <w:pStyle w:val="ListParagraph"/>
        <w:numPr>
          <w:ilvl w:val="0"/>
          <w:numId w:val="33"/>
        </w:numPr>
      </w:pPr>
      <w:r w:rsidRPr="005772D9">
        <w:t>Balances flexibility for industry with ensuring continued confidence in the measurement system both domestically and internationally.</w:t>
      </w:r>
    </w:p>
    <w:p w14:paraId="31029FDF" w14:textId="77777777" w:rsidR="005772D9" w:rsidRPr="005772D9" w:rsidRDefault="005772D9" w:rsidP="005772D9">
      <w:pPr>
        <w:pStyle w:val="ListParagraph"/>
        <w:numPr>
          <w:ilvl w:val="0"/>
          <w:numId w:val="33"/>
        </w:numPr>
      </w:pPr>
      <w:r w:rsidRPr="005772D9">
        <w:t>Provides the greatest net benefit to affected stakeholders.</w:t>
      </w:r>
    </w:p>
    <w:p w14:paraId="6D587D43" w14:textId="7F1959D6" w:rsidR="003B210E" w:rsidRDefault="003B210E" w:rsidP="005772D9">
      <w:pPr>
        <w:pStyle w:val="Heading2"/>
        <w:rPr>
          <w:noProof/>
        </w:rPr>
      </w:pPr>
      <w:bookmarkStart w:id="109" w:name="_Toc200111127"/>
      <w:r>
        <w:rPr>
          <w:noProof/>
        </w:rPr>
        <w:lastRenderedPageBreak/>
        <w:t xml:space="preserve">Department of Infrastructure, Transport, Regional Development, Communications and </w:t>
      </w:r>
      <w:r w:rsidR="00CB5D91">
        <w:rPr>
          <w:noProof/>
        </w:rPr>
        <w:t xml:space="preserve">the </w:t>
      </w:r>
      <w:r>
        <w:rPr>
          <w:noProof/>
        </w:rPr>
        <w:t>Arts</w:t>
      </w:r>
      <w:bookmarkEnd w:id="107"/>
      <w:bookmarkEnd w:id="109"/>
    </w:p>
    <w:p w14:paraId="215C0C4A" w14:textId="0F80B71D" w:rsidR="004E4B9C" w:rsidRDefault="004E4B9C" w:rsidP="004E4B9C">
      <w:pPr>
        <w:pStyle w:val="Heading3"/>
      </w:pPr>
      <w:bookmarkStart w:id="110" w:name="_Toc122424442"/>
      <w:bookmarkStart w:id="111" w:name="_Toc200111128"/>
      <w:r w:rsidRPr="004E4B9C">
        <w:t>Heavy Vehicle Emission Standards for Cleaner Air</w:t>
      </w:r>
      <w:bookmarkEnd w:id="110"/>
      <w:bookmarkEnd w:id="111"/>
    </w:p>
    <w:p w14:paraId="0EE4D620" w14:textId="77777777" w:rsidR="004E4B9C" w:rsidRPr="001A7674" w:rsidRDefault="004E4B9C" w:rsidP="004E4B9C">
      <w:r>
        <w:t xml:space="preserve">IA </w:t>
      </w:r>
      <w:r w:rsidRPr="001A7674">
        <w:t xml:space="preserve">Status: </w:t>
      </w:r>
      <w:r w:rsidRPr="001A7674">
        <w:rPr>
          <w:rFonts w:eastAsia="MS Mincho"/>
          <w:w w:val="105"/>
          <w:szCs w:val="22"/>
        </w:rPr>
        <w:t>Compliant</w:t>
      </w:r>
    </w:p>
    <w:p w14:paraId="7BF74830" w14:textId="2DECACF1" w:rsidR="004E4B9C" w:rsidRPr="001A7674" w:rsidRDefault="004E4B9C" w:rsidP="004E4B9C">
      <w:r w:rsidRPr="001A7674">
        <w:t xml:space="preserve">Assessment Rating: </w:t>
      </w:r>
      <w:r>
        <w:rPr>
          <w:w w:val="105"/>
          <w:szCs w:val="22"/>
        </w:rPr>
        <w:t>Good Practice</w:t>
      </w:r>
    </w:p>
    <w:p w14:paraId="58994CFA" w14:textId="77777777" w:rsidR="004E4B9C" w:rsidRPr="001A7674" w:rsidRDefault="004E4B9C" w:rsidP="004E4B9C">
      <w:r w:rsidRPr="00DC6355">
        <w:t xml:space="preserve">PIR Required: </w:t>
      </w:r>
      <w:r w:rsidRPr="00AE5FEF">
        <w:rPr>
          <w:rFonts w:eastAsia="MS Mincho"/>
          <w:w w:val="105"/>
          <w:szCs w:val="22"/>
        </w:rPr>
        <w:t>No</w:t>
      </w:r>
    </w:p>
    <w:p w14:paraId="11F2ADDB" w14:textId="77777777" w:rsidR="004E4B9C" w:rsidRDefault="004E4B9C" w:rsidP="004E4B9C">
      <w:r w:rsidRPr="001A7674">
        <w:t xml:space="preserve">Regulatory Burden: </w:t>
      </w:r>
      <w:r>
        <w:t>-$2.063million</w:t>
      </w:r>
    </w:p>
    <w:p w14:paraId="709DCD82" w14:textId="77777777" w:rsidR="004E4B9C" w:rsidRDefault="004E4B9C" w:rsidP="004E4B9C">
      <w:r w:rsidRPr="004E4B9C">
        <w:t xml:space="preserve">Australia currently mandates the international Euro V noxious emissions standards for all heavy vehicles manufactured from 1 January 2011. This </w:t>
      </w:r>
      <w:r>
        <w:t>IA</w:t>
      </w:r>
      <w:r w:rsidRPr="004E4B9C">
        <w:t xml:space="preserve"> evaluates whether the Australian Government should mandate the latest international standards for heavy vehicles, known as Euro VI. </w:t>
      </w:r>
    </w:p>
    <w:p w14:paraId="74BD565E" w14:textId="6D625683" w:rsidR="004E4B9C" w:rsidRPr="004E4B9C" w:rsidRDefault="004E4B9C" w:rsidP="004E4B9C">
      <w:pPr>
        <w:pStyle w:val="Heading3"/>
        <w:rPr>
          <w:rFonts w:eastAsiaTheme="minorEastAsia"/>
        </w:rPr>
      </w:pPr>
      <w:bookmarkStart w:id="112" w:name="_Toc122424443"/>
      <w:bookmarkStart w:id="113" w:name="_Toc200111129"/>
      <w:r w:rsidRPr="004E4B9C">
        <w:rPr>
          <w:rFonts w:eastAsia="Times New Roman"/>
          <w:lang w:eastAsia="en-AU"/>
        </w:rPr>
        <w:t>Remaking the Broadcasting Services Exclusion Determination</w:t>
      </w:r>
      <w:bookmarkEnd w:id="112"/>
      <w:bookmarkEnd w:id="113"/>
    </w:p>
    <w:p w14:paraId="589F8BB6" w14:textId="43628B65" w:rsidR="004E4B9C" w:rsidRPr="001A7674" w:rsidRDefault="004E4B9C" w:rsidP="004E4B9C">
      <w:r>
        <w:t xml:space="preserve">IA </w:t>
      </w:r>
      <w:r w:rsidRPr="001A7674">
        <w:t xml:space="preserve">Status: </w:t>
      </w:r>
      <w:r w:rsidRPr="001A7674">
        <w:rPr>
          <w:rFonts w:eastAsia="MS Mincho"/>
          <w:w w:val="105"/>
          <w:szCs w:val="22"/>
        </w:rPr>
        <w:t>Compliant</w:t>
      </w:r>
    </w:p>
    <w:p w14:paraId="7BBF9FA1" w14:textId="688BF424" w:rsidR="004E4B9C" w:rsidRPr="001A7674" w:rsidRDefault="004E4B9C" w:rsidP="004E4B9C">
      <w:r w:rsidRPr="001A7674">
        <w:t xml:space="preserve">Assessment Rating: </w:t>
      </w:r>
      <w:r>
        <w:rPr>
          <w:w w:val="105"/>
          <w:szCs w:val="22"/>
        </w:rPr>
        <w:t>Adequate</w:t>
      </w:r>
    </w:p>
    <w:p w14:paraId="015BCD84" w14:textId="77777777" w:rsidR="004E4B9C" w:rsidRPr="001A7674" w:rsidRDefault="004E4B9C" w:rsidP="004E4B9C">
      <w:r w:rsidRPr="00DC6355">
        <w:t xml:space="preserve">PIR Required: </w:t>
      </w:r>
      <w:r w:rsidRPr="00AE5FEF">
        <w:rPr>
          <w:rFonts w:eastAsia="MS Mincho"/>
          <w:w w:val="105"/>
          <w:szCs w:val="22"/>
        </w:rPr>
        <w:t>No</w:t>
      </w:r>
    </w:p>
    <w:p w14:paraId="39E7F554" w14:textId="2CC5AE1D" w:rsidR="004E4B9C" w:rsidRDefault="004E4B9C" w:rsidP="004E4B9C">
      <w:r w:rsidRPr="001A7674">
        <w:t xml:space="preserve">Regulatory Burden: </w:t>
      </w:r>
      <w:r>
        <w:t>N/A</w:t>
      </w:r>
    </w:p>
    <w:p w14:paraId="67F0CF20" w14:textId="464EF269" w:rsidR="004E4B9C" w:rsidRDefault="004E4B9C" w:rsidP="004E4B9C">
      <w:r w:rsidRPr="004E4B9C">
        <w:t xml:space="preserve">The proposal seeks to remake the Broadcasting Services ("The Broadcasting Service" Definition - Exclusion) Determination 2019. This excludes live online streaming from the broadcast regulatory framework (e.g. online television simulcasts, online radio stations, and live streaming functions on social media platforms). </w:t>
      </w:r>
    </w:p>
    <w:p w14:paraId="46CA1656" w14:textId="77777777" w:rsidR="00D755E3" w:rsidRPr="00D755E3" w:rsidRDefault="00D755E3" w:rsidP="00D755E3">
      <w:pPr>
        <w:pStyle w:val="Heading3"/>
      </w:pPr>
      <w:bookmarkStart w:id="114" w:name="_Toc200111130"/>
      <w:r w:rsidRPr="00D755E3">
        <w:t>Australia’s Accession to the Nairobi International Convention on the Removal of Wrecks</w:t>
      </w:r>
      <w:bookmarkEnd w:id="114"/>
      <w:r w:rsidRPr="00D755E3">
        <w:t xml:space="preserve"> </w:t>
      </w:r>
    </w:p>
    <w:p w14:paraId="022D19DE" w14:textId="178E3D15" w:rsidR="00D755E3" w:rsidRPr="001A7674" w:rsidRDefault="00D755E3" w:rsidP="00D755E3">
      <w:r>
        <w:t xml:space="preserve">IA </w:t>
      </w:r>
      <w:r w:rsidRPr="001A7674">
        <w:t xml:space="preserve">Status: </w:t>
      </w:r>
      <w:r w:rsidRPr="001A7674">
        <w:rPr>
          <w:rFonts w:eastAsia="MS Mincho"/>
          <w:w w:val="105"/>
          <w:szCs w:val="22"/>
        </w:rPr>
        <w:t>Compliant</w:t>
      </w:r>
    </w:p>
    <w:p w14:paraId="17460FD3" w14:textId="685A85BC" w:rsidR="00D755E3" w:rsidRPr="001A7674" w:rsidRDefault="00D755E3" w:rsidP="00D755E3">
      <w:r w:rsidRPr="001A7674">
        <w:t xml:space="preserve">Assessment Rating: </w:t>
      </w:r>
      <w:r>
        <w:rPr>
          <w:w w:val="105"/>
          <w:szCs w:val="22"/>
        </w:rPr>
        <w:t>Exemplary</w:t>
      </w:r>
    </w:p>
    <w:p w14:paraId="75D9D1A4" w14:textId="6C76A7C1" w:rsidR="00D755E3" w:rsidRPr="001A7674" w:rsidRDefault="00D755E3" w:rsidP="00D755E3">
      <w:r w:rsidRPr="00DC6355">
        <w:t xml:space="preserve">PIR Required: </w:t>
      </w:r>
      <w:r w:rsidR="00CF65F6">
        <w:rPr>
          <w:rFonts w:eastAsia="MS Mincho"/>
          <w:w w:val="105"/>
          <w:szCs w:val="22"/>
        </w:rPr>
        <w:t>No</w:t>
      </w:r>
    </w:p>
    <w:p w14:paraId="404C7611" w14:textId="77777777" w:rsidR="00D755E3" w:rsidRDefault="00D755E3" w:rsidP="00D755E3">
      <w:r w:rsidRPr="001A7674">
        <w:t xml:space="preserve">Regulatory Burden: </w:t>
      </w:r>
      <w:r>
        <w:t>N/A</w:t>
      </w:r>
    </w:p>
    <w:p w14:paraId="458B4615" w14:textId="77777777" w:rsidR="00D755E3" w:rsidRDefault="00D755E3" w:rsidP="00D755E3">
      <w:bookmarkStart w:id="115" w:name="_Toc122424444"/>
      <w:r w:rsidRPr="00D755E3">
        <w:t xml:space="preserve">The Department of Infrastructure, Transport, Regional Development, Communications and the Arts proposes that Australia become a party to the Nairobi International Convention on the Removal of Wrecks 2007 (the Nairobi Convention). The Nairobi Convention provides an internationally uniform legal framework for States to remove, or have removed, wrecks in the Exclusive Economic Zone that have the potential to adversely affect the environment, safety of lives, goods and property at sea.   </w:t>
      </w:r>
    </w:p>
    <w:p w14:paraId="44B0FA74" w14:textId="44B09685" w:rsidR="00B7144B" w:rsidRDefault="00B7144B" w:rsidP="00B7144B">
      <w:pPr>
        <w:pStyle w:val="Heading2"/>
        <w:rPr>
          <w:noProof/>
        </w:rPr>
      </w:pPr>
      <w:bookmarkStart w:id="116" w:name="_Toc200111131"/>
      <w:r>
        <w:rPr>
          <w:noProof/>
        </w:rPr>
        <w:lastRenderedPageBreak/>
        <w:t>Department of the Prime Minister and Cabinet</w:t>
      </w:r>
      <w:bookmarkEnd w:id="116"/>
    </w:p>
    <w:p w14:paraId="136218E9" w14:textId="77777777" w:rsidR="00B7144B" w:rsidRDefault="00B7144B" w:rsidP="00B7144B">
      <w:pPr>
        <w:pStyle w:val="Heading3"/>
      </w:pPr>
      <w:bookmarkStart w:id="117" w:name="_Toc200111132"/>
      <w:r w:rsidRPr="00B7144B">
        <w:t>Changes to the Workplace Gender Equality Act 2012 and Associated Instruments</w:t>
      </w:r>
      <w:bookmarkEnd w:id="117"/>
      <w:r w:rsidRPr="00B7144B">
        <w:t xml:space="preserve"> </w:t>
      </w:r>
    </w:p>
    <w:p w14:paraId="10B259A2" w14:textId="51F732BB" w:rsidR="00B7144B" w:rsidRPr="001A7674" w:rsidRDefault="00B7144B" w:rsidP="00B7144B">
      <w:r>
        <w:t xml:space="preserve">IA </w:t>
      </w:r>
      <w:r w:rsidRPr="001A7674">
        <w:t xml:space="preserve">Status: </w:t>
      </w:r>
      <w:r w:rsidRPr="001A7674">
        <w:rPr>
          <w:rFonts w:eastAsia="MS Mincho"/>
          <w:w w:val="105"/>
          <w:szCs w:val="22"/>
        </w:rPr>
        <w:t>Compliant</w:t>
      </w:r>
    </w:p>
    <w:p w14:paraId="252555EC" w14:textId="77777777" w:rsidR="00B7144B" w:rsidRPr="001A7674" w:rsidRDefault="00B7144B" w:rsidP="00B7144B">
      <w:r w:rsidRPr="001A7674">
        <w:t xml:space="preserve">Assessment Rating: </w:t>
      </w:r>
      <w:r>
        <w:rPr>
          <w:w w:val="105"/>
          <w:szCs w:val="22"/>
        </w:rPr>
        <w:t>Good Practice</w:t>
      </w:r>
    </w:p>
    <w:p w14:paraId="245E0FCF" w14:textId="77777777" w:rsidR="00B7144B" w:rsidRPr="001A7674" w:rsidRDefault="00B7144B" w:rsidP="00B7144B">
      <w:r w:rsidRPr="00DC6355">
        <w:t xml:space="preserve">PIR Required: </w:t>
      </w:r>
      <w:r w:rsidRPr="001D0BF9">
        <w:rPr>
          <w:rFonts w:eastAsia="MS Mincho"/>
          <w:w w:val="105"/>
          <w:szCs w:val="22"/>
        </w:rPr>
        <w:t>No</w:t>
      </w:r>
    </w:p>
    <w:p w14:paraId="47914035" w14:textId="267953F9" w:rsidR="00B7144B" w:rsidRDefault="00B7144B" w:rsidP="00B7144B">
      <w:r w:rsidRPr="001A7674">
        <w:t xml:space="preserve">Regulatory Burden: </w:t>
      </w:r>
      <w:r>
        <w:t>-$0.12million</w:t>
      </w:r>
    </w:p>
    <w:p w14:paraId="399B5A0B" w14:textId="77777777" w:rsidR="00B7144B" w:rsidRPr="00B7144B" w:rsidRDefault="00B7144B" w:rsidP="00B7144B">
      <w:r w:rsidRPr="00B7144B">
        <w:t>The Review of the Workplace Gender Equality Act 2012 (released March 2022) concluded that the gender pay gap in Australia was not closing at a fast enough rate. Work to progress women’s economic equality in Australia has been fragmented, leading to slow progress on closing the gender pay gap, which according to the Workplace Gender Equality Agency's latest data, has stalled at 22.8 per cent in 2021 and 2022. Estimates indicate, at the current rate of progress, it would take approximately 26 years to close the full-time gender pay gap.</w:t>
      </w:r>
    </w:p>
    <w:p w14:paraId="1355BA94" w14:textId="696A4090" w:rsidR="00B7144B" w:rsidRDefault="00B7144B" w:rsidP="00B7144B">
      <w:r>
        <w:t>The proposal is t</w:t>
      </w:r>
      <w:r w:rsidRPr="00B7144B">
        <w:t xml:space="preserve">o amend the Workplace Gender Equality Act 2012 to improve gender equality in employment and in the workplace by boosting pay gap transparency and encouraging action to close gender pay gaps within organisations. </w:t>
      </w:r>
    </w:p>
    <w:p w14:paraId="464EC2A0" w14:textId="553CAA15" w:rsidR="00425E27" w:rsidRDefault="00425E27" w:rsidP="00B7144B">
      <w:pPr>
        <w:pStyle w:val="Heading2"/>
      </w:pPr>
      <w:bookmarkStart w:id="118" w:name="_Toc200111133"/>
      <w:r>
        <w:t>Department of Social Services</w:t>
      </w:r>
      <w:bookmarkEnd w:id="115"/>
      <w:bookmarkEnd w:id="118"/>
    </w:p>
    <w:p w14:paraId="31285487" w14:textId="25D9C007" w:rsidR="00425E27" w:rsidRDefault="00425E27" w:rsidP="00425E27">
      <w:pPr>
        <w:pStyle w:val="Heading3"/>
      </w:pPr>
      <w:bookmarkStart w:id="119" w:name="_Toc122424445"/>
      <w:bookmarkStart w:id="120" w:name="_Toc200111134"/>
      <w:r w:rsidRPr="00425E27">
        <w:t>Enhanced Paid Parental Leave for Families</w:t>
      </w:r>
      <w:bookmarkEnd w:id="119"/>
      <w:bookmarkEnd w:id="120"/>
    </w:p>
    <w:p w14:paraId="4458B1E4" w14:textId="77777777" w:rsidR="00425E27" w:rsidRPr="001A7674" w:rsidRDefault="00425E27" w:rsidP="00425E27">
      <w:r>
        <w:t xml:space="preserve">IA </w:t>
      </w:r>
      <w:r w:rsidRPr="001A7674">
        <w:t xml:space="preserve">Status: </w:t>
      </w:r>
      <w:r w:rsidRPr="001A7674">
        <w:rPr>
          <w:rFonts w:eastAsia="MS Mincho"/>
          <w:w w:val="105"/>
          <w:szCs w:val="22"/>
        </w:rPr>
        <w:t>Compliant</w:t>
      </w:r>
    </w:p>
    <w:p w14:paraId="19AD5604" w14:textId="77777777" w:rsidR="00425E27" w:rsidRPr="001A7674" w:rsidRDefault="00425E27" w:rsidP="00425E27">
      <w:r w:rsidRPr="001A7674">
        <w:t xml:space="preserve">Assessment Rating: </w:t>
      </w:r>
      <w:r>
        <w:rPr>
          <w:w w:val="105"/>
          <w:szCs w:val="22"/>
        </w:rPr>
        <w:t>Adequate</w:t>
      </w:r>
    </w:p>
    <w:p w14:paraId="29C9974B" w14:textId="7B827CD0" w:rsidR="00425E27" w:rsidRPr="001A7674" w:rsidRDefault="00425E27" w:rsidP="00425E27">
      <w:r w:rsidRPr="00DC6355">
        <w:t>PIR Required</w:t>
      </w:r>
      <w:r w:rsidRPr="00530BF5">
        <w:t xml:space="preserve">: </w:t>
      </w:r>
      <w:r w:rsidR="00E55F30" w:rsidRPr="00D4624D">
        <w:rPr>
          <w:rFonts w:eastAsia="MS Mincho"/>
          <w:w w:val="105"/>
          <w:szCs w:val="22"/>
        </w:rPr>
        <w:t>No</w:t>
      </w:r>
    </w:p>
    <w:p w14:paraId="39C3A4BE" w14:textId="77777777" w:rsidR="00230E29" w:rsidRDefault="00425E27" w:rsidP="00230E29">
      <w:r w:rsidRPr="001A7674">
        <w:t xml:space="preserve">Regulatory Burden: </w:t>
      </w:r>
      <w:r w:rsidR="00230E29">
        <w:t>$7.48 million p.a. for 10 years</w:t>
      </w:r>
    </w:p>
    <w:p w14:paraId="125EC370" w14:textId="77777777" w:rsidR="00230E29" w:rsidRDefault="00230E29" w:rsidP="00230E29">
      <w:r>
        <w:t>On 29 March 2022 t</w:t>
      </w:r>
      <w:r w:rsidRPr="00230E29">
        <w:t>he previous government announced reforms to the Paid Parental Leave (PPL) scheme that were subject to a</w:t>
      </w:r>
      <w:r>
        <w:t>n</w:t>
      </w:r>
      <w:r w:rsidRPr="00230E29">
        <w:t xml:space="preserve"> </w:t>
      </w:r>
      <w:r>
        <w:t xml:space="preserve">IA </w:t>
      </w:r>
      <w:r w:rsidRPr="00230E29">
        <w:t>process and which have not yet been implemented. Since that announcement, a new proposal was provided to encapsulate parental caregivers and address gender inequities.</w:t>
      </w:r>
    </w:p>
    <w:p w14:paraId="7BD35D18" w14:textId="77777777" w:rsidR="00230E29" w:rsidRDefault="00230E29" w:rsidP="00230E29">
      <w:r w:rsidRPr="00230E29">
        <w:t>The additional changes, announced 25 October 2022 were:</w:t>
      </w:r>
    </w:p>
    <w:p w14:paraId="74922BFB" w14:textId="77777777" w:rsidR="00230E29" w:rsidRDefault="00230E29" w:rsidP="00230E29">
      <w:pPr>
        <w:pStyle w:val="ListParagraph"/>
        <w:numPr>
          <w:ilvl w:val="0"/>
          <w:numId w:val="17"/>
        </w:numPr>
      </w:pPr>
      <w:r w:rsidRPr="00230E29">
        <w:t>Introduce a more gender-neutral claim process, meaning either parent can claim PPL first.</w:t>
      </w:r>
    </w:p>
    <w:p w14:paraId="62D477EB" w14:textId="77777777" w:rsidR="00230E29" w:rsidRDefault="00230E29" w:rsidP="00230E29">
      <w:pPr>
        <w:pStyle w:val="ListParagraph"/>
        <w:numPr>
          <w:ilvl w:val="0"/>
          <w:numId w:val="17"/>
        </w:numPr>
      </w:pPr>
      <w:r w:rsidRPr="00230E29">
        <w:t>Reserve two weeks of PLP as a ‘use it or lose it’ entitlement for each parent.</w:t>
      </w:r>
    </w:p>
    <w:p w14:paraId="752DE8FA" w14:textId="77777777" w:rsidR="00230E29" w:rsidRDefault="00230E29" w:rsidP="00230E29">
      <w:pPr>
        <w:pStyle w:val="ListParagraph"/>
        <w:numPr>
          <w:ilvl w:val="0"/>
          <w:numId w:val="17"/>
        </w:numPr>
      </w:pPr>
      <w:r w:rsidRPr="00230E29">
        <w:t>Allow parents to take one or more days of PLP concurrently.</w:t>
      </w:r>
    </w:p>
    <w:p w14:paraId="059DFAFD" w14:textId="28B2FA02" w:rsidR="00230E29" w:rsidRDefault="00230E29" w:rsidP="00230E29">
      <w:pPr>
        <w:pStyle w:val="ListParagraph"/>
        <w:numPr>
          <w:ilvl w:val="0"/>
          <w:numId w:val="17"/>
        </w:numPr>
      </w:pPr>
      <w:r w:rsidRPr="00230E29">
        <w:t>Extend PPL from 20 weeks to 26 weeks by 2026, through two week increments per financial year from FY2024 to FY2026.</w:t>
      </w:r>
    </w:p>
    <w:p w14:paraId="3F7EB120" w14:textId="7635B642" w:rsidR="00425E27" w:rsidRPr="00425E27" w:rsidRDefault="00425E27" w:rsidP="00230E29">
      <w:pPr>
        <w:pStyle w:val="Heading3"/>
        <w:rPr>
          <w:rFonts w:eastAsia="Times New Roman"/>
          <w:lang w:eastAsia="en-AU"/>
        </w:rPr>
      </w:pPr>
      <w:bookmarkStart w:id="121" w:name="_Toc122424446"/>
      <w:bookmarkStart w:id="122" w:name="_Toc200111135"/>
      <w:r w:rsidRPr="00425E27">
        <w:rPr>
          <w:rFonts w:eastAsia="Times New Roman"/>
          <w:lang w:eastAsia="en-AU"/>
        </w:rPr>
        <w:lastRenderedPageBreak/>
        <w:t>Abolish the Cashless Debit Card</w:t>
      </w:r>
      <w:bookmarkEnd w:id="121"/>
      <w:bookmarkEnd w:id="122"/>
    </w:p>
    <w:p w14:paraId="5EC110D8" w14:textId="77777777" w:rsidR="00425E27" w:rsidRPr="001A7674" w:rsidRDefault="00425E27" w:rsidP="00425E27">
      <w:r>
        <w:t xml:space="preserve">IA </w:t>
      </w:r>
      <w:r w:rsidRPr="001A7674">
        <w:t xml:space="preserve">Status: </w:t>
      </w:r>
      <w:r w:rsidRPr="001A7674">
        <w:rPr>
          <w:rFonts w:eastAsia="MS Mincho"/>
          <w:w w:val="105"/>
          <w:szCs w:val="22"/>
        </w:rPr>
        <w:t>Compliant</w:t>
      </w:r>
    </w:p>
    <w:p w14:paraId="2FB01CEA" w14:textId="77777777" w:rsidR="00425E27" w:rsidRPr="001A7674" w:rsidRDefault="00425E27" w:rsidP="00425E27">
      <w:r w:rsidRPr="001A7674">
        <w:t xml:space="preserve">Assessment Rating: </w:t>
      </w:r>
      <w:r>
        <w:rPr>
          <w:w w:val="105"/>
          <w:szCs w:val="22"/>
        </w:rPr>
        <w:t>Adequate</w:t>
      </w:r>
    </w:p>
    <w:p w14:paraId="12520CCF" w14:textId="77777777" w:rsidR="00425E27" w:rsidRPr="001A7674" w:rsidRDefault="00425E27" w:rsidP="00425E27">
      <w:r w:rsidRPr="00DC6355">
        <w:t xml:space="preserve">PIR </w:t>
      </w:r>
      <w:r w:rsidRPr="00530BF5">
        <w:t xml:space="preserve">Required: </w:t>
      </w:r>
      <w:r w:rsidRPr="00D4624D">
        <w:rPr>
          <w:rFonts w:eastAsia="MS Mincho"/>
          <w:w w:val="105"/>
          <w:szCs w:val="22"/>
        </w:rPr>
        <w:t>No</w:t>
      </w:r>
    </w:p>
    <w:p w14:paraId="70C225D5" w14:textId="480E7478" w:rsidR="00425E27" w:rsidRDefault="00425E27" w:rsidP="00425E27">
      <w:r>
        <w:t xml:space="preserve">Regulatory Burden: </w:t>
      </w:r>
      <w:r w:rsidR="00230E29">
        <w:t>-$2</w:t>
      </w:r>
      <w:r w:rsidR="2B65EE71">
        <w:t>1</w:t>
      </w:r>
      <w:r w:rsidR="00E55F30">
        <w:t>.</w:t>
      </w:r>
      <w:r w:rsidR="00230E29">
        <w:t>5 million p.a. for 10 years</w:t>
      </w:r>
    </w:p>
    <w:p w14:paraId="1C6988B5" w14:textId="23C715E7" w:rsidR="00230E29" w:rsidRDefault="00230E29" w:rsidP="00230E29">
      <w:r w:rsidRPr="00230E29">
        <w:t>The Australian Government</w:t>
      </w:r>
      <w:r>
        <w:t xml:space="preserve"> </w:t>
      </w:r>
      <w:r w:rsidRPr="00230E29">
        <w:t xml:space="preserve">has committed to abolish the CDC program and reform </w:t>
      </w:r>
      <w:r>
        <w:t>Income Management</w:t>
      </w:r>
      <w:r w:rsidRPr="00230E29">
        <w:t xml:space="preserve">. The Government will deliver a staged approach with the first stage being exiting people off the CDC program shortly after the passage of legislation. Participants will be given an alternative to quarantine their income support payments for essential items if that is what they want to do. Those who volunteer will be provided with card technology that provides more functions such as tap and go and BPAY which will provide a better service than the current BasicsCard. Further reforms to IM, such as future card technology, a national expansion or roll out of further community-based models, are considered at a high level in this document but are still subject to further consultation and decisions by government. This </w:t>
      </w:r>
      <w:r>
        <w:t>IA</w:t>
      </w:r>
      <w:r w:rsidRPr="00230E29">
        <w:t xml:space="preserve"> was drafted to inform decisions of Government at a point in time. As a result the </w:t>
      </w:r>
      <w:r>
        <w:t>IA</w:t>
      </w:r>
      <w:r w:rsidRPr="00230E29">
        <w:t xml:space="preserve"> may not always reflect the actual final policy as agreed by Government.</w:t>
      </w:r>
    </w:p>
    <w:p w14:paraId="38152105" w14:textId="77777777" w:rsidR="00DD6563" w:rsidRPr="00DD6563" w:rsidRDefault="00DD6563" w:rsidP="00DD6563">
      <w:pPr>
        <w:pStyle w:val="Heading3"/>
      </w:pPr>
      <w:bookmarkStart w:id="123" w:name="_Toc200111136"/>
      <w:r w:rsidRPr="00DD6563">
        <w:t>Additional Support for Single Parents</w:t>
      </w:r>
      <w:bookmarkEnd w:id="123"/>
    </w:p>
    <w:p w14:paraId="4F6C4C19" w14:textId="41ECE4DF" w:rsidR="00DD6563" w:rsidRPr="001A7674" w:rsidRDefault="00DD6563" w:rsidP="00DD6563">
      <w:r>
        <w:t xml:space="preserve">IA </w:t>
      </w:r>
      <w:r w:rsidRPr="001A7674">
        <w:t xml:space="preserve">Status: </w:t>
      </w:r>
      <w:r w:rsidRPr="001A7674">
        <w:rPr>
          <w:rFonts w:eastAsia="MS Mincho"/>
          <w:w w:val="105"/>
          <w:szCs w:val="22"/>
        </w:rPr>
        <w:t>Compliant</w:t>
      </w:r>
    </w:p>
    <w:p w14:paraId="08B03F57" w14:textId="77777777" w:rsidR="00DD6563" w:rsidRPr="001A7674" w:rsidRDefault="00DD6563" w:rsidP="00DD6563">
      <w:r w:rsidRPr="001A7674">
        <w:t xml:space="preserve">Assessment Rating: </w:t>
      </w:r>
      <w:r>
        <w:rPr>
          <w:w w:val="105"/>
          <w:szCs w:val="22"/>
        </w:rPr>
        <w:t>Adequate</w:t>
      </w:r>
    </w:p>
    <w:p w14:paraId="6C7AA16D" w14:textId="22F4AB8A" w:rsidR="00DD6563" w:rsidRPr="001A7674" w:rsidRDefault="00DD6563" w:rsidP="00DD6563">
      <w:r w:rsidRPr="00DC6355">
        <w:t>PIR Required</w:t>
      </w:r>
      <w:r w:rsidRPr="00530BF5">
        <w:t xml:space="preserve">: </w:t>
      </w:r>
      <w:r w:rsidR="00F6724C">
        <w:rPr>
          <w:rFonts w:eastAsia="MS Mincho"/>
          <w:w w:val="105"/>
          <w:szCs w:val="22"/>
        </w:rPr>
        <w:t>No</w:t>
      </w:r>
    </w:p>
    <w:p w14:paraId="378FD4F9" w14:textId="0D5646AD" w:rsidR="00DD6563" w:rsidRDefault="00DD6563" w:rsidP="00DD6563">
      <w:r w:rsidRPr="001A7674">
        <w:t xml:space="preserve">Regulatory Burden: </w:t>
      </w:r>
      <w:r>
        <w:t>N/A</w:t>
      </w:r>
    </w:p>
    <w:p w14:paraId="128C202B" w14:textId="77777777" w:rsidR="00DD6563" w:rsidRDefault="00DD6563" w:rsidP="00DD6563">
      <w:bookmarkStart w:id="124" w:name="_Toc122424447"/>
      <w:r w:rsidRPr="00DD6563">
        <w:t>Expand support for single principal carers of a dependent child. The preferred policy proposal is to extend the eligibility for Parenting Payment (Single) to principal carers with a youngest child under 14 years of age (currently under 8 years of age) and maintain mutual obligations. The proposal extends the existing maximum basic rate of $922.10 per fortnight to the cohort with children age between 8 and 13 years (inclusive) – higher than the maximum basic rate for JobSeeker Payment recipients who are single, with dependent child or children ($745.20).</w:t>
      </w:r>
    </w:p>
    <w:p w14:paraId="20C86D3F" w14:textId="489EE38B" w:rsidR="00722874" w:rsidRDefault="00722874" w:rsidP="00722874">
      <w:pPr>
        <w:pStyle w:val="Heading2"/>
      </w:pPr>
      <w:bookmarkStart w:id="125" w:name="_Toc200111137"/>
      <w:r>
        <w:t>Department of the Treasury</w:t>
      </w:r>
      <w:bookmarkEnd w:id="124"/>
      <w:bookmarkEnd w:id="125"/>
    </w:p>
    <w:p w14:paraId="22DC41C0" w14:textId="77F07D7C" w:rsidR="00722874" w:rsidRDefault="00722874" w:rsidP="00722874">
      <w:pPr>
        <w:pStyle w:val="Heading3"/>
      </w:pPr>
      <w:bookmarkStart w:id="126" w:name="_Toc122424448"/>
      <w:bookmarkStart w:id="127" w:name="_Toc200111138"/>
      <w:r w:rsidRPr="00722874">
        <w:t>Small Amount Credit Contracts and Consumer Lease Reforms</w:t>
      </w:r>
      <w:bookmarkEnd w:id="126"/>
      <w:bookmarkEnd w:id="127"/>
    </w:p>
    <w:p w14:paraId="091D2FB2" w14:textId="77777777" w:rsidR="00722874" w:rsidRPr="001A7674" w:rsidRDefault="00722874" w:rsidP="001B69E2">
      <w:r>
        <w:t xml:space="preserve">IA </w:t>
      </w:r>
      <w:r w:rsidRPr="001A7674">
        <w:t xml:space="preserve">Status: </w:t>
      </w:r>
      <w:r w:rsidRPr="001A7674">
        <w:rPr>
          <w:rFonts w:eastAsia="MS Mincho"/>
          <w:w w:val="105"/>
          <w:szCs w:val="22"/>
        </w:rPr>
        <w:t>Compliant</w:t>
      </w:r>
    </w:p>
    <w:p w14:paraId="3FBB691A" w14:textId="3ECA7DCE" w:rsidR="00722874" w:rsidRPr="001A7674" w:rsidRDefault="00722874" w:rsidP="001B69E2">
      <w:r w:rsidRPr="001A7674">
        <w:t xml:space="preserve">Assessment Rating: </w:t>
      </w:r>
      <w:r w:rsidR="002B3DC1">
        <w:rPr>
          <w:w w:val="105"/>
          <w:szCs w:val="22"/>
        </w:rPr>
        <w:t>Independent Review</w:t>
      </w:r>
    </w:p>
    <w:p w14:paraId="13BBCF15" w14:textId="4796B4CD" w:rsidR="00722874" w:rsidRPr="001A7674" w:rsidRDefault="00722874" w:rsidP="001B69E2">
      <w:r w:rsidRPr="00DC6355">
        <w:t xml:space="preserve">PIR Required: </w:t>
      </w:r>
      <w:r w:rsidR="00C77476">
        <w:rPr>
          <w:rFonts w:eastAsia="MS Mincho"/>
          <w:w w:val="105"/>
          <w:szCs w:val="22"/>
        </w:rPr>
        <w:t>No</w:t>
      </w:r>
    </w:p>
    <w:p w14:paraId="27041ACB" w14:textId="49EB6E4D" w:rsidR="00722874" w:rsidRDefault="00722874" w:rsidP="001B69E2">
      <w:r w:rsidRPr="001A7674">
        <w:lastRenderedPageBreak/>
        <w:t xml:space="preserve">Regulatory Burden: </w:t>
      </w:r>
      <w:r w:rsidR="002B3DC1">
        <w:t>$17.62 million</w:t>
      </w:r>
    </w:p>
    <w:p w14:paraId="64B2E6A1" w14:textId="77777777" w:rsidR="00631858" w:rsidRPr="00631858" w:rsidRDefault="00631858" w:rsidP="001B69E2">
      <w:r w:rsidRPr="00631858">
        <w:t>The 2016 Review of Small Amount Credit Contract (SACC) Laws made a number of recommendations aimed at increasing financial inclusion and consumer protections for SACCs and consumer lease consumers. In particular:</w:t>
      </w:r>
    </w:p>
    <w:p w14:paraId="3358EB25" w14:textId="77777777" w:rsidR="00631858" w:rsidRPr="00631858" w:rsidRDefault="00631858" w:rsidP="00D72303">
      <w:pPr>
        <w:pStyle w:val="ListParagraph"/>
        <w:numPr>
          <w:ilvl w:val="0"/>
          <w:numId w:val="12"/>
        </w:numPr>
      </w:pPr>
      <w:r w:rsidRPr="00631858">
        <w:t>while SACCs can be used as an emergency source of funding for one-off expenses, some customers engage in repeat borrowing which can, over time, become unaffordable</w:t>
      </w:r>
    </w:p>
    <w:p w14:paraId="7541BC8F" w14:textId="77777777" w:rsidR="00631858" w:rsidRPr="00631858" w:rsidRDefault="00631858" w:rsidP="00D72303">
      <w:pPr>
        <w:pStyle w:val="ListParagraph"/>
        <w:numPr>
          <w:ilvl w:val="0"/>
          <w:numId w:val="12"/>
        </w:numPr>
      </w:pPr>
      <w:r w:rsidRPr="00631858">
        <w:t>consumer leases can be high cost and are provided to financially vulnerable consumers through Centrepay, a voluntary deduction service for Centrelink recipients.</w:t>
      </w:r>
    </w:p>
    <w:p w14:paraId="52DF1D20" w14:textId="77777777" w:rsidR="00631858" w:rsidRDefault="00631858" w:rsidP="00631858">
      <w:r w:rsidRPr="00631858">
        <w:t>The Department of the Treasury is seeking to progress a list of reforms relating to SACCs and consumer leases to address the outstanding response to the Review of Small Amount Credit Contract Laws</w:t>
      </w:r>
    </w:p>
    <w:p w14:paraId="744399E4" w14:textId="43B6B233" w:rsidR="002B3DC1" w:rsidRDefault="002B3DC1" w:rsidP="00631858">
      <w:pPr>
        <w:pStyle w:val="Heading3"/>
      </w:pPr>
      <w:bookmarkStart w:id="128" w:name="_Toc122424449"/>
      <w:bookmarkStart w:id="129" w:name="_Toc200111139"/>
      <w:r>
        <w:t>Regional First Home Buyer Guarantee</w:t>
      </w:r>
      <w:bookmarkEnd w:id="128"/>
      <w:bookmarkEnd w:id="129"/>
    </w:p>
    <w:p w14:paraId="6073AFFE" w14:textId="77777777" w:rsidR="002B3DC1" w:rsidRPr="001A7674" w:rsidRDefault="002B3DC1" w:rsidP="001B69E2">
      <w:r>
        <w:t xml:space="preserve">IA </w:t>
      </w:r>
      <w:r w:rsidRPr="001A7674">
        <w:t xml:space="preserve">Status: </w:t>
      </w:r>
      <w:r w:rsidRPr="001A7674">
        <w:rPr>
          <w:rFonts w:eastAsia="MS Mincho"/>
          <w:w w:val="105"/>
          <w:szCs w:val="22"/>
        </w:rPr>
        <w:t>Compliant</w:t>
      </w:r>
    </w:p>
    <w:p w14:paraId="5133A054" w14:textId="2C7978B7" w:rsidR="002B3DC1" w:rsidRPr="001A7674" w:rsidRDefault="002B3DC1" w:rsidP="001B69E2">
      <w:r w:rsidRPr="001A7674">
        <w:t xml:space="preserve">Assessment Rating: </w:t>
      </w:r>
      <w:r>
        <w:rPr>
          <w:w w:val="105"/>
          <w:szCs w:val="22"/>
        </w:rPr>
        <w:t>Adequate</w:t>
      </w:r>
    </w:p>
    <w:p w14:paraId="449A966D" w14:textId="18E260E0" w:rsidR="002B3DC1" w:rsidRPr="001A7674" w:rsidRDefault="002B3DC1" w:rsidP="001B69E2">
      <w:r w:rsidRPr="00DC6355">
        <w:t xml:space="preserve">PIR Required: </w:t>
      </w:r>
      <w:r w:rsidR="00C77476">
        <w:rPr>
          <w:rFonts w:eastAsia="MS Mincho"/>
          <w:w w:val="105"/>
          <w:szCs w:val="22"/>
        </w:rPr>
        <w:t>No</w:t>
      </w:r>
    </w:p>
    <w:p w14:paraId="79899A40" w14:textId="77777777" w:rsidR="002B3DC1" w:rsidRDefault="002B3DC1" w:rsidP="001B69E2">
      <w:r w:rsidRPr="001A7674">
        <w:t>Regulatory Burden: N/A</w:t>
      </w:r>
    </w:p>
    <w:p w14:paraId="2786016D" w14:textId="77777777" w:rsidR="00631858" w:rsidRDefault="00631858" w:rsidP="001B69E2">
      <w:r w:rsidRPr="00631858">
        <w:t xml:space="preserve">The purpose of the National Housing Finance and Investment Corporation Investment Mandate Amendment (Regional First Home Buyer Guarantee) Direction 2022 is to amend the National Housing Finance and Investment Corporation Investment Mandate Direction 2018 to establish the Regional First Home Buyer Guarantee (RFHBG). The RFHBG is an election commitment. The RFHBG is designed to support certain eligible first home buyers living in regional areas to purchase a home in a regional area with a deposit of as little as five per cent. Home buyers (or at least one borrower when applying as a couple) must have lived in the regional area or adjacent regional area they are purchasing in, for the preceding 12-month period to the date they execute their home loan agreement.  </w:t>
      </w:r>
    </w:p>
    <w:p w14:paraId="280292B0" w14:textId="42C8AC47" w:rsidR="002B3DC1" w:rsidRDefault="002B3DC1" w:rsidP="00C568C8">
      <w:pPr>
        <w:pStyle w:val="Heading3"/>
      </w:pPr>
      <w:bookmarkStart w:id="130" w:name="_Toc122424450"/>
      <w:bookmarkStart w:id="131" w:name="_Toc200111140"/>
      <w:r w:rsidRPr="002B3DC1">
        <w:t>Improving insurance outcomes in natural hazard-prone regions</w:t>
      </w:r>
      <w:bookmarkEnd w:id="130"/>
      <w:bookmarkEnd w:id="131"/>
    </w:p>
    <w:p w14:paraId="16426332" w14:textId="1A757B29" w:rsidR="002B3DC1" w:rsidRPr="001A7674" w:rsidRDefault="002B3DC1" w:rsidP="001B69E2">
      <w:r>
        <w:t xml:space="preserve">IA </w:t>
      </w:r>
      <w:r w:rsidRPr="001A7674">
        <w:t xml:space="preserve">Status: </w:t>
      </w:r>
      <w:r w:rsidRPr="001A7674">
        <w:rPr>
          <w:rFonts w:eastAsia="MS Mincho"/>
          <w:w w:val="105"/>
          <w:szCs w:val="22"/>
        </w:rPr>
        <w:t>Compliant</w:t>
      </w:r>
    </w:p>
    <w:p w14:paraId="0BE43023" w14:textId="45222C68" w:rsidR="002B3DC1" w:rsidRPr="001A7674" w:rsidRDefault="002B3DC1" w:rsidP="001B69E2">
      <w:r w:rsidRPr="001A7674">
        <w:t xml:space="preserve">Assessment Rating: </w:t>
      </w:r>
      <w:r>
        <w:rPr>
          <w:w w:val="105"/>
          <w:szCs w:val="22"/>
        </w:rPr>
        <w:t>Independent Review</w:t>
      </w:r>
    </w:p>
    <w:p w14:paraId="4C176051" w14:textId="5FB13231" w:rsidR="002B3DC1" w:rsidRPr="001A7674" w:rsidRDefault="002B3DC1" w:rsidP="001B69E2">
      <w:r w:rsidRPr="00DC6355">
        <w:t xml:space="preserve">PIR Required: </w:t>
      </w:r>
      <w:r w:rsidR="00C77476">
        <w:rPr>
          <w:rFonts w:eastAsia="MS Mincho"/>
          <w:w w:val="105"/>
          <w:szCs w:val="22"/>
        </w:rPr>
        <w:t>No</w:t>
      </w:r>
    </w:p>
    <w:p w14:paraId="37D6E6B5" w14:textId="28342987" w:rsidR="002B3DC1" w:rsidRDefault="002B3DC1" w:rsidP="001B69E2">
      <w:r w:rsidRPr="001A7674">
        <w:t xml:space="preserve">Regulatory Burden: </w:t>
      </w:r>
      <w:r>
        <w:t>$0.7 million</w:t>
      </w:r>
    </w:p>
    <w:p w14:paraId="6EA91AD5" w14:textId="77777777" w:rsidR="00631858" w:rsidRPr="00631858" w:rsidRDefault="00631858" w:rsidP="00631858">
      <w:r w:rsidRPr="00631858">
        <w:t>The Australian Competition and Consumer Commission Northern Australian Insurance inquiry and the Royal Commission into National Natural Disaster Arrangements outline options including:</w:t>
      </w:r>
    </w:p>
    <w:p w14:paraId="43F809C7" w14:textId="77777777" w:rsidR="00631858" w:rsidRPr="00631858" w:rsidRDefault="00631858" w:rsidP="00D72303">
      <w:pPr>
        <w:pStyle w:val="ListParagraph"/>
        <w:numPr>
          <w:ilvl w:val="0"/>
          <w:numId w:val="11"/>
        </w:numPr>
      </w:pPr>
      <w:r w:rsidRPr="00631858">
        <w:t>Better data on affordability and coverage - build an enduring dataset on insurance coverage and affordability to better inform policy and decision making and measure impacts over time.</w:t>
      </w:r>
    </w:p>
    <w:p w14:paraId="1D9BDE7A" w14:textId="77777777" w:rsidR="00631858" w:rsidRPr="00631858" w:rsidRDefault="00631858" w:rsidP="00D72303">
      <w:pPr>
        <w:pStyle w:val="ListParagraph"/>
        <w:numPr>
          <w:ilvl w:val="0"/>
          <w:numId w:val="11"/>
        </w:numPr>
      </w:pPr>
      <w:r w:rsidRPr="00631858">
        <w:lastRenderedPageBreak/>
        <w:t>Review standard insurance definitions and the standard cover regime - investigate standardising natural hazard definitions (e.g., ‘storm surge’) in insurance and review the standard cover regime to improve consumer product choice.</w:t>
      </w:r>
    </w:p>
    <w:p w14:paraId="7FB2B739" w14:textId="77777777" w:rsidR="00631858" w:rsidRPr="00631858" w:rsidRDefault="00631858" w:rsidP="00D72303">
      <w:pPr>
        <w:pStyle w:val="ListParagraph"/>
        <w:numPr>
          <w:ilvl w:val="0"/>
          <w:numId w:val="11"/>
        </w:numPr>
      </w:pPr>
      <w:r w:rsidRPr="00631858">
        <w:t>Targeted mitigation funding - invest more in resilience/mitigation projects to reduce risk, targeted to areas that are most prone to natural hazard risk and/or have the most significant insurance issues.</w:t>
      </w:r>
    </w:p>
    <w:p w14:paraId="6E9FEE34" w14:textId="76AE359E" w:rsidR="00FB6AB1" w:rsidRPr="00C1401F" w:rsidRDefault="00631858" w:rsidP="0D180434">
      <w:pPr>
        <w:pStyle w:val="ListParagraph"/>
        <w:numPr>
          <w:ilvl w:val="0"/>
          <w:numId w:val="11"/>
        </w:numPr>
        <w:rPr>
          <w:rFonts w:asciiTheme="majorHAnsi" w:eastAsiaTheme="majorEastAsia" w:hAnsiTheme="majorHAnsi" w:cstheme="majorBidi"/>
          <w:noProof/>
          <w:color w:val="192D56" w:themeColor="accent1"/>
          <w:szCs w:val="22"/>
        </w:rPr>
      </w:pPr>
      <w:r>
        <w:t>Improved engagement between the public sector and insurers - establish institutional arrangements to promote cooperation between government and the insurance industry on issues and solutions across the public and private sector.</w:t>
      </w:r>
      <w:bookmarkStart w:id="132" w:name="_Toc122424451"/>
      <w:r w:rsidR="00FB6AB1" w:rsidRPr="0D180434">
        <w:rPr>
          <w:noProof/>
        </w:rPr>
        <w:br w:type="page"/>
      </w:r>
    </w:p>
    <w:p w14:paraId="07A0B4B8" w14:textId="33841ED7" w:rsidR="00C77476" w:rsidRDefault="00C77476" w:rsidP="00C77476">
      <w:pPr>
        <w:pStyle w:val="Heading3"/>
        <w:rPr>
          <w:noProof/>
        </w:rPr>
      </w:pPr>
      <w:bookmarkStart w:id="133" w:name="_Toc200111141"/>
      <w:r w:rsidRPr="003058F5">
        <w:rPr>
          <w:noProof/>
        </w:rPr>
        <w:lastRenderedPageBreak/>
        <w:t>Options for Energy Price Relief</w:t>
      </w:r>
      <w:bookmarkEnd w:id="132"/>
      <w:bookmarkEnd w:id="133"/>
    </w:p>
    <w:p w14:paraId="3B41B1BD" w14:textId="77777777" w:rsidR="00C77476" w:rsidRPr="00A45118" w:rsidRDefault="00C77476" w:rsidP="00C77476">
      <w:r w:rsidRPr="00A45118">
        <w:t>IA Status: Compliant</w:t>
      </w:r>
    </w:p>
    <w:p w14:paraId="624C70A8" w14:textId="77777777" w:rsidR="00C77476" w:rsidRPr="002B3A70" w:rsidRDefault="00C77476" w:rsidP="00C77476">
      <w:r w:rsidRPr="002B3A70">
        <w:t xml:space="preserve">Assessment Rating: </w:t>
      </w:r>
      <w:r>
        <w:rPr>
          <w:w w:val="105"/>
          <w:szCs w:val="22"/>
        </w:rPr>
        <w:t>Adequate</w:t>
      </w:r>
    </w:p>
    <w:p w14:paraId="298AC46F" w14:textId="77777777" w:rsidR="00C77476" w:rsidRPr="002B3A70" w:rsidRDefault="00C77476" w:rsidP="00C77476">
      <w:r w:rsidRPr="00724D88">
        <w:t xml:space="preserve">PIR Required: </w:t>
      </w:r>
      <w:r>
        <w:t>Yes</w:t>
      </w:r>
    </w:p>
    <w:p w14:paraId="4B9EA346" w14:textId="77777777" w:rsidR="00C77476" w:rsidRDefault="00C77476" w:rsidP="00C77476">
      <w:pPr>
        <w:rPr>
          <w:rFonts w:eastAsia="MS Mincho"/>
          <w:spacing w:val="-3"/>
          <w:szCs w:val="22"/>
        </w:rPr>
      </w:pPr>
      <w:r w:rsidRPr="003058F5">
        <w:rPr>
          <w:szCs w:val="22"/>
        </w:rPr>
        <w:t xml:space="preserve">Regulatory Burden: </w:t>
      </w:r>
      <w:r w:rsidRPr="003058F5">
        <w:rPr>
          <w:rFonts w:eastAsia="MS Mincho"/>
          <w:spacing w:val="-3"/>
          <w:szCs w:val="22"/>
        </w:rPr>
        <w:t>$0.96 million</w:t>
      </w:r>
      <w:r>
        <w:rPr>
          <w:rFonts w:eastAsia="MS Mincho"/>
          <w:spacing w:val="-3"/>
          <w:szCs w:val="22"/>
        </w:rPr>
        <w:t>.</w:t>
      </w:r>
    </w:p>
    <w:p w14:paraId="1FEAA32D" w14:textId="77777777" w:rsidR="00C77476" w:rsidRPr="003058F5" w:rsidRDefault="00C77476" w:rsidP="00C77476">
      <w:pPr>
        <w:rPr>
          <w:szCs w:val="22"/>
        </w:rPr>
      </w:pPr>
      <w:r w:rsidRPr="003058F5">
        <w:rPr>
          <w:szCs w:val="22"/>
        </w:rPr>
        <w:t>On 9 December 2022 the Prime Minister announced a combination of three Commonwealth responses to address the problem:</w:t>
      </w:r>
    </w:p>
    <w:p w14:paraId="0782BAA9" w14:textId="77777777" w:rsidR="00C77476" w:rsidRPr="003058F5" w:rsidRDefault="00C77476" w:rsidP="00C77476">
      <w:pPr>
        <w:pStyle w:val="ListParagraph"/>
        <w:numPr>
          <w:ilvl w:val="0"/>
          <w:numId w:val="22"/>
        </w:numPr>
        <w:rPr>
          <w:szCs w:val="22"/>
        </w:rPr>
      </w:pPr>
      <w:r w:rsidRPr="003058F5">
        <w:rPr>
          <w:szCs w:val="22"/>
        </w:rPr>
        <w:t>Introducing a mandatory code of conduct for the wholesale gas market that includes a reasonable pricing provision</w:t>
      </w:r>
    </w:p>
    <w:p w14:paraId="3D3F998C" w14:textId="77777777" w:rsidR="00C77476" w:rsidRPr="003058F5" w:rsidRDefault="00C77476" w:rsidP="00C77476">
      <w:pPr>
        <w:pStyle w:val="ListParagraph"/>
        <w:numPr>
          <w:ilvl w:val="0"/>
          <w:numId w:val="22"/>
        </w:numPr>
        <w:rPr>
          <w:szCs w:val="22"/>
        </w:rPr>
      </w:pPr>
      <w:r w:rsidRPr="003058F5">
        <w:rPr>
          <w:szCs w:val="22"/>
        </w:rPr>
        <w:t>Introducing a temporary 12-month gas price cap</w:t>
      </w:r>
    </w:p>
    <w:p w14:paraId="7B0A26F1" w14:textId="569E3915" w:rsidR="00C77476" w:rsidRPr="00D4624D" w:rsidRDefault="00C77476" w:rsidP="00C77476">
      <w:pPr>
        <w:pStyle w:val="ListParagraph"/>
        <w:numPr>
          <w:ilvl w:val="0"/>
          <w:numId w:val="22"/>
        </w:numPr>
        <w:rPr>
          <w:rFonts w:asciiTheme="majorHAnsi" w:eastAsiaTheme="majorEastAsia" w:hAnsiTheme="majorHAnsi" w:cstheme="majorBidi"/>
          <w:color w:val="192D56" w:themeColor="accent1"/>
          <w:szCs w:val="22"/>
        </w:rPr>
      </w:pPr>
      <w:r w:rsidRPr="003058F5">
        <w:rPr>
          <w:szCs w:val="22"/>
        </w:rPr>
        <w:t>Bringing forward commencement of reforms to the Australian Domestic Gas Security Mechanism (ADGSM)</w:t>
      </w:r>
      <w:r w:rsidRPr="003058F5">
        <w:rPr>
          <w:noProof/>
          <w:szCs w:val="22"/>
        </w:rPr>
        <w:t xml:space="preserve"> </w:t>
      </w:r>
    </w:p>
    <w:p w14:paraId="613B4771" w14:textId="77777777" w:rsidR="003157D7" w:rsidRPr="00D4624D" w:rsidRDefault="003157D7" w:rsidP="003157D7">
      <w:pPr>
        <w:pStyle w:val="Heading3"/>
      </w:pPr>
      <w:bookmarkStart w:id="134" w:name="_Toc122424452"/>
      <w:bookmarkStart w:id="135" w:name="_Toc200111142"/>
      <w:r w:rsidRPr="00D4624D">
        <w:t>CDR Non-bank lending sectoral assessment</w:t>
      </w:r>
      <w:bookmarkEnd w:id="134"/>
      <w:bookmarkEnd w:id="135"/>
      <w:r w:rsidRPr="00D4624D">
        <w:t xml:space="preserve"> </w:t>
      </w:r>
    </w:p>
    <w:p w14:paraId="231D412A" w14:textId="3264D48F" w:rsidR="003157D7" w:rsidRPr="00A45118" w:rsidRDefault="003157D7" w:rsidP="00D4624D">
      <w:r w:rsidRPr="00A45118">
        <w:t>IA Status: Compliant</w:t>
      </w:r>
    </w:p>
    <w:p w14:paraId="3459A819" w14:textId="14FC3CA5" w:rsidR="003157D7" w:rsidRPr="002B3A70" w:rsidRDefault="003157D7">
      <w:r w:rsidRPr="002B3A70">
        <w:t xml:space="preserve">Assessment Rating: </w:t>
      </w:r>
      <w:r>
        <w:rPr>
          <w:w w:val="105"/>
          <w:szCs w:val="22"/>
        </w:rPr>
        <w:t>Independent Review</w:t>
      </w:r>
    </w:p>
    <w:p w14:paraId="6E9297A1" w14:textId="3F9A78C3" w:rsidR="003157D7" w:rsidRPr="002B3A70" w:rsidRDefault="003157D7">
      <w:r w:rsidRPr="00724D88">
        <w:t xml:space="preserve">PIR Required: </w:t>
      </w:r>
      <w:r w:rsidR="00E8277E">
        <w:t>No</w:t>
      </w:r>
    </w:p>
    <w:p w14:paraId="1B73267F" w14:textId="77777777" w:rsidR="004F70EA" w:rsidRDefault="003157D7" w:rsidP="00D4624D">
      <w:pPr>
        <w:rPr>
          <w:rFonts w:eastAsia="MS Mincho"/>
          <w:spacing w:val="-3"/>
          <w:szCs w:val="22"/>
        </w:rPr>
      </w:pPr>
      <w:r w:rsidRPr="003058F5">
        <w:rPr>
          <w:szCs w:val="22"/>
        </w:rPr>
        <w:t xml:space="preserve">Regulatory Burden: </w:t>
      </w:r>
      <w:r w:rsidRPr="003157D7">
        <w:rPr>
          <w:rFonts w:eastAsia="MS Mincho"/>
          <w:spacing w:val="-3"/>
          <w:szCs w:val="22"/>
        </w:rPr>
        <w:t>$15.7 - $18.6 million per year, averaged over ten years.</w:t>
      </w:r>
      <w:r w:rsidR="004F70EA">
        <w:rPr>
          <w:rFonts w:eastAsia="MS Mincho"/>
          <w:spacing w:val="-3"/>
          <w:szCs w:val="22"/>
        </w:rPr>
        <w:t xml:space="preserve"> </w:t>
      </w:r>
    </w:p>
    <w:p w14:paraId="6FB0F981" w14:textId="21F6FDCB" w:rsidR="003157D7" w:rsidRDefault="003157D7" w:rsidP="00D4624D">
      <w:pPr>
        <w:rPr>
          <w:rFonts w:eastAsia="MS Mincho"/>
          <w:spacing w:val="-3"/>
          <w:szCs w:val="22"/>
        </w:rPr>
      </w:pPr>
      <w:r w:rsidRPr="003157D7">
        <w:rPr>
          <w:rFonts w:eastAsia="MS Mincho"/>
          <w:spacing w:val="-3"/>
          <w:szCs w:val="22"/>
        </w:rPr>
        <w:t>The Consumer Data Right (CDR) is designed to allow Australians to safely and securely unlock the value of information held about them by businesses. CDR gives consumers the ability to opt in and determine when and how they share their data with other businesses and professionals of their choosing.</w:t>
      </w:r>
    </w:p>
    <w:p w14:paraId="59965957" w14:textId="77777777" w:rsidR="004F70EA" w:rsidRDefault="004F70EA" w:rsidP="004F70EA">
      <w:pPr>
        <w:pStyle w:val="Heading3"/>
      </w:pPr>
      <w:bookmarkStart w:id="136" w:name="_Toc200111143"/>
      <w:r w:rsidRPr="004F70EA">
        <w:t>Competition in Clearing and Settlement in Cash Equities</w:t>
      </w:r>
      <w:bookmarkEnd w:id="136"/>
      <w:r w:rsidRPr="004F70EA">
        <w:t xml:space="preserve"> </w:t>
      </w:r>
    </w:p>
    <w:p w14:paraId="602AE7DC" w14:textId="36A4567A" w:rsidR="004F70EA" w:rsidRPr="004F70EA" w:rsidRDefault="004F70EA" w:rsidP="007D4303">
      <w:pPr>
        <w:rPr>
          <w:w w:val="105"/>
        </w:rPr>
      </w:pPr>
      <w:r w:rsidRPr="004F70EA">
        <w:rPr>
          <w:w w:val="105"/>
        </w:rPr>
        <w:t>IA Status: Compliant</w:t>
      </w:r>
    </w:p>
    <w:p w14:paraId="690DDE7A" w14:textId="77777777" w:rsidR="004F70EA" w:rsidRPr="002B3A70" w:rsidRDefault="004F70EA" w:rsidP="007D4303">
      <w:r w:rsidRPr="002B3A70">
        <w:t xml:space="preserve">Assessment Rating: </w:t>
      </w:r>
      <w:r>
        <w:rPr>
          <w:w w:val="105"/>
          <w:szCs w:val="22"/>
        </w:rPr>
        <w:t>Independent Review</w:t>
      </w:r>
    </w:p>
    <w:p w14:paraId="541CDC50" w14:textId="77777777" w:rsidR="004F70EA" w:rsidRPr="002B3A70" w:rsidRDefault="004F70EA" w:rsidP="007D4303">
      <w:r w:rsidRPr="00724D88">
        <w:t xml:space="preserve">PIR Required: </w:t>
      </w:r>
      <w:r w:rsidRPr="002244CB">
        <w:t>No</w:t>
      </w:r>
    </w:p>
    <w:p w14:paraId="719FF264" w14:textId="692F4C7D" w:rsidR="004F70EA" w:rsidRDefault="004F70EA" w:rsidP="007D4303">
      <w:pPr>
        <w:rPr>
          <w:rFonts w:eastAsia="MS Mincho"/>
          <w:spacing w:val="-3"/>
          <w:szCs w:val="22"/>
        </w:rPr>
      </w:pPr>
      <w:r w:rsidRPr="003058F5">
        <w:rPr>
          <w:szCs w:val="22"/>
        </w:rPr>
        <w:t xml:space="preserve">Regulatory Burden: </w:t>
      </w:r>
      <w:r w:rsidRPr="003157D7">
        <w:rPr>
          <w:rFonts w:eastAsia="MS Mincho"/>
          <w:spacing w:val="-3"/>
          <w:szCs w:val="22"/>
        </w:rPr>
        <w:t>$</w:t>
      </w:r>
      <w:r>
        <w:rPr>
          <w:rFonts w:eastAsia="MS Mincho"/>
          <w:spacing w:val="-3"/>
          <w:szCs w:val="22"/>
        </w:rPr>
        <w:t>0.27 million</w:t>
      </w:r>
    </w:p>
    <w:p w14:paraId="12960600" w14:textId="54B66F15" w:rsidR="004F70EA" w:rsidRDefault="004F70EA" w:rsidP="007D4303">
      <w:bookmarkStart w:id="137" w:name="_Toc122424453"/>
      <w:r w:rsidRPr="004F70EA">
        <w:t xml:space="preserve">ASIC is given a rule making power to enforce the regulatory expectations in the event that the ASX remains the sole provider of CS services and set and enforce minimum conditions for clearing and minimum conditions for settlement in the event that a competitor emerges. The Australian Competition and Consumer Commission is given power to provide for recourse to binding arbitration in disputes about the terms of access to ASX’s cash equity clearing and settlement services. </w:t>
      </w:r>
    </w:p>
    <w:p w14:paraId="271B5209" w14:textId="77777777" w:rsidR="00207A5A" w:rsidRDefault="00207A5A" w:rsidP="00207A5A">
      <w:pPr>
        <w:pStyle w:val="Heading3"/>
      </w:pPr>
      <w:bookmarkStart w:id="138" w:name="_Toc200111144"/>
      <w:r w:rsidRPr="00207A5A">
        <w:lastRenderedPageBreak/>
        <w:t>Future Directions of the Consumer Data Right</w:t>
      </w:r>
      <w:bookmarkEnd w:id="138"/>
      <w:r w:rsidRPr="00207A5A">
        <w:t xml:space="preserve"> </w:t>
      </w:r>
    </w:p>
    <w:p w14:paraId="2853ABD4" w14:textId="19107313" w:rsidR="00207A5A" w:rsidRPr="004F70EA" w:rsidRDefault="00207A5A" w:rsidP="00207A5A">
      <w:pPr>
        <w:rPr>
          <w:w w:val="105"/>
        </w:rPr>
      </w:pPr>
      <w:r w:rsidRPr="004F70EA">
        <w:rPr>
          <w:w w:val="105"/>
        </w:rPr>
        <w:t>IA Status: Compliant</w:t>
      </w:r>
    </w:p>
    <w:p w14:paraId="2CF3BBE8" w14:textId="77777777" w:rsidR="00207A5A" w:rsidRPr="002B3A70" w:rsidRDefault="00207A5A" w:rsidP="00207A5A">
      <w:r w:rsidRPr="002B3A70">
        <w:t xml:space="preserve">Assessment Rating: </w:t>
      </w:r>
      <w:r>
        <w:rPr>
          <w:w w:val="105"/>
          <w:szCs w:val="22"/>
        </w:rPr>
        <w:t>Independent Review</w:t>
      </w:r>
    </w:p>
    <w:p w14:paraId="1D7C8F98" w14:textId="77777777" w:rsidR="00207A5A" w:rsidRPr="002B3A70" w:rsidRDefault="00207A5A" w:rsidP="00207A5A">
      <w:r w:rsidRPr="00724D88">
        <w:t xml:space="preserve">PIR Required: </w:t>
      </w:r>
      <w:r w:rsidRPr="004122CC">
        <w:t>No</w:t>
      </w:r>
    </w:p>
    <w:p w14:paraId="4E9D8BAA" w14:textId="6A772857" w:rsidR="00207A5A" w:rsidRDefault="00207A5A" w:rsidP="00207A5A">
      <w:pPr>
        <w:rPr>
          <w:rFonts w:eastAsia="MS Mincho"/>
          <w:spacing w:val="-3"/>
          <w:szCs w:val="22"/>
        </w:rPr>
      </w:pPr>
      <w:r w:rsidRPr="003058F5">
        <w:rPr>
          <w:szCs w:val="22"/>
        </w:rPr>
        <w:t xml:space="preserve">Regulatory Burden: </w:t>
      </w:r>
      <w:r w:rsidRPr="003157D7">
        <w:rPr>
          <w:rFonts w:eastAsia="MS Mincho"/>
          <w:spacing w:val="-3"/>
          <w:szCs w:val="22"/>
        </w:rPr>
        <w:t>$</w:t>
      </w:r>
      <w:r>
        <w:rPr>
          <w:rFonts w:eastAsia="MS Mincho"/>
          <w:spacing w:val="-3"/>
          <w:szCs w:val="22"/>
        </w:rPr>
        <w:t>15.3 million</w:t>
      </w:r>
    </w:p>
    <w:p w14:paraId="23A7D96C" w14:textId="77777777" w:rsidR="00207A5A" w:rsidRPr="00207A5A" w:rsidRDefault="00207A5A" w:rsidP="00207A5A">
      <w:r w:rsidRPr="00207A5A">
        <w:t>The Consumer Data Right (CDR) provides consumers with greater access to their personal information, giving them the ability to instruct businesses to provide safe and secure access of their data to accredited third parties. The Inquiry into the Future Directions for the Consumer Data Right examined how the CDR could be expanded in functionality and leveraged with other initiatives in the digital economy.</w:t>
      </w:r>
    </w:p>
    <w:p w14:paraId="2427AEA1" w14:textId="7208352C" w:rsidR="00207A5A" w:rsidRDefault="00207A5A" w:rsidP="00207A5A">
      <w:r w:rsidRPr="00207A5A">
        <w:t>On 14 December 2021, the previous Government released its response to the Final Report of the Inquiry into Future Directions for the Consumer Data Right following extensive targeted engagement with interested parties. The response committed to significantly strengthen and deepen the CDR’s functionality and use through the implementation of third-party action and payment initiation reforms, along with other recommended reforms to grow the CDR ecosystem and foster gr</w:t>
      </w:r>
      <w:r>
        <w:t>eater international engagement.</w:t>
      </w:r>
    </w:p>
    <w:p w14:paraId="11C1A714" w14:textId="77777777" w:rsidR="00B4414A" w:rsidRDefault="00B4414A" w:rsidP="00B4414A">
      <w:pPr>
        <w:pStyle w:val="Heading3"/>
      </w:pPr>
      <w:bookmarkStart w:id="139" w:name="_Toc200111145"/>
      <w:r w:rsidRPr="00B4414A">
        <w:t>Reducing tax concessions on superannuation balances exceeding $3 million</w:t>
      </w:r>
      <w:bookmarkEnd w:id="139"/>
      <w:r w:rsidRPr="00B4414A">
        <w:t xml:space="preserve"> </w:t>
      </w:r>
    </w:p>
    <w:p w14:paraId="0197CDC9" w14:textId="7674F5CE" w:rsidR="00B4414A" w:rsidRPr="004F70EA" w:rsidRDefault="00B4414A" w:rsidP="00B4414A">
      <w:pPr>
        <w:rPr>
          <w:w w:val="105"/>
        </w:rPr>
      </w:pPr>
      <w:r w:rsidRPr="004F70EA">
        <w:rPr>
          <w:w w:val="105"/>
        </w:rPr>
        <w:t xml:space="preserve">IA Status: </w:t>
      </w:r>
      <w:r>
        <w:rPr>
          <w:w w:val="105"/>
        </w:rPr>
        <w:t>Non-compliant</w:t>
      </w:r>
    </w:p>
    <w:p w14:paraId="37BE559D" w14:textId="1C80004F" w:rsidR="00B4414A" w:rsidRPr="002B3A70" w:rsidRDefault="00B4414A" w:rsidP="00B4414A">
      <w:r w:rsidRPr="002B3A70">
        <w:t xml:space="preserve">Assessment Rating: </w:t>
      </w:r>
      <w:r>
        <w:rPr>
          <w:w w:val="105"/>
          <w:szCs w:val="22"/>
        </w:rPr>
        <w:t>Insufficient</w:t>
      </w:r>
    </w:p>
    <w:p w14:paraId="1BE7275A" w14:textId="405AD05B" w:rsidR="00B4414A" w:rsidRPr="002B3A70" w:rsidRDefault="00B4414A" w:rsidP="00B4414A">
      <w:r w:rsidRPr="00724D88">
        <w:t xml:space="preserve">PIR Required: </w:t>
      </w:r>
      <w:r>
        <w:t>Yes</w:t>
      </w:r>
    </w:p>
    <w:p w14:paraId="0DDD794C" w14:textId="7767B477" w:rsidR="00B4414A" w:rsidRDefault="00B4414A" w:rsidP="00B4414A">
      <w:pPr>
        <w:rPr>
          <w:rFonts w:eastAsia="MS Mincho"/>
          <w:spacing w:val="-3"/>
          <w:szCs w:val="22"/>
        </w:rPr>
      </w:pPr>
      <w:r w:rsidRPr="003058F5">
        <w:rPr>
          <w:szCs w:val="22"/>
        </w:rPr>
        <w:t xml:space="preserve">Regulatory Burden: </w:t>
      </w:r>
      <w:r w:rsidR="00BA6839">
        <w:rPr>
          <w:rFonts w:eastAsia="MS Mincho"/>
          <w:spacing w:val="-3"/>
          <w:szCs w:val="22"/>
        </w:rPr>
        <w:t>-</w:t>
      </w:r>
    </w:p>
    <w:p w14:paraId="6F653F35" w14:textId="77777777" w:rsidR="00BA6839" w:rsidRPr="00BA6839" w:rsidRDefault="00BA6839" w:rsidP="00BA6839">
      <w:r w:rsidRPr="00BA6839">
        <w:t xml:space="preserve">On 28 February 2023, the Treasurer, The Hon Dr Jim Chalmers MP, and the Assistant Treasurer, The Hon Stephen Jones MP, announced that the Australian Government will reduce the tax concessions available to individuals whose total superannuation balances exceed $3 million at the end of the financial year, commencing on 1 July 2025. </w:t>
      </w:r>
    </w:p>
    <w:p w14:paraId="400951B9" w14:textId="77777777" w:rsidR="00BA6839" w:rsidRPr="00BA6839" w:rsidRDefault="00BA6839" w:rsidP="00BA6839">
      <w:r w:rsidRPr="00BA6839">
        <w:t>The policy intends to ensure superannuation tax breaks are better targeted and sustainable.</w:t>
      </w:r>
    </w:p>
    <w:p w14:paraId="154B8314" w14:textId="77777777" w:rsidR="00BA6839" w:rsidRPr="00BA6839" w:rsidRDefault="00BA6839" w:rsidP="00BA6839">
      <w:r w:rsidRPr="00BA6839">
        <w:t xml:space="preserve">As this policy will likely have major impacts on affected individuals and superannuation funds, an Impact Analysis (IA) was required to be prepared but was not completed. Therefore, as per the Australian Government Guide to Policy Impact Analysis, the Office of Impact Analysis considers the measure is insufficient to meet the Government’s Impact Analysis requirements. </w:t>
      </w:r>
    </w:p>
    <w:p w14:paraId="04DC9658" w14:textId="30BD6F92" w:rsidR="00BA6839" w:rsidRDefault="00BA6839" w:rsidP="00BA6839">
      <w:r w:rsidRPr="00BA6839">
        <w:t xml:space="preserve">Accordingly, a post-implementation review is required to be completed within two years of its implementation. </w:t>
      </w:r>
    </w:p>
    <w:p w14:paraId="0E53F83B" w14:textId="77777777" w:rsidR="006004C3" w:rsidRPr="006004C3" w:rsidRDefault="006004C3" w:rsidP="006004C3">
      <w:pPr>
        <w:pStyle w:val="Heading3"/>
      </w:pPr>
      <w:bookmarkStart w:id="140" w:name="_Toc200111146"/>
      <w:r w:rsidRPr="006004C3">
        <w:lastRenderedPageBreak/>
        <w:t>Unpaid Superannuation Guarantee Package</w:t>
      </w:r>
      <w:bookmarkEnd w:id="140"/>
      <w:r w:rsidRPr="006004C3">
        <w:t xml:space="preserve"> </w:t>
      </w:r>
    </w:p>
    <w:p w14:paraId="219B85A2" w14:textId="1D4DD62A" w:rsidR="006004C3" w:rsidRPr="004F70EA" w:rsidRDefault="006004C3" w:rsidP="006004C3">
      <w:pPr>
        <w:rPr>
          <w:w w:val="105"/>
        </w:rPr>
      </w:pPr>
      <w:r w:rsidRPr="004F70EA">
        <w:rPr>
          <w:w w:val="105"/>
        </w:rPr>
        <w:t xml:space="preserve">IA Status: </w:t>
      </w:r>
      <w:r>
        <w:rPr>
          <w:w w:val="105"/>
        </w:rPr>
        <w:t>Compliant</w:t>
      </w:r>
    </w:p>
    <w:p w14:paraId="66626B18" w14:textId="6F2B810F" w:rsidR="006004C3" w:rsidRPr="002B3A70" w:rsidRDefault="006004C3" w:rsidP="006004C3">
      <w:r w:rsidRPr="002B3A70">
        <w:t xml:space="preserve">Assessment Rating: </w:t>
      </w:r>
      <w:r>
        <w:rPr>
          <w:w w:val="105"/>
          <w:szCs w:val="22"/>
        </w:rPr>
        <w:t>Adequate</w:t>
      </w:r>
    </w:p>
    <w:p w14:paraId="68B3705A" w14:textId="52FBE3EE" w:rsidR="006004C3" w:rsidRPr="002B3A70" w:rsidRDefault="006004C3" w:rsidP="006004C3">
      <w:r w:rsidRPr="00724D88">
        <w:t xml:space="preserve">PIR Required: </w:t>
      </w:r>
      <w:r w:rsidR="00FD1B6F">
        <w:t>No</w:t>
      </w:r>
    </w:p>
    <w:p w14:paraId="46EA1778" w14:textId="316D0C8F" w:rsidR="006004C3" w:rsidRDefault="006004C3" w:rsidP="006004C3">
      <w:pPr>
        <w:rPr>
          <w:rFonts w:eastAsia="MS Mincho"/>
          <w:spacing w:val="-3"/>
          <w:szCs w:val="22"/>
        </w:rPr>
      </w:pPr>
      <w:r w:rsidRPr="003058F5">
        <w:rPr>
          <w:szCs w:val="22"/>
        </w:rPr>
        <w:t xml:space="preserve">Regulatory Burden: </w:t>
      </w:r>
      <w:r>
        <w:rPr>
          <w:rFonts w:eastAsia="MS Mincho"/>
          <w:spacing w:val="-3"/>
          <w:szCs w:val="22"/>
        </w:rPr>
        <w:t>$135.6 million</w:t>
      </w:r>
    </w:p>
    <w:p w14:paraId="670FBB2C" w14:textId="77777777" w:rsidR="006004C3" w:rsidRPr="006004C3" w:rsidRDefault="006004C3" w:rsidP="006004C3">
      <w:r w:rsidRPr="006004C3">
        <w:t>Unpaid superannuation has significant negative impacts on individuals, by reducing superannuation savings and delaying retirement. In 2019-20, more than $3.3 billion in Superannuation Guarantee (SG) entitlements remained unpaid and owing to eligible employees. The Australian Taxation Office (ATO) is responsible for administering the SG scheme, including following up with employers where SG obligations go unpaid and administering the SG charge. However, due to the design of the SG system (including the frequency with which employers are required to pay SG, the operation of the SG charge, and limitations with the ATO’s IT capabilities to identify unpaid SG), many SG obligations remain unpaid for extended periods of time. This causes significant issues when employers enter liquidation without having paid their SG obligations.</w:t>
      </w:r>
    </w:p>
    <w:p w14:paraId="201C1AB4" w14:textId="50E241C6" w:rsidR="006004C3" w:rsidRPr="006004C3" w:rsidRDefault="006004C3" w:rsidP="006004C3">
      <w:r>
        <w:t>The p</w:t>
      </w:r>
      <w:r w:rsidRPr="006004C3">
        <w:t>roposal</w:t>
      </w:r>
      <w:r>
        <w:t xml:space="preserve"> involves:</w:t>
      </w:r>
    </w:p>
    <w:p w14:paraId="71391CFE" w14:textId="77777777" w:rsidR="006004C3" w:rsidRPr="006004C3" w:rsidRDefault="006004C3" w:rsidP="006004C3">
      <w:pPr>
        <w:pStyle w:val="ListParagraph"/>
        <w:numPr>
          <w:ilvl w:val="0"/>
          <w:numId w:val="28"/>
        </w:numPr>
      </w:pPr>
      <w:r w:rsidRPr="006004C3">
        <w:t>Grant funding to the Australian Taxation Office (ATO) to develop capabilities to automatically match Superannuation Guarantee (SG) contributions data, which would enable near-real time visibility of any shortfalls in SG payments.</w:t>
      </w:r>
    </w:p>
    <w:p w14:paraId="371A1F8E" w14:textId="77777777" w:rsidR="006004C3" w:rsidRPr="006004C3" w:rsidRDefault="006004C3" w:rsidP="006004C3">
      <w:pPr>
        <w:pStyle w:val="ListParagraph"/>
        <w:numPr>
          <w:ilvl w:val="0"/>
          <w:numId w:val="28"/>
        </w:numPr>
      </w:pPr>
      <w:r w:rsidRPr="006004C3">
        <w:t>Require that SG contributions are paid alongside wages instead of quarterly and</w:t>
      </w:r>
    </w:p>
    <w:p w14:paraId="314AAF4D" w14:textId="77777777" w:rsidR="006004C3" w:rsidRDefault="006004C3" w:rsidP="006004C3">
      <w:pPr>
        <w:pStyle w:val="ListParagraph"/>
        <w:numPr>
          <w:ilvl w:val="0"/>
          <w:numId w:val="28"/>
        </w:numPr>
      </w:pPr>
      <w:r w:rsidRPr="006004C3">
        <w:t xml:space="preserve">align the SG compliance framework with this more frequent payment schedule. </w:t>
      </w:r>
    </w:p>
    <w:p w14:paraId="65D46CBF" w14:textId="77777777" w:rsidR="004C0CD8" w:rsidRPr="004C0CD8" w:rsidRDefault="004C0CD8" w:rsidP="004C0CD8">
      <w:pPr>
        <w:pStyle w:val="Heading3"/>
      </w:pPr>
      <w:bookmarkStart w:id="141" w:name="_Toc200111147"/>
      <w:r w:rsidRPr="004C0CD8">
        <w:t>Two-Pillar Solution: addressing the tax challenges arising from the digitalisation of the economy</w:t>
      </w:r>
      <w:bookmarkEnd w:id="141"/>
      <w:r w:rsidRPr="004C0CD8">
        <w:t xml:space="preserve"> </w:t>
      </w:r>
    </w:p>
    <w:p w14:paraId="3535FB24" w14:textId="4F7565EF" w:rsidR="004C0CD8" w:rsidRPr="004F70EA" w:rsidRDefault="004C0CD8" w:rsidP="004C0CD8">
      <w:pPr>
        <w:rPr>
          <w:w w:val="105"/>
        </w:rPr>
      </w:pPr>
      <w:r w:rsidRPr="004F70EA">
        <w:rPr>
          <w:w w:val="105"/>
        </w:rPr>
        <w:t xml:space="preserve">IA Status: </w:t>
      </w:r>
      <w:r>
        <w:rPr>
          <w:w w:val="105"/>
        </w:rPr>
        <w:t>Compliant</w:t>
      </w:r>
    </w:p>
    <w:p w14:paraId="72F05D5B" w14:textId="09D8B4B4" w:rsidR="004C0CD8" w:rsidRPr="002B3A70" w:rsidRDefault="004C0CD8" w:rsidP="004C0CD8">
      <w:r w:rsidRPr="002B3A70">
        <w:t xml:space="preserve">Assessment Rating: </w:t>
      </w:r>
      <w:r>
        <w:rPr>
          <w:w w:val="105"/>
          <w:szCs w:val="22"/>
        </w:rPr>
        <w:t>Good Practice</w:t>
      </w:r>
    </w:p>
    <w:p w14:paraId="0A3A5EA1" w14:textId="275BA6AD" w:rsidR="004C0CD8" w:rsidRPr="002B3A70" w:rsidRDefault="004C0CD8" w:rsidP="004C0CD8">
      <w:r w:rsidRPr="00724D88">
        <w:t xml:space="preserve">PIR Required: </w:t>
      </w:r>
      <w:r w:rsidR="00EE4752">
        <w:t>No</w:t>
      </w:r>
    </w:p>
    <w:p w14:paraId="7C4CEF9F" w14:textId="2CA2656D" w:rsidR="004C0CD8" w:rsidRDefault="004C0CD8" w:rsidP="004C0CD8">
      <w:pPr>
        <w:rPr>
          <w:rFonts w:eastAsia="MS Mincho"/>
          <w:spacing w:val="-3"/>
          <w:szCs w:val="22"/>
        </w:rPr>
      </w:pPr>
      <w:r w:rsidRPr="003058F5">
        <w:rPr>
          <w:szCs w:val="22"/>
        </w:rPr>
        <w:t xml:space="preserve">Regulatory Burden: </w:t>
      </w:r>
      <w:r>
        <w:rPr>
          <w:rFonts w:eastAsia="MS Mincho"/>
          <w:spacing w:val="-3"/>
          <w:szCs w:val="22"/>
        </w:rPr>
        <w:t>$32.3 million</w:t>
      </w:r>
    </w:p>
    <w:p w14:paraId="016A099D" w14:textId="77777777" w:rsidR="004C0CD8" w:rsidRDefault="004C0CD8" w:rsidP="004C0CD8">
      <w:r>
        <w:t>The Two-Pillar Solution aims to address challenges that governments and multinational businesses are facing with current international corporate tax settings. It has become harder for governments around the world to raise corporate income taxation revenue from large multinationals. This arguably stems from outdated international conventions for corporate income taxation. These conventions were established a century ago and so did not account for today’s levels of digitalisation and globalisation. These problems require coordinated government action and cannot be addressed by market forces.</w:t>
      </w:r>
    </w:p>
    <w:p w14:paraId="3877B901" w14:textId="77777777" w:rsidR="004C0CD8" w:rsidRDefault="004C0CD8" w:rsidP="004C0CD8">
      <w:r>
        <w:t xml:space="preserve">The Two-Pillar Solution is made up of Pillar One and Pillar Two. Pillar One seeks to ensure more of the profits of the largest and most profitable multinationals are taxed where the products or services are </w:t>
      </w:r>
      <w:r>
        <w:lastRenderedPageBreak/>
        <w:t xml:space="preserve">consumed. Pillar One is primarily an attempt to address the problem of ‘scale without mass’—being able to derive significant profits from a country without having the traditional physical presence (mass). </w:t>
      </w:r>
    </w:p>
    <w:p w14:paraId="20826554" w14:textId="282A2BE3" w:rsidR="004C0CD8" w:rsidRDefault="004C0CD8" w:rsidP="004C0CD8">
      <w:r>
        <w:t>Pillar Two seeks to establish a global minimum tax on large multinationals. While it is primarily seeking to address the ‘race to the bottom’, it also helps to create a more level playing field between large multinationals and domestic businesses, which have little ability to access the same profit shifting strategies.</w:t>
      </w:r>
    </w:p>
    <w:p w14:paraId="6F80805D" w14:textId="77777777" w:rsidR="00F60916" w:rsidRPr="00F60916" w:rsidRDefault="00F60916" w:rsidP="00F60916">
      <w:pPr>
        <w:pStyle w:val="Heading3"/>
      </w:pPr>
      <w:bookmarkStart w:id="142" w:name="_Toc200111148"/>
      <w:r w:rsidRPr="00F60916">
        <w:t>Buy Now Pay Later Credit Products</w:t>
      </w:r>
      <w:bookmarkEnd w:id="142"/>
      <w:r w:rsidRPr="00F60916">
        <w:t xml:space="preserve"> </w:t>
      </w:r>
    </w:p>
    <w:p w14:paraId="3E55673B" w14:textId="7DCE542F" w:rsidR="00F60916" w:rsidRPr="004F70EA" w:rsidRDefault="00F60916" w:rsidP="00F60916">
      <w:pPr>
        <w:rPr>
          <w:w w:val="105"/>
        </w:rPr>
      </w:pPr>
      <w:r w:rsidRPr="004F70EA">
        <w:rPr>
          <w:w w:val="105"/>
        </w:rPr>
        <w:t xml:space="preserve">IA Status: </w:t>
      </w:r>
      <w:r>
        <w:rPr>
          <w:w w:val="105"/>
        </w:rPr>
        <w:t>Compliant</w:t>
      </w:r>
    </w:p>
    <w:p w14:paraId="6D660DF5" w14:textId="77777777" w:rsidR="00F60916" w:rsidRPr="002B3A70" w:rsidRDefault="00F60916" w:rsidP="00F60916">
      <w:r w:rsidRPr="002B3A70">
        <w:t xml:space="preserve">Assessment Rating: </w:t>
      </w:r>
      <w:r>
        <w:rPr>
          <w:w w:val="105"/>
          <w:szCs w:val="22"/>
        </w:rPr>
        <w:t>Good Practice</w:t>
      </w:r>
    </w:p>
    <w:p w14:paraId="7F3273CD" w14:textId="22FA436F" w:rsidR="00F60916" w:rsidRPr="002B3A70" w:rsidRDefault="00F60916" w:rsidP="00F60916">
      <w:r w:rsidRPr="00724D88">
        <w:t xml:space="preserve">PIR Required: </w:t>
      </w:r>
      <w:r w:rsidR="00EE4752">
        <w:t>No</w:t>
      </w:r>
    </w:p>
    <w:p w14:paraId="4D916CCB" w14:textId="0D74F11B" w:rsidR="00F60916" w:rsidRDefault="00F60916" w:rsidP="00F60916">
      <w:pPr>
        <w:rPr>
          <w:rFonts w:eastAsia="MS Mincho"/>
          <w:spacing w:val="-3"/>
          <w:szCs w:val="22"/>
        </w:rPr>
      </w:pPr>
      <w:r w:rsidRPr="003058F5">
        <w:rPr>
          <w:szCs w:val="22"/>
        </w:rPr>
        <w:t xml:space="preserve">Regulatory Burden: </w:t>
      </w:r>
      <w:r>
        <w:rPr>
          <w:rFonts w:eastAsia="MS Mincho"/>
          <w:spacing w:val="-3"/>
          <w:szCs w:val="22"/>
        </w:rPr>
        <w:t>$15 million per year, averaged over ten years</w:t>
      </w:r>
    </w:p>
    <w:p w14:paraId="3F164306" w14:textId="77777777" w:rsidR="00A521CE" w:rsidRDefault="00A521CE" w:rsidP="00A521CE">
      <w:r>
        <w:t>Concerns have been raised by consumer groups, regulators and academics – supported by various studies and surveys – that some Buy Now, Pay Later (BNPL) borrowers are experiencing financial stress after being extended credit they cannot afford. Other possible consumer harms include those arising from poor complaint handling processes, cases of disproportionate fees, undesirable marketing practices, financial abuse and poor or inconsistent pre-contractual product disclosures. BNPL products are currently not regulated under the National Consumer Credit Protection Act 2009 (Credit Act), although some other consumer protection laws apply. Industry self-regulation has been only partially effective due to incomplete coverage of the industry Code of Practice, a lack of rigour in some industry commitments, insufficient compliance with some commitments and a lack of mechanisms to penalise or exclude bad actors.</w:t>
      </w:r>
    </w:p>
    <w:p w14:paraId="540EB4D6" w14:textId="4D719CF9" w:rsidR="00A521CE" w:rsidRDefault="00A521CE" w:rsidP="00A521CE">
      <w:r>
        <w:t>The proposal is to bring BNPL within the Credit Act’s application to apply a tailored version of the Responsible Lending Obligations (RLO) to BNPL products. This seeks to address the key issue of unaffordable lending by applying the RLO framework which ensures that providers do not provide consumers with loans that are unsuitable for them, but in a way that allows for the RLO assessment to be scaled-down according to the risk of the product. Key features of the proposal include amending the Credit Act to require BNPL providers to hold an ACL, or be a representative of a licensee, with a requirement to comply with most general obligations of a licensee, including:</w:t>
      </w:r>
    </w:p>
    <w:p w14:paraId="4C7DD086" w14:textId="77777777" w:rsidR="00A521CE" w:rsidRDefault="00A521CE" w:rsidP="00A521CE">
      <w:pPr>
        <w:pStyle w:val="ListParagraph"/>
        <w:numPr>
          <w:ilvl w:val="0"/>
          <w:numId w:val="34"/>
        </w:numPr>
      </w:pPr>
      <w:r>
        <w:t>Internal and external dispute resolution, hardship provisions, compensation arrangements, fee caps and marketing rules.</w:t>
      </w:r>
    </w:p>
    <w:p w14:paraId="580A53AC" w14:textId="1F16C114" w:rsidR="00FB6AB1" w:rsidRPr="00C1401F" w:rsidRDefault="00A521CE" w:rsidP="0D180434">
      <w:pPr>
        <w:pStyle w:val="ListParagraph"/>
        <w:numPr>
          <w:ilvl w:val="0"/>
          <w:numId w:val="34"/>
        </w:numPr>
        <w:rPr>
          <w:rFonts w:asciiTheme="majorHAnsi" w:eastAsiaTheme="majorEastAsia" w:hAnsiTheme="majorHAnsi" w:cstheme="majorBidi"/>
          <w:color w:val="192D56" w:themeColor="accent1"/>
          <w:szCs w:val="22"/>
        </w:rPr>
      </w:pPr>
      <w:r>
        <w:t>The provisions could be calibrated to the level of risk of BNPL products and services. This could include exemptions from reference checking, and other obligations that do not relate to issues identified in the BNPL business practices.</w:t>
      </w:r>
      <w:r w:rsidR="00FB6AB1">
        <w:br w:type="page"/>
      </w:r>
    </w:p>
    <w:p w14:paraId="3F389D22" w14:textId="10599734" w:rsidR="004E6DD2" w:rsidRPr="004E6DD2" w:rsidRDefault="004E6DD2" w:rsidP="004E6DD2">
      <w:pPr>
        <w:pStyle w:val="Heading3"/>
      </w:pPr>
      <w:bookmarkStart w:id="143" w:name="_Toc200111149"/>
      <w:r w:rsidRPr="004E6DD2">
        <w:lastRenderedPageBreak/>
        <w:t>Financial adviser education standards</w:t>
      </w:r>
      <w:bookmarkEnd w:id="143"/>
    </w:p>
    <w:p w14:paraId="08FC91E6" w14:textId="6C34C363" w:rsidR="004E6DD2" w:rsidRPr="004F70EA" w:rsidRDefault="004E6DD2" w:rsidP="004E6DD2">
      <w:pPr>
        <w:rPr>
          <w:w w:val="105"/>
        </w:rPr>
      </w:pPr>
      <w:r w:rsidRPr="004F70EA">
        <w:rPr>
          <w:w w:val="105"/>
        </w:rPr>
        <w:t xml:space="preserve">IA Status: </w:t>
      </w:r>
      <w:r>
        <w:rPr>
          <w:w w:val="105"/>
        </w:rPr>
        <w:t>Compliant</w:t>
      </w:r>
    </w:p>
    <w:p w14:paraId="5C75D076" w14:textId="77777777" w:rsidR="004E6DD2" w:rsidRPr="002B3A70" w:rsidRDefault="004E6DD2" w:rsidP="004E6DD2">
      <w:r w:rsidRPr="002B3A70">
        <w:t xml:space="preserve">Assessment Rating: </w:t>
      </w:r>
      <w:r>
        <w:rPr>
          <w:w w:val="105"/>
          <w:szCs w:val="22"/>
        </w:rPr>
        <w:t>Good Practice</w:t>
      </w:r>
    </w:p>
    <w:p w14:paraId="2ECB29A4" w14:textId="3CA41D9D" w:rsidR="004E6DD2" w:rsidRPr="002B3A70" w:rsidRDefault="004E6DD2" w:rsidP="004E6DD2">
      <w:r w:rsidRPr="00724D88">
        <w:t xml:space="preserve">PIR Required: </w:t>
      </w:r>
      <w:r w:rsidR="00EE4752">
        <w:t>No</w:t>
      </w:r>
    </w:p>
    <w:p w14:paraId="43094C33" w14:textId="7D1B098D" w:rsidR="004E6DD2" w:rsidRDefault="004E6DD2" w:rsidP="004E6DD2">
      <w:pPr>
        <w:rPr>
          <w:rFonts w:eastAsia="MS Mincho"/>
          <w:spacing w:val="-3"/>
          <w:szCs w:val="22"/>
        </w:rPr>
      </w:pPr>
      <w:r w:rsidRPr="003058F5">
        <w:rPr>
          <w:szCs w:val="22"/>
        </w:rPr>
        <w:t xml:space="preserve">Regulatory Burden: </w:t>
      </w:r>
      <w:r>
        <w:rPr>
          <w:rFonts w:eastAsia="MS Mincho"/>
          <w:spacing w:val="-3"/>
          <w:szCs w:val="22"/>
        </w:rPr>
        <w:t>N/A</w:t>
      </w:r>
    </w:p>
    <w:p w14:paraId="1E33A484" w14:textId="088D9A28" w:rsidR="004E6DD2" w:rsidRDefault="004E6DD2" w:rsidP="004E6DD2">
      <w:r w:rsidRPr="004E6DD2">
        <w:t>In their current form, the education requirements for financial advisers have failed to strike the right balance between ensuring consumers are receiving professional advice and encouraging experienced advisers to stay in the industry. Currently, existing advisers are required to have completed an 8-unit graduate diploma by 1 January 2026. The number of courses which need to be completed can be reduced through the recognition of prior learning, but years of experience do not reduce the number of units required to be completed. The Government made an election commitment to remove all tertiary education requirement for financial advisers with 10 or more years of experience and a clean disciplinary record.</w:t>
      </w:r>
    </w:p>
    <w:p w14:paraId="0FEB5437" w14:textId="77777777" w:rsidR="00FB6AB1" w:rsidRDefault="00FB6AB1">
      <w:pPr>
        <w:spacing w:after="200"/>
        <w:rPr>
          <w:rFonts w:asciiTheme="majorHAnsi" w:eastAsiaTheme="majorEastAsia" w:hAnsiTheme="majorHAnsi" w:cstheme="majorBidi"/>
          <w:color w:val="192D56" w:themeColor="accent1"/>
          <w:sz w:val="40"/>
          <w:szCs w:val="40"/>
        </w:rPr>
      </w:pPr>
      <w:r>
        <w:br w:type="page"/>
      </w:r>
    </w:p>
    <w:p w14:paraId="19A5C7C4" w14:textId="2423E3EA" w:rsidR="00621EA3" w:rsidRDefault="001D313F" w:rsidP="006004C3">
      <w:pPr>
        <w:pStyle w:val="Heading1"/>
      </w:pPr>
      <w:bookmarkStart w:id="144" w:name="_Toc200111150"/>
      <w:r>
        <w:lastRenderedPageBreak/>
        <w:t xml:space="preserve">Appendix A: </w:t>
      </w:r>
      <w:r w:rsidR="006B3940">
        <w:t>IA</w:t>
      </w:r>
      <w:r>
        <w:t>s used for consultation, 202</w:t>
      </w:r>
      <w:r w:rsidR="00C256B0">
        <w:t>2</w:t>
      </w:r>
      <w:r>
        <w:t>-2</w:t>
      </w:r>
      <w:r w:rsidR="00C256B0">
        <w:t>3</w:t>
      </w:r>
      <w:bookmarkEnd w:id="137"/>
      <w:bookmarkEnd w:id="144"/>
    </w:p>
    <w:p w14:paraId="07ED604E" w14:textId="40AFC99F" w:rsidR="00AD2778" w:rsidRPr="00BC11CA" w:rsidRDefault="00AD2778" w:rsidP="00AE10E6">
      <w:r w:rsidRPr="00BC11CA">
        <w:t xml:space="preserve">The </w:t>
      </w:r>
      <w:r w:rsidR="006B3940">
        <w:t>IA</w:t>
      </w:r>
      <w:r w:rsidRPr="00BC11CA">
        <w:t>s below have been certified by the authoring agencies, subject to an early assessment by the O</w:t>
      </w:r>
      <w:r w:rsidR="006B3940">
        <w:t>IA</w:t>
      </w:r>
      <w:r w:rsidRPr="00BC11CA">
        <w:t xml:space="preserve"> and published during the current financial year.</w:t>
      </w:r>
    </w:p>
    <w:p w14:paraId="3894495B" w14:textId="77777777" w:rsidR="001D3FE5" w:rsidRDefault="001D3FE5" w:rsidP="001D3FE5">
      <w:pPr>
        <w:pStyle w:val="Heading2"/>
        <w:rPr>
          <w:noProof/>
        </w:rPr>
      </w:pPr>
      <w:bookmarkStart w:id="145" w:name="_Toc122424454"/>
      <w:bookmarkStart w:id="146" w:name="_Toc200111151"/>
      <w:r>
        <w:rPr>
          <w:noProof/>
        </w:rPr>
        <w:t>Australian Competition and Consumer Commission</w:t>
      </w:r>
      <w:bookmarkEnd w:id="145"/>
      <w:bookmarkEnd w:id="146"/>
    </w:p>
    <w:p w14:paraId="2BCF0AAA" w14:textId="47125C8B" w:rsidR="001D3FE5" w:rsidRDefault="00840D04" w:rsidP="00AD2778">
      <w:pPr>
        <w:pStyle w:val="Heading2"/>
        <w:rPr>
          <w:sz w:val="26"/>
          <w:szCs w:val="22"/>
        </w:rPr>
      </w:pPr>
      <w:bookmarkStart w:id="147" w:name="_Toc122424455"/>
      <w:bookmarkStart w:id="148" w:name="_Toc200111152"/>
      <w:r>
        <w:rPr>
          <w:sz w:val="26"/>
          <w:szCs w:val="22"/>
        </w:rPr>
        <w:t xml:space="preserve">Early Assessment </w:t>
      </w:r>
      <w:r w:rsidR="006B3940">
        <w:rPr>
          <w:sz w:val="26"/>
          <w:szCs w:val="22"/>
        </w:rPr>
        <w:t>IA</w:t>
      </w:r>
      <w:r>
        <w:rPr>
          <w:sz w:val="26"/>
          <w:szCs w:val="22"/>
        </w:rPr>
        <w:t xml:space="preserve"> - </w:t>
      </w:r>
      <w:r w:rsidR="001D3FE5" w:rsidRPr="001D3FE5">
        <w:rPr>
          <w:sz w:val="26"/>
          <w:szCs w:val="22"/>
        </w:rPr>
        <w:t>Infant Inclined Products and Infant Sleep Products</w:t>
      </w:r>
      <w:bookmarkEnd w:id="147"/>
      <w:bookmarkEnd w:id="148"/>
    </w:p>
    <w:p w14:paraId="40D8F718" w14:textId="77777777" w:rsidR="001D3FE5" w:rsidRDefault="001D3FE5" w:rsidP="001D3FE5">
      <w:r>
        <w:t>On 11 August 2022, the Australian Competition and Consumer Commission (ACCC) released a consultation paper which considers policy options to reduce the risk of death and injury associated with Infant Sleep Products, including Inclined Sleep Products and Inclined Non-Sleep Products.</w:t>
      </w:r>
    </w:p>
    <w:p w14:paraId="5E8C3DAA" w14:textId="77777777" w:rsidR="001D3FE5" w:rsidRDefault="001D3FE5" w:rsidP="001D3FE5">
      <w:r>
        <w:t>This Consultation Paper is seeking views on the likely effectiveness and cost of options to address the known risks associated with Infant Sleep Products, including Inclined Sleep Products and Inclined Non-Sleep Products, such as a holistic mandatory safety standard for all Infant Sleep Products. It also includes questions about whether the existing mandatory safety standards for folding cots and household cots should be updated.</w:t>
      </w:r>
    </w:p>
    <w:p w14:paraId="45269CD1" w14:textId="77777777" w:rsidR="00AD2778" w:rsidRDefault="00C256B0" w:rsidP="001D3FE5">
      <w:pPr>
        <w:pStyle w:val="Heading2"/>
      </w:pPr>
      <w:bookmarkStart w:id="149" w:name="_Toc122424456"/>
      <w:bookmarkStart w:id="150" w:name="_Toc200111153"/>
      <w:r>
        <w:rPr>
          <w:noProof/>
        </w:rPr>
        <w:t>Department of Defence</w:t>
      </w:r>
      <w:bookmarkEnd w:id="149"/>
      <w:bookmarkEnd w:id="150"/>
    </w:p>
    <w:p w14:paraId="755AD3A4" w14:textId="10C53797" w:rsidR="00C256B0" w:rsidRDefault="00840D04" w:rsidP="00C256B0">
      <w:pPr>
        <w:pStyle w:val="Heading3"/>
      </w:pPr>
      <w:bookmarkStart w:id="151" w:name="_Toc122424457"/>
      <w:bookmarkStart w:id="152" w:name="_Toc200111154"/>
      <w:r>
        <w:t xml:space="preserve">Early Assessment </w:t>
      </w:r>
      <w:r w:rsidR="006B3940">
        <w:t>IA</w:t>
      </w:r>
      <w:r>
        <w:t xml:space="preserve"> - </w:t>
      </w:r>
      <w:r w:rsidR="00C256B0" w:rsidRPr="00C256B0">
        <w:t>Regulation of Commonwealth Explosives</w:t>
      </w:r>
      <w:bookmarkEnd w:id="151"/>
      <w:bookmarkEnd w:id="152"/>
    </w:p>
    <w:p w14:paraId="387632FD" w14:textId="77777777" w:rsidR="00C256B0" w:rsidRDefault="00C256B0" w:rsidP="00C256B0">
      <w:r>
        <w:t>The current Commonwealth explosives regulatory regime is comprised of a principal act, the Explosives Act 1961, and two subsidiary regulations – the Explosives Transport Regulations 2002 and the Explosives Areas Regulation 2003. These two regulations are due to sunset on 1 October 2024 and must be remade or replaced for Commonwealth explosives to continue to be regulated.</w:t>
      </w:r>
    </w:p>
    <w:p w14:paraId="298EE9DB" w14:textId="77777777" w:rsidR="00AD2778" w:rsidRPr="00AD2778" w:rsidRDefault="00C256B0" w:rsidP="00C256B0">
      <w:r>
        <w:t>In early 2019, the Department of Defence conducted an initial review to consider whether the subsidiary regulations should sunset and if not, what action should be taken to ensure they are fit for purpose. The initial review concluded that the regulations should remain with amendment. A subsequent comprehensive review of the Commonwealth explosives regulatory regime identified avenues for reform across the entirety of the explosives legislative ecosystem, including both the principal act and subsidiary regulations.</w:t>
      </w:r>
    </w:p>
    <w:sectPr w:rsidR="00AD2778" w:rsidRPr="00AD2778" w:rsidSect="00C141C1">
      <w:headerReference w:type="default" r:id="rId14"/>
      <w:footerReference w:type="default" r:id="rId15"/>
      <w:headerReference w:type="first" r:id="rId16"/>
      <w:pgSz w:w="11906" w:h="16838"/>
      <w:pgMar w:top="1701" w:right="964" w:bottom="1701" w:left="964" w:header="993" w:footer="709"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55E6582D" w16cid:durableId="7E83B00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F4F6A" w14:textId="77777777" w:rsidR="009E50A2" w:rsidRDefault="009E50A2" w:rsidP="00F957C6">
      <w:pPr>
        <w:spacing w:after="0" w:line="240" w:lineRule="auto"/>
      </w:pPr>
      <w:r>
        <w:separator/>
      </w:r>
    </w:p>
  </w:endnote>
  <w:endnote w:type="continuationSeparator" w:id="0">
    <w:p w14:paraId="2F61D014" w14:textId="77777777" w:rsidR="009E50A2" w:rsidRDefault="009E50A2" w:rsidP="00F957C6">
      <w:pPr>
        <w:spacing w:after="0" w:line="240" w:lineRule="auto"/>
      </w:pPr>
      <w:r>
        <w:continuationSeparator/>
      </w:r>
    </w:p>
  </w:endnote>
  <w:endnote w:type="continuationNotice" w:id="1">
    <w:p w14:paraId="6290778F" w14:textId="77777777" w:rsidR="009E50A2" w:rsidRDefault="009E50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6B56A" w14:textId="77777777" w:rsidR="009E50A2" w:rsidRPr="00303C55" w:rsidRDefault="009E50A2" w:rsidP="00303C55">
    <w:pPr>
      <w:pStyle w:val="Footer"/>
    </w:pPr>
    <w:r>
      <w:t>Australian Government Regulation Impact Statement Status, 2021-22</w:t>
    </w:r>
    <w:r>
      <w:ptab w:relativeTo="margin" w:alignment="center" w:leader="none"/>
    </w:r>
    <w:r>
      <w:rPr>
        <w:noProof/>
        <w:lang w:eastAsia="en-AU"/>
      </w:rPr>
      <mc:AlternateContent>
        <mc:Choice Requires="wps">
          <w:drawing>
            <wp:anchor distT="0" distB="0" distL="114300" distR="114300" simplePos="0" relativeHeight="251658243" behindDoc="1" locked="0" layoutInCell="1" allowOverlap="1" wp14:anchorId="37C46390" wp14:editId="042C6E12">
              <wp:simplePos x="0" y="0"/>
              <wp:positionH relativeFrom="column">
                <wp:posOffset>6220460</wp:posOffset>
              </wp:positionH>
              <wp:positionV relativeFrom="page">
                <wp:posOffset>691515</wp:posOffset>
              </wp:positionV>
              <wp:extent cx="6096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77EEAADA">
            <v:line id="Straight Connector 106" style="position:absolute;z-index:-251658237;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89.8pt,54.45pt" to="537.8pt,54.45pt" w14:anchorId="7CD7D1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Lk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2o0UQXke0mMm&#10;ZY9jFnsMgVuIJIqXezXF1DFlHw50tVI8UBE+G/Lly5LEXPt7XvoLcxaaHzftm03LU9A3V/PMi5Ty&#10;O0AvyqWXzoaiXHXq9D5lzsXQG4SNUsclc73ls4MCduETGFbDudaVXfcI9o7ESfEGDF/XRQXHqshC&#10;Mda5hdT+mXTFFhrU3fpb4oKuGTHkhehtQPpd1jzfSjUX/E31RWuR/YTDuc6htoMXpCq7LnPZwB/t&#10;Sn/+5XbfAQ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BMRwuS1AQAAugMAAA4AAAAAAAAAAAAAAAAALgIAAGRycy9lMm9E&#10;b2MueG1sUEsBAi0AFAAGAAgAAAAhADM4mGXeAAAADAEAAA8AAAAAAAAAAAAAAAAADwQAAGRycy9k&#10;b3ducmV2LnhtbFBLBQYAAAAABAAEAPMAAAAaBQAAAAA=&#10;">
              <v:stroke joinstyle="miter"/>
              <w10:wrap anchory="page"/>
            </v:line>
          </w:pict>
        </mc:Fallback>
      </mc:AlternateContent>
    </w:r>
    <w:sdt>
      <w:sdtPr>
        <w:rPr>
          <w:rStyle w:val="CLASSIFICATIONChar"/>
        </w:rPr>
        <w:alias w:val="Classification"/>
        <w:tag w:val="Classification"/>
        <w:id w:val="-810248438"/>
        <w:placeholder>
          <w:docPart w:val="5211D597AC3940B592065566A352D0E3"/>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r>
      <w:rPr>
        <w:noProof/>
        <w:lang w:eastAsia="en-AU"/>
      </w:rPr>
      <mc:AlternateContent>
        <mc:Choice Requires="wps">
          <w:drawing>
            <wp:anchor distT="0" distB="0" distL="114300" distR="114300" simplePos="0" relativeHeight="251658242" behindDoc="0" locked="0" layoutInCell="1" allowOverlap="1" wp14:anchorId="37876B73" wp14:editId="6131FC7B">
              <wp:simplePos x="0" y="0"/>
              <wp:positionH relativeFrom="column">
                <wp:posOffset>6223000</wp:posOffset>
              </wp:positionH>
              <wp:positionV relativeFrom="page">
                <wp:posOffset>690245</wp:posOffset>
              </wp:positionV>
              <wp:extent cx="6096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5CAC3C76">
            <v:line id="Straight Connector 107" style="position:absolute;z-index:251658242;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90pt,54.35pt" to="538pt,54.35pt" w14:anchorId="107448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">
              <v:stroke joinstyle="miter"/>
              <w10:wrap anchory="page"/>
            </v:line>
          </w:pict>
        </mc:Fallback>
      </mc:AlternateContent>
    </w:r>
    <w:r>
      <w:t xml:space="preserve"> </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0E942" w14:textId="77777777" w:rsidR="009E50A2" w:rsidRPr="00285CAF" w:rsidRDefault="009E50A2" w:rsidP="00D10635">
    <w:pPr>
      <w:jc w:val="center"/>
    </w:pPr>
  </w:p>
  <w:p w14:paraId="7101789E" w14:textId="7445FF20" w:rsidR="009E50A2" w:rsidRPr="008046D4" w:rsidRDefault="009E50A2" w:rsidP="00D10635">
    <w:pPr>
      <w:pStyle w:val="Header"/>
      <w:rPr>
        <w:rFonts w:ascii="Segoe UI" w:hAnsi="Segoe UI" w:cs="Segoe UI"/>
        <w:color w:val="7F7F7F" w:themeColor="text1" w:themeTint="80"/>
        <w:sz w:val="18"/>
      </w:rPr>
    </w:pPr>
    <w:r>
      <w:rPr>
        <w:color w:val="7F7F7F" w:themeColor="text1" w:themeTint="80"/>
        <w:sz w:val="18"/>
        <w:szCs w:val="18"/>
      </w:rPr>
      <w:t>PM&amp;C | OIA | Australian Government Impact Analysis Status, 2022-23</w:t>
    </w:r>
    <w:r>
      <w:ptab w:relativeTo="margin" w:alignment="right" w:leader="none"/>
    </w:r>
    <w:r w:rsidRPr="008046D4">
      <w:rPr>
        <w:rFonts w:ascii="Segoe UI" w:hAnsi="Segoe UI" w:cs="Segoe UI"/>
        <w:color w:val="7F7F7F" w:themeColor="text1" w:themeTint="80"/>
        <w:sz w:val="18"/>
      </w:rPr>
      <w:fldChar w:fldCharType="begin"/>
    </w:r>
    <w:r w:rsidRPr="008046D4">
      <w:rPr>
        <w:rFonts w:ascii="Segoe UI" w:hAnsi="Segoe UI" w:cs="Segoe UI"/>
        <w:color w:val="7F7F7F" w:themeColor="text1" w:themeTint="80"/>
        <w:sz w:val="18"/>
      </w:rPr>
      <w:instrText xml:space="preserve"> PAGE   \* MERGEFORMAT </w:instrText>
    </w:r>
    <w:r w:rsidRPr="008046D4">
      <w:rPr>
        <w:rFonts w:ascii="Segoe UI" w:hAnsi="Segoe UI" w:cs="Segoe UI"/>
        <w:color w:val="7F7F7F" w:themeColor="text1" w:themeTint="80"/>
        <w:sz w:val="18"/>
      </w:rPr>
      <w:fldChar w:fldCharType="separate"/>
    </w:r>
    <w:r w:rsidR="00543937">
      <w:rPr>
        <w:rFonts w:ascii="Segoe UI" w:hAnsi="Segoe UI" w:cs="Segoe UI"/>
        <w:noProof/>
        <w:color w:val="7F7F7F" w:themeColor="text1" w:themeTint="80"/>
        <w:sz w:val="18"/>
      </w:rPr>
      <w:t>35</w:t>
    </w:r>
    <w:r w:rsidRPr="008046D4">
      <w:rPr>
        <w:rFonts w:ascii="Segoe UI" w:hAnsi="Segoe UI" w:cs="Segoe UI"/>
        <w:noProof/>
        <w:color w:val="7F7F7F" w:themeColor="text1" w:themeTint="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8A861" w14:textId="77777777" w:rsidR="009E50A2" w:rsidRDefault="009E50A2" w:rsidP="00F957C6">
      <w:pPr>
        <w:spacing w:after="0" w:line="240" w:lineRule="auto"/>
      </w:pPr>
      <w:r>
        <w:separator/>
      </w:r>
    </w:p>
  </w:footnote>
  <w:footnote w:type="continuationSeparator" w:id="0">
    <w:p w14:paraId="33E39816" w14:textId="77777777" w:rsidR="009E50A2" w:rsidRDefault="009E50A2" w:rsidP="00F957C6">
      <w:pPr>
        <w:spacing w:after="0" w:line="240" w:lineRule="auto"/>
      </w:pPr>
      <w:r>
        <w:continuationSeparator/>
      </w:r>
    </w:p>
  </w:footnote>
  <w:footnote w:type="continuationNotice" w:id="1">
    <w:p w14:paraId="010B3638" w14:textId="77777777" w:rsidR="009E50A2" w:rsidRDefault="009E50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DF4D8" w14:textId="1D142BFB" w:rsidR="009E50A2" w:rsidRDefault="009E50A2" w:rsidP="00303C55">
    <w:pPr>
      <w:pStyle w:val="Header"/>
      <w:ind w:left="1134"/>
      <w:rPr>
        <w:noProof/>
        <w:lang w:eastAsia="en-AU"/>
      </w:rPr>
    </w:pPr>
    <w:r>
      <w:rPr>
        <w:noProof/>
        <w:lang w:eastAsia="en-AU"/>
      </w:rPr>
      <w:drawing>
        <wp:anchor distT="0" distB="0" distL="114300" distR="114300" simplePos="0" relativeHeight="251658247" behindDoc="0" locked="0" layoutInCell="1" allowOverlap="1" wp14:anchorId="065A4D19" wp14:editId="0BA4944E">
          <wp:simplePos x="0" y="0"/>
          <wp:positionH relativeFrom="column">
            <wp:posOffset>4069787</wp:posOffset>
          </wp:positionH>
          <wp:positionV relativeFrom="paragraph">
            <wp:posOffset>-450794</wp:posOffset>
          </wp:positionV>
          <wp:extent cx="1411605" cy="1132840"/>
          <wp:effectExtent l="0" t="0" r="0" b="0"/>
          <wp:wrapSquare wrapText="bothSides"/>
          <wp:docPr id="1" name="Picture 1" descr="The Office of Impac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IA-LOGO-CMYK-BOTTOM.png"/>
                  <pic:cNvPicPr/>
                </pic:nvPicPr>
                <pic:blipFill>
                  <a:blip r:embed="rId1">
                    <a:extLst>
                      <a:ext uri="{28A0092B-C50C-407E-A947-70E740481C1C}">
                        <a14:useLocalDpi xmlns:a14="http://schemas.microsoft.com/office/drawing/2010/main" val="0"/>
                      </a:ext>
                    </a:extLst>
                  </a:blip>
                  <a:stretch>
                    <a:fillRect/>
                  </a:stretch>
                </pic:blipFill>
                <pic:spPr>
                  <a:xfrm>
                    <a:off x="0" y="0"/>
                    <a:ext cx="1411605" cy="1132840"/>
                  </a:xfrm>
                  <a:prstGeom prst="rect">
                    <a:avLst/>
                  </a:prstGeom>
                </pic:spPr>
              </pic:pic>
            </a:graphicData>
          </a:graphic>
          <wp14:sizeRelH relativeFrom="page">
            <wp14:pctWidth>0</wp14:pctWidth>
          </wp14:sizeRelH>
          <wp14:sizeRelV relativeFrom="page">
            <wp14:pctHeight>0</wp14:pctHeight>
          </wp14:sizeRelV>
        </wp:anchor>
      </w:drawing>
    </w:r>
    <w:r w:rsidR="00543937">
      <w:rPr>
        <w:noProof/>
      </w:rPr>
      <w:pict w14:anchorId="59544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Australian Government, Department of the Prime Minister and Cabinet" style="position:absolute;left:0;text-align:left;margin-left:0;margin-top:27.5pt;width:254.95pt;height:43.05pt;z-index:251658246;mso-position-horizontal:absolute;mso-position-horizontal-relative:margin;mso-position-vertical:absolute;mso-position-vertical-relative:page;mso-width-relative:page;mso-height-relative:page">
          <v:imagedata r:id="rId2" o:title="PMC_Logo_Primary_CMYK_Black" croptop="15525f" cropbottom="15745f" cropleft="4167f" cropright="4352f"/>
          <w10:wrap type="square" anchorx="margin" anchory="page"/>
        </v:shape>
      </w:pict>
    </w:r>
  </w:p>
  <w:p w14:paraId="1CAA23DF" w14:textId="77777777" w:rsidR="009E50A2" w:rsidRDefault="009E50A2" w:rsidP="00DC000A">
    <w:pPr>
      <w:pStyle w:val="Header"/>
      <w:tabs>
        <w:tab w:val="clear" w:pos="4513"/>
        <w:tab w:val="clear" w:pos="9026"/>
        <w:tab w:val="left" w:pos="3046"/>
      </w:tabs>
      <w:ind w:left="1134"/>
    </w:pPr>
    <w:r w:rsidRPr="00285CAF">
      <w:rPr>
        <w:noProof/>
        <w:lang w:eastAsia="en-AU"/>
      </w:rPr>
      <mc:AlternateContent>
        <mc:Choice Requires="wps">
          <w:drawing>
            <wp:anchor distT="0" distB="0" distL="114300" distR="114300" simplePos="0" relativeHeight="251658240" behindDoc="1" locked="0" layoutInCell="1" allowOverlap="1" wp14:anchorId="5998117B" wp14:editId="39E38ACE">
              <wp:simplePos x="0" y="0"/>
              <wp:positionH relativeFrom="column">
                <wp:posOffset>6334760</wp:posOffset>
              </wp:positionH>
              <wp:positionV relativeFrom="page">
                <wp:posOffset>692150</wp:posOffset>
              </wp:positionV>
              <wp:extent cx="6096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0853C9A0">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98.8pt,54.5pt" to="546.8pt,54.5pt" w14:anchorId="3C72A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">
              <v:stroke joinstyle="miter"/>
              <w10:wrap anchory="page"/>
            </v:line>
          </w:pict>
        </mc:Fallback>
      </mc:AlternateContent>
    </w:r>
    <w:r>
      <w:tab/>
    </w:r>
  </w:p>
  <w:p w14:paraId="462EF675" w14:textId="77777777" w:rsidR="009E50A2" w:rsidRDefault="009E50A2" w:rsidP="00303C55">
    <w:pPr>
      <w:pStyle w:val="Header"/>
      <w:ind w:left="1134"/>
    </w:pPr>
  </w:p>
  <w:p w14:paraId="12B1B52F" w14:textId="77777777" w:rsidR="009E50A2" w:rsidRDefault="009E50A2" w:rsidP="00303C55">
    <w:pPr>
      <w:pStyle w:val="Header"/>
      <w:ind w:left="1134"/>
    </w:pPr>
  </w:p>
  <w:p w14:paraId="468074E9" w14:textId="77777777" w:rsidR="009E50A2" w:rsidRDefault="009E50A2" w:rsidP="00303C55">
    <w:pPr>
      <w:pStyle w:val="Header"/>
      <w:ind w:left="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0F1B" w14:textId="77777777" w:rsidR="009E50A2" w:rsidRDefault="009E50A2" w:rsidP="00303C55">
    <w:pPr>
      <w:pStyle w:val="Header"/>
      <w:jc w:val="center"/>
    </w:pPr>
    <w:r>
      <w:rPr>
        <w:noProof/>
        <w:lang w:eastAsia="en-AU"/>
      </w:rPr>
      <mc:AlternateContent>
        <mc:Choice Requires="wps">
          <w:drawing>
            <wp:anchor distT="0" distB="0" distL="114300" distR="114300" simplePos="0" relativeHeight="251658241" behindDoc="1" locked="0" layoutInCell="1" allowOverlap="1" wp14:anchorId="798A30CD" wp14:editId="457F17E4">
              <wp:simplePos x="0" y="0"/>
              <wp:positionH relativeFrom="column">
                <wp:posOffset>6220460</wp:posOffset>
              </wp:positionH>
              <wp:positionV relativeFrom="page">
                <wp:posOffset>691515</wp:posOffset>
              </wp:positionV>
              <wp:extent cx="609600" cy="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673772D4">
            <v:line id="Straight Connector 102" style="position:absolute;z-index:-251658239;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89.8pt,54.45pt" to="537.8pt,54.45pt" w14:anchorId="37EB65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G6gOH21AQAAugMAAA4AAAAAAAAAAAAAAAAALgIAAGRycy9lMm9E&#10;b2MueG1sUEsBAi0AFAAGAAgAAAAhADM4mGXeAAAADAEAAA8AAAAAAAAAAAAAAAAADwQAAGRycy9k&#10;b3ducmV2LnhtbFBLBQYAAAAABAAEAPMAAAAaBQAAAAA=&#10;">
              <v:stroke joinstyle="miter"/>
              <w10:wrap anchory="page"/>
            </v:line>
          </w:pict>
        </mc:Fallback>
      </mc:AlternateContent>
    </w:r>
    <w:sdt>
      <w:sdtPr>
        <w:rPr>
          <w:rStyle w:val="CLASSIFICATIONChar"/>
        </w:rPr>
        <w:alias w:val="Classification"/>
        <w:tag w:val="Classification"/>
        <w:id w:val="848293828"/>
        <w:placeholder>
          <w:docPart w:val="6FE6A16A9C4E486DBEA852C178641D1D"/>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6764F" w14:textId="77777777" w:rsidR="009E50A2" w:rsidRPr="00D10635" w:rsidRDefault="009E50A2" w:rsidP="00D10635">
    <w:pPr>
      <w:jc w:val="center"/>
    </w:pPr>
    <w:r>
      <w:rPr>
        <w:noProof/>
        <w:lang w:eastAsia="en-AU"/>
      </w:rPr>
      <mc:AlternateContent>
        <mc:Choice Requires="wps">
          <w:drawing>
            <wp:anchor distT="0" distB="0" distL="114300" distR="114300" simplePos="0" relativeHeight="251658245" behindDoc="1" locked="0" layoutInCell="1" allowOverlap="1" wp14:anchorId="55AFF57D" wp14:editId="5A69B172">
              <wp:simplePos x="0" y="0"/>
              <wp:positionH relativeFrom="column">
                <wp:posOffset>6329680</wp:posOffset>
              </wp:positionH>
              <wp:positionV relativeFrom="page">
                <wp:posOffset>691515</wp:posOffset>
              </wp:positionV>
              <wp:extent cx="608400" cy="0"/>
              <wp:effectExtent l="0" t="0" r="20320" b="19050"/>
              <wp:wrapNone/>
              <wp:docPr id="4" name="Straight Connector 4"/>
              <wp:cNvGraphicFramePr/>
              <a:graphic xmlns:a="http://schemas.openxmlformats.org/drawingml/2006/main">
                <a:graphicData uri="http://schemas.microsoft.com/office/word/2010/wordprocessingShape">
                  <wps:wsp>
                    <wps:cNvCnPr/>
                    <wps:spPr>
                      <a:xfrm>
                        <a:off x="0" y="0"/>
                        <a:ext cx="60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4A9D81BE">
            <v:line id="Straight Connector 4" style="position:absolute;z-index:-25165823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o:spid="_x0000_s1026" strokecolor="black [3200]" strokeweight=".5pt" from="498.4pt,54.45pt" to="546.3pt,54.45pt" w14:anchorId="2AD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">
              <v:stroke joinstyle="miter"/>
              <w10:wrap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CE3B" w14:textId="77777777" w:rsidR="009E50A2" w:rsidRDefault="009E50A2" w:rsidP="00303C55">
    <w:pPr>
      <w:pStyle w:val="Header"/>
      <w:jc w:val="center"/>
    </w:pPr>
    <w:r>
      <w:rPr>
        <w:noProof/>
        <w:lang w:eastAsia="en-AU"/>
      </w:rPr>
      <mc:AlternateContent>
        <mc:Choice Requires="wps">
          <w:drawing>
            <wp:anchor distT="0" distB="0" distL="114300" distR="114300" simplePos="0" relativeHeight="251658244" behindDoc="1" locked="0" layoutInCell="1" allowOverlap="1" wp14:anchorId="23C957FB" wp14:editId="7E40EB6E">
              <wp:simplePos x="0" y="0"/>
              <wp:positionH relativeFrom="column">
                <wp:posOffset>6220460</wp:posOffset>
              </wp:positionH>
              <wp:positionV relativeFrom="page">
                <wp:posOffset>691515</wp:posOffset>
              </wp:positionV>
              <wp:extent cx="609600" cy="0"/>
              <wp:effectExtent l="0" t="0" r="19050" b="19050"/>
              <wp:wrapNone/>
              <wp:docPr id="108" name="Straight Connector 10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w:pict w14:anchorId="74A2C07F">
            <v:line id="Straight Connector 108" style="position:absolute;z-index:-251658236;visibility:visible;mso-wrap-style:square;mso-wrap-distance-left:9pt;mso-wrap-distance-top:0;mso-wrap-distance-right:9pt;mso-wrap-distance-bottom:0;mso-position-horizontal:absolute;mso-position-horizontal-relative:text;mso-position-vertical:absolute;mso-position-vertical-relative:page" o:spid="_x0000_s1026" strokecolor="black [3200]" strokeweight=".5pt" from="489.8pt,54.45pt" to="537.8pt,54.45pt" w14:anchorId="39032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">
              <v:stroke joinstyle="miter"/>
              <w10:wrap anchory="page"/>
            </v:line>
          </w:pict>
        </mc:Fallback>
      </mc:AlternateContent>
    </w:r>
    <w:sdt>
      <w:sdtPr>
        <w:rPr>
          <w:rStyle w:val="CLASSIFICATIONChar"/>
        </w:rPr>
        <w:alias w:val="Classification"/>
        <w:tag w:val="Classification"/>
        <w:id w:val="205463371"/>
        <w:placeholder>
          <w:docPart w:val="B9D1FFE9A19C443E92B61273893E3FEC"/>
        </w:placeholder>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rPr>
          <w:rStyle w:val="DefaultParagraphFont"/>
          <w:rFonts w:asciiTheme="minorHAnsi" w:hAnsiTheme="minorHAnsi"/>
          <w:caps w:val="0"/>
          <w:color w:val="auto"/>
          <w:sz w:val="22"/>
        </w:rPr>
      </w:sdtEndPr>
      <w:sdtContent>
        <w:r>
          <w:rPr>
            <w:rStyle w:val="CLASSIFICATIONChar"/>
          </w:rPr>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8D7"/>
    <w:multiLevelType w:val="hybridMultilevel"/>
    <w:tmpl w:val="B832C77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E239A"/>
    <w:multiLevelType w:val="hybridMultilevel"/>
    <w:tmpl w:val="E990F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FA2D4B"/>
    <w:multiLevelType w:val="hybridMultilevel"/>
    <w:tmpl w:val="A33E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B75033"/>
    <w:multiLevelType w:val="hybridMultilevel"/>
    <w:tmpl w:val="51ACA69A"/>
    <w:lvl w:ilvl="0" w:tplc="080C07C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014CCD"/>
    <w:multiLevelType w:val="hybridMultilevel"/>
    <w:tmpl w:val="72DE1CAA"/>
    <w:lvl w:ilvl="0" w:tplc="1CB0EE9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C42302"/>
    <w:multiLevelType w:val="multilevel"/>
    <w:tmpl w:val="5774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5D5702"/>
    <w:multiLevelType w:val="hybridMultilevel"/>
    <w:tmpl w:val="610A4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AF6F03"/>
    <w:multiLevelType w:val="hybridMultilevel"/>
    <w:tmpl w:val="F542A2B0"/>
    <w:lvl w:ilvl="0" w:tplc="FA4E2F1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1CF6E84"/>
    <w:multiLevelType w:val="hybridMultilevel"/>
    <w:tmpl w:val="F9C6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A3105B"/>
    <w:multiLevelType w:val="hybridMultilevel"/>
    <w:tmpl w:val="2F88CC68"/>
    <w:lvl w:ilvl="0" w:tplc="93300146">
      <w:start w:val="1"/>
      <w:numFmt w:val="decimal"/>
      <w:pStyle w:val="BoxDark-NumberedList"/>
      <w:lvlText w:val="%1."/>
      <w:lvlJc w:val="left"/>
      <w:pPr>
        <w:ind w:left="947" w:hanging="360"/>
      </w:pPr>
    </w:lvl>
    <w:lvl w:ilvl="1" w:tplc="0C090019" w:tentative="1">
      <w:start w:val="1"/>
      <w:numFmt w:val="lowerLetter"/>
      <w:lvlText w:val="%2."/>
      <w:lvlJc w:val="left"/>
      <w:pPr>
        <w:ind w:left="1667" w:hanging="360"/>
      </w:pPr>
    </w:lvl>
    <w:lvl w:ilvl="2" w:tplc="0C09001B" w:tentative="1">
      <w:start w:val="1"/>
      <w:numFmt w:val="lowerRoman"/>
      <w:lvlText w:val="%3."/>
      <w:lvlJc w:val="right"/>
      <w:pPr>
        <w:ind w:left="2387" w:hanging="180"/>
      </w:pPr>
    </w:lvl>
    <w:lvl w:ilvl="3" w:tplc="0C09000F" w:tentative="1">
      <w:start w:val="1"/>
      <w:numFmt w:val="decimal"/>
      <w:lvlText w:val="%4."/>
      <w:lvlJc w:val="left"/>
      <w:pPr>
        <w:ind w:left="3107" w:hanging="360"/>
      </w:pPr>
    </w:lvl>
    <w:lvl w:ilvl="4" w:tplc="0C090019" w:tentative="1">
      <w:start w:val="1"/>
      <w:numFmt w:val="lowerLetter"/>
      <w:lvlText w:val="%5."/>
      <w:lvlJc w:val="left"/>
      <w:pPr>
        <w:ind w:left="3827" w:hanging="360"/>
      </w:pPr>
    </w:lvl>
    <w:lvl w:ilvl="5" w:tplc="0C09001B" w:tentative="1">
      <w:start w:val="1"/>
      <w:numFmt w:val="lowerRoman"/>
      <w:lvlText w:val="%6."/>
      <w:lvlJc w:val="right"/>
      <w:pPr>
        <w:ind w:left="4547" w:hanging="180"/>
      </w:pPr>
    </w:lvl>
    <w:lvl w:ilvl="6" w:tplc="0C09000F" w:tentative="1">
      <w:start w:val="1"/>
      <w:numFmt w:val="decimal"/>
      <w:lvlText w:val="%7."/>
      <w:lvlJc w:val="left"/>
      <w:pPr>
        <w:ind w:left="5267" w:hanging="360"/>
      </w:pPr>
    </w:lvl>
    <w:lvl w:ilvl="7" w:tplc="0C090019" w:tentative="1">
      <w:start w:val="1"/>
      <w:numFmt w:val="lowerLetter"/>
      <w:lvlText w:val="%8."/>
      <w:lvlJc w:val="left"/>
      <w:pPr>
        <w:ind w:left="5987" w:hanging="360"/>
      </w:pPr>
    </w:lvl>
    <w:lvl w:ilvl="8" w:tplc="0C09001B" w:tentative="1">
      <w:start w:val="1"/>
      <w:numFmt w:val="lowerRoman"/>
      <w:lvlText w:val="%9."/>
      <w:lvlJc w:val="right"/>
      <w:pPr>
        <w:ind w:left="6707" w:hanging="180"/>
      </w:pPr>
    </w:lvl>
  </w:abstractNum>
  <w:abstractNum w:abstractNumId="10" w15:restartNumberingAfterBreak="0">
    <w:nsid w:val="19F33BBA"/>
    <w:multiLevelType w:val="hybridMultilevel"/>
    <w:tmpl w:val="303E229C"/>
    <w:lvl w:ilvl="0" w:tplc="8460E7C6">
      <w:start w:val="1"/>
      <w:numFmt w:val="decimal"/>
      <w:pStyle w:val="Figure"/>
      <w:suff w:val="space"/>
      <w:lvlText w:val="Figure %1."/>
      <w:lvlJc w:val="left"/>
      <w:pPr>
        <w:ind w:left="1418"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507AC4"/>
    <w:multiLevelType w:val="hybridMultilevel"/>
    <w:tmpl w:val="864231E2"/>
    <w:lvl w:ilvl="0" w:tplc="8764996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25655143"/>
    <w:multiLevelType w:val="hybridMultilevel"/>
    <w:tmpl w:val="851AA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AE22F4"/>
    <w:multiLevelType w:val="hybridMultilevel"/>
    <w:tmpl w:val="221CF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854A54"/>
    <w:multiLevelType w:val="hybridMultilevel"/>
    <w:tmpl w:val="94DC3E6A"/>
    <w:lvl w:ilvl="0" w:tplc="177076E2">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5" w15:restartNumberingAfterBreak="0">
    <w:nsid w:val="307D5C39"/>
    <w:multiLevelType w:val="hybridMultilevel"/>
    <w:tmpl w:val="5C1AD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A01D1C"/>
    <w:multiLevelType w:val="hybridMultilevel"/>
    <w:tmpl w:val="88382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773EE2"/>
    <w:multiLevelType w:val="hybridMultilevel"/>
    <w:tmpl w:val="2F52D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416DE2"/>
    <w:multiLevelType w:val="hybridMultilevel"/>
    <w:tmpl w:val="92CC3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615AC7"/>
    <w:multiLevelType w:val="hybridMultilevel"/>
    <w:tmpl w:val="A9549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AD462E"/>
    <w:multiLevelType w:val="hybridMultilevel"/>
    <w:tmpl w:val="24FC4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6C7FF6"/>
    <w:multiLevelType w:val="hybridMultilevel"/>
    <w:tmpl w:val="2DC077C0"/>
    <w:lvl w:ilvl="0" w:tplc="6F428F6E">
      <w:start w:val="1"/>
      <w:numFmt w:val="decimal"/>
      <w:pStyle w:val="BOXNumberedList"/>
      <w:lvlText w:val="%1."/>
      <w:lvlJc w:val="left"/>
      <w:pPr>
        <w:ind w:left="840" w:hanging="360"/>
      </w:pPr>
    </w:lvl>
    <w:lvl w:ilvl="1" w:tplc="0C090019" w:tentative="1">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22" w15:restartNumberingAfterBreak="0">
    <w:nsid w:val="5303520B"/>
    <w:multiLevelType w:val="hybridMultilevel"/>
    <w:tmpl w:val="7D1C3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2570BD"/>
    <w:multiLevelType w:val="hybridMultilevel"/>
    <w:tmpl w:val="98E61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606DA5"/>
    <w:multiLevelType w:val="hybridMultilevel"/>
    <w:tmpl w:val="5712B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DD197A"/>
    <w:multiLevelType w:val="multilevel"/>
    <w:tmpl w:val="16B8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82FBA"/>
    <w:multiLevelType w:val="hybridMultilevel"/>
    <w:tmpl w:val="6428C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632D74"/>
    <w:multiLevelType w:val="hybridMultilevel"/>
    <w:tmpl w:val="D5B2B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45520B"/>
    <w:multiLevelType w:val="hybridMultilevel"/>
    <w:tmpl w:val="646C0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E51B32"/>
    <w:multiLevelType w:val="hybridMultilevel"/>
    <w:tmpl w:val="915C1D12"/>
    <w:lvl w:ilvl="0" w:tplc="9CF4C534">
      <w:start w:val="1"/>
      <w:numFmt w:val="decimal"/>
      <w:pStyle w:val="TB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A66EFB"/>
    <w:multiLevelType w:val="hybridMultilevel"/>
    <w:tmpl w:val="BA2E0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E46AA7"/>
    <w:multiLevelType w:val="hybridMultilevel"/>
    <w:tmpl w:val="AFEEF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1170D5"/>
    <w:multiLevelType w:val="hybridMultilevel"/>
    <w:tmpl w:val="3622095C"/>
    <w:lvl w:ilvl="0" w:tplc="07186822">
      <w:start w:val="1"/>
      <w:numFmt w:val="decimal"/>
      <w:pStyle w:val="NumberedList-Level1"/>
      <w:lvlText w:val="%1."/>
      <w:lvlJc w:val="left"/>
      <w:pPr>
        <w:ind w:left="567" w:hanging="283"/>
      </w:pPr>
      <w:rPr>
        <w:rFonts w:hint="default"/>
      </w:rPr>
    </w:lvl>
    <w:lvl w:ilvl="1" w:tplc="931294C8">
      <w:start w:val="1"/>
      <w:numFmt w:val="lowerLetter"/>
      <w:pStyle w:val="NumberedList-level2"/>
      <w:lvlText w:val="%2."/>
      <w:lvlJc w:val="left"/>
      <w:pPr>
        <w:ind w:left="851" w:hanging="284"/>
      </w:pPr>
      <w:rPr>
        <w:rFonts w:hint="default"/>
      </w:rPr>
    </w:lvl>
    <w:lvl w:ilvl="2" w:tplc="5508A634">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C326A6D"/>
    <w:multiLevelType w:val="hybridMultilevel"/>
    <w:tmpl w:val="31029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9"/>
  </w:num>
  <w:num w:numId="4">
    <w:abstractNumId w:val="14"/>
  </w:num>
  <w:num w:numId="5">
    <w:abstractNumId w:val="32"/>
  </w:num>
  <w:num w:numId="6">
    <w:abstractNumId w:val="21"/>
  </w:num>
  <w:num w:numId="7">
    <w:abstractNumId w:val="9"/>
  </w:num>
  <w:num w:numId="8">
    <w:abstractNumId w:val="11"/>
  </w:num>
  <w:num w:numId="9">
    <w:abstractNumId w:val="7"/>
  </w:num>
  <w:num w:numId="10">
    <w:abstractNumId w:val="16"/>
  </w:num>
  <w:num w:numId="11">
    <w:abstractNumId w:val="12"/>
  </w:num>
  <w:num w:numId="12">
    <w:abstractNumId w:val="17"/>
  </w:num>
  <w:num w:numId="13">
    <w:abstractNumId w:val="30"/>
  </w:num>
  <w:num w:numId="14">
    <w:abstractNumId w:val="10"/>
  </w:num>
  <w:num w:numId="15">
    <w:abstractNumId w:val="13"/>
  </w:num>
  <w:num w:numId="16">
    <w:abstractNumId w:val="1"/>
  </w:num>
  <w:num w:numId="17">
    <w:abstractNumId w:val="6"/>
  </w:num>
  <w:num w:numId="18">
    <w:abstractNumId w:val="19"/>
  </w:num>
  <w:num w:numId="19">
    <w:abstractNumId w:val="23"/>
  </w:num>
  <w:num w:numId="20">
    <w:abstractNumId w:val="24"/>
  </w:num>
  <w:num w:numId="21">
    <w:abstractNumId w:val="33"/>
  </w:num>
  <w:num w:numId="22">
    <w:abstractNumId w:val="18"/>
  </w:num>
  <w:num w:numId="23">
    <w:abstractNumId w:val="8"/>
  </w:num>
  <w:num w:numId="24">
    <w:abstractNumId w:val="26"/>
  </w:num>
  <w:num w:numId="25">
    <w:abstractNumId w:val="2"/>
  </w:num>
  <w:num w:numId="26">
    <w:abstractNumId w:val="0"/>
  </w:num>
  <w:num w:numId="27">
    <w:abstractNumId w:val="20"/>
  </w:num>
  <w:num w:numId="28">
    <w:abstractNumId w:val="31"/>
  </w:num>
  <w:num w:numId="29">
    <w:abstractNumId w:val="5"/>
  </w:num>
  <w:num w:numId="30">
    <w:abstractNumId w:val="25"/>
  </w:num>
  <w:num w:numId="31">
    <w:abstractNumId w:val="28"/>
  </w:num>
  <w:num w:numId="32">
    <w:abstractNumId w:val="15"/>
  </w:num>
  <w:num w:numId="33">
    <w:abstractNumId w:val="22"/>
  </w:num>
  <w:num w:numId="34">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C7"/>
    <w:rsid w:val="00007E51"/>
    <w:rsid w:val="0001094F"/>
    <w:rsid w:val="00011313"/>
    <w:rsid w:val="00013C3B"/>
    <w:rsid w:val="00016A64"/>
    <w:rsid w:val="000244FE"/>
    <w:rsid w:val="00025B5D"/>
    <w:rsid w:val="00027038"/>
    <w:rsid w:val="000302B4"/>
    <w:rsid w:val="0003154E"/>
    <w:rsid w:val="00032075"/>
    <w:rsid w:val="00037513"/>
    <w:rsid w:val="000376AA"/>
    <w:rsid w:val="00041CA3"/>
    <w:rsid w:val="000551F4"/>
    <w:rsid w:val="00057A02"/>
    <w:rsid w:val="00061B0B"/>
    <w:rsid w:val="00062F2E"/>
    <w:rsid w:val="00064EF1"/>
    <w:rsid w:val="0006627F"/>
    <w:rsid w:val="00071B99"/>
    <w:rsid w:val="00072600"/>
    <w:rsid w:val="000873CB"/>
    <w:rsid w:val="00090846"/>
    <w:rsid w:val="00090C29"/>
    <w:rsid w:val="00096142"/>
    <w:rsid w:val="00096182"/>
    <w:rsid w:val="000A1D5E"/>
    <w:rsid w:val="000A5596"/>
    <w:rsid w:val="000A59C1"/>
    <w:rsid w:val="000A7C9E"/>
    <w:rsid w:val="000B240E"/>
    <w:rsid w:val="000B3417"/>
    <w:rsid w:val="000B693B"/>
    <w:rsid w:val="000C1B92"/>
    <w:rsid w:val="000C2F96"/>
    <w:rsid w:val="000C741C"/>
    <w:rsid w:val="000D749D"/>
    <w:rsid w:val="000D7D70"/>
    <w:rsid w:val="000E0486"/>
    <w:rsid w:val="000E2ACD"/>
    <w:rsid w:val="000E5D37"/>
    <w:rsid w:val="000E7CE5"/>
    <w:rsid w:val="00100B14"/>
    <w:rsid w:val="00100FC5"/>
    <w:rsid w:val="00101566"/>
    <w:rsid w:val="00104B9F"/>
    <w:rsid w:val="00105CC2"/>
    <w:rsid w:val="00106BE1"/>
    <w:rsid w:val="00111056"/>
    <w:rsid w:val="00112423"/>
    <w:rsid w:val="001135BB"/>
    <w:rsid w:val="00117A77"/>
    <w:rsid w:val="001231FF"/>
    <w:rsid w:val="00125BB5"/>
    <w:rsid w:val="001277DC"/>
    <w:rsid w:val="0013055F"/>
    <w:rsid w:val="001314AB"/>
    <w:rsid w:val="00133FB2"/>
    <w:rsid w:val="00146FF4"/>
    <w:rsid w:val="001512C8"/>
    <w:rsid w:val="001525F8"/>
    <w:rsid w:val="00154581"/>
    <w:rsid w:val="001573D5"/>
    <w:rsid w:val="001707A0"/>
    <w:rsid w:val="00172A89"/>
    <w:rsid w:val="0017419E"/>
    <w:rsid w:val="00180574"/>
    <w:rsid w:val="001810A6"/>
    <w:rsid w:val="001911AB"/>
    <w:rsid w:val="00194643"/>
    <w:rsid w:val="001A5755"/>
    <w:rsid w:val="001A7674"/>
    <w:rsid w:val="001B1FB2"/>
    <w:rsid w:val="001B2FA0"/>
    <w:rsid w:val="001B69E2"/>
    <w:rsid w:val="001B71EE"/>
    <w:rsid w:val="001C3BF2"/>
    <w:rsid w:val="001D0BF9"/>
    <w:rsid w:val="001D1E2E"/>
    <w:rsid w:val="001D313F"/>
    <w:rsid w:val="001D3FE5"/>
    <w:rsid w:val="001D4C66"/>
    <w:rsid w:val="001E0D42"/>
    <w:rsid w:val="001F16CB"/>
    <w:rsid w:val="001F2200"/>
    <w:rsid w:val="001F344D"/>
    <w:rsid w:val="00206F93"/>
    <w:rsid w:val="00207A5A"/>
    <w:rsid w:val="002109A5"/>
    <w:rsid w:val="00220DDA"/>
    <w:rsid w:val="002235FF"/>
    <w:rsid w:val="002244CB"/>
    <w:rsid w:val="00227DB5"/>
    <w:rsid w:val="00230C79"/>
    <w:rsid w:val="00230E29"/>
    <w:rsid w:val="002431A1"/>
    <w:rsid w:val="00253DC5"/>
    <w:rsid w:val="00254BDF"/>
    <w:rsid w:val="00261136"/>
    <w:rsid w:val="00261374"/>
    <w:rsid w:val="00264D5F"/>
    <w:rsid w:val="00265A3B"/>
    <w:rsid w:val="00266CCC"/>
    <w:rsid w:val="00267D4C"/>
    <w:rsid w:val="0027119B"/>
    <w:rsid w:val="00274D42"/>
    <w:rsid w:val="002840FF"/>
    <w:rsid w:val="00284109"/>
    <w:rsid w:val="00285CAF"/>
    <w:rsid w:val="00290473"/>
    <w:rsid w:val="002A5756"/>
    <w:rsid w:val="002A70E4"/>
    <w:rsid w:val="002B3A70"/>
    <w:rsid w:val="002B3DC1"/>
    <w:rsid w:val="002B661A"/>
    <w:rsid w:val="002C6070"/>
    <w:rsid w:val="002C7A05"/>
    <w:rsid w:val="002D083D"/>
    <w:rsid w:val="002D6398"/>
    <w:rsid w:val="002D6B3D"/>
    <w:rsid w:val="002D76D0"/>
    <w:rsid w:val="002E46F4"/>
    <w:rsid w:val="002F2F08"/>
    <w:rsid w:val="002F494C"/>
    <w:rsid w:val="002F541B"/>
    <w:rsid w:val="00301A72"/>
    <w:rsid w:val="00303C55"/>
    <w:rsid w:val="00304824"/>
    <w:rsid w:val="00304D36"/>
    <w:rsid w:val="003053AA"/>
    <w:rsid w:val="003058F5"/>
    <w:rsid w:val="0031018D"/>
    <w:rsid w:val="00310CF5"/>
    <w:rsid w:val="00311C2D"/>
    <w:rsid w:val="00313704"/>
    <w:rsid w:val="003157D7"/>
    <w:rsid w:val="003215E0"/>
    <w:rsid w:val="00324EEE"/>
    <w:rsid w:val="00327135"/>
    <w:rsid w:val="003322D2"/>
    <w:rsid w:val="003361FC"/>
    <w:rsid w:val="00350A63"/>
    <w:rsid w:val="00350AEB"/>
    <w:rsid w:val="00353C61"/>
    <w:rsid w:val="00353E5E"/>
    <w:rsid w:val="003615F1"/>
    <w:rsid w:val="00363240"/>
    <w:rsid w:val="00373873"/>
    <w:rsid w:val="003741C5"/>
    <w:rsid w:val="00374D1E"/>
    <w:rsid w:val="00374D2A"/>
    <w:rsid w:val="00376FE6"/>
    <w:rsid w:val="00385BD5"/>
    <w:rsid w:val="00385EAF"/>
    <w:rsid w:val="003867CB"/>
    <w:rsid w:val="00390BC7"/>
    <w:rsid w:val="003960DB"/>
    <w:rsid w:val="003B210E"/>
    <w:rsid w:val="003B37A9"/>
    <w:rsid w:val="003B3D4E"/>
    <w:rsid w:val="003B4B40"/>
    <w:rsid w:val="003C4CB1"/>
    <w:rsid w:val="003D4B0F"/>
    <w:rsid w:val="003D676D"/>
    <w:rsid w:val="003D686A"/>
    <w:rsid w:val="003F1438"/>
    <w:rsid w:val="003F1E6B"/>
    <w:rsid w:val="003F23D2"/>
    <w:rsid w:val="003F23E9"/>
    <w:rsid w:val="003F4AF2"/>
    <w:rsid w:val="00405C27"/>
    <w:rsid w:val="004122CC"/>
    <w:rsid w:val="00417368"/>
    <w:rsid w:val="00420E05"/>
    <w:rsid w:val="00425E27"/>
    <w:rsid w:val="00426F34"/>
    <w:rsid w:val="00430F7B"/>
    <w:rsid w:val="0043140E"/>
    <w:rsid w:val="0043303E"/>
    <w:rsid w:val="004358FA"/>
    <w:rsid w:val="00437015"/>
    <w:rsid w:val="00440B45"/>
    <w:rsid w:val="00460D57"/>
    <w:rsid w:val="0046179F"/>
    <w:rsid w:val="00461A9F"/>
    <w:rsid w:val="00474638"/>
    <w:rsid w:val="004767A6"/>
    <w:rsid w:val="00477B15"/>
    <w:rsid w:val="0048074B"/>
    <w:rsid w:val="00483BAB"/>
    <w:rsid w:val="00487614"/>
    <w:rsid w:val="004947E4"/>
    <w:rsid w:val="004B2C90"/>
    <w:rsid w:val="004B3821"/>
    <w:rsid w:val="004B515A"/>
    <w:rsid w:val="004B54CB"/>
    <w:rsid w:val="004C0CD8"/>
    <w:rsid w:val="004C17DE"/>
    <w:rsid w:val="004C28BB"/>
    <w:rsid w:val="004C567E"/>
    <w:rsid w:val="004E1F45"/>
    <w:rsid w:val="004E3ECD"/>
    <w:rsid w:val="004E4B9C"/>
    <w:rsid w:val="004E6DD2"/>
    <w:rsid w:val="004F1812"/>
    <w:rsid w:val="004F2B62"/>
    <w:rsid w:val="004F4C4F"/>
    <w:rsid w:val="004F4EEF"/>
    <w:rsid w:val="004F70EA"/>
    <w:rsid w:val="00504E42"/>
    <w:rsid w:val="00515F09"/>
    <w:rsid w:val="005226B9"/>
    <w:rsid w:val="005259AD"/>
    <w:rsid w:val="00526860"/>
    <w:rsid w:val="00527019"/>
    <w:rsid w:val="00530BF5"/>
    <w:rsid w:val="0053325F"/>
    <w:rsid w:val="00543937"/>
    <w:rsid w:val="00544320"/>
    <w:rsid w:val="005526A8"/>
    <w:rsid w:val="00553002"/>
    <w:rsid w:val="0056255E"/>
    <w:rsid w:val="00563969"/>
    <w:rsid w:val="00566F96"/>
    <w:rsid w:val="005714D8"/>
    <w:rsid w:val="005772D9"/>
    <w:rsid w:val="00580F82"/>
    <w:rsid w:val="0058231E"/>
    <w:rsid w:val="00586FEC"/>
    <w:rsid w:val="00591288"/>
    <w:rsid w:val="005917FD"/>
    <w:rsid w:val="00592113"/>
    <w:rsid w:val="00596B64"/>
    <w:rsid w:val="005A3E40"/>
    <w:rsid w:val="005A4AA1"/>
    <w:rsid w:val="005A717A"/>
    <w:rsid w:val="005C0C98"/>
    <w:rsid w:val="005C0F15"/>
    <w:rsid w:val="005C33B9"/>
    <w:rsid w:val="005C7AFE"/>
    <w:rsid w:val="005D4706"/>
    <w:rsid w:val="005D7093"/>
    <w:rsid w:val="005F03B6"/>
    <w:rsid w:val="005F4B91"/>
    <w:rsid w:val="005F76BA"/>
    <w:rsid w:val="006004C3"/>
    <w:rsid w:val="00601AED"/>
    <w:rsid w:val="00604819"/>
    <w:rsid w:val="00605398"/>
    <w:rsid w:val="0061690C"/>
    <w:rsid w:val="00617B7D"/>
    <w:rsid w:val="006200EB"/>
    <w:rsid w:val="00621EA3"/>
    <w:rsid w:val="00627879"/>
    <w:rsid w:val="00630241"/>
    <w:rsid w:val="00631858"/>
    <w:rsid w:val="00634FDA"/>
    <w:rsid w:val="00640234"/>
    <w:rsid w:val="0064343A"/>
    <w:rsid w:val="00643487"/>
    <w:rsid w:val="00645D09"/>
    <w:rsid w:val="0065475A"/>
    <w:rsid w:val="00660A77"/>
    <w:rsid w:val="006614B1"/>
    <w:rsid w:val="00663A48"/>
    <w:rsid w:val="00664975"/>
    <w:rsid w:val="0066706B"/>
    <w:rsid w:val="00691CC6"/>
    <w:rsid w:val="006A008F"/>
    <w:rsid w:val="006A5AA6"/>
    <w:rsid w:val="006A5AC2"/>
    <w:rsid w:val="006B3940"/>
    <w:rsid w:val="006B4E20"/>
    <w:rsid w:val="006C0042"/>
    <w:rsid w:val="006C3E7F"/>
    <w:rsid w:val="006D15DA"/>
    <w:rsid w:val="006D26FA"/>
    <w:rsid w:val="006D63FF"/>
    <w:rsid w:val="006D7281"/>
    <w:rsid w:val="006E170D"/>
    <w:rsid w:val="006E2C5E"/>
    <w:rsid w:val="006E5221"/>
    <w:rsid w:val="006E7C4C"/>
    <w:rsid w:val="006F639F"/>
    <w:rsid w:val="006F7CA5"/>
    <w:rsid w:val="00701EA1"/>
    <w:rsid w:val="007101AF"/>
    <w:rsid w:val="00713554"/>
    <w:rsid w:val="0071548B"/>
    <w:rsid w:val="007204A9"/>
    <w:rsid w:val="00722874"/>
    <w:rsid w:val="00723160"/>
    <w:rsid w:val="00724D88"/>
    <w:rsid w:val="00725547"/>
    <w:rsid w:val="00732A89"/>
    <w:rsid w:val="00734239"/>
    <w:rsid w:val="0073459B"/>
    <w:rsid w:val="0073595F"/>
    <w:rsid w:val="00735EAD"/>
    <w:rsid w:val="0075048D"/>
    <w:rsid w:val="00752631"/>
    <w:rsid w:val="00753650"/>
    <w:rsid w:val="00756929"/>
    <w:rsid w:val="00767DBB"/>
    <w:rsid w:val="00767E0A"/>
    <w:rsid w:val="00772A9A"/>
    <w:rsid w:val="00774646"/>
    <w:rsid w:val="00781695"/>
    <w:rsid w:val="00782281"/>
    <w:rsid w:val="00793CA5"/>
    <w:rsid w:val="007A02A7"/>
    <w:rsid w:val="007A74A5"/>
    <w:rsid w:val="007C02A3"/>
    <w:rsid w:val="007C0935"/>
    <w:rsid w:val="007C79BA"/>
    <w:rsid w:val="007D0B59"/>
    <w:rsid w:val="007D1054"/>
    <w:rsid w:val="007D1497"/>
    <w:rsid w:val="007D4303"/>
    <w:rsid w:val="007D697C"/>
    <w:rsid w:val="007E3B9E"/>
    <w:rsid w:val="007E5F53"/>
    <w:rsid w:val="007E7E11"/>
    <w:rsid w:val="007F1F8B"/>
    <w:rsid w:val="007F2EE7"/>
    <w:rsid w:val="007F3CDA"/>
    <w:rsid w:val="007F69F4"/>
    <w:rsid w:val="0080006D"/>
    <w:rsid w:val="00804169"/>
    <w:rsid w:val="008046D4"/>
    <w:rsid w:val="00810B07"/>
    <w:rsid w:val="00816FB2"/>
    <w:rsid w:val="00821A47"/>
    <w:rsid w:val="00822D14"/>
    <w:rsid w:val="00827845"/>
    <w:rsid w:val="00832318"/>
    <w:rsid w:val="00833792"/>
    <w:rsid w:val="00840D04"/>
    <w:rsid w:val="0085475D"/>
    <w:rsid w:val="00854D0D"/>
    <w:rsid w:val="00874C57"/>
    <w:rsid w:val="00876B44"/>
    <w:rsid w:val="008770F6"/>
    <w:rsid w:val="0088267D"/>
    <w:rsid w:val="00884959"/>
    <w:rsid w:val="00886924"/>
    <w:rsid w:val="00887074"/>
    <w:rsid w:val="00890435"/>
    <w:rsid w:val="008929E8"/>
    <w:rsid w:val="00897BE9"/>
    <w:rsid w:val="008A05CE"/>
    <w:rsid w:val="008A0614"/>
    <w:rsid w:val="008A10D6"/>
    <w:rsid w:val="008A165D"/>
    <w:rsid w:val="008A656C"/>
    <w:rsid w:val="008A7622"/>
    <w:rsid w:val="008B19C1"/>
    <w:rsid w:val="008B437C"/>
    <w:rsid w:val="008C3B43"/>
    <w:rsid w:val="008C47A1"/>
    <w:rsid w:val="008C738F"/>
    <w:rsid w:val="008D6B9E"/>
    <w:rsid w:val="008E1024"/>
    <w:rsid w:val="008F1A67"/>
    <w:rsid w:val="009113CC"/>
    <w:rsid w:val="0091368A"/>
    <w:rsid w:val="00913ED0"/>
    <w:rsid w:val="00916F8E"/>
    <w:rsid w:val="009254EE"/>
    <w:rsid w:val="00927650"/>
    <w:rsid w:val="00932951"/>
    <w:rsid w:val="00936647"/>
    <w:rsid w:val="009366BC"/>
    <w:rsid w:val="00942CB6"/>
    <w:rsid w:val="00942CE9"/>
    <w:rsid w:val="00944B36"/>
    <w:rsid w:val="00954FF2"/>
    <w:rsid w:val="0095749A"/>
    <w:rsid w:val="0096271F"/>
    <w:rsid w:val="00962EE8"/>
    <w:rsid w:val="00970640"/>
    <w:rsid w:val="00976EE9"/>
    <w:rsid w:val="00984DAB"/>
    <w:rsid w:val="009919C6"/>
    <w:rsid w:val="00993FBF"/>
    <w:rsid w:val="009A097F"/>
    <w:rsid w:val="009A4A9E"/>
    <w:rsid w:val="009A6D9C"/>
    <w:rsid w:val="009B464B"/>
    <w:rsid w:val="009C0249"/>
    <w:rsid w:val="009C60F6"/>
    <w:rsid w:val="009C64C9"/>
    <w:rsid w:val="009C7016"/>
    <w:rsid w:val="009E50A2"/>
    <w:rsid w:val="009F054E"/>
    <w:rsid w:val="009F0889"/>
    <w:rsid w:val="009F329B"/>
    <w:rsid w:val="009F4A04"/>
    <w:rsid w:val="009F5451"/>
    <w:rsid w:val="00A008E6"/>
    <w:rsid w:val="00A02B1B"/>
    <w:rsid w:val="00A04C5F"/>
    <w:rsid w:val="00A0604E"/>
    <w:rsid w:val="00A1211B"/>
    <w:rsid w:val="00A12C83"/>
    <w:rsid w:val="00A16215"/>
    <w:rsid w:val="00A16A40"/>
    <w:rsid w:val="00A21FDA"/>
    <w:rsid w:val="00A24692"/>
    <w:rsid w:val="00A2545C"/>
    <w:rsid w:val="00A27154"/>
    <w:rsid w:val="00A30981"/>
    <w:rsid w:val="00A36119"/>
    <w:rsid w:val="00A414F1"/>
    <w:rsid w:val="00A45118"/>
    <w:rsid w:val="00A521CE"/>
    <w:rsid w:val="00A53FB7"/>
    <w:rsid w:val="00A66EF3"/>
    <w:rsid w:val="00A82D8D"/>
    <w:rsid w:val="00A956F2"/>
    <w:rsid w:val="00A974AD"/>
    <w:rsid w:val="00AA705F"/>
    <w:rsid w:val="00AB145E"/>
    <w:rsid w:val="00AB3811"/>
    <w:rsid w:val="00AC086A"/>
    <w:rsid w:val="00AC0D6C"/>
    <w:rsid w:val="00AC134E"/>
    <w:rsid w:val="00AC4EAA"/>
    <w:rsid w:val="00AD2778"/>
    <w:rsid w:val="00AD41B1"/>
    <w:rsid w:val="00AD7805"/>
    <w:rsid w:val="00AE10E6"/>
    <w:rsid w:val="00AE5FEF"/>
    <w:rsid w:val="00AF0A4D"/>
    <w:rsid w:val="00AF55BB"/>
    <w:rsid w:val="00AF666D"/>
    <w:rsid w:val="00B027A8"/>
    <w:rsid w:val="00B03A53"/>
    <w:rsid w:val="00B03E90"/>
    <w:rsid w:val="00B41CDB"/>
    <w:rsid w:val="00B42188"/>
    <w:rsid w:val="00B42B80"/>
    <w:rsid w:val="00B4414A"/>
    <w:rsid w:val="00B50B05"/>
    <w:rsid w:val="00B5445B"/>
    <w:rsid w:val="00B57CB4"/>
    <w:rsid w:val="00B6596F"/>
    <w:rsid w:val="00B67D5D"/>
    <w:rsid w:val="00B7144B"/>
    <w:rsid w:val="00B76C0F"/>
    <w:rsid w:val="00B85906"/>
    <w:rsid w:val="00B961CA"/>
    <w:rsid w:val="00B96B23"/>
    <w:rsid w:val="00BA2254"/>
    <w:rsid w:val="00BA57B6"/>
    <w:rsid w:val="00BA5CF6"/>
    <w:rsid w:val="00BA5E41"/>
    <w:rsid w:val="00BA6614"/>
    <w:rsid w:val="00BA6839"/>
    <w:rsid w:val="00BC11CA"/>
    <w:rsid w:val="00BC156E"/>
    <w:rsid w:val="00BC1F2A"/>
    <w:rsid w:val="00BC5639"/>
    <w:rsid w:val="00BD2C69"/>
    <w:rsid w:val="00BD57F5"/>
    <w:rsid w:val="00BD6794"/>
    <w:rsid w:val="00BE0119"/>
    <w:rsid w:val="00BE451B"/>
    <w:rsid w:val="00BE48A4"/>
    <w:rsid w:val="00BE4A4B"/>
    <w:rsid w:val="00BE56F0"/>
    <w:rsid w:val="00BF4331"/>
    <w:rsid w:val="00C065ED"/>
    <w:rsid w:val="00C1401F"/>
    <w:rsid w:val="00C141C1"/>
    <w:rsid w:val="00C2147A"/>
    <w:rsid w:val="00C22DA5"/>
    <w:rsid w:val="00C22F2D"/>
    <w:rsid w:val="00C2545A"/>
    <w:rsid w:val="00C256B0"/>
    <w:rsid w:val="00C25FAA"/>
    <w:rsid w:val="00C321C6"/>
    <w:rsid w:val="00C37506"/>
    <w:rsid w:val="00C406F4"/>
    <w:rsid w:val="00C41305"/>
    <w:rsid w:val="00C438FB"/>
    <w:rsid w:val="00C47620"/>
    <w:rsid w:val="00C5375B"/>
    <w:rsid w:val="00C54D1F"/>
    <w:rsid w:val="00C568C8"/>
    <w:rsid w:val="00C57FC8"/>
    <w:rsid w:val="00C627E9"/>
    <w:rsid w:val="00C7321F"/>
    <w:rsid w:val="00C77476"/>
    <w:rsid w:val="00C77B32"/>
    <w:rsid w:val="00C90806"/>
    <w:rsid w:val="00C9369C"/>
    <w:rsid w:val="00C93B0D"/>
    <w:rsid w:val="00CB03F1"/>
    <w:rsid w:val="00CB5D91"/>
    <w:rsid w:val="00CC08D4"/>
    <w:rsid w:val="00CC09A0"/>
    <w:rsid w:val="00CC6110"/>
    <w:rsid w:val="00CC63E1"/>
    <w:rsid w:val="00CF1E1D"/>
    <w:rsid w:val="00CF5C1E"/>
    <w:rsid w:val="00CF65F6"/>
    <w:rsid w:val="00D01088"/>
    <w:rsid w:val="00D03799"/>
    <w:rsid w:val="00D04E61"/>
    <w:rsid w:val="00D061BD"/>
    <w:rsid w:val="00D10635"/>
    <w:rsid w:val="00D21F11"/>
    <w:rsid w:val="00D23133"/>
    <w:rsid w:val="00D45A43"/>
    <w:rsid w:val="00D4624D"/>
    <w:rsid w:val="00D51E35"/>
    <w:rsid w:val="00D525B8"/>
    <w:rsid w:val="00D622EC"/>
    <w:rsid w:val="00D72303"/>
    <w:rsid w:val="00D75186"/>
    <w:rsid w:val="00D755E3"/>
    <w:rsid w:val="00D75837"/>
    <w:rsid w:val="00D75E97"/>
    <w:rsid w:val="00D84169"/>
    <w:rsid w:val="00D86652"/>
    <w:rsid w:val="00D87523"/>
    <w:rsid w:val="00D922FC"/>
    <w:rsid w:val="00D92BDE"/>
    <w:rsid w:val="00D93859"/>
    <w:rsid w:val="00DA18A2"/>
    <w:rsid w:val="00DA3422"/>
    <w:rsid w:val="00DA4272"/>
    <w:rsid w:val="00DB0E6B"/>
    <w:rsid w:val="00DC000A"/>
    <w:rsid w:val="00DC3979"/>
    <w:rsid w:val="00DC6355"/>
    <w:rsid w:val="00DC7124"/>
    <w:rsid w:val="00DD072E"/>
    <w:rsid w:val="00DD6563"/>
    <w:rsid w:val="00DE0E0C"/>
    <w:rsid w:val="00DE246D"/>
    <w:rsid w:val="00DE5359"/>
    <w:rsid w:val="00DE6108"/>
    <w:rsid w:val="00DE7B6E"/>
    <w:rsid w:val="00DF2F8D"/>
    <w:rsid w:val="00E02AA2"/>
    <w:rsid w:val="00E1281D"/>
    <w:rsid w:val="00E12D1D"/>
    <w:rsid w:val="00E17AF6"/>
    <w:rsid w:val="00E224F4"/>
    <w:rsid w:val="00E23560"/>
    <w:rsid w:val="00E23AB4"/>
    <w:rsid w:val="00E2753F"/>
    <w:rsid w:val="00E278CA"/>
    <w:rsid w:val="00E414DE"/>
    <w:rsid w:val="00E47434"/>
    <w:rsid w:val="00E50D43"/>
    <w:rsid w:val="00E5307B"/>
    <w:rsid w:val="00E55F30"/>
    <w:rsid w:val="00E57098"/>
    <w:rsid w:val="00E60984"/>
    <w:rsid w:val="00E612BB"/>
    <w:rsid w:val="00E73E81"/>
    <w:rsid w:val="00E745F5"/>
    <w:rsid w:val="00E776F7"/>
    <w:rsid w:val="00E8277E"/>
    <w:rsid w:val="00E84F06"/>
    <w:rsid w:val="00E8522F"/>
    <w:rsid w:val="00E87081"/>
    <w:rsid w:val="00E87339"/>
    <w:rsid w:val="00E87D80"/>
    <w:rsid w:val="00E90024"/>
    <w:rsid w:val="00E9084D"/>
    <w:rsid w:val="00E92551"/>
    <w:rsid w:val="00E92D5B"/>
    <w:rsid w:val="00E93E0F"/>
    <w:rsid w:val="00E96B87"/>
    <w:rsid w:val="00EA3698"/>
    <w:rsid w:val="00EA6AF1"/>
    <w:rsid w:val="00EA6FFE"/>
    <w:rsid w:val="00EB0EE1"/>
    <w:rsid w:val="00EB39DF"/>
    <w:rsid w:val="00EB6C48"/>
    <w:rsid w:val="00EC32EC"/>
    <w:rsid w:val="00EC3C89"/>
    <w:rsid w:val="00ED0697"/>
    <w:rsid w:val="00ED0743"/>
    <w:rsid w:val="00EE0074"/>
    <w:rsid w:val="00EE4752"/>
    <w:rsid w:val="00EF3670"/>
    <w:rsid w:val="00F01B98"/>
    <w:rsid w:val="00F03073"/>
    <w:rsid w:val="00F038B5"/>
    <w:rsid w:val="00F03E83"/>
    <w:rsid w:val="00F1099F"/>
    <w:rsid w:val="00F11D75"/>
    <w:rsid w:val="00F1407B"/>
    <w:rsid w:val="00F16466"/>
    <w:rsid w:val="00F21A82"/>
    <w:rsid w:val="00F221FB"/>
    <w:rsid w:val="00F3004A"/>
    <w:rsid w:val="00F478DB"/>
    <w:rsid w:val="00F503E5"/>
    <w:rsid w:val="00F57CCC"/>
    <w:rsid w:val="00F60916"/>
    <w:rsid w:val="00F6101F"/>
    <w:rsid w:val="00F64814"/>
    <w:rsid w:val="00F6724C"/>
    <w:rsid w:val="00F715D8"/>
    <w:rsid w:val="00F747D0"/>
    <w:rsid w:val="00F93E35"/>
    <w:rsid w:val="00F957C6"/>
    <w:rsid w:val="00F95B8C"/>
    <w:rsid w:val="00FA0A1F"/>
    <w:rsid w:val="00FA3F64"/>
    <w:rsid w:val="00FA74ED"/>
    <w:rsid w:val="00FA74FE"/>
    <w:rsid w:val="00FB050D"/>
    <w:rsid w:val="00FB3838"/>
    <w:rsid w:val="00FB4473"/>
    <w:rsid w:val="00FB6AB1"/>
    <w:rsid w:val="00FC0A61"/>
    <w:rsid w:val="00FC10AE"/>
    <w:rsid w:val="00FC43F0"/>
    <w:rsid w:val="00FC49D0"/>
    <w:rsid w:val="00FC5BE7"/>
    <w:rsid w:val="00FC5D32"/>
    <w:rsid w:val="00FD1B6F"/>
    <w:rsid w:val="00FD2C22"/>
    <w:rsid w:val="00FE2C7F"/>
    <w:rsid w:val="00FF54F5"/>
    <w:rsid w:val="0D180434"/>
    <w:rsid w:val="1535A1A3"/>
    <w:rsid w:val="2348EEF8"/>
    <w:rsid w:val="2B65EE71"/>
    <w:rsid w:val="32C277BD"/>
    <w:rsid w:val="39224723"/>
    <w:rsid w:val="48D54834"/>
    <w:rsid w:val="55478DB3"/>
    <w:rsid w:val="579F9522"/>
    <w:rsid w:val="6A84A2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1FB067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AU"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6" w:qFormat="1"/>
    <w:lsdException w:name="Intense Quote" w:uiPriority="1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0635"/>
    <w:pPr>
      <w:spacing w:after="120"/>
    </w:pPr>
    <w:rPr>
      <w:sz w:val="22"/>
    </w:rPr>
  </w:style>
  <w:style w:type="paragraph" w:styleId="Heading1">
    <w:name w:val="heading 1"/>
    <w:basedOn w:val="Normal"/>
    <w:next w:val="Normal"/>
    <w:link w:val="Heading1Char"/>
    <w:uiPriority w:val="2"/>
    <w:qFormat/>
    <w:rsid w:val="00285CAF"/>
    <w:pPr>
      <w:keepNext/>
      <w:keepLines/>
      <w:spacing w:before="360" w:line="240" w:lineRule="auto"/>
      <w:outlineLvl w:val="0"/>
    </w:pPr>
    <w:rPr>
      <w:rFonts w:asciiTheme="majorHAnsi" w:eastAsiaTheme="majorEastAsia" w:hAnsiTheme="majorHAnsi" w:cstheme="majorBidi"/>
      <w:color w:val="192D56" w:themeColor="accent1"/>
      <w:sz w:val="40"/>
      <w:szCs w:val="40"/>
    </w:rPr>
  </w:style>
  <w:style w:type="paragraph" w:styleId="Heading2">
    <w:name w:val="heading 2"/>
    <w:basedOn w:val="Normal"/>
    <w:next w:val="Normal"/>
    <w:link w:val="Heading2Char"/>
    <w:uiPriority w:val="2"/>
    <w:qFormat/>
    <w:rsid w:val="00117A77"/>
    <w:pPr>
      <w:keepNext/>
      <w:keepLines/>
      <w:spacing w:before="240" w:line="240" w:lineRule="auto"/>
      <w:outlineLvl w:val="1"/>
    </w:pPr>
    <w:rPr>
      <w:rFonts w:asciiTheme="majorHAnsi" w:eastAsiaTheme="majorEastAsia" w:hAnsiTheme="majorHAnsi" w:cstheme="majorBidi"/>
      <w:color w:val="192D56" w:themeColor="accent1"/>
      <w:sz w:val="32"/>
      <w:szCs w:val="28"/>
    </w:rPr>
  </w:style>
  <w:style w:type="paragraph" w:styleId="Heading3">
    <w:name w:val="heading 3"/>
    <w:basedOn w:val="Heading4"/>
    <w:next w:val="Normal"/>
    <w:link w:val="Heading3Char"/>
    <w:uiPriority w:val="2"/>
    <w:qFormat/>
    <w:rsid w:val="00FE2C7F"/>
    <w:pPr>
      <w:outlineLvl w:val="2"/>
    </w:pPr>
    <w:rPr>
      <w:color w:val="192D56" w:themeColor="accent1"/>
      <w:sz w:val="26"/>
    </w:rPr>
  </w:style>
  <w:style w:type="paragraph" w:styleId="Heading4">
    <w:name w:val="heading 4"/>
    <w:basedOn w:val="Normal"/>
    <w:next w:val="Normal"/>
    <w:link w:val="Heading4Char"/>
    <w:uiPriority w:val="2"/>
    <w:qFormat/>
    <w:rsid w:val="006200EB"/>
    <w:pPr>
      <w:keepNext/>
      <w:keepLines/>
      <w:spacing w:before="240"/>
      <w:outlineLvl w:val="3"/>
    </w:pPr>
    <w:rPr>
      <w:rFonts w:asciiTheme="majorHAnsi" w:eastAsiaTheme="majorEastAsia" w:hAnsiTheme="majorHAnsi" w:cstheme="majorBidi"/>
      <w:color w:val="3266AB"/>
      <w:szCs w:val="22"/>
    </w:rPr>
  </w:style>
  <w:style w:type="paragraph" w:styleId="Heading5">
    <w:name w:val="heading 5"/>
    <w:basedOn w:val="Normal"/>
    <w:next w:val="Normal"/>
    <w:link w:val="Heading5Char"/>
    <w:uiPriority w:val="2"/>
    <w:unhideWhenUsed/>
    <w:rsid w:val="006200EB"/>
    <w:pPr>
      <w:keepNext/>
      <w:keepLines/>
      <w:spacing w:before="240"/>
      <w:outlineLvl w:val="4"/>
    </w:pPr>
    <w:rPr>
      <w:rFonts w:asciiTheme="majorHAnsi" w:eastAsiaTheme="majorEastAsia" w:hAnsiTheme="majorHAnsi" w:cstheme="majorBidi"/>
      <w:i/>
      <w:iCs/>
      <w:color w:val="3266AB"/>
      <w:szCs w:val="22"/>
    </w:rPr>
  </w:style>
  <w:style w:type="paragraph" w:styleId="Heading6">
    <w:name w:val="heading 6"/>
    <w:basedOn w:val="Normal"/>
    <w:next w:val="Normal"/>
    <w:link w:val="Heading6Char"/>
    <w:uiPriority w:val="2"/>
    <w:unhideWhenUsed/>
    <w:rsid w:val="006200EB"/>
    <w:pPr>
      <w:keepNext/>
      <w:keepLines/>
      <w:spacing w:before="240"/>
      <w:outlineLvl w:val="5"/>
    </w:pPr>
    <w:rPr>
      <w:rFonts w:asciiTheme="majorHAnsi" w:eastAsiaTheme="majorEastAsia" w:hAnsiTheme="majorHAnsi" w:cstheme="majorBidi"/>
      <w:color w:val="3266AB"/>
    </w:rPr>
  </w:style>
  <w:style w:type="paragraph" w:styleId="Heading7">
    <w:name w:val="heading 7"/>
    <w:basedOn w:val="Normal"/>
    <w:next w:val="Normal"/>
    <w:link w:val="Heading7Char"/>
    <w:uiPriority w:val="2"/>
    <w:unhideWhenUsed/>
    <w:rsid w:val="006200EB"/>
    <w:pPr>
      <w:keepNext/>
      <w:keepLines/>
      <w:spacing w:before="240"/>
      <w:outlineLvl w:val="6"/>
    </w:pPr>
    <w:rPr>
      <w:rFonts w:asciiTheme="majorHAnsi" w:eastAsiaTheme="majorEastAsia" w:hAnsiTheme="majorHAnsi" w:cstheme="majorBidi"/>
      <w:b/>
      <w:bCs/>
      <w:color w:val="3266AB"/>
    </w:rPr>
  </w:style>
  <w:style w:type="paragraph" w:styleId="Heading8">
    <w:name w:val="heading 8"/>
    <w:basedOn w:val="Normal"/>
    <w:next w:val="Normal"/>
    <w:link w:val="Heading8Char"/>
    <w:uiPriority w:val="2"/>
    <w:unhideWhenUsed/>
    <w:rsid w:val="006200EB"/>
    <w:pPr>
      <w:keepNext/>
      <w:keepLines/>
      <w:spacing w:before="240"/>
      <w:outlineLvl w:val="7"/>
    </w:pPr>
    <w:rPr>
      <w:rFonts w:asciiTheme="majorHAnsi" w:eastAsiaTheme="majorEastAsia" w:hAnsiTheme="majorHAnsi" w:cstheme="majorBidi"/>
      <w:b/>
      <w:bCs/>
      <w:i/>
      <w:iCs/>
      <w:color w:val="3266AB"/>
      <w:sz w:val="20"/>
      <w:szCs w:val="20"/>
    </w:rPr>
  </w:style>
  <w:style w:type="paragraph" w:styleId="Heading9">
    <w:name w:val="heading 9"/>
    <w:basedOn w:val="Normal"/>
    <w:next w:val="Normal"/>
    <w:link w:val="Heading9Char"/>
    <w:uiPriority w:val="2"/>
    <w:unhideWhenUsed/>
    <w:rsid w:val="006200EB"/>
    <w:pPr>
      <w:keepNext/>
      <w:keepLines/>
      <w:spacing w:before="240"/>
      <w:outlineLvl w:val="8"/>
    </w:pPr>
    <w:rPr>
      <w:rFonts w:asciiTheme="majorHAnsi" w:eastAsiaTheme="majorEastAsia" w:hAnsiTheme="majorHAnsi" w:cstheme="majorBidi"/>
      <w:i/>
      <w:iCs/>
      <w:color w:val="3266A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12C83"/>
    <w:rPr>
      <w:rFonts w:asciiTheme="majorHAnsi" w:eastAsiaTheme="majorEastAsia" w:hAnsiTheme="majorHAnsi" w:cstheme="majorBidi"/>
      <w:color w:val="192D56" w:themeColor="accent1"/>
      <w:sz w:val="40"/>
      <w:szCs w:val="40"/>
    </w:rPr>
  </w:style>
  <w:style w:type="character" w:customStyle="1" w:styleId="Heading2Char">
    <w:name w:val="Heading 2 Char"/>
    <w:basedOn w:val="DefaultParagraphFont"/>
    <w:link w:val="Heading2"/>
    <w:uiPriority w:val="2"/>
    <w:rsid w:val="00A12C83"/>
    <w:rPr>
      <w:rFonts w:asciiTheme="majorHAnsi" w:eastAsiaTheme="majorEastAsia" w:hAnsiTheme="majorHAnsi" w:cstheme="majorBidi"/>
      <w:color w:val="192D56" w:themeColor="accent1"/>
      <w:sz w:val="32"/>
      <w:szCs w:val="28"/>
    </w:rPr>
  </w:style>
  <w:style w:type="character" w:customStyle="1" w:styleId="Heading4Char">
    <w:name w:val="Heading 4 Char"/>
    <w:basedOn w:val="DefaultParagraphFont"/>
    <w:link w:val="Heading4"/>
    <w:uiPriority w:val="2"/>
    <w:rsid w:val="006200EB"/>
    <w:rPr>
      <w:rFonts w:asciiTheme="majorHAnsi" w:eastAsiaTheme="majorEastAsia" w:hAnsiTheme="majorHAnsi" w:cstheme="majorBidi"/>
      <w:color w:val="3266AB"/>
      <w:sz w:val="22"/>
      <w:szCs w:val="22"/>
    </w:rPr>
  </w:style>
  <w:style w:type="character" w:customStyle="1" w:styleId="Heading3Char">
    <w:name w:val="Heading 3 Char"/>
    <w:basedOn w:val="DefaultParagraphFont"/>
    <w:link w:val="Heading3"/>
    <w:uiPriority w:val="2"/>
    <w:rsid w:val="00A12C83"/>
    <w:rPr>
      <w:rFonts w:asciiTheme="majorHAnsi" w:eastAsiaTheme="majorEastAsia" w:hAnsiTheme="majorHAnsi" w:cstheme="majorBidi"/>
      <w:color w:val="192D56" w:themeColor="accent1"/>
      <w:sz w:val="26"/>
      <w:szCs w:val="22"/>
    </w:rPr>
  </w:style>
  <w:style w:type="character" w:customStyle="1" w:styleId="Heading5Char">
    <w:name w:val="Heading 5 Char"/>
    <w:basedOn w:val="DefaultParagraphFont"/>
    <w:link w:val="Heading5"/>
    <w:uiPriority w:val="2"/>
    <w:rsid w:val="006200EB"/>
    <w:rPr>
      <w:rFonts w:asciiTheme="majorHAnsi" w:eastAsiaTheme="majorEastAsia" w:hAnsiTheme="majorHAnsi" w:cstheme="majorBidi"/>
      <w:i/>
      <w:iCs/>
      <w:color w:val="3266AB"/>
      <w:sz w:val="22"/>
      <w:szCs w:val="22"/>
    </w:rPr>
  </w:style>
  <w:style w:type="character" w:customStyle="1" w:styleId="Heading6Char">
    <w:name w:val="Heading 6 Char"/>
    <w:basedOn w:val="DefaultParagraphFont"/>
    <w:link w:val="Heading6"/>
    <w:uiPriority w:val="2"/>
    <w:rsid w:val="006200EB"/>
    <w:rPr>
      <w:rFonts w:asciiTheme="majorHAnsi" w:eastAsiaTheme="majorEastAsia" w:hAnsiTheme="majorHAnsi" w:cstheme="majorBidi"/>
      <w:color w:val="3266AB"/>
      <w:sz w:val="22"/>
    </w:rPr>
  </w:style>
  <w:style w:type="character" w:customStyle="1" w:styleId="Heading7Char">
    <w:name w:val="Heading 7 Char"/>
    <w:basedOn w:val="DefaultParagraphFont"/>
    <w:link w:val="Heading7"/>
    <w:uiPriority w:val="2"/>
    <w:rsid w:val="006200EB"/>
    <w:rPr>
      <w:rFonts w:asciiTheme="majorHAnsi" w:eastAsiaTheme="majorEastAsia" w:hAnsiTheme="majorHAnsi" w:cstheme="majorBidi"/>
      <w:b/>
      <w:bCs/>
      <w:color w:val="3266AB"/>
      <w:sz w:val="22"/>
    </w:rPr>
  </w:style>
  <w:style w:type="character" w:customStyle="1" w:styleId="Heading8Char">
    <w:name w:val="Heading 8 Char"/>
    <w:basedOn w:val="DefaultParagraphFont"/>
    <w:link w:val="Heading8"/>
    <w:uiPriority w:val="2"/>
    <w:rsid w:val="006200EB"/>
    <w:rPr>
      <w:rFonts w:asciiTheme="majorHAnsi" w:eastAsiaTheme="majorEastAsia" w:hAnsiTheme="majorHAnsi" w:cstheme="majorBidi"/>
      <w:b/>
      <w:bCs/>
      <w:i/>
      <w:iCs/>
      <w:color w:val="3266AB"/>
      <w:sz w:val="20"/>
      <w:szCs w:val="20"/>
    </w:rPr>
  </w:style>
  <w:style w:type="character" w:customStyle="1" w:styleId="Heading9Char">
    <w:name w:val="Heading 9 Char"/>
    <w:basedOn w:val="DefaultParagraphFont"/>
    <w:link w:val="Heading9"/>
    <w:uiPriority w:val="2"/>
    <w:rsid w:val="006200EB"/>
    <w:rPr>
      <w:rFonts w:asciiTheme="majorHAnsi" w:eastAsiaTheme="majorEastAsia" w:hAnsiTheme="majorHAnsi" w:cstheme="majorBidi"/>
      <w:i/>
      <w:iCs/>
      <w:color w:val="3266AB"/>
      <w:sz w:val="20"/>
      <w:szCs w:val="20"/>
    </w:rPr>
  </w:style>
  <w:style w:type="paragraph" w:styleId="Title">
    <w:name w:val="Title"/>
    <w:basedOn w:val="Normal"/>
    <w:next w:val="Normal"/>
    <w:link w:val="TitleChar"/>
    <w:uiPriority w:val="18"/>
    <w:rsid w:val="005226B9"/>
    <w:pPr>
      <w:spacing w:after="240" w:line="240" w:lineRule="auto"/>
      <w:contextualSpacing/>
    </w:pPr>
    <w:rPr>
      <w:rFonts w:asciiTheme="majorHAnsi" w:eastAsiaTheme="majorEastAsia" w:hAnsiTheme="majorHAnsi" w:cstheme="majorBidi"/>
      <w:noProof/>
      <w:spacing w:val="-15"/>
      <w:sz w:val="56"/>
      <w:szCs w:val="96"/>
    </w:rPr>
  </w:style>
  <w:style w:type="character" w:customStyle="1" w:styleId="TitleChar">
    <w:name w:val="Title Char"/>
    <w:basedOn w:val="DefaultParagraphFont"/>
    <w:link w:val="Title"/>
    <w:uiPriority w:val="18"/>
    <w:rsid w:val="00E2753F"/>
    <w:rPr>
      <w:rFonts w:asciiTheme="majorHAnsi" w:eastAsiaTheme="majorEastAsia" w:hAnsiTheme="majorHAnsi" w:cstheme="majorBidi"/>
      <w:noProof/>
      <w:spacing w:val="-15"/>
      <w:sz w:val="56"/>
      <w:szCs w:val="96"/>
    </w:rPr>
  </w:style>
  <w:style w:type="paragraph" w:styleId="Subtitle">
    <w:name w:val="Subtitle"/>
    <w:basedOn w:val="Normal"/>
    <w:next w:val="Normal"/>
    <w:link w:val="SubtitleChar"/>
    <w:uiPriority w:val="19"/>
    <w:rsid w:val="00F957C6"/>
    <w:pPr>
      <w:numPr>
        <w:ilvl w:val="1"/>
      </w:numPr>
      <w:spacing w:line="240" w:lineRule="auto"/>
    </w:pPr>
    <w:rPr>
      <w:rFonts w:eastAsiaTheme="majorEastAsia" w:cstheme="minorHAnsi"/>
      <w:noProof/>
      <w:sz w:val="28"/>
      <w:szCs w:val="30"/>
    </w:rPr>
  </w:style>
  <w:style w:type="character" w:customStyle="1" w:styleId="SubtitleChar">
    <w:name w:val="Subtitle Char"/>
    <w:basedOn w:val="DefaultParagraphFont"/>
    <w:link w:val="Subtitle"/>
    <w:uiPriority w:val="19"/>
    <w:rsid w:val="00E2753F"/>
    <w:rPr>
      <w:rFonts w:eastAsiaTheme="majorEastAsia" w:cstheme="minorHAnsi"/>
      <w:noProof/>
      <w:sz w:val="28"/>
      <w:szCs w:val="30"/>
    </w:rPr>
  </w:style>
  <w:style w:type="paragraph" w:styleId="NoSpacing">
    <w:name w:val="No Spacing"/>
    <w:uiPriority w:val="98"/>
    <w:unhideWhenUsed/>
    <w:rsid w:val="00D525B8"/>
    <w:pPr>
      <w:spacing w:after="0" w:line="240" w:lineRule="auto"/>
    </w:pPr>
  </w:style>
  <w:style w:type="paragraph" w:styleId="Caption">
    <w:name w:val="caption"/>
    <w:basedOn w:val="Normal"/>
    <w:next w:val="Normal"/>
    <w:uiPriority w:val="35"/>
    <w:semiHidden/>
    <w:unhideWhenUsed/>
    <w:qFormat/>
    <w:rsid w:val="00D525B8"/>
    <w:pPr>
      <w:spacing w:line="240" w:lineRule="auto"/>
    </w:pPr>
    <w:rPr>
      <w:b/>
      <w:bCs/>
      <w:smallCaps/>
      <w:color w:val="595959" w:themeColor="text1" w:themeTint="A6"/>
    </w:rPr>
  </w:style>
  <w:style w:type="character" w:styleId="Strong">
    <w:name w:val="Strong"/>
    <w:basedOn w:val="DefaultParagraphFont"/>
    <w:uiPriority w:val="22"/>
    <w:unhideWhenUsed/>
    <w:qFormat/>
    <w:rsid w:val="00D525B8"/>
    <w:rPr>
      <w:b/>
      <w:bCs/>
    </w:rPr>
  </w:style>
  <w:style w:type="character" w:styleId="Emphasis">
    <w:name w:val="Emphasis"/>
    <w:basedOn w:val="DefaultParagraphFont"/>
    <w:uiPriority w:val="20"/>
    <w:unhideWhenUsed/>
    <w:qFormat/>
    <w:rsid w:val="005C0F15"/>
    <w:rPr>
      <w:i/>
      <w:iCs/>
      <w:color w:val="auto"/>
    </w:rPr>
  </w:style>
  <w:style w:type="paragraph" w:styleId="Quote">
    <w:name w:val="Quote"/>
    <w:basedOn w:val="Normal"/>
    <w:next w:val="Normal"/>
    <w:link w:val="QuoteChar"/>
    <w:uiPriority w:val="16"/>
    <w:qFormat/>
    <w:rsid w:val="006200EB"/>
    <w:pPr>
      <w:spacing w:before="240"/>
      <w:ind w:left="720" w:right="720"/>
    </w:pPr>
    <w:rPr>
      <w:i/>
      <w:iCs/>
      <w:noProof/>
      <w:color w:val="3266AB"/>
    </w:rPr>
  </w:style>
  <w:style w:type="character" w:customStyle="1" w:styleId="QuoteChar">
    <w:name w:val="Quote Char"/>
    <w:basedOn w:val="DefaultParagraphFont"/>
    <w:link w:val="Quote"/>
    <w:uiPriority w:val="16"/>
    <w:rsid w:val="006200EB"/>
    <w:rPr>
      <w:i/>
      <w:iCs/>
      <w:noProof/>
      <w:color w:val="3266AB"/>
      <w:sz w:val="22"/>
    </w:rPr>
  </w:style>
  <w:style w:type="paragraph" w:styleId="IntenseQuote">
    <w:name w:val="Intense Quote"/>
    <w:basedOn w:val="Normal"/>
    <w:next w:val="Normal"/>
    <w:link w:val="IntenseQuoteChar"/>
    <w:uiPriority w:val="17"/>
    <w:qFormat/>
    <w:rsid w:val="006200EB"/>
    <w:pPr>
      <w:spacing w:before="120" w:line="264" w:lineRule="auto"/>
      <w:ind w:left="720" w:right="720"/>
    </w:pPr>
    <w:rPr>
      <w:rFonts w:asciiTheme="majorHAnsi" w:eastAsiaTheme="majorEastAsia" w:hAnsiTheme="majorHAnsi" w:cstheme="majorBidi"/>
      <w:i/>
      <w:iCs/>
      <w:color w:val="3266AB"/>
      <w:sz w:val="32"/>
      <w:szCs w:val="32"/>
    </w:rPr>
  </w:style>
  <w:style w:type="character" w:customStyle="1" w:styleId="IntenseQuoteChar">
    <w:name w:val="Intense Quote Char"/>
    <w:basedOn w:val="DefaultParagraphFont"/>
    <w:link w:val="IntenseQuote"/>
    <w:uiPriority w:val="17"/>
    <w:rsid w:val="006200EB"/>
    <w:rPr>
      <w:rFonts w:asciiTheme="majorHAnsi" w:eastAsiaTheme="majorEastAsia" w:hAnsiTheme="majorHAnsi" w:cstheme="majorBidi"/>
      <w:i/>
      <w:iCs/>
      <w:color w:val="3266AB"/>
      <w:sz w:val="32"/>
      <w:szCs w:val="32"/>
    </w:rPr>
  </w:style>
  <w:style w:type="character" w:styleId="SubtleEmphasis">
    <w:name w:val="Subtle Emphasis"/>
    <w:basedOn w:val="DefaultParagraphFont"/>
    <w:uiPriority w:val="19"/>
    <w:semiHidden/>
    <w:unhideWhenUsed/>
    <w:rsid w:val="00D525B8"/>
    <w:rPr>
      <w:i/>
      <w:iCs/>
    </w:rPr>
  </w:style>
  <w:style w:type="character" w:styleId="IntenseEmphasis">
    <w:name w:val="Intense Emphasis"/>
    <w:basedOn w:val="DefaultParagraphFont"/>
    <w:uiPriority w:val="21"/>
    <w:unhideWhenUsed/>
    <w:rsid w:val="00D525B8"/>
    <w:rPr>
      <w:b/>
      <w:bCs/>
      <w:i/>
      <w:iCs/>
    </w:rPr>
  </w:style>
  <w:style w:type="character" w:styleId="SubtleReference">
    <w:name w:val="Subtle Reference"/>
    <w:basedOn w:val="DefaultParagraphFont"/>
    <w:uiPriority w:val="31"/>
    <w:unhideWhenUsed/>
    <w:rsid w:val="00D525B8"/>
    <w:rPr>
      <w:smallCaps/>
      <w:color w:val="595959" w:themeColor="text1" w:themeTint="A6"/>
    </w:rPr>
  </w:style>
  <w:style w:type="character" w:styleId="IntenseReference">
    <w:name w:val="Intense Reference"/>
    <w:basedOn w:val="DefaultParagraphFont"/>
    <w:uiPriority w:val="32"/>
    <w:unhideWhenUsed/>
    <w:rsid w:val="006200EB"/>
    <w:rPr>
      <w:b/>
      <w:bCs/>
      <w:smallCaps/>
      <w:color w:val="3266AB"/>
    </w:rPr>
  </w:style>
  <w:style w:type="paragraph" w:styleId="TOCHeading">
    <w:name w:val="TOC Heading"/>
    <w:basedOn w:val="Heading1"/>
    <w:next w:val="Normal"/>
    <w:uiPriority w:val="39"/>
    <w:unhideWhenUsed/>
    <w:rsid w:val="00D525B8"/>
    <w:pPr>
      <w:outlineLvl w:val="9"/>
    </w:pPr>
  </w:style>
  <w:style w:type="paragraph" w:styleId="Header">
    <w:name w:val="header"/>
    <w:basedOn w:val="Normal"/>
    <w:link w:val="HeaderChar"/>
    <w:uiPriority w:val="99"/>
    <w:unhideWhenUsed/>
    <w:rsid w:val="00F95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57C6"/>
  </w:style>
  <w:style w:type="paragraph" w:styleId="Footer">
    <w:name w:val="footer"/>
    <w:basedOn w:val="Normal"/>
    <w:link w:val="FooterChar"/>
    <w:uiPriority w:val="99"/>
    <w:unhideWhenUsed/>
    <w:rsid w:val="00F95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57C6"/>
  </w:style>
  <w:style w:type="character" w:styleId="PlaceholderText">
    <w:name w:val="Placeholder Text"/>
    <w:basedOn w:val="DefaultParagraphFont"/>
    <w:uiPriority w:val="99"/>
    <w:semiHidden/>
    <w:rsid w:val="005226B9"/>
    <w:rPr>
      <w:color w:val="808080"/>
    </w:rPr>
  </w:style>
  <w:style w:type="paragraph" w:styleId="BalloonText">
    <w:name w:val="Balloon Text"/>
    <w:basedOn w:val="Normal"/>
    <w:link w:val="BalloonTextChar"/>
    <w:uiPriority w:val="99"/>
    <w:semiHidden/>
    <w:unhideWhenUsed/>
    <w:rsid w:val="005226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6B9"/>
    <w:rPr>
      <w:rFonts w:ascii="Segoe UI" w:hAnsi="Segoe UI" w:cs="Segoe UI"/>
      <w:sz w:val="18"/>
      <w:szCs w:val="18"/>
    </w:rPr>
  </w:style>
  <w:style w:type="paragraph" w:customStyle="1" w:styleId="CLASSIFICATION">
    <w:name w:val="CLASSIFICATION"/>
    <w:basedOn w:val="Normal"/>
    <w:link w:val="CLASSIFICATIONChar"/>
    <w:autoRedefine/>
    <w:uiPriority w:val="99"/>
    <w:unhideWhenUsed/>
    <w:rsid w:val="002C7A05"/>
    <w:pPr>
      <w:jc w:val="center"/>
    </w:pPr>
    <w:rPr>
      <w:rFonts w:ascii="Segoe UI" w:hAnsi="Segoe UI"/>
      <w:caps/>
      <w:color w:val="C00000"/>
      <w:sz w:val="18"/>
    </w:rPr>
  </w:style>
  <w:style w:type="character" w:customStyle="1" w:styleId="CLASSIFICATIONChar">
    <w:name w:val="CLASSIFICATION Char"/>
    <w:basedOn w:val="DefaultParagraphFont"/>
    <w:link w:val="CLASSIFICATION"/>
    <w:uiPriority w:val="99"/>
    <w:rsid w:val="00E2753F"/>
    <w:rPr>
      <w:rFonts w:ascii="Segoe UI" w:hAnsi="Segoe UI"/>
      <w:caps/>
      <w:color w:val="C00000"/>
      <w:sz w:val="18"/>
    </w:rPr>
  </w:style>
  <w:style w:type="paragraph" w:customStyle="1" w:styleId="BOXHeading2">
    <w:name w:val="BOX Heading 2"/>
    <w:basedOn w:val="Heading2"/>
    <w:next w:val="BOXText"/>
    <w:uiPriority w:val="6"/>
    <w:qFormat/>
    <w:rsid w:val="004C17DE"/>
    <w:pPr>
      <w:pBdr>
        <w:top w:val="single" w:sz="48" w:space="1" w:color="E0E8F2"/>
        <w:left w:val="single" w:sz="48" w:space="4" w:color="E0E8F2"/>
        <w:bottom w:val="single" w:sz="48" w:space="1" w:color="E0E8F2"/>
        <w:right w:val="single" w:sz="48" w:space="4" w:color="E0E8F2"/>
      </w:pBdr>
      <w:shd w:val="clear" w:color="auto" w:fill="E0E8F2"/>
      <w:ind w:left="227" w:right="227"/>
    </w:pPr>
    <w:rPr>
      <w:noProof/>
    </w:rPr>
  </w:style>
  <w:style w:type="paragraph" w:customStyle="1" w:styleId="BOXText">
    <w:name w:val="BOX Text"/>
    <w:basedOn w:val="Normal"/>
    <w:uiPriority w:val="4"/>
    <w:qFormat/>
    <w:rsid w:val="004C17DE"/>
    <w:pPr>
      <w:pBdr>
        <w:top w:val="single" w:sz="48" w:space="1" w:color="E0E8F2"/>
        <w:left w:val="single" w:sz="48" w:space="4" w:color="E0E8F2"/>
        <w:bottom w:val="single" w:sz="48" w:space="1" w:color="E0E8F2"/>
        <w:right w:val="single" w:sz="48" w:space="4" w:color="E0E8F2"/>
      </w:pBdr>
      <w:shd w:val="clear" w:color="auto" w:fill="E0E8F2"/>
      <w:tabs>
        <w:tab w:val="left" w:pos="3300"/>
      </w:tabs>
      <w:ind w:left="227" w:right="227"/>
    </w:pPr>
    <w:rPr>
      <w:noProof/>
    </w:rPr>
  </w:style>
  <w:style w:type="paragraph" w:customStyle="1" w:styleId="BOXBulletedList">
    <w:name w:val="BOX Bulleted List"/>
    <w:basedOn w:val="BOXText"/>
    <w:uiPriority w:val="5"/>
    <w:qFormat/>
    <w:rsid w:val="00FE2C7F"/>
    <w:pPr>
      <w:numPr>
        <w:numId w:val="1"/>
      </w:numPr>
      <w:ind w:left="511"/>
    </w:pPr>
  </w:style>
  <w:style w:type="table" w:styleId="TableGrid">
    <w:name w:val="Table Grid"/>
    <w:basedOn w:val="TableNormal"/>
    <w:uiPriority w:val="39"/>
    <w:rsid w:val="00BD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BD57F5"/>
    <w:pPr>
      <w:spacing w:after="0" w:line="240" w:lineRule="auto"/>
    </w:pPr>
    <w:tblPr>
      <w:tblStyleRowBandSize w:val="1"/>
      <w:tblStyleColBandSize w:val="1"/>
      <w:tblBorders>
        <w:top w:val="single" w:sz="4" w:space="0" w:color="4570C9" w:themeColor="accent1" w:themeTint="99"/>
        <w:left w:val="single" w:sz="4" w:space="0" w:color="4570C9" w:themeColor="accent1" w:themeTint="99"/>
        <w:bottom w:val="single" w:sz="4" w:space="0" w:color="4570C9" w:themeColor="accent1" w:themeTint="99"/>
        <w:right w:val="single" w:sz="4" w:space="0" w:color="4570C9" w:themeColor="accent1" w:themeTint="99"/>
        <w:insideH w:val="single" w:sz="4" w:space="0" w:color="4570C9" w:themeColor="accent1" w:themeTint="99"/>
      </w:tblBorders>
    </w:tblPr>
    <w:tblStylePr w:type="firstRow">
      <w:rPr>
        <w:b/>
        <w:bCs/>
        <w:color w:val="FFFFFF" w:themeColor="background1"/>
      </w:rPr>
      <w:tblPr/>
      <w:tcPr>
        <w:tcBorders>
          <w:top w:val="single" w:sz="4" w:space="0" w:color="192D56" w:themeColor="accent1"/>
          <w:left w:val="single" w:sz="4" w:space="0" w:color="192D56" w:themeColor="accent1"/>
          <w:bottom w:val="single" w:sz="4" w:space="0" w:color="192D56" w:themeColor="accent1"/>
          <w:right w:val="single" w:sz="4" w:space="0" w:color="192D56" w:themeColor="accent1"/>
          <w:insideH w:val="nil"/>
        </w:tcBorders>
        <w:shd w:val="clear" w:color="auto" w:fill="192D56" w:themeFill="accent1"/>
      </w:tcPr>
    </w:tblStylePr>
    <w:tblStylePr w:type="lastRow">
      <w:rPr>
        <w:b/>
        <w:bCs/>
      </w:rPr>
      <w:tblPr/>
      <w:tcPr>
        <w:tcBorders>
          <w:top w:val="double" w:sz="4" w:space="0" w:color="4570C9" w:themeColor="accent1" w:themeTint="99"/>
        </w:tcBorders>
      </w:tcPr>
    </w:tblStylePr>
    <w:tblStylePr w:type="firstCol">
      <w:rPr>
        <w:b/>
        <w:bCs/>
      </w:rPr>
    </w:tblStylePr>
    <w:tblStylePr w:type="lastCol">
      <w:rPr>
        <w:b/>
        <w:bCs/>
      </w:rPr>
    </w:tblStylePr>
    <w:tblStylePr w:type="band1Vert">
      <w:tblPr/>
      <w:tcPr>
        <w:shd w:val="clear" w:color="auto" w:fill="C1CFED" w:themeFill="accent1" w:themeFillTint="33"/>
      </w:tcPr>
    </w:tblStylePr>
    <w:tblStylePr w:type="band1Horz">
      <w:tblPr/>
      <w:tcPr>
        <w:shd w:val="clear" w:color="auto" w:fill="C1CFED" w:themeFill="accent1" w:themeFillTint="33"/>
      </w:tcPr>
    </w:tblStylePr>
  </w:style>
  <w:style w:type="paragraph" w:customStyle="1" w:styleId="Figure">
    <w:name w:val="Figure"/>
    <w:basedOn w:val="Normal"/>
    <w:uiPriority w:val="2"/>
    <w:qFormat/>
    <w:rsid w:val="006200EB"/>
    <w:pPr>
      <w:numPr>
        <w:numId w:val="14"/>
      </w:numPr>
      <w:spacing w:before="240"/>
      <w:ind w:left="2694"/>
    </w:pPr>
    <w:rPr>
      <w:rFonts w:ascii="Segoe UI" w:hAnsi="Segoe UI" w:cs="Segoe UI"/>
      <w:noProof/>
      <w:color w:val="3266AB"/>
    </w:rPr>
  </w:style>
  <w:style w:type="paragraph" w:customStyle="1" w:styleId="TBLHeading">
    <w:name w:val="TBL Heading"/>
    <w:basedOn w:val="Normal"/>
    <w:autoRedefine/>
    <w:uiPriority w:val="11"/>
    <w:qFormat/>
    <w:rsid w:val="007F69F4"/>
    <w:pPr>
      <w:spacing w:line="240" w:lineRule="auto"/>
      <w:jc w:val="center"/>
    </w:pPr>
    <w:rPr>
      <w:rFonts w:ascii="Segoe UI" w:hAnsi="Segoe UI" w:cs="Segoe UI"/>
      <w:b/>
      <w:bCs/>
      <w:noProof/>
      <w:color w:val="FFFFFF" w:themeColor="background1"/>
      <w:sz w:val="16"/>
    </w:rPr>
  </w:style>
  <w:style w:type="paragraph" w:customStyle="1" w:styleId="TBLText">
    <w:name w:val="TBL Text"/>
    <w:basedOn w:val="Normal"/>
    <w:uiPriority w:val="9"/>
    <w:qFormat/>
    <w:rsid w:val="006E170D"/>
    <w:pPr>
      <w:spacing w:line="240" w:lineRule="auto"/>
    </w:pPr>
    <w:rPr>
      <w:noProof/>
      <w:sz w:val="18"/>
      <w:szCs w:val="18"/>
    </w:rPr>
  </w:style>
  <w:style w:type="paragraph" w:customStyle="1" w:styleId="TBLBulletedList">
    <w:name w:val="TBL Bulleted List"/>
    <w:basedOn w:val="TBLText"/>
    <w:uiPriority w:val="10"/>
    <w:qFormat/>
    <w:rsid w:val="00374D2A"/>
    <w:pPr>
      <w:numPr>
        <w:numId w:val="2"/>
      </w:numPr>
      <w:ind w:left="357" w:hanging="357"/>
    </w:pPr>
  </w:style>
  <w:style w:type="paragraph" w:customStyle="1" w:styleId="TBLNumberedList">
    <w:name w:val="TBL Numbered List"/>
    <w:basedOn w:val="TBLText"/>
    <w:uiPriority w:val="10"/>
    <w:qFormat/>
    <w:rsid w:val="00374D2A"/>
    <w:pPr>
      <w:numPr>
        <w:numId w:val="3"/>
      </w:numPr>
      <w:ind w:left="357" w:hanging="357"/>
    </w:pPr>
  </w:style>
  <w:style w:type="paragraph" w:customStyle="1" w:styleId="BOXHeading3">
    <w:name w:val="BOX Heading 3"/>
    <w:basedOn w:val="BOXHeading2"/>
    <w:next w:val="BOXText"/>
    <w:uiPriority w:val="6"/>
    <w:qFormat/>
    <w:rsid w:val="00FE2C7F"/>
    <w:pPr>
      <w:outlineLvl w:val="2"/>
    </w:pPr>
    <w:rPr>
      <w:sz w:val="26"/>
      <w:szCs w:val="26"/>
    </w:rPr>
  </w:style>
  <w:style w:type="paragraph" w:styleId="ListParagraph">
    <w:name w:val="List Paragraph"/>
    <w:basedOn w:val="Normal"/>
    <w:uiPriority w:val="34"/>
    <w:unhideWhenUsed/>
    <w:qFormat/>
    <w:rsid w:val="005917FD"/>
    <w:pPr>
      <w:ind w:left="720"/>
      <w:contextualSpacing/>
    </w:pPr>
  </w:style>
  <w:style w:type="paragraph" w:customStyle="1" w:styleId="BulletedList-Level1">
    <w:name w:val="Bulleted List - Level 1"/>
    <w:basedOn w:val="ListParagraph"/>
    <w:uiPriority w:val="1"/>
    <w:qFormat/>
    <w:rsid w:val="00962EE8"/>
    <w:pPr>
      <w:numPr>
        <w:numId w:val="4"/>
      </w:numPr>
      <w:ind w:left="568" w:hanging="284"/>
    </w:pPr>
  </w:style>
  <w:style w:type="paragraph" w:customStyle="1" w:styleId="BulletedList-Level2">
    <w:name w:val="Bulleted List - Level 2"/>
    <w:basedOn w:val="BulletedList-Level1"/>
    <w:uiPriority w:val="1"/>
    <w:qFormat/>
    <w:rsid w:val="00962EE8"/>
    <w:pPr>
      <w:numPr>
        <w:numId w:val="8"/>
      </w:numPr>
    </w:pPr>
  </w:style>
  <w:style w:type="paragraph" w:customStyle="1" w:styleId="BulletedList-Level3">
    <w:name w:val="Bulleted List - Level 3"/>
    <w:basedOn w:val="ListParagraph"/>
    <w:uiPriority w:val="1"/>
    <w:qFormat/>
    <w:rsid w:val="00962EE8"/>
    <w:pPr>
      <w:numPr>
        <w:numId w:val="9"/>
      </w:numPr>
      <w:ind w:left="1135" w:hanging="284"/>
    </w:pPr>
  </w:style>
  <w:style w:type="paragraph" w:customStyle="1" w:styleId="NumberedList-Level1">
    <w:name w:val="Numbered List - Level 1"/>
    <w:basedOn w:val="ListParagraph"/>
    <w:uiPriority w:val="1"/>
    <w:qFormat/>
    <w:rsid w:val="00962EE8"/>
    <w:pPr>
      <w:numPr>
        <w:numId w:val="5"/>
      </w:numPr>
      <w:ind w:left="568" w:hanging="284"/>
    </w:pPr>
  </w:style>
  <w:style w:type="paragraph" w:customStyle="1" w:styleId="NumberedList-level2">
    <w:name w:val="Numbered List - level 2"/>
    <w:basedOn w:val="ListParagraph"/>
    <w:uiPriority w:val="1"/>
    <w:qFormat/>
    <w:rsid w:val="00962EE8"/>
    <w:pPr>
      <w:numPr>
        <w:ilvl w:val="1"/>
        <w:numId w:val="5"/>
      </w:numPr>
    </w:pPr>
  </w:style>
  <w:style w:type="paragraph" w:customStyle="1" w:styleId="NumberedList-Level3">
    <w:name w:val="Numbered List - Level 3"/>
    <w:basedOn w:val="ListParagraph"/>
    <w:uiPriority w:val="1"/>
    <w:qFormat/>
    <w:rsid w:val="00962EE8"/>
    <w:pPr>
      <w:numPr>
        <w:ilvl w:val="2"/>
        <w:numId w:val="5"/>
      </w:numPr>
    </w:pPr>
  </w:style>
  <w:style w:type="paragraph" w:customStyle="1" w:styleId="BoxDark-HeadingLevel1">
    <w:name w:val="Box Dark - Heading Level 1"/>
    <w:basedOn w:val="BOXHeading2"/>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styleId="TOC1">
    <w:name w:val="toc 1"/>
    <w:basedOn w:val="Normal"/>
    <w:next w:val="Normal"/>
    <w:autoRedefine/>
    <w:uiPriority w:val="39"/>
    <w:unhideWhenUsed/>
    <w:rsid w:val="00117A77"/>
    <w:pPr>
      <w:spacing w:after="100"/>
    </w:pPr>
  </w:style>
  <w:style w:type="paragraph" w:styleId="TOC2">
    <w:name w:val="toc 2"/>
    <w:basedOn w:val="Normal"/>
    <w:next w:val="Normal"/>
    <w:autoRedefine/>
    <w:uiPriority w:val="39"/>
    <w:unhideWhenUsed/>
    <w:rsid w:val="00117A77"/>
    <w:pPr>
      <w:spacing w:after="100"/>
      <w:ind w:left="220"/>
    </w:pPr>
  </w:style>
  <w:style w:type="paragraph" w:styleId="TOC3">
    <w:name w:val="toc 3"/>
    <w:basedOn w:val="Normal"/>
    <w:next w:val="Normal"/>
    <w:autoRedefine/>
    <w:uiPriority w:val="39"/>
    <w:unhideWhenUsed/>
    <w:rsid w:val="00117A77"/>
    <w:pPr>
      <w:spacing w:after="100"/>
      <w:ind w:left="440"/>
    </w:pPr>
  </w:style>
  <w:style w:type="character" w:styleId="Hyperlink">
    <w:name w:val="Hyperlink"/>
    <w:basedOn w:val="DefaultParagraphFont"/>
    <w:uiPriority w:val="99"/>
    <w:unhideWhenUsed/>
    <w:rsid w:val="00117A77"/>
    <w:rPr>
      <w:color w:val="1B375C" w:themeColor="hyperlink"/>
      <w:u w:val="single"/>
    </w:rPr>
  </w:style>
  <w:style w:type="paragraph" w:customStyle="1" w:styleId="BoxDark-HeadingLevel3">
    <w:name w:val="Box Dark - Heading Level 3"/>
    <w:basedOn w:val="BOXHeading3"/>
    <w:uiPriority w:val="9"/>
    <w:rsid w:val="00311C2D"/>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color w:val="FFFFFF" w:themeColor="background1"/>
    </w:rPr>
  </w:style>
  <w:style w:type="paragraph" w:customStyle="1" w:styleId="BoxDark-Text">
    <w:name w:val="Box Dark - Text"/>
    <w:basedOn w:val="BOXText"/>
    <w:uiPriority w:val="7"/>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color w:val="FFFFFF" w:themeColor="background1"/>
    </w:rPr>
  </w:style>
  <w:style w:type="paragraph" w:customStyle="1" w:styleId="BoxDark-BulletedList">
    <w:name w:val="Box Dark - Bulleted List"/>
    <w:basedOn w:val="BOXBulletedList"/>
    <w:uiPriority w:val="8"/>
    <w:rsid w:val="00FE2C7F"/>
    <w:p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pPr>
    <w:rPr>
      <w:rFonts w:ascii="Segoe UI Semilight" w:hAnsi="Segoe UI Semilight"/>
    </w:rPr>
  </w:style>
  <w:style w:type="paragraph" w:customStyle="1" w:styleId="BOXNumberedList">
    <w:name w:val="BOX Numbered List"/>
    <w:basedOn w:val="BOXText"/>
    <w:uiPriority w:val="5"/>
    <w:qFormat/>
    <w:rsid w:val="00FE2C7F"/>
    <w:pPr>
      <w:numPr>
        <w:numId w:val="6"/>
      </w:numPr>
      <w:ind w:left="584" w:hanging="357"/>
    </w:pPr>
  </w:style>
  <w:style w:type="paragraph" w:customStyle="1" w:styleId="BoxDark-NumberedList">
    <w:name w:val="Box Dark - Numbered List"/>
    <w:basedOn w:val="BOXNumberedList"/>
    <w:uiPriority w:val="8"/>
    <w:rsid w:val="00FE2C7F"/>
    <w:pPr>
      <w:numPr>
        <w:numId w:val="7"/>
      </w:numPr>
      <w:pBdr>
        <w:top w:val="single" w:sz="48" w:space="1" w:color="192D56" w:themeColor="accent1"/>
        <w:left w:val="single" w:sz="48" w:space="4" w:color="192D56" w:themeColor="accent1"/>
        <w:bottom w:val="single" w:sz="48" w:space="1" w:color="192D56" w:themeColor="accent1"/>
        <w:right w:val="single" w:sz="48" w:space="4" w:color="192D56" w:themeColor="accent1"/>
      </w:pBdr>
      <w:shd w:val="clear" w:color="auto" w:fill="192D56" w:themeFill="accent1"/>
      <w:ind w:left="584" w:hanging="357"/>
    </w:pPr>
  </w:style>
  <w:style w:type="paragraph" w:styleId="BodyText">
    <w:name w:val="Body Text"/>
    <w:basedOn w:val="Normal"/>
    <w:link w:val="BodyTextChar"/>
    <w:uiPriority w:val="1"/>
    <w:qFormat/>
    <w:rsid w:val="00AD2778"/>
    <w:pPr>
      <w:widowControl w:val="0"/>
      <w:autoSpaceDE w:val="0"/>
      <w:autoSpaceDN w:val="0"/>
      <w:spacing w:after="0" w:line="240" w:lineRule="auto"/>
    </w:pPr>
    <w:rPr>
      <w:rFonts w:ascii="Arial" w:eastAsia="Arial" w:hAnsi="Arial" w:cs="Arial"/>
      <w:sz w:val="18"/>
      <w:szCs w:val="18"/>
      <w:lang w:eastAsia="en-AU" w:bidi="en-AU"/>
    </w:rPr>
  </w:style>
  <w:style w:type="character" w:customStyle="1" w:styleId="BodyTextChar">
    <w:name w:val="Body Text Char"/>
    <w:basedOn w:val="DefaultParagraphFont"/>
    <w:link w:val="BodyText"/>
    <w:uiPriority w:val="1"/>
    <w:rsid w:val="00AD2778"/>
    <w:rPr>
      <w:rFonts w:ascii="Arial" w:eastAsia="Arial" w:hAnsi="Arial" w:cs="Arial"/>
      <w:sz w:val="18"/>
      <w:szCs w:val="18"/>
      <w:lang w:eastAsia="en-AU" w:bidi="en-AU"/>
    </w:rPr>
  </w:style>
  <w:style w:type="paragraph" w:styleId="NormalWeb">
    <w:name w:val="Normal (Web)"/>
    <w:basedOn w:val="Normal"/>
    <w:uiPriority w:val="99"/>
    <w:unhideWhenUsed/>
    <w:rsid w:val="00AD277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ield">
    <w:name w:val="field"/>
    <w:basedOn w:val="DefaultParagraphFont"/>
    <w:rsid w:val="00691CC6"/>
  </w:style>
  <w:style w:type="paragraph" w:styleId="TOC4">
    <w:name w:val="toc 4"/>
    <w:basedOn w:val="Normal"/>
    <w:next w:val="Normal"/>
    <w:autoRedefine/>
    <w:uiPriority w:val="39"/>
    <w:unhideWhenUsed/>
    <w:rsid w:val="00C065ED"/>
    <w:pPr>
      <w:spacing w:after="100" w:line="259" w:lineRule="auto"/>
      <w:ind w:left="660"/>
    </w:pPr>
    <w:rPr>
      <w:szCs w:val="22"/>
      <w:lang w:eastAsia="en-AU"/>
    </w:rPr>
  </w:style>
  <w:style w:type="paragraph" w:styleId="TOC5">
    <w:name w:val="toc 5"/>
    <w:basedOn w:val="Normal"/>
    <w:next w:val="Normal"/>
    <w:autoRedefine/>
    <w:uiPriority w:val="39"/>
    <w:unhideWhenUsed/>
    <w:rsid w:val="00C065ED"/>
    <w:pPr>
      <w:spacing w:after="100" w:line="259" w:lineRule="auto"/>
      <w:ind w:left="880"/>
    </w:pPr>
    <w:rPr>
      <w:szCs w:val="22"/>
      <w:lang w:eastAsia="en-AU"/>
    </w:rPr>
  </w:style>
  <w:style w:type="paragraph" w:styleId="TOC6">
    <w:name w:val="toc 6"/>
    <w:basedOn w:val="Normal"/>
    <w:next w:val="Normal"/>
    <w:autoRedefine/>
    <w:uiPriority w:val="39"/>
    <w:unhideWhenUsed/>
    <w:rsid w:val="00C065ED"/>
    <w:pPr>
      <w:spacing w:after="100" w:line="259" w:lineRule="auto"/>
      <w:ind w:left="1100"/>
    </w:pPr>
    <w:rPr>
      <w:szCs w:val="22"/>
      <w:lang w:eastAsia="en-AU"/>
    </w:rPr>
  </w:style>
  <w:style w:type="paragraph" w:styleId="TOC7">
    <w:name w:val="toc 7"/>
    <w:basedOn w:val="Normal"/>
    <w:next w:val="Normal"/>
    <w:autoRedefine/>
    <w:uiPriority w:val="39"/>
    <w:unhideWhenUsed/>
    <w:rsid w:val="00C065ED"/>
    <w:pPr>
      <w:spacing w:after="100" w:line="259" w:lineRule="auto"/>
      <w:ind w:left="1320"/>
    </w:pPr>
    <w:rPr>
      <w:szCs w:val="22"/>
      <w:lang w:eastAsia="en-AU"/>
    </w:rPr>
  </w:style>
  <w:style w:type="paragraph" w:styleId="TOC8">
    <w:name w:val="toc 8"/>
    <w:basedOn w:val="Normal"/>
    <w:next w:val="Normal"/>
    <w:autoRedefine/>
    <w:uiPriority w:val="39"/>
    <w:unhideWhenUsed/>
    <w:rsid w:val="00C065ED"/>
    <w:pPr>
      <w:spacing w:after="100" w:line="259" w:lineRule="auto"/>
      <w:ind w:left="1540"/>
    </w:pPr>
    <w:rPr>
      <w:szCs w:val="22"/>
      <w:lang w:eastAsia="en-AU"/>
    </w:rPr>
  </w:style>
  <w:style w:type="paragraph" w:styleId="TOC9">
    <w:name w:val="toc 9"/>
    <w:basedOn w:val="Normal"/>
    <w:next w:val="Normal"/>
    <w:autoRedefine/>
    <w:uiPriority w:val="39"/>
    <w:unhideWhenUsed/>
    <w:rsid w:val="00C065ED"/>
    <w:pPr>
      <w:spacing w:after="100" w:line="259" w:lineRule="auto"/>
      <w:ind w:left="1760"/>
    </w:pPr>
    <w:rPr>
      <w:szCs w:val="22"/>
      <w:lang w:eastAsia="en-AU"/>
    </w:rPr>
  </w:style>
  <w:style w:type="character" w:styleId="CommentReference">
    <w:name w:val="annotation reference"/>
    <w:basedOn w:val="DefaultParagraphFont"/>
    <w:uiPriority w:val="99"/>
    <w:semiHidden/>
    <w:unhideWhenUsed/>
    <w:rsid w:val="00F478DB"/>
    <w:rPr>
      <w:sz w:val="16"/>
      <w:szCs w:val="16"/>
    </w:rPr>
  </w:style>
  <w:style w:type="paragraph" w:styleId="CommentText">
    <w:name w:val="annotation text"/>
    <w:basedOn w:val="Normal"/>
    <w:link w:val="CommentTextChar"/>
    <w:uiPriority w:val="99"/>
    <w:semiHidden/>
    <w:unhideWhenUsed/>
    <w:rsid w:val="00F478DB"/>
    <w:pPr>
      <w:spacing w:line="240" w:lineRule="auto"/>
    </w:pPr>
    <w:rPr>
      <w:sz w:val="20"/>
      <w:szCs w:val="20"/>
    </w:rPr>
  </w:style>
  <w:style w:type="character" w:customStyle="1" w:styleId="CommentTextChar">
    <w:name w:val="Comment Text Char"/>
    <w:basedOn w:val="DefaultParagraphFont"/>
    <w:link w:val="CommentText"/>
    <w:uiPriority w:val="99"/>
    <w:semiHidden/>
    <w:rsid w:val="00F478DB"/>
    <w:rPr>
      <w:sz w:val="20"/>
      <w:szCs w:val="20"/>
    </w:rPr>
  </w:style>
  <w:style w:type="paragraph" w:styleId="CommentSubject">
    <w:name w:val="annotation subject"/>
    <w:basedOn w:val="CommentText"/>
    <w:next w:val="CommentText"/>
    <w:link w:val="CommentSubjectChar"/>
    <w:uiPriority w:val="99"/>
    <w:semiHidden/>
    <w:unhideWhenUsed/>
    <w:rsid w:val="00F478DB"/>
    <w:rPr>
      <w:b/>
      <w:bCs/>
    </w:rPr>
  </w:style>
  <w:style w:type="character" w:customStyle="1" w:styleId="CommentSubjectChar">
    <w:name w:val="Comment Subject Char"/>
    <w:basedOn w:val="CommentTextChar"/>
    <w:link w:val="CommentSubject"/>
    <w:uiPriority w:val="99"/>
    <w:semiHidden/>
    <w:rsid w:val="00F478DB"/>
    <w:rPr>
      <w:b/>
      <w:bCs/>
      <w:sz w:val="20"/>
      <w:szCs w:val="20"/>
    </w:rPr>
  </w:style>
  <w:style w:type="paragraph" w:styleId="Revision">
    <w:name w:val="Revision"/>
    <w:hidden/>
    <w:uiPriority w:val="99"/>
    <w:semiHidden/>
    <w:rsid w:val="00543937"/>
    <w:pPr>
      <w:spacing w:after="0" w:line="240" w:lineRule="auto"/>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09059">
      <w:bodyDiv w:val="1"/>
      <w:marLeft w:val="0"/>
      <w:marRight w:val="0"/>
      <w:marTop w:val="0"/>
      <w:marBottom w:val="0"/>
      <w:divBdr>
        <w:top w:val="none" w:sz="0" w:space="0" w:color="auto"/>
        <w:left w:val="none" w:sz="0" w:space="0" w:color="auto"/>
        <w:bottom w:val="none" w:sz="0" w:space="0" w:color="auto"/>
        <w:right w:val="none" w:sz="0" w:space="0" w:color="auto"/>
      </w:divBdr>
    </w:div>
    <w:div w:id="18548435">
      <w:bodyDiv w:val="1"/>
      <w:marLeft w:val="0"/>
      <w:marRight w:val="0"/>
      <w:marTop w:val="0"/>
      <w:marBottom w:val="0"/>
      <w:divBdr>
        <w:top w:val="none" w:sz="0" w:space="0" w:color="auto"/>
        <w:left w:val="none" w:sz="0" w:space="0" w:color="auto"/>
        <w:bottom w:val="none" w:sz="0" w:space="0" w:color="auto"/>
        <w:right w:val="none" w:sz="0" w:space="0" w:color="auto"/>
      </w:divBdr>
    </w:div>
    <w:div w:id="256250011">
      <w:bodyDiv w:val="1"/>
      <w:marLeft w:val="0"/>
      <w:marRight w:val="0"/>
      <w:marTop w:val="0"/>
      <w:marBottom w:val="0"/>
      <w:divBdr>
        <w:top w:val="none" w:sz="0" w:space="0" w:color="auto"/>
        <w:left w:val="none" w:sz="0" w:space="0" w:color="auto"/>
        <w:bottom w:val="none" w:sz="0" w:space="0" w:color="auto"/>
        <w:right w:val="none" w:sz="0" w:space="0" w:color="auto"/>
      </w:divBdr>
    </w:div>
    <w:div w:id="271325512">
      <w:bodyDiv w:val="1"/>
      <w:marLeft w:val="0"/>
      <w:marRight w:val="0"/>
      <w:marTop w:val="0"/>
      <w:marBottom w:val="0"/>
      <w:divBdr>
        <w:top w:val="none" w:sz="0" w:space="0" w:color="auto"/>
        <w:left w:val="none" w:sz="0" w:space="0" w:color="auto"/>
        <w:bottom w:val="none" w:sz="0" w:space="0" w:color="auto"/>
        <w:right w:val="none" w:sz="0" w:space="0" w:color="auto"/>
      </w:divBdr>
    </w:div>
    <w:div w:id="895707160">
      <w:bodyDiv w:val="1"/>
      <w:marLeft w:val="0"/>
      <w:marRight w:val="0"/>
      <w:marTop w:val="0"/>
      <w:marBottom w:val="0"/>
      <w:divBdr>
        <w:top w:val="none" w:sz="0" w:space="0" w:color="auto"/>
        <w:left w:val="none" w:sz="0" w:space="0" w:color="auto"/>
        <w:bottom w:val="none" w:sz="0" w:space="0" w:color="auto"/>
        <w:right w:val="none" w:sz="0" w:space="0" w:color="auto"/>
      </w:divBdr>
    </w:div>
    <w:div w:id="933438666">
      <w:bodyDiv w:val="1"/>
      <w:marLeft w:val="0"/>
      <w:marRight w:val="0"/>
      <w:marTop w:val="0"/>
      <w:marBottom w:val="0"/>
      <w:divBdr>
        <w:top w:val="none" w:sz="0" w:space="0" w:color="auto"/>
        <w:left w:val="none" w:sz="0" w:space="0" w:color="auto"/>
        <w:bottom w:val="none" w:sz="0" w:space="0" w:color="auto"/>
        <w:right w:val="none" w:sz="0" w:space="0" w:color="auto"/>
      </w:divBdr>
    </w:div>
    <w:div w:id="1243414736">
      <w:bodyDiv w:val="1"/>
      <w:marLeft w:val="0"/>
      <w:marRight w:val="0"/>
      <w:marTop w:val="0"/>
      <w:marBottom w:val="0"/>
      <w:divBdr>
        <w:top w:val="none" w:sz="0" w:space="0" w:color="auto"/>
        <w:left w:val="none" w:sz="0" w:space="0" w:color="auto"/>
        <w:bottom w:val="none" w:sz="0" w:space="0" w:color="auto"/>
        <w:right w:val="none" w:sz="0" w:space="0" w:color="auto"/>
      </w:divBdr>
    </w:div>
    <w:div w:id="1267735090">
      <w:bodyDiv w:val="1"/>
      <w:marLeft w:val="0"/>
      <w:marRight w:val="0"/>
      <w:marTop w:val="0"/>
      <w:marBottom w:val="0"/>
      <w:divBdr>
        <w:top w:val="none" w:sz="0" w:space="0" w:color="auto"/>
        <w:left w:val="none" w:sz="0" w:space="0" w:color="auto"/>
        <w:bottom w:val="none" w:sz="0" w:space="0" w:color="auto"/>
        <w:right w:val="none" w:sz="0" w:space="0" w:color="auto"/>
      </w:divBdr>
    </w:div>
    <w:div w:id="1309483070">
      <w:bodyDiv w:val="1"/>
      <w:marLeft w:val="0"/>
      <w:marRight w:val="0"/>
      <w:marTop w:val="0"/>
      <w:marBottom w:val="0"/>
      <w:divBdr>
        <w:top w:val="none" w:sz="0" w:space="0" w:color="auto"/>
        <w:left w:val="none" w:sz="0" w:space="0" w:color="auto"/>
        <w:bottom w:val="none" w:sz="0" w:space="0" w:color="auto"/>
        <w:right w:val="none" w:sz="0" w:space="0" w:color="auto"/>
      </w:divBdr>
    </w:div>
    <w:div w:id="1320038346">
      <w:bodyDiv w:val="1"/>
      <w:marLeft w:val="0"/>
      <w:marRight w:val="0"/>
      <w:marTop w:val="0"/>
      <w:marBottom w:val="0"/>
      <w:divBdr>
        <w:top w:val="none" w:sz="0" w:space="0" w:color="auto"/>
        <w:left w:val="none" w:sz="0" w:space="0" w:color="auto"/>
        <w:bottom w:val="none" w:sz="0" w:space="0" w:color="auto"/>
        <w:right w:val="none" w:sz="0" w:space="0" w:color="auto"/>
      </w:divBdr>
    </w:div>
    <w:div w:id="1633368744">
      <w:bodyDiv w:val="1"/>
      <w:marLeft w:val="0"/>
      <w:marRight w:val="0"/>
      <w:marTop w:val="0"/>
      <w:marBottom w:val="0"/>
      <w:divBdr>
        <w:top w:val="none" w:sz="0" w:space="0" w:color="auto"/>
        <w:left w:val="none" w:sz="0" w:space="0" w:color="auto"/>
        <w:bottom w:val="none" w:sz="0" w:space="0" w:color="auto"/>
        <w:right w:val="none" w:sz="0" w:space="0" w:color="auto"/>
      </w:divBdr>
    </w:div>
    <w:div w:id="1634560468">
      <w:bodyDiv w:val="1"/>
      <w:marLeft w:val="0"/>
      <w:marRight w:val="0"/>
      <w:marTop w:val="0"/>
      <w:marBottom w:val="0"/>
      <w:divBdr>
        <w:top w:val="none" w:sz="0" w:space="0" w:color="auto"/>
        <w:left w:val="none" w:sz="0" w:space="0" w:color="auto"/>
        <w:bottom w:val="none" w:sz="0" w:space="0" w:color="auto"/>
        <w:right w:val="none" w:sz="0" w:space="0" w:color="auto"/>
      </w:divBdr>
    </w:div>
    <w:div w:id="1674185144">
      <w:bodyDiv w:val="1"/>
      <w:marLeft w:val="0"/>
      <w:marRight w:val="0"/>
      <w:marTop w:val="0"/>
      <w:marBottom w:val="0"/>
      <w:divBdr>
        <w:top w:val="none" w:sz="0" w:space="0" w:color="auto"/>
        <w:left w:val="none" w:sz="0" w:space="0" w:color="auto"/>
        <w:bottom w:val="none" w:sz="0" w:space="0" w:color="auto"/>
        <w:right w:val="none" w:sz="0" w:space="0" w:color="auto"/>
      </w:divBdr>
    </w:div>
    <w:div w:id="1808279939">
      <w:bodyDiv w:val="1"/>
      <w:marLeft w:val="0"/>
      <w:marRight w:val="0"/>
      <w:marTop w:val="0"/>
      <w:marBottom w:val="0"/>
      <w:divBdr>
        <w:top w:val="none" w:sz="0" w:space="0" w:color="auto"/>
        <w:left w:val="none" w:sz="0" w:space="0" w:color="auto"/>
        <w:bottom w:val="none" w:sz="0" w:space="0" w:color="auto"/>
        <w:right w:val="none" w:sz="0" w:space="0" w:color="auto"/>
      </w:divBdr>
    </w:div>
    <w:div w:id="1871528252">
      <w:bodyDiv w:val="1"/>
      <w:marLeft w:val="0"/>
      <w:marRight w:val="0"/>
      <w:marTop w:val="0"/>
      <w:marBottom w:val="0"/>
      <w:divBdr>
        <w:top w:val="none" w:sz="0" w:space="0" w:color="auto"/>
        <w:left w:val="none" w:sz="0" w:space="0" w:color="auto"/>
        <w:bottom w:val="none" w:sz="0" w:space="0" w:color="auto"/>
        <w:right w:val="none" w:sz="0" w:space="0" w:color="auto"/>
      </w:divBdr>
    </w:div>
    <w:div w:id="1873834274">
      <w:bodyDiv w:val="1"/>
      <w:marLeft w:val="0"/>
      <w:marRight w:val="0"/>
      <w:marTop w:val="0"/>
      <w:marBottom w:val="0"/>
      <w:divBdr>
        <w:top w:val="none" w:sz="0" w:space="0" w:color="auto"/>
        <w:left w:val="none" w:sz="0" w:space="0" w:color="auto"/>
        <w:bottom w:val="none" w:sz="0" w:space="0" w:color="auto"/>
        <w:right w:val="none" w:sz="0" w:space="0" w:color="auto"/>
      </w:divBdr>
    </w:div>
    <w:div w:id="18791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8c8e050fa1994808" Type="http://schemas.microsoft.com/office/2016/09/relationships/commentsIds" Target="commentsId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E6A16A9C4E486DBEA852C178641D1D"/>
        <w:category>
          <w:name w:val="General"/>
          <w:gallery w:val="placeholder"/>
        </w:category>
        <w:types>
          <w:type w:val="bbPlcHdr"/>
        </w:types>
        <w:behaviors>
          <w:behavior w:val="content"/>
        </w:behaviors>
        <w:guid w:val="{4BCFFC7B-5AC7-477B-9263-9B55C01087F1}"/>
      </w:docPartPr>
      <w:docPartBody>
        <w:p w:rsidR="00AD66D9" w:rsidRDefault="001B1FB2">
          <w:pPr>
            <w:pStyle w:val="6FE6A16A9C4E486DBEA852C178641D1D"/>
          </w:pPr>
          <w:r w:rsidRPr="00B6525C">
            <w:rPr>
              <w:rStyle w:val="PlaceholderText"/>
            </w:rPr>
            <w:t>Choose an item.</w:t>
          </w:r>
        </w:p>
      </w:docPartBody>
    </w:docPart>
    <w:docPart>
      <w:docPartPr>
        <w:name w:val="5211D597AC3940B592065566A352D0E3"/>
        <w:category>
          <w:name w:val="General"/>
          <w:gallery w:val="placeholder"/>
        </w:category>
        <w:types>
          <w:type w:val="bbPlcHdr"/>
        </w:types>
        <w:behaviors>
          <w:behavior w:val="content"/>
        </w:behaviors>
        <w:guid w:val="{BB4D3058-256A-4ED3-A677-9D33318302CC}"/>
      </w:docPartPr>
      <w:docPartBody>
        <w:p w:rsidR="00AD66D9" w:rsidRDefault="001B1FB2">
          <w:pPr>
            <w:pStyle w:val="5211D597AC3940B592065566A352D0E3"/>
          </w:pPr>
          <w:r w:rsidRPr="00B6525C">
            <w:rPr>
              <w:rStyle w:val="PlaceholderText"/>
            </w:rPr>
            <w:t>Choose an item.</w:t>
          </w:r>
        </w:p>
      </w:docPartBody>
    </w:docPart>
    <w:docPart>
      <w:docPartPr>
        <w:name w:val="B9D1FFE9A19C443E92B61273893E3FEC"/>
        <w:category>
          <w:name w:val="General"/>
          <w:gallery w:val="placeholder"/>
        </w:category>
        <w:types>
          <w:type w:val="bbPlcHdr"/>
        </w:types>
        <w:behaviors>
          <w:behavior w:val="content"/>
        </w:behaviors>
        <w:guid w:val="{029FF96E-C7BC-47C1-B795-B2BCFD5FDB34}"/>
      </w:docPartPr>
      <w:docPartBody>
        <w:p w:rsidR="00AD66D9" w:rsidRDefault="001B1FB2">
          <w:pPr>
            <w:pStyle w:val="B9D1FFE9A19C443E92B61273893E3FEC"/>
          </w:pPr>
          <w:r w:rsidRPr="00B6525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FB2"/>
    <w:rsid w:val="00030AAE"/>
    <w:rsid w:val="0004626F"/>
    <w:rsid w:val="00051EA0"/>
    <w:rsid w:val="0013698A"/>
    <w:rsid w:val="001B1FB2"/>
    <w:rsid w:val="00203800"/>
    <w:rsid w:val="00204C46"/>
    <w:rsid w:val="00204CC9"/>
    <w:rsid w:val="00381C0B"/>
    <w:rsid w:val="003B725A"/>
    <w:rsid w:val="00411A05"/>
    <w:rsid w:val="0046644D"/>
    <w:rsid w:val="004802A7"/>
    <w:rsid w:val="004A02E3"/>
    <w:rsid w:val="004A492F"/>
    <w:rsid w:val="004A5623"/>
    <w:rsid w:val="004C15E9"/>
    <w:rsid w:val="00504B7D"/>
    <w:rsid w:val="00524E9E"/>
    <w:rsid w:val="00534901"/>
    <w:rsid w:val="005370B6"/>
    <w:rsid w:val="005A0A9A"/>
    <w:rsid w:val="005C6F59"/>
    <w:rsid w:val="0060565C"/>
    <w:rsid w:val="0063235B"/>
    <w:rsid w:val="00690A42"/>
    <w:rsid w:val="007A0B61"/>
    <w:rsid w:val="007C7AA2"/>
    <w:rsid w:val="007D33E8"/>
    <w:rsid w:val="007E503E"/>
    <w:rsid w:val="00815F68"/>
    <w:rsid w:val="008169CE"/>
    <w:rsid w:val="00833631"/>
    <w:rsid w:val="00862A2A"/>
    <w:rsid w:val="008B4D3F"/>
    <w:rsid w:val="00AA1BC8"/>
    <w:rsid w:val="00AD66D9"/>
    <w:rsid w:val="00B22F3E"/>
    <w:rsid w:val="00B86397"/>
    <w:rsid w:val="00C02E3B"/>
    <w:rsid w:val="00C62D08"/>
    <w:rsid w:val="00C75349"/>
    <w:rsid w:val="00CA630B"/>
    <w:rsid w:val="00CC5FDF"/>
    <w:rsid w:val="00CE3B2C"/>
    <w:rsid w:val="00D30F41"/>
    <w:rsid w:val="00D477DD"/>
    <w:rsid w:val="00D47E13"/>
    <w:rsid w:val="00D52529"/>
    <w:rsid w:val="00D56FC3"/>
    <w:rsid w:val="00D80E33"/>
    <w:rsid w:val="00DA3B9C"/>
    <w:rsid w:val="00DA5621"/>
    <w:rsid w:val="00E8185C"/>
    <w:rsid w:val="00E85846"/>
    <w:rsid w:val="00EC35E2"/>
    <w:rsid w:val="00EC73CE"/>
    <w:rsid w:val="00EF71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02FB1DBD6674A118FB71DC02971D595">
    <w:name w:val="B02FB1DBD6674A118FB71DC02971D595"/>
  </w:style>
  <w:style w:type="paragraph" w:customStyle="1" w:styleId="CD1027D90386429C81AA0C7E21484294">
    <w:name w:val="CD1027D90386429C81AA0C7E21484294"/>
  </w:style>
  <w:style w:type="paragraph" w:customStyle="1" w:styleId="2A474DCD2D8B431AB894BDF07E1F17F1">
    <w:name w:val="2A474DCD2D8B431AB894BDF07E1F17F1"/>
  </w:style>
  <w:style w:type="paragraph" w:customStyle="1" w:styleId="6FE6A16A9C4E486DBEA852C178641D1D">
    <w:name w:val="6FE6A16A9C4E486DBEA852C178641D1D"/>
  </w:style>
  <w:style w:type="paragraph" w:customStyle="1" w:styleId="5211D597AC3940B592065566A352D0E3">
    <w:name w:val="5211D597AC3940B592065566A352D0E3"/>
  </w:style>
  <w:style w:type="paragraph" w:customStyle="1" w:styleId="AFF638AED00743E6ACF90F4D97EF2AC3">
    <w:name w:val="AFF638AED00743E6ACF90F4D97EF2AC3"/>
  </w:style>
  <w:style w:type="paragraph" w:customStyle="1" w:styleId="295C971A144B439DB3ED2980F15CD888">
    <w:name w:val="295C971A144B439DB3ED2980F15CD888"/>
  </w:style>
  <w:style w:type="paragraph" w:customStyle="1" w:styleId="B9D1FFE9A19C443E92B61273893E3FEC">
    <w:name w:val="B9D1FFE9A19C443E92B61273893E3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ustom 12">
      <a:dk1>
        <a:srgbClr val="000000"/>
      </a:dk1>
      <a:lt1>
        <a:srgbClr val="FFFFFF"/>
      </a:lt1>
      <a:dk2>
        <a:srgbClr val="0F1F35"/>
      </a:dk2>
      <a:lt2>
        <a:srgbClr val="E0E8F2"/>
      </a:lt2>
      <a:accent1>
        <a:srgbClr val="192D56"/>
      </a:accent1>
      <a:accent2>
        <a:srgbClr val="778E61"/>
      </a:accent2>
      <a:accent3>
        <a:srgbClr val="F26337"/>
      </a:accent3>
      <a:accent4>
        <a:srgbClr val="4BADB0"/>
      </a:accent4>
      <a:accent5>
        <a:srgbClr val="B75B53"/>
      </a:accent5>
      <a:accent6>
        <a:srgbClr val="FCB76C"/>
      </a:accent6>
      <a:hlink>
        <a:srgbClr val="1B375C"/>
      </a:hlink>
      <a:folHlink>
        <a:srgbClr val="1B375C"/>
      </a:folHlink>
    </a:clrScheme>
    <a:fontScheme name="PM&amp;C 2022">
      <a:majorFont>
        <a:latin typeface="Times New Roman"/>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DOC24-20577</ShareHubID>
    <Comments xmlns="http://schemas.microsoft.com/sharepoint/v3" xsi:nil="true"/>
    <TaxCatchAll xmlns="d0dfa800-9ef0-44cb-8a12-633e29de1e0b">
      <Value>4</Value>
    </TaxCatchAll>
    <TaxKeywordTaxHTField xmlns="d0dfa800-9ef0-44cb-8a12-633e29de1e0b">
      <Terms xmlns="http://schemas.microsoft.com/office/infopath/2007/PartnerControls"/>
    </TaxKeywordTaxHTField>
    <_dlc_DocId xmlns="d0dfa800-9ef0-44cb-8a12-633e29de1e0b">PMCdoc-213507164-64734</_dlc_DocId>
    <_dlc_DocIdUrl xmlns="d0dfa800-9ef0-44cb-8a12-633e29de1e0b">
      <Url>https://pmc01.sharepoint.com/sites/pmc-ms-cb/_layouts/15/DocIdRedir.aspx?ID=PMCdoc-213507164-64734</Url>
      <Description>PMCdoc-213507164-64734</Description>
    </_dlc_DocIdUrl>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lcf76f155ced4ddcb4097134ff3c332f xmlns="ce530a30-1469-477c-a42f-e412a5d2cfe7">
      <Terms xmlns="http://schemas.microsoft.com/office/infopath/2007/PartnerControls"/>
    </lcf76f155ced4ddcb4097134ff3c332f>
    <b3c0f3586e914200b73ee5084f8aea6e xmlns="d0dfa800-9ef0-44cb-8a12-633e29de1e0b">
      <Terms xmlns="http://schemas.microsoft.com/office/infopath/2007/PartnerControls"/>
    </b3c0f3586e914200b73ee5084f8aea6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F285619428CBE4886618267E9F1076D" ma:contentTypeVersion="33" ma:contentTypeDescription="Create a new document." ma:contentTypeScope="" ma:versionID="359620c81b97637cbe42c57a53f8f632">
  <xsd:schema xmlns:xsd="http://www.w3.org/2001/XMLSchema" xmlns:xs="http://www.w3.org/2001/XMLSchema" xmlns:p="http://schemas.microsoft.com/office/2006/metadata/properties" xmlns:ns1="http://schemas.microsoft.com/sharepoint/v3" xmlns:ns2="d0dfa800-9ef0-44cb-8a12-633e29de1e0b" xmlns:ns3="e771ab56-0c5d-40e7-b080-2686d2b89623" xmlns:ns4="ce530a30-1469-477c-a42f-e412a5d2cfe7" targetNamespace="http://schemas.microsoft.com/office/2006/metadata/properties" ma:root="true" ma:fieldsID="6167440c3b5fc6f15ef2d07217fb4b01" ns1:_="" ns2:_="" ns3:_="" ns4:_="">
    <xsd:import namespace="http://schemas.microsoft.com/sharepoint/v3"/>
    <xsd:import namespace="d0dfa800-9ef0-44cb-8a12-633e29de1e0b"/>
    <xsd:import namespace="e771ab56-0c5d-40e7-b080-2686d2b89623"/>
    <xsd:import namespace="ce530a30-1469-477c-a42f-e412a5d2cfe7"/>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lcf76f155ced4ddcb4097134ff3c332f"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30a30-1469-477c-a42f-e412a5d2cfe7"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MediaServiceLocation" ma:index="3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9CD937-16CC-4B9A-BA68-D8E53AC44BBE}">
  <ds:schemaRefs>
    <ds:schemaRef ds:uri="http://schemas.microsoft.com/sharepoint/events"/>
  </ds:schemaRefs>
</ds:datastoreItem>
</file>

<file path=customXml/itemProps2.xml><?xml version="1.0" encoding="utf-8"?>
<ds:datastoreItem xmlns:ds="http://schemas.openxmlformats.org/officeDocument/2006/customXml" ds:itemID="{54E4B6B6-A70D-419F-BEF6-F6DD3D4EFBE3}">
  <ds:schemaRefs>
    <ds:schemaRef ds:uri="http://schemas.microsoft.com/office/2006/metadata/properties"/>
    <ds:schemaRef ds:uri="http://schemas.openxmlformats.org/package/2006/metadata/core-properties"/>
    <ds:schemaRef ds:uri="http://schemas.microsoft.com/sharepoint/v3"/>
    <ds:schemaRef ds:uri="http://schemas.microsoft.com/office/2006/documentManagement/types"/>
    <ds:schemaRef ds:uri="http://purl.org/dc/terms/"/>
    <ds:schemaRef ds:uri="d0dfa800-9ef0-44cb-8a12-633e29de1e0b"/>
    <ds:schemaRef ds:uri="http://purl.org/dc/dcmitype/"/>
    <ds:schemaRef ds:uri="e771ab56-0c5d-40e7-b080-2686d2b89623"/>
    <ds:schemaRef ds:uri="http://purl.org/dc/elements/1.1/"/>
    <ds:schemaRef ds:uri="http://schemas.microsoft.com/office/infopath/2007/PartnerControls"/>
    <ds:schemaRef ds:uri="ce530a30-1469-477c-a42f-e412a5d2cfe7"/>
    <ds:schemaRef ds:uri="http://www.w3.org/XML/1998/namespace"/>
  </ds:schemaRefs>
</ds:datastoreItem>
</file>

<file path=customXml/itemProps3.xml><?xml version="1.0" encoding="utf-8"?>
<ds:datastoreItem xmlns:ds="http://schemas.openxmlformats.org/officeDocument/2006/customXml" ds:itemID="{58CB46E5-E0FB-489B-A1C5-E7540E330394}">
  <ds:schemaRefs>
    <ds:schemaRef ds:uri="http://schemas.microsoft.com/sharepoint/v3/contenttype/forms"/>
  </ds:schemaRefs>
</ds:datastoreItem>
</file>

<file path=customXml/itemProps4.xml><?xml version="1.0" encoding="utf-8"?>
<ds:datastoreItem xmlns:ds="http://schemas.openxmlformats.org/officeDocument/2006/customXml" ds:itemID="{4201FABF-8CEF-4DFA-9505-A8F7F67DA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a800-9ef0-44cb-8a12-633e29de1e0b"/>
    <ds:schemaRef ds:uri="e771ab56-0c5d-40e7-b080-2686d2b89623"/>
    <ds:schemaRef ds:uri="ce530a30-1469-477c-a42f-e412a5d2c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10782</Words>
  <Characters>61459</Characters>
  <Application>Microsoft Office Word</Application>
  <DocSecurity>0</DocSecurity>
  <Lines>512</Lines>
  <Paragraphs>144</Paragraphs>
  <ScaleCrop>false</ScaleCrop>
  <Manager/>
  <Company/>
  <LinksUpToDate>false</LinksUpToDate>
  <CharactersWithSpaces>72097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Government Impact Analysis status, 2022-23</dc:title>
  <dc:subject/>
  <dc:creator/>
  <cp:keywords/>
  <dc:description/>
  <cp:lastModifiedBy/>
  <dcterms:created xsi:type="dcterms:W3CDTF">2024-01-23T22:21:00Z</dcterms:created>
  <dcterms:modified xsi:type="dcterms:W3CDTF">2025-06-06T04:04:00Z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0x0101004F285619428CBE4886618267E9F1076D</vt:lpwstr>
  </property>
  <property fmtid="{D5CDD505-2E9C-101B-9397-08002B2CF9AE}" pid="3" name="HPRMSecurityLevel">
    <vt:lpwstr>20;#OFFICIAL|11463c70-78df-4e3b-b0ff-f66cd3cb26ec</vt:lpwstr>
  </property>
  <property fmtid="{D5CDD505-2E9C-101B-9397-08002B2CF9AE}" pid="4" name="ESearchTags">
    <vt:lpwstr>16;#Election|4090d51f-fccc-4f41-80dd-86270166a8a3;#19;#Climate Change|41dd6691-cb87-446f-a384-c62c202138b9;#21;#Official|f53c1d54-6e59-4b8b-8af5-a00f9baa8e57;#10;#Cabinet|84cba657-17c1-4642-9e59-a0df180c2be5</vt:lpwstr>
  </property>
  <property fmtid="{D5CDD505-2E9C-101B-9397-08002B2CF9AE}" pid="5" name="PMC.ESearch.TagGeneratedTime">
    <vt:lpwstr>2023-07-04T15:23:30</vt:lpwstr>
  </property>
  <property fmtid="{D5CDD505-2E9C-101B-9397-08002B2CF9AE}" pid="6" name="HPRMSecurityCaveat">
    <vt:lpwstr/>
  </property>
  <property fmtid="{D5CDD505-2E9C-101B-9397-08002B2CF9AE}" pid="7" name="SecurityClassification">
    <vt:lpwstr>4;#OFFICIAL|9e0ec9cb-4e7f-4d4a-bd32-1ee7525c6d87</vt:lpwstr>
  </property>
  <property fmtid="{D5CDD505-2E9C-101B-9397-08002B2CF9AE}" pid="8" name="_dlc_DocIdItemGuid">
    <vt:lpwstr>36582781-1a96-4b84-826b-23ae626ceec4</vt:lpwstr>
  </property>
  <property fmtid="{D5CDD505-2E9C-101B-9397-08002B2CF9AE}" pid="9" name="TaxKeyword">
    <vt:lpwstr/>
  </property>
  <property fmtid="{D5CDD505-2E9C-101B-9397-08002B2CF9AE}" pid="10" name="InformationMarker">
    <vt:lpwstr/>
  </property>
  <property fmtid="{D5CDD505-2E9C-101B-9397-08002B2CF9AE}" pid="11" name="MediaServiceImageTags">
    <vt:lpwstr/>
  </property>
</Properties>
</file>