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89C8C" w14:textId="77777777" w:rsidR="00E92551" w:rsidRPr="00F957C6" w:rsidRDefault="009E2262" w:rsidP="0097624A">
      <w:pPr>
        <w:pStyle w:val="Title"/>
      </w:pPr>
      <w:r>
        <w:t>Commonwealth-State Regulation Impact Statement status, 2021-22</w:t>
      </w:r>
    </w:p>
    <w:p w14:paraId="75C89C8D" w14:textId="058CA6DE" w:rsidR="005226B9" w:rsidRDefault="009E2262" w:rsidP="0097624A">
      <w:pPr>
        <w:pStyle w:val="Subtitle"/>
        <w:sectPr w:rsidR="005226B9" w:rsidSect="008C0F10">
          <w:headerReference w:type="even" r:id="rId12"/>
          <w:headerReference w:type="default" r:id="rId13"/>
          <w:footerReference w:type="even" r:id="rId14"/>
          <w:footerReference w:type="default" r:id="rId15"/>
          <w:headerReference w:type="first" r:id="rId16"/>
          <w:footerReference w:type="first" r:id="rId17"/>
          <w:pgSz w:w="11906" w:h="16838"/>
          <w:pgMar w:top="2836" w:right="964" w:bottom="1701" w:left="964" w:header="709" w:footer="709" w:gutter="0"/>
          <w:cols w:space="708"/>
          <w:docGrid w:linePitch="360"/>
        </w:sectPr>
      </w:pPr>
      <w:r>
        <w:t xml:space="preserve">The Office of Best Practice Regulation (OBPR) publishes Regulation Impact Statements (RIS) and the OBPR’s assessment of </w:t>
      </w:r>
      <w:r w:rsidR="005538E5">
        <w:t>each RIS</w:t>
      </w:r>
      <w:r>
        <w:t xml:space="preserve"> on its website as soon as practicable after a regulatory announcement is made, in consultation with the relevant Ministerial Meeting or national standard-setting body (NSSB).                                                      Between 1 July 2021 and </w:t>
      </w:r>
      <w:r w:rsidR="00AB4685">
        <w:t>30 June</w:t>
      </w:r>
      <w:r w:rsidR="004D35D7">
        <w:t xml:space="preserve"> </w:t>
      </w:r>
      <w:r>
        <w:t>2022, 1</w:t>
      </w:r>
      <w:r w:rsidR="00B02489">
        <w:t>4</w:t>
      </w:r>
      <w:r>
        <w:t xml:space="preserve"> Commonwealth-State Decision RISs were finalised</w:t>
      </w:r>
      <w:r w:rsidR="00605B9A">
        <w:t>,</w:t>
      </w:r>
      <w:r>
        <w:t xml:space="preserve"> assessed as compliant by the OBPR and published. In this period </w:t>
      </w:r>
      <w:r w:rsidR="00AB4685">
        <w:t>1</w:t>
      </w:r>
      <w:r w:rsidR="008D0DF5">
        <w:t>3</w:t>
      </w:r>
      <w:r>
        <w:t xml:space="preserve"> Commonwealth-State consultation RISs were assessed by the OBPR and published.</w:t>
      </w:r>
      <w:r w:rsidR="00AB4685">
        <w:t xml:space="preserve"> Please note this report covers</w:t>
      </w:r>
      <w:r w:rsidR="005538E5">
        <w:t xml:space="preserve"> RISs that were prepared </w:t>
      </w:r>
      <w:r w:rsidR="00DF2BE4">
        <w:t>over the course of 2021-22, which includes a transition between G</w:t>
      </w:r>
      <w:r w:rsidR="005538E5">
        <w:t>overnment</w:t>
      </w:r>
      <w:r w:rsidR="00DF2BE4">
        <w:t>s</w:t>
      </w:r>
      <w:r w:rsidR="005538E5">
        <w:t>.</w:t>
      </w:r>
    </w:p>
    <w:sdt>
      <w:sdtPr>
        <w:rPr>
          <w:rFonts w:asciiTheme="minorHAnsi" w:eastAsiaTheme="minorEastAsia" w:hAnsiTheme="minorHAnsi" w:cstheme="minorBidi"/>
          <w:color w:val="auto"/>
          <w:sz w:val="22"/>
          <w:szCs w:val="22"/>
        </w:rPr>
        <w:id w:val="1455833804"/>
        <w:docPartObj>
          <w:docPartGallery w:val="Table of Contents"/>
          <w:docPartUnique/>
        </w:docPartObj>
      </w:sdtPr>
      <w:sdtEndPr/>
      <w:sdtContent>
        <w:p w14:paraId="75C89C8E" w14:textId="77777777" w:rsidR="00117A77" w:rsidRDefault="00117A77">
          <w:pPr>
            <w:pStyle w:val="TOCHeading"/>
          </w:pPr>
          <w:r>
            <w:t>Contents</w:t>
          </w:r>
        </w:p>
        <w:p w14:paraId="3357B02E" w14:textId="1E879CC1" w:rsidR="001E7EB9" w:rsidRDefault="0EEE04EA">
          <w:pPr>
            <w:pStyle w:val="TOC1"/>
            <w:tabs>
              <w:tab w:val="right" w:leader="dot" w:pos="9968"/>
            </w:tabs>
            <w:rPr>
              <w:noProof/>
              <w:szCs w:val="22"/>
              <w:lang w:eastAsia="en-AU"/>
            </w:rPr>
          </w:pPr>
          <w:r>
            <w:fldChar w:fldCharType="begin"/>
          </w:r>
          <w:r w:rsidR="00117A77">
            <w:instrText>TOC \o "1-3" \z \u \h</w:instrText>
          </w:r>
          <w:r>
            <w:fldChar w:fldCharType="separate"/>
          </w:r>
          <w:bookmarkStart w:id="0" w:name="_GoBack"/>
          <w:bookmarkEnd w:id="0"/>
          <w:r w:rsidR="001E7EB9" w:rsidRPr="00246BDD">
            <w:rPr>
              <w:rStyle w:val="Hyperlink"/>
              <w:noProof/>
            </w:rPr>
            <w:fldChar w:fldCharType="begin"/>
          </w:r>
          <w:r w:rsidR="001E7EB9" w:rsidRPr="00246BDD">
            <w:rPr>
              <w:rStyle w:val="Hyperlink"/>
              <w:noProof/>
            </w:rPr>
            <w:instrText xml:space="preserve"> </w:instrText>
          </w:r>
          <w:r w:rsidR="001E7EB9">
            <w:rPr>
              <w:noProof/>
            </w:rPr>
            <w:instrText>HYPERLINK \l "_Toc200110443"</w:instrText>
          </w:r>
          <w:r w:rsidR="001E7EB9" w:rsidRPr="00246BDD">
            <w:rPr>
              <w:rStyle w:val="Hyperlink"/>
              <w:noProof/>
            </w:rPr>
            <w:instrText xml:space="preserve"> </w:instrText>
          </w:r>
          <w:r w:rsidR="001E7EB9" w:rsidRPr="00246BDD">
            <w:rPr>
              <w:rStyle w:val="Hyperlink"/>
              <w:noProof/>
            </w:rPr>
          </w:r>
          <w:r w:rsidR="001E7EB9" w:rsidRPr="00246BDD">
            <w:rPr>
              <w:rStyle w:val="Hyperlink"/>
              <w:noProof/>
            </w:rPr>
            <w:fldChar w:fldCharType="separate"/>
          </w:r>
          <w:r w:rsidR="001E7EB9" w:rsidRPr="00246BDD">
            <w:rPr>
              <w:rStyle w:val="Hyperlink"/>
              <w:noProof/>
            </w:rPr>
            <w:t>Compliance with the Commonwealth-State RIS requirements 2016-17 to 2021-22</w:t>
          </w:r>
          <w:r w:rsidR="001E7EB9">
            <w:rPr>
              <w:noProof/>
              <w:webHidden/>
            </w:rPr>
            <w:tab/>
          </w:r>
          <w:r w:rsidR="001E7EB9">
            <w:rPr>
              <w:noProof/>
              <w:webHidden/>
            </w:rPr>
            <w:fldChar w:fldCharType="begin"/>
          </w:r>
          <w:r w:rsidR="001E7EB9">
            <w:rPr>
              <w:noProof/>
              <w:webHidden/>
            </w:rPr>
            <w:instrText xml:space="preserve"> PAGEREF _Toc200110443 \h </w:instrText>
          </w:r>
          <w:r w:rsidR="001E7EB9">
            <w:rPr>
              <w:noProof/>
              <w:webHidden/>
            </w:rPr>
          </w:r>
          <w:r w:rsidR="001E7EB9">
            <w:rPr>
              <w:noProof/>
              <w:webHidden/>
            </w:rPr>
            <w:fldChar w:fldCharType="separate"/>
          </w:r>
          <w:r w:rsidR="001E7EB9">
            <w:rPr>
              <w:noProof/>
              <w:webHidden/>
            </w:rPr>
            <w:t>4</w:t>
          </w:r>
          <w:r w:rsidR="001E7EB9">
            <w:rPr>
              <w:noProof/>
              <w:webHidden/>
            </w:rPr>
            <w:fldChar w:fldCharType="end"/>
          </w:r>
          <w:r w:rsidR="001E7EB9" w:rsidRPr="00246BDD">
            <w:rPr>
              <w:rStyle w:val="Hyperlink"/>
              <w:noProof/>
            </w:rPr>
            <w:fldChar w:fldCharType="end"/>
          </w:r>
        </w:p>
        <w:p w14:paraId="460E9812" w14:textId="071A4C2A" w:rsidR="001E7EB9" w:rsidRDefault="001E7EB9">
          <w:pPr>
            <w:pStyle w:val="TOC1"/>
            <w:tabs>
              <w:tab w:val="right" w:leader="dot" w:pos="9968"/>
            </w:tabs>
            <w:rPr>
              <w:noProof/>
              <w:szCs w:val="22"/>
              <w:lang w:eastAsia="en-AU"/>
            </w:rPr>
          </w:pPr>
          <w:hyperlink w:anchor="_Toc200110444" w:history="1">
            <w:r w:rsidRPr="00246BDD">
              <w:rPr>
                <w:rStyle w:val="Hyperlink"/>
                <w:noProof/>
              </w:rPr>
              <w:t>Detailed information on RISs prepared for decision in  2021-22</w:t>
            </w:r>
            <w:r>
              <w:rPr>
                <w:noProof/>
                <w:webHidden/>
              </w:rPr>
              <w:tab/>
            </w:r>
            <w:r>
              <w:rPr>
                <w:noProof/>
                <w:webHidden/>
              </w:rPr>
              <w:fldChar w:fldCharType="begin"/>
            </w:r>
            <w:r>
              <w:rPr>
                <w:noProof/>
                <w:webHidden/>
              </w:rPr>
              <w:instrText xml:space="preserve"> PAGEREF _Toc200110444 \h </w:instrText>
            </w:r>
            <w:r>
              <w:rPr>
                <w:noProof/>
                <w:webHidden/>
              </w:rPr>
            </w:r>
            <w:r>
              <w:rPr>
                <w:noProof/>
                <w:webHidden/>
              </w:rPr>
              <w:fldChar w:fldCharType="separate"/>
            </w:r>
            <w:r>
              <w:rPr>
                <w:noProof/>
                <w:webHidden/>
              </w:rPr>
              <w:t>5</w:t>
            </w:r>
            <w:r>
              <w:rPr>
                <w:noProof/>
                <w:webHidden/>
              </w:rPr>
              <w:fldChar w:fldCharType="end"/>
            </w:r>
          </w:hyperlink>
        </w:p>
        <w:p w14:paraId="38ECCFB1" w14:textId="4BEE7296" w:rsidR="001E7EB9" w:rsidRDefault="001E7EB9">
          <w:pPr>
            <w:pStyle w:val="TOC2"/>
            <w:tabs>
              <w:tab w:val="right" w:leader="dot" w:pos="9968"/>
            </w:tabs>
            <w:rPr>
              <w:noProof/>
              <w:szCs w:val="22"/>
              <w:lang w:eastAsia="en-AU"/>
            </w:rPr>
          </w:pPr>
          <w:hyperlink w:anchor="_Toc200110445" w:history="1">
            <w:r w:rsidRPr="00246BDD">
              <w:rPr>
                <w:rStyle w:val="Hyperlink"/>
                <w:noProof/>
              </w:rPr>
              <w:t>Australian Building Codes Board</w:t>
            </w:r>
            <w:r>
              <w:rPr>
                <w:noProof/>
                <w:webHidden/>
              </w:rPr>
              <w:tab/>
            </w:r>
            <w:r>
              <w:rPr>
                <w:noProof/>
                <w:webHidden/>
              </w:rPr>
              <w:fldChar w:fldCharType="begin"/>
            </w:r>
            <w:r>
              <w:rPr>
                <w:noProof/>
                <w:webHidden/>
              </w:rPr>
              <w:instrText xml:space="preserve"> PAGEREF _Toc200110445 \h </w:instrText>
            </w:r>
            <w:r>
              <w:rPr>
                <w:noProof/>
                <w:webHidden/>
              </w:rPr>
            </w:r>
            <w:r>
              <w:rPr>
                <w:noProof/>
                <w:webHidden/>
              </w:rPr>
              <w:fldChar w:fldCharType="separate"/>
            </w:r>
            <w:r>
              <w:rPr>
                <w:noProof/>
                <w:webHidden/>
              </w:rPr>
              <w:t>5</w:t>
            </w:r>
            <w:r>
              <w:rPr>
                <w:noProof/>
                <w:webHidden/>
              </w:rPr>
              <w:fldChar w:fldCharType="end"/>
            </w:r>
          </w:hyperlink>
        </w:p>
        <w:p w14:paraId="6FE89B61" w14:textId="6C0FC0BA" w:rsidR="001E7EB9" w:rsidRDefault="001E7EB9">
          <w:pPr>
            <w:pStyle w:val="TOC3"/>
            <w:tabs>
              <w:tab w:val="right" w:leader="dot" w:pos="9968"/>
            </w:tabs>
            <w:rPr>
              <w:noProof/>
              <w:szCs w:val="22"/>
              <w:lang w:eastAsia="en-AU"/>
            </w:rPr>
          </w:pPr>
          <w:hyperlink w:anchor="_Toc200110446" w:history="1">
            <w:r w:rsidRPr="00246BDD">
              <w:rPr>
                <w:rStyle w:val="Hyperlink"/>
                <w:noProof/>
              </w:rPr>
              <w:t>Lead in plumbing products</w:t>
            </w:r>
            <w:r>
              <w:rPr>
                <w:noProof/>
                <w:webHidden/>
              </w:rPr>
              <w:tab/>
            </w:r>
            <w:r>
              <w:rPr>
                <w:noProof/>
                <w:webHidden/>
              </w:rPr>
              <w:fldChar w:fldCharType="begin"/>
            </w:r>
            <w:r>
              <w:rPr>
                <w:noProof/>
                <w:webHidden/>
              </w:rPr>
              <w:instrText xml:space="preserve"> PAGEREF _Toc200110446 \h </w:instrText>
            </w:r>
            <w:r>
              <w:rPr>
                <w:noProof/>
                <w:webHidden/>
              </w:rPr>
            </w:r>
            <w:r>
              <w:rPr>
                <w:noProof/>
                <w:webHidden/>
              </w:rPr>
              <w:fldChar w:fldCharType="separate"/>
            </w:r>
            <w:r>
              <w:rPr>
                <w:noProof/>
                <w:webHidden/>
              </w:rPr>
              <w:t>5</w:t>
            </w:r>
            <w:r>
              <w:rPr>
                <w:noProof/>
                <w:webHidden/>
              </w:rPr>
              <w:fldChar w:fldCharType="end"/>
            </w:r>
          </w:hyperlink>
        </w:p>
        <w:p w14:paraId="499DCF86" w14:textId="3474A7B2" w:rsidR="001E7EB9" w:rsidRDefault="001E7EB9">
          <w:pPr>
            <w:pStyle w:val="TOC3"/>
            <w:tabs>
              <w:tab w:val="right" w:leader="dot" w:pos="9968"/>
            </w:tabs>
            <w:rPr>
              <w:noProof/>
              <w:szCs w:val="22"/>
              <w:lang w:eastAsia="en-AU"/>
            </w:rPr>
          </w:pPr>
          <w:hyperlink w:anchor="_Toc200110447" w:history="1">
            <w:r w:rsidRPr="00246BDD">
              <w:rPr>
                <w:rStyle w:val="Hyperlink"/>
                <w:rFonts w:eastAsia="Times New Roman"/>
                <w:noProof/>
                <w:lang w:eastAsia="en-AU"/>
              </w:rPr>
              <w:t>Bushfire protection requirements for certain Class 9 buildings</w:t>
            </w:r>
            <w:r>
              <w:rPr>
                <w:noProof/>
                <w:webHidden/>
              </w:rPr>
              <w:tab/>
            </w:r>
            <w:r>
              <w:rPr>
                <w:noProof/>
                <w:webHidden/>
              </w:rPr>
              <w:fldChar w:fldCharType="begin"/>
            </w:r>
            <w:r>
              <w:rPr>
                <w:noProof/>
                <w:webHidden/>
              </w:rPr>
              <w:instrText xml:space="preserve"> PAGEREF _Toc200110447 \h </w:instrText>
            </w:r>
            <w:r>
              <w:rPr>
                <w:noProof/>
                <w:webHidden/>
              </w:rPr>
            </w:r>
            <w:r>
              <w:rPr>
                <w:noProof/>
                <w:webHidden/>
              </w:rPr>
              <w:fldChar w:fldCharType="separate"/>
            </w:r>
            <w:r>
              <w:rPr>
                <w:noProof/>
                <w:webHidden/>
              </w:rPr>
              <w:t>5</w:t>
            </w:r>
            <w:r>
              <w:rPr>
                <w:noProof/>
                <w:webHidden/>
              </w:rPr>
              <w:fldChar w:fldCharType="end"/>
            </w:r>
          </w:hyperlink>
        </w:p>
        <w:p w14:paraId="462F281D" w14:textId="77930CF3" w:rsidR="001E7EB9" w:rsidRDefault="001E7EB9">
          <w:pPr>
            <w:pStyle w:val="TOC2"/>
            <w:tabs>
              <w:tab w:val="right" w:leader="dot" w:pos="9968"/>
            </w:tabs>
            <w:rPr>
              <w:noProof/>
              <w:szCs w:val="22"/>
              <w:lang w:eastAsia="en-AU"/>
            </w:rPr>
          </w:pPr>
          <w:hyperlink w:anchor="_Toc200110448" w:history="1">
            <w:r w:rsidRPr="00246BDD">
              <w:rPr>
                <w:rStyle w:val="Hyperlink"/>
                <w:noProof/>
              </w:rPr>
              <w:t>Australian Energy Market Commission</w:t>
            </w:r>
            <w:r>
              <w:rPr>
                <w:noProof/>
                <w:webHidden/>
              </w:rPr>
              <w:tab/>
            </w:r>
            <w:r>
              <w:rPr>
                <w:noProof/>
                <w:webHidden/>
              </w:rPr>
              <w:fldChar w:fldCharType="begin"/>
            </w:r>
            <w:r>
              <w:rPr>
                <w:noProof/>
                <w:webHidden/>
              </w:rPr>
              <w:instrText xml:space="preserve"> PAGEREF _Toc200110448 \h </w:instrText>
            </w:r>
            <w:r>
              <w:rPr>
                <w:noProof/>
                <w:webHidden/>
              </w:rPr>
            </w:r>
            <w:r>
              <w:rPr>
                <w:noProof/>
                <w:webHidden/>
              </w:rPr>
              <w:fldChar w:fldCharType="separate"/>
            </w:r>
            <w:r>
              <w:rPr>
                <w:noProof/>
                <w:webHidden/>
              </w:rPr>
              <w:t>6</w:t>
            </w:r>
            <w:r>
              <w:rPr>
                <w:noProof/>
                <w:webHidden/>
              </w:rPr>
              <w:fldChar w:fldCharType="end"/>
            </w:r>
          </w:hyperlink>
        </w:p>
        <w:p w14:paraId="1A22B19C" w14:textId="73EFF288" w:rsidR="001E7EB9" w:rsidRDefault="001E7EB9">
          <w:pPr>
            <w:pStyle w:val="TOC3"/>
            <w:tabs>
              <w:tab w:val="right" w:leader="dot" w:pos="9968"/>
            </w:tabs>
            <w:rPr>
              <w:noProof/>
              <w:szCs w:val="22"/>
              <w:lang w:eastAsia="en-AU"/>
            </w:rPr>
          </w:pPr>
          <w:hyperlink w:anchor="_Toc200110449" w:history="1">
            <w:r w:rsidRPr="00246BDD">
              <w:rPr>
                <w:rStyle w:val="Hyperlink"/>
                <w:noProof/>
              </w:rPr>
              <w:t>National Electricity Amendment (Connection to Dedicated Connection Assets) Rule 2021</w:t>
            </w:r>
            <w:r>
              <w:rPr>
                <w:noProof/>
                <w:webHidden/>
              </w:rPr>
              <w:tab/>
            </w:r>
            <w:r>
              <w:rPr>
                <w:noProof/>
                <w:webHidden/>
              </w:rPr>
              <w:fldChar w:fldCharType="begin"/>
            </w:r>
            <w:r>
              <w:rPr>
                <w:noProof/>
                <w:webHidden/>
              </w:rPr>
              <w:instrText xml:space="preserve"> PAGEREF _Toc200110449 \h </w:instrText>
            </w:r>
            <w:r>
              <w:rPr>
                <w:noProof/>
                <w:webHidden/>
              </w:rPr>
            </w:r>
            <w:r>
              <w:rPr>
                <w:noProof/>
                <w:webHidden/>
              </w:rPr>
              <w:fldChar w:fldCharType="separate"/>
            </w:r>
            <w:r>
              <w:rPr>
                <w:noProof/>
                <w:webHidden/>
              </w:rPr>
              <w:t>6</w:t>
            </w:r>
            <w:r>
              <w:rPr>
                <w:noProof/>
                <w:webHidden/>
              </w:rPr>
              <w:fldChar w:fldCharType="end"/>
            </w:r>
          </w:hyperlink>
        </w:p>
        <w:p w14:paraId="400475AE" w14:textId="66FEFF9B" w:rsidR="001E7EB9" w:rsidRDefault="001E7EB9">
          <w:pPr>
            <w:pStyle w:val="TOC3"/>
            <w:tabs>
              <w:tab w:val="right" w:leader="dot" w:pos="9968"/>
            </w:tabs>
            <w:rPr>
              <w:noProof/>
              <w:szCs w:val="22"/>
              <w:lang w:eastAsia="en-AU"/>
            </w:rPr>
          </w:pPr>
          <w:hyperlink w:anchor="_Toc200110450" w:history="1">
            <w:r w:rsidRPr="00246BDD">
              <w:rPr>
                <w:rStyle w:val="Hyperlink"/>
                <w:noProof/>
              </w:rPr>
              <w:t>Fast frequency response market ancillary service</w:t>
            </w:r>
            <w:r>
              <w:rPr>
                <w:noProof/>
                <w:webHidden/>
              </w:rPr>
              <w:tab/>
            </w:r>
            <w:r>
              <w:rPr>
                <w:noProof/>
                <w:webHidden/>
              </w:rPr>
              <w:fldChar w:fldCharType="begin"/>
            </w:r>
            <w:r>
              <w:rPr>
                <w:noProof/>
                <w:webHidden/>
              </w:rPr>
              <w:instrText xml:space="preserve"> PAGEREF _Toc200110450 \h </w:instrText>
            </w:r>
            <w:r>
              <w:rPr>
                <w:noProof/>
                <w:webHidden/>
              </w:rPr>
            </w:r>
            <w:r>
              <w:rPr>
                <w:noProof/>
                <w:webHidden/>
              </w:rPr>
              <w:fldChar w:fldCharType="separate"/>
            </w:r>
            <w:r>
              <w:rPr>
                <w:noProof/>
                <w:webHidden/>
              </w:rPr>
              <w:t>6</w:t>
            </w:r>
            <w:r>
              <w:rPr>
                <w:noProof/>
                <w:webHidden/>
              </w:rPr>
              <w:fldChar w:fldCharType="end"/>
            </w:r>
          </w:hyperlink>
        </w:p>
        <w:p w14:paraId="06235D0C" w14:textId="561EC338" w:rsidR="001E7EB9" w:rsidRDefault="001E7EB9">
          <w:pPr>
            <w:pStyle w:val="TOC3"/>
            <w:tabs>
              <w:tab w:val="right" w:leader="dot" w:pos="9968"/>
            </w:tabs>
            <w:rPr>
              <w:noProof/>
              <w:szCs w:val="22"/>
              <w:lang w:eastAsia="en-AU"/>
            </w:rPr>
          </w:pPr>
          <w:hyperlink w:anchor="_Toc200110451" w:history="1">
            <w:r w:rsidRPr="00246BDD">
              <w:rPr>
                <w:rStyle w:val="Hyperlink"/>
                <w:noProof/>
              </w:rPr>
              <w:t>Access, pricing and incentive arrangements for distributed energy resources</w:t>
            </w:r>
            <w:r>
              <w:rPr>
                <w:noProof/>
                <w:webHidden/>
              </w:rPr>
              <w:tab/>
            </w:r>
            <w:r>
              <w:rPr>
                <w:noProof/>
                <w:webHidden/>
              </w:rPr>
              <w:fldChar w:fldCharType="begin"/>
            </w:r>
            <w:r>
              <w:rPr>
                <w:noProof/>
                <w:webHidden/>
              </w:rPr>
              <w:instrText xml:space="preserve"> PAGEREF _Toc200110451 \h </w:instrText>
            </w:r>
            <w:r>
              <w:rPr>
                <w:noProof/>
                <w:webHidden/>
              </w:rPr>
            </w:r>
            <w:r>
              <w:rPr>
                <w:noProof/>
                <w:webHidden/>
              </w:rPr>
              <w:fldChar w:fldCharType="separate"/>
            </w:r>
            <w:r>
              <w:rPr>
                <w:noProof/>
                <w:webHidden/>
              </w:rPr>
              <w:t>6</w:t>
            </w:r>
            <w:r>
              <w:rPr>
                <w:noProof/>
                <w:webHidden/>
              </w:rPr>
              <w:fldChar w:fldCharType="end"/>
            </w:r>
          </w:hyperlink>
        </w:p>
        <w:p w14:paraId="15B537C1" w14:textId="69F15B3C" w:rsidR="001E7EB9" w:rsidRDefault="001E7EB9">
          <w:pPr>
            <w:pStyle w:val="TOC3"/>
            <w:tabs>
              <w:tab w:val="right" w:leader="dot" w:pos="9968"/>
            </w:tabs>
            <w:rPr>
              <w:noProof/>
              <w:szCs w:val="22"/>
              <w:lang w:eastAsia="en-AU"/>
            </w:rPr>
          </w:pPr>
          <w:hyperlink w:anchor="_Toc200110452" w:history="1">
            <w:r w:rsidRPr="00246BDD">
              <w:rPr>
                <w:rStyle w:val="Hyperlink"/>
                <w:noProof/>
              </w:rPr>
              <w:t>Integrating Energy Storage Systems into the National Electricity Market</w:t>
            </w:r>
            <w:r>
              <w:rPr>
                <w:noProof/>
                <w:webHidden/>
              </w:rPr>
              <w:tab/>
            </w:r>
            <w:r>
              <w:rPr>
                <w:noProof/>
                <w:webHidden/>
              </w:rPr>
              <w:fldChar w:fldCharType="begin"/>
            </w:r>
            <w:r>
              <w:rPr>
                <w:noProof/>
                <w:webHidden/>
              </w:rPr>
              <w:instrText xml:space="preserve"> PAGEREF _Toc200110452 \h </w:instrText>
            </w:r>
            <w:r>
              <w:rPr>
                <w:noProof/>
                <w:webHidden/>
              </w:rPr>
            </w:r>
            <w:r>
              <w:rPr>
                <w:noProof/>
                <w:webHidden/>
              </w:rPr>
              <w:fldChar w:fldCharType="separate"/>
            </w:r>
            <w:r>
              <w:rPr>
                <w:noProof/>
                <w:webHidden/>
              </w:rPr>
              <w:t>7</w:t>
            </w:r>
            <w:r>
              <w:rPr>
                <w:noProof/>
                <w:webHidden/>
              </w:rPr>
              <w:fldChar w:fldCharType="end"/>
            </w:r>
          </w:hyperlink>
        </w:p>
        <w:p w14:paraId="6428A8E6" w14:textId="5761E2F6" w:rsidR="001E7EB9" w:rsidRDefault="001E7EB9">
          <w:pPr>
            <w:pStyle w:val="TOC3"/>
            <w:tabs>
              <w:tab w:val="right" w:leader="dot" w:pos="9968"/>
            </w:tabs>
            <w:rPr>
              <w:noProof/>
              <w:szCs w:val="22"/>
              <w:lang w:eastAsia="en-AU"/>
            </w:rPr>
          </w:pPr>
          <w:hyperlink w:anchor="_Toc200110453" w:history="1">
            <w:r w:rsidRPr="00246BDD">
              <w:rPr>
                <w:rStyle w:val="Hyperlink"/>
                <w:noProof/>
              </w:rPr>
              <w:t>Compensation for Market Participants</w:t>
            </w:r>
            <w:r>
              <w:rPr>
                <w:noProof/>
                <w:webHidden/>
              </w:rPr>
              <w:tab/>
            </w:r>
            <w:r>
              <w:rPr>
                <w:noProof/>
                <w:webHidden/>
              </w:rPr>
              <w:fldChar w:fldCharType="begin"/>
            </w:r>
            <w:r>
              <w:rPr>
                <w:noProof/>
                <w:webHidden/>
              </w:rPr>
              <w:instrText xml:space="preserve"> PAGEREF _Toc200110453 \h </w:instrText>
            </w:r>
            <w:r>
              <w:rPr>
                <w:noProof/>
                <w:webHidden/>
              </w:rPr>
            </w:r>
            <w:r>
              <w:rPr>
                <w:noProof/>
                <w:webHidden/>
              </w:rPr>
              <w:fldChar w:fldCharType="separate"/>
            </w:r>
            <w:r>
              <w:rPr>
                <w:noProof/>
                <w:webHidden/>
              </w:rPr>
              <w:t>7</w:t>
            </w:r>
            <w:r>
              <w:rPr>
                <w:noProof/>
                <w:webHidden/>
              </w:rPr>
              <w:fldChar w:fldCharType="end"/>
            </w:r>
          </w:hyperlink>
        </w:p>
        <w:p w14:paraId="06E46BD4" w14:textId="647219F3" w:rsidR="001E7EB9" w:rsidRDefault="001E7EB9">
          <w:pPr>
            <w:pStyle w:val="TOC3"/>
            <w:tabs>
              <w:tab w:val="right" w:leader="dot" w:pos="9968"/>
            </w:tabs>
            <w:rPr>
              <w:noProof/>
              <w:szCs w:val="22"/>
              <w:lang w:eastAsia="en-AU"/>
            </w:rPr>
          </w:pPr>
          <w:hyperlink w:anchor="_Toc200110454" w:history="1">
            <w:r w:rsidRPr="00246BDD">
              <w:rPr>
                <w:rStyle w:val="Hyperlink"/>
                <w:noProof/>
              </w:rPr>
              <w:t>AEMC - Enhancing resilience in relation to indistinct events</w:t>
            </w:r>
            <w:r>
              <w:rPr>
                <w:noProof/>
                <w:webHidden/>
              </w:rPr>
              <w:tab/>
            </w:r>
            <w:r>
              <w:rPr>
                <w:noProof/>
                <w:webHidden/>
              </w:rPr>
              <w:fldChar w:fldCharType="begin"/>
            </w:r>
            <w:r>
              <w:rPr>
                <w:noProof/>
                <w:webHidden/>
              </w:rPr>
              <w:instrText xml:space="preserve"> PAGEREF _Toc200110454 \h </w:instrText>
            </w:r>
            <w:r>
              <w:rPr>
                <w:noProof/>
                <w:webHidden/>
              </w:rPr>
            </w:r>
            <w:r>
              <w:rPr>
                <w:noProof/>
                <w:webHidden/>
              </w:rPr>
              <w:fldChar w:fldCharType="separate"/>
            </w:r>
            <w:r>
              <w:rPr>
                <w:noProof/>
                <w:webHidden/>
              </w:rPr>
              <w:t>7</w:t>
            </w:r>
            <w:r>
              <w:rPr>
                <w:noProof/>
                <w:webHidden/>
              </w:rPr>
              <w:fldChar w:fldCharType="end"/>
            </w:r>
          </w:hyperlink>
        </w:p>
        <w:p w14:paraId="0409698E" w14:textId="15FC2AAA" w:rsidR="001E7EB9" w:rsidRDefault="001E7EB9">
          <w:pPr>
            <w:pStyle w:val="TOC2"/>
            <w:tabs>
              <w:tab w:val="right" w:leader="dot" w:pos="9968"/>
            </w:tabs>
            <w:rPr>
              <w:noProof/>
              <w:szCs w:val="22"/>
              <w:lang w:eastAsia="en-AU"/>
            </w:rPr>
          </w:pPr>
          <w:hyperlink w:anchor="_Toc200110455" w:history="1">
            <w:r w:rsidRPr="00246BDD">
              <w:rPr>
                <w:rStyle w:val="Hyperlink"/>
                <w:noProof/>
              </w:rPr>
              <w:t>Energy Ministers Meeting</w:t>
            </w:r>
            <w:r>
              <w:rPr>
                <w:noProof/>
                <w:webHidden/>
              </w:rPr>
              <w:tab/>
            </w:r>
            <w:r>
              <w:rPr>
                <w:noProof/>
                <w:webHidden/>
              </w:rPr>
              <w:fldChar w:fldCharType="begin"/>
            </w:r>
            <w:r>
              <w:rPr>
                <w:noProof/>
                <w:webHidden/>
              </w:rPr>
              <w:instrText xml:space="preserve"> PAGEREF _Toc200110455 \h </w:instrText>
            </w:r>
            <w:r>
              <w:rPr>
                <w:noProof/>
                <w:webHidden/>
              </w:rPr>
            </w:r>
            <w:r>
              <w:rPr>
                <w:noProof/>
                <w:webHidden/>
              </w:rPr>
              <w:fldChar w:fldCharType="separate"/>
            </w:r>
            <w:r>
              <w:rPr>
                <w:noProof/>
                <w:webHidden/>
              </w:rPr>
              <w:t>8</w:t>
            </w:r>
            <w:r>
              <w:rPr>
                <w:noProof/>
                <w:webHidden/>
              </w:rPr>
              <w:fldChar w:fldCharType="end"/>
            </w:r>
          </w:hyperlink>
        </w:p>
        <w:p w14:paraId="78230F46" w14:textId="137DF22A" w:rsidR="001E7EB9" w:rsidRDefault="001E7EB9">
          <w:pPr>
            <w:pStyle w:val="TOC3"/>
            <w:tabs>
              <w:tab w:val="right" w:leader="dot" w:pos="9968"/>
            </w:tabs>
            <w:rPr>
              <w:noProof/>
              <w:szCs w:val="22"/>
              <w:lang w:eastAsia="en-AU"/>
            </w:rPr>
          </w:pPr>
          <w:hyperlink w:anchor="_Toc200110456" w:history="1">
            <w:r w:rsidRPr="00246BDD">
              <w:rPr>
                <w:rStyle w:val="Hyperlink"/>
                <w:noProof/>
              </w:rPr>
              <w:t>Gas Pipeline Regulation</w:t>
            </w:r>
            <w:r>
              <w:rPr>
                <w:noProof/>
                <w:webHidden/>
              </w:rPr>
              <w:tab/>
            </w:r>
            <w:r>
              <w:rPr>
                <w:noProof/>
                <w:webHidden/>
              </w:rPr>
              <w:fldChar w:fldCharType="begin"/>
            </w:r>
            <w:r>
              <w:rPr>
                <w:noProof/>
                <w:webHidden/>
              </w:rPr>
              <w:instrText xml:space="preserve"> PAGEREF _Toc200110456 \h </w:instrText>
            </w:r>
            <w:r>
              <w:rPr>
                <w:noProof/>
                <w:webHidden/>
              </w:rPr>
            </w:r>
            <w:r>
              <w:rPr>
                <w:noProof/>
                <w:webHidden/>
              </w:rPr>
              <w:fldChar w:fldCharType="separate"/>
            </w:r>
            <w:r>
              <w:rPr>
                <w:noProof/>
                <w:webHidden/>
              </w:rPr>
              <w:t>8</w:t>
            </w:r>
            <w:r>
              <w:rPr>
                <w:noProof/>
                <w:webHidden/>
              </w:rPr>
              <w:fldChar w:fldCharType="end"/>
            </w:r>
          </w:hyperlink>
        </w:p>
        <w:p w14:paraId="740DF473" w14:textId="667AD3C6" w:rsidR="001E7EB9" w:rsidRDefault="001E7EB9">
          <w:pPr>
            <w:pStyle w:val="TOC2"/>
            <w:tabs>
              <w:tab w:val="right" w:leader="dot" w:pos="9968"/>
            </w:tabs>
            <w:rPr>
              <w:noProof/>
              <w:szCs w:val="22"/>
              <w:lang w:eastAsia="en-AU"/>
            </w:rPr>
          </w:pPr>
          <w:hyperlink w:anchor="_Toc200110457" w:history="1">
            <w:r w:rsidRPr="00246BDD">
              <w:rPr>
                <w:rStyle w:val="Hyperlink"/>
                <w:noProof/>
              </w:rPr>
              <w:t>Gene Technology Ministers Meeting</w:t>
            </w:r>
            <w:r>
              <w:rPr>
                <w:noProof/>
                <w:webHidden/>
              </w:rPr>
              <w:tab/>
            </w:r>
            <w:r>
              <w:rPr>
                <w:noProof/>
                <w:webHidden/>
              </w:rPr>
              <w:fldChar w:fldCharType="begin"/>
            </w:r>
            <w:r>
              <w:rPr>
                <w:noProof/>
                <w:webHidden/>
              </w:rPr>
              <w:instrText xml:space="preserve"> PAGEREF _Toc200110457 \h </w:instrText>
            </w:r>
            <w:r>
              <w:rPr>
                <w:noProof/>
                <w:webHidden/>
              </w:rPr>
            </w:r>
            <w:r>
              <w:rPr>
                <w:noProof/>
                <w:webHidden/>
              </w:rPr>
              <w:fldChar w:fldCharType="separate"/>
            </w:r>
            <w:r>
              <w:rPr>
                <w:noProof/>
                <w:webHidden/>
              </w:rPr>
              <w:t>8</w:t>
            </w:r>
            <w:r>
              <w:rPr>
                <w:noProof/>
                <w:webHidden/>
              </w:rPr>
              <w:fldChar w:fldCharType="end"/>
            </w:r>
          </w:hyperlink>
        </w:p>
        <w:p w14:paraId="5667E214" w14:textId="68695CD5" w:rsidR="001E7EB9" w:rsidRDefault="001E7EB9">
          <w:pPr>
            <w:pStyle w:val="TOC3"/>
            <w:tabs>
              <w:tab w:val="right" w:leader="dot" w:pos="9968"/>
            </w:tabs>
            <w:rPr>
              <w:noProof/>
              <w:szCs w:val="22"/>
              <w:lang w:eastAsia="en-AU"/>
            </w:rPr>
          </w:pPr>
          <w:hyperlink w:anchor="_Toc200110458" w:history="1">
            <w:r w:rsidRPr="00246BDD">
              <w:rPr>
                <w:rStyle w:val="Hyperlink"/>
                <w:noProof/>
              </w:rPr>
              <w:t>Modernising and Future Proofing the National Gene Technology Scheme</w:t>
            </w:r>
            <w:r>
              <w:rPr>
                <w:noProof/>
                <w:webHidden/>
              </w:rPr>
              <w:tab/>
            </w:r>
            <w:r>
              <w:rPr>
                <w:noProof/>
                <w:webHidden/>
              </w:rPr>
              <w:fldChar w:fldCharType="begin"/>
            </w:r>
            <w:r>
              <w:rPr>
                <w:noProof/>
                <w:webHidden/>
              </w:rPr>
              <w:instrText xml:space="preserve"> PAGEREF _Toc200110458 \h </w:instrText>
            </w:r>
            <w:r>
              <w:rPr>
                <w:noProof/>
                <w:webHidden/>
              </w:rPr>
            </w:r>
            <w:r>
              <w:rPr>
                <w:noProof/>
                <w:webHidden/>
              </w:rPr>
              <w:fldChar w:fldCharType="separate"/>
            </w:r>
            <w:r>
              <w:rPr>
                <w:noProof/>
                <w:webHidden/>
              </w:rPr>
              <w:t>8</w:t>
            </w:r>
            <w:r>
              <w:rPr>
                <w:noProof/>
                <w:webHidden/>
              </w:rPr>
              <w:fldChar w:fldCharType="end"/>
            </w:r>
          </w:hyperlink>
        </w:p>
        <w:p w14:paraId="6A58EE4F" w14:textId="5B65B8E2" w:rsidR="001E7EB9" w:rsidRDefault="001E7EB9">
          <w:pPr>
            <w:pStyle w:val="TOC2"/>
            <w:tabs>
              <w:tab w:val="right" w:leader="dot" w:pos="9968"/>
            </w:tabs>
            <w:rPr>
              <w:noProof/>
              <w:szCs w:val="22"/>
              <w:lang w:eastAsia="en-AU"/>
            </w:rPr>
          </w:pPr>
          <w:hyperlink w:anchor="_Toc200110459" w:history="1">
            <w:r w:rsidRPr="00246BDD">
              <w:rPr>
                <w:rStyle w:val="Hyperlink"/>
                <w:noProof/>
              </w:rPr>
              <w:t>Infrastructure and Transport Ministers Meeting</w:t>
            </w:r>
            <w:r>
              <w:rPr>
                <w:noProof/>
                <w:webHidden/>
              </w:rPr>
              <w:tab/>
            </w:r>
            <w:r>
              <w:rPr>
                <w:noProof/>
                <w:webHidden/>
              </w:rPr>
              <w:fldChar w:fldCharType="begin"/>
            </w:r>
            <w:r>
              <w:rPr>
                <w:noProof/>
                <w:webHidden/>
              </w:rPr>
              <w:instrText xml:space="preserve"> PAGEREF _Toc200110459 \h </w:instrText>
            </w:r>
            <w:r>
              <w:rPr>
                <w:noProof/>
                <w:webHidden/>
              </w:rPr>
            </w:r>
            <w:r>
              <w:rPr>
                <w:noProof/>
                <w:webHidden/>
              </w:rPr>
              <w:fldChar w:fldCharType="separate"/>
            </w:r>
            <w:r>
              <w:rPr>
                <w:noProof/>
                <w:webHidden/>
              </w:rPr>
              <w:t>9</w:t>
            </w:r>
            <w:r>
              <w:rPr>
                <w:noProof/>
                <w:webHidden/>
              </w:rPr>
              <w:fldChar w:fldCharType="end"/>
            </w:r>
          </w:hyperlink>
        </w:p>
        <w:p w14:paraId="70BB2CC1" w14:textId="70B3FEDD" w:rsidR="001E7EB9" w:rsidRDefault="001E7EB9">
          <w:pPr>
            <w:pStyle w:val="TOC3"/>
            <w:tabs>
              <w:tab w:val="right" w:leader="dot" w:pos="9968"/>
            </w:tabs>
            <w:rPr>
              <w:noProof/>
              <w:szCs w:val="22"/>
              <w:lang w:eastAsia="en-AU"/>
            </w:rPr>
          </w:pPr>
          <w:hyperlink w:anchor="_Toc200110460" w:history="1">
            <w:r w:rsidRPr="00246BDD">
              <w:rPr>
                <w:rStyle w:val="Hyperlink"/>
                <w:noProof/>
              </w:rPr>
              <w:t>Reforms for the Disability Standards for Accessible Public Transport 2002</w:t>
            </w:r>
            <w:r>
              <w:rPr>
                <w:noProof/>
                <w:webHidden/>
              </w:rPr>
              <w:tab/>
            </w:r>
            <w:r>
              <w:rPr>
                <w:noProof/>
                <w:webHidden/>
              </w:rPr>
              <w:fldChar w:fldCharType="begin"/>
            </w:r>
            <w:r>
              <w:rPr>
                <w:noProof/>
                <w:webHidden/>
              </w:rPr>
              <w:instrText xml:space="preserve"> PAGEREF _Toc200110460 \h </w:instrText>
            </w:r>
            <w:r>
              <w:rPr>
                <w:noProof/>
                <w:webHidden/>
              </w:rPr>
            </w:r>
            <w:r>
              <w:rPr>
                <w:noProof/>
                <w:webHidden/>
              </w:rPr>
              <w:fldChar w:fldCharType="separate"/>
            </w:r>
            <w:r>
              <w:rPr>
                <w:noProof/>
                <w:webHidden/>
              </w:rPr>
              <w:t>9</w:t>
            </w:r>
            <w:r>
              <w:rPr>
                <w:noProof/>
                <w:webHidden/>
              </w:rPr>
              <w:fldChar w:fldCharType="end"/>
            </w:r>
          </w:hyperlink>
        </w:p>
        <w:p w14:paraId="57B0E312" w14:textId="1E68D9C4" w:rsidR="001E7EB9" w:rsidRDefault="001E7EB9">
          <w:pPr>
            <w:pStyle w:val="TOC2"/>
            <w:tabs>
              <w:tab w:val="right" w:leader="dot" w:pos="9968"/>
            </w:tabs>
            <w:rPr>
              <w:noProof/>
              <w:szCs w:val="22"/>
              <w:lang w:eastAsia="en-AU"/>
            </w:rPr>
          </w:pPr>
          <w:hyperlink w:anchor="_Toc200110461" w:history="1">
            <w:r w:rsidRPr="00246BDD">
              <w:rPr>
                <w:rStyle w:val="Hyperlink"/>
                <w:noProof/>
              </w:rPr>
              <w:t>National Transport Commission</w:t>
            </w:r>
            <w:r>
              <w:rPr>
                <w:noProof/>
                <w:webHidden/>
              </w:rPr>
              <w:tab/>
            </w:r>
            <w:r>
              <w:rPr>
                <w:noProof/>
                <w:webHidden/>
              </w:rPr>
              <w:fldChar w:fldCharType="begin"/>
            </w:r>
            <w:r>
              <w:rPr>
                <w:noProof/>
                <w:webHidden/>
              </w:rPr>
              <w:instrText xml:space="preserve"> PAGEREF _Toc200110461 \h </w:instrText>
            </w:r>
            <w:r>
              <w:rPr>
                <w:noProof/>
                <w:webHidden/>
              </w:rPr>
            </w:r>
            <w:r>
              <w:rPr>
                <w:noProof/>
                <w:webHidden/>
              </w:rPr>
              <w:fldChar w:fldCharType="separate"/>
            </w:r>
            <w:r>
              <w:rPr>
                <w:noProof/>
                <w:webHidden/>
              </w:rPr>
              <w:t>9</w:t>
            </w:r>
            <w:r>
              <w:rPr>
                <w:noProof/>
                <w:webHidden/>
              </w:rPr>
              <w:fldChar w:fldCharType="end"/>
            </w:r>
          </w:hyperlink>
        </w:p>
        <w:p w14:paraId="3804063A" w14:textId="16D79AE4" w:rsidR="001E7EB9" w:rsidRDefault="001E7EB9">
          <w:pPr>
            <w:pStyle w:val="TOC3"/>
            <w:tabs>
              <w:tab w:val="right" w:leader="dot" w:pos="9968"/>
            </w:tabs>
            <w:rPr>
              <w:noProof/>
              <w:szCs w:val="22"/>
              <w:lang w:eastAsia="en-AU"/>
            </w:rPr>
          </w:pPr>
          <w:hyperlink w:anchor="_Toc200110462" w:history="1">
            <w:r w:rsidRPr="00246BDD">
              <w:rPr>
                <w:rStyle w:val="Hyperlink"/>
                <w:noProof/>
              </w:rPr>
              <w:t>Developing Technology Neutral Road Rules for Driver Distraction</w:t>
            </w:r>
            <w:r>
              <w:rPr>
                <w:noProof/>
                <w:webHidden/>
              </w:rPr>
              <w:tab/>
            </w:r>
            <w:r>
              <w:rPr>
                <w:noProof/>
                <w:webHidden/>
              </w:rPr>
              <w:fldChar w:fldCharType="begin"/>
            </w:r>
            <w:r>
              <w:rPr>
                <w:noProof/>
                <w:webHidden/>
              </w:rPr>
              <w:instrText xml:space="preserve"> PAGEREF _Toc200110462 \h </w:instrText>
            </w:r>
            <w:r>
              <w:rPr>
                <w:noProof/>
                <w:webHidden/>
              </w:rPr>
            </w:r>
            <w:r>
              <w:rPr>
                <w:noProof/>
                <w:webHidden/>
              </w:rPr>
              <w:fldChar w:fldCharType="separate"/>
            </w:r>
            <w:r>
              <w:rPr>
                <w:noProof/>
                <w:webHidden/>
              </w:rPr>
              <w:t>9</w:t>
            </w:r>
            <w:r>
              <w:rPr>
                <w:noProof/>
                <w:webHidden/>
              </w:rPr>
              <w:fldChar w:fldCharType="end"/>
            </w:r>
          </w:hyperlink>
        </w:p>
        <w:p w14:paraId="0D6FAD00" w14:textId="7D59C918" w:rsidR="001E7EB9" w:rsidRDefault="001E7EB9">
          <w:pPr>
            <w:pStyle w:val="TOC3"/>
            <w:tabs>
              <w:tab w:val="right" w:leader="dot" w:pos="9968"/>
            </w:tabs>
            <w:rPr>
              <w:noProof/>
              <w:szCs w:val="22"/>
              <w:lang w:eastAsia="en-AU"/>
            </w:rPr>
          </w:pPr>
          <w:hyperlink w:anchor="_Toc200110463" w:history="1">
            <w:r w:rsidRPr="00246BDD">
              <w:rPr>
                <w:rStyle w:val="Hyperlink"/>
                <w:noProof/>
              </w:rPr>
              <w:t>Barriers to the safe use of innovative vehicles and motorised mobility devices</w:t>
            </w:r>
            <w:r>
              <w:rPr>
                <w:noProof/>
                <w:webHidden/>
              </w:rPr>
              <w:tab/>
            </w:r>
            <w:r>
              <w:rPr>
                <w:noProof/>
                <w:webHidden/>
              </w:rPr>
              <w:fldChar w:fldCharType="begin"/>
            </w:r>
            <w:r>
              <w:rPr>
                <w:noProof/>
                <w:webHidden/>
              </w:rPr>
              <w:instrText xml:space="preserve"> PAGEREF _Toc200110463 \h </w:instrText>
            </w:r>
            <w:r>
              <w:rPr>
                <w:noProof/>
                <w:webHidden/>
              </w:rPr>
            </w:r>
            <w:r>
              <w:rPr>
                <w:noProof/>
                <w:webHidden/>
              </w:rPr>
              <w:fldChar w:fldCharType="separate"/>
            </w:r>
            <w:r>
              <w:rPr>
                <w:noProof/>
                <w:webHidden/>
              </w:rPr>
              <w:t>9</w:t>
            </w:r>
            <w:r>
              <w:rPr>
                <w:noProof/>
                <w:webHidden/>
              </w:rPr>
              <w:fldChar w:fldCharType="end"/>
            </w:r>
          </w:hyperlink>
        </w:p>
        <w:p w14:paraId="104C88E2" w14:textId="08EF5F62" w:rsidR="001E7EB9" w:rsidRDefault="001E7EB9">
          <w:pPr>
            <w:pStyle w:val="TOC3"/>
            <w:tabs>
              <w:tab w:val="right" w:leader="dot" w:pos="9968"/>
            </w:tabs>
            <w:rPr>
              <w:noProof/>
              <w:szCs w:val="22"/>
              <w:lang w:eastAsia="en-AU"/>
            </w:rPr>
          </w:pPr>
          <w:hyperlink w:anchor="_Toc200110464" w:history="1">
            <w:r w:rsidRPr="00246BDD">
              <w:rPr>
                <w:rStyle w:val="Hyperlink"/>
                <w:rFonts w:eastAsia="Times New Roman"/>
                <w:noProof/>
                <w:lang w:eastAsia="en-AU"/>
              </w:rPr>
              <w:t>The regulatory framework for automated vehicles in Australia</w:t>
            </w:r>
            <w:r>
              <w:rPr>
                <w:noProof/>
                <w:webHidden/>
              </w:rPr>
              <w:tab/>
            </w:r>
            <w:r>
              <w:rPr>
                <w:noProof/>
                <w:webHidden/>
              </w:rPr>
              <w:fldChar w:fldCharType="begin"/>
            </w:r>
            <w:r>
              <w:rPr>
                <w:noProof/>
                <w:webHidden/>
              </w:rPr>
              <w:instrText xml:space="preserve"> PAGEREF _Toc200110464 \h </w:instrText>
            </w:r>
            <w:r>
              <w:rPr>
                <w:noProof/>
                <w:webHidden/>
              </w:rPr>
            </w:r>
            <w:r>
              <w:rPr>
                <w:noProof/>
                <w:webHidden/>
              </w:rPr>
              <w:fldChar w:fldCharType="separate"/>
            </w:r>
            <w:r>
              <w:rPr>
                <w:noProof/>
                <w:webHidden/>
              </w:rPr>
              <w:t>10</w:t>
            </w:r>
            <w:r>
              <w:rPr>
                <w:noProof/>
                <w:webHidden/>
              </w:rPr>
              <w:fldChar w:fldCharType="end"/>
            </w:r>
          </w:hyperlink>
        </w:p>
        <w:p w14:paraId="632BFC33" w14:textId="5F93A382" w:rsidR="001E7EB9" w:rsidRDefault="001E7EB9">
          <w:pPr>
            <w:pStyle w:val="TOC1"/>
            <w:tabs>
              <w:tab w:val="right" w:leader="dot" w:pos="9968"/>
            </w:tabs>
            <w:rPr>
              <w:noProof/>
              <w:szCs w:val="22"/>
              <w:lang w:eastAsia="en-AU"/>
            </w:rPr>
          </w:pPr>
          <w:hyperlink w:anchor="_Toc200110465" w:history="1">
            <w:r w:rsidRPr="00246BDD">
              <w:rPr>
                <w:rStyle w:val="Hyperlink"/>
                <w:noProof/>
              </w:rPr>
              <w:t>Appendix A - RISs prepared for consultation in 2021-22</w:t>
            </w:r>
            <w:r>
              <w:rPr>
                <w:noProof/>
                <w:webHidden/>
              </w:rPr>
              <w:tab/>
            </w:r>
            <w:r>
              <w:rPr>
                <w:noProof/>
                <w:webHidden/>
              </w:rPr>
              <w:fldChar w:fldCharType="begin"/>
            </w:r>
            <w:r>
              <w:rPr>
                <w:noProof/>
                <w:webHidden/>
              </w:rPr>
              <w:instrText xml:space="preserve"> PAGEREF _Toc200110465 \h </w:instrText>
            </w:r>
            <w:r>
              <w:rPr>
                <w:noProof/>
                <w:webHidden/>
              </w:rPr>
            </w:r>
            <w:r>
              <w:rPr>
                <w:noProof/>
                <w:webHidden/>
              </w:rPr>
              <w:fldChar w:fldCharType="separate"/>
            </w:r>
            <w:r>
              <w:rPr>
                <w:noProof/>
                <w:webHidden/>
              </w:rPr>
              <w:t>10</w:t>
            </w:r>
            <w:r>
              <w:rPr>
                <w:noProof/>
                <w:webHidden/>
              </w:rPr>
              <w:fldChar w:fldCharType="end"/>
            </w:r>
          </w:hyperlink>
        </w:p>
        <w:p w14:paraId="29770FEA" w14:textId="513027A1" w:rsidR="001E7EB9" w:rsidRDefault="001E7EB9">
          <w:pPr>
            <w:pStyle w:val="TOC2"/>
            <w:tabs>
              <w:tab w:val="right" w:leader="dot" w:pos="9968"/>
            </w:tabs>
            <w:rPr>
              <w:noProof/>
              <w:szCs w:val="22"/>
              <w:lang w:eastAsia="en-AU"/>
            </w:rPr>
          </w:pPr>
          <w:hyperlink w:anchor="_Toc200110466" w:history="1">
            <w:r w:rsidRPr="00246BDD">
              <w:rPr>
                <w:rStyle w:val="Hyperlink"/>
                <w:noProof/>
              </w:rPr>
              <w:t>Decision-making body: Australian Building Codes Board</w:t>
            </w:r>
            <w:r>
              <w:rPr>
                <w:noProof/>
                <w:webHidden/>
              </w:rPr>
              <w:tab/>
            </w:r>
            <w:r>
              <w:rPr>
                <w:noProof/>
                <w:webHidden/>
              </w:rPr>
              <w:fldChar w:fldCharType="begin"/>
            </w:r>
            <w:r>
              <w:rPr>
                <w:noProof/>
                <w:webHidden/>
              </w:rPr>
              <w:instrText xml:space="preserve"> PAGEREF _Toc200110466 \h </w:instrText>
            </w:r>
            <w:r>
              <w:rPr>
                <w:noProof/>
                <w:webHidden/>
              </w:rPr>
            </w:r>
            <w:r>
              <w:rPr>
                <w:noProof/>
                <w:webHidden/>
              </w:rPr>
              <w:fldChar w:fldCharType="separate"/>
            </w:r>
            <w:r>
              <w:rPr>
                <w:noProof/>
                <w:webHidden/>
              </w:rPr>
              <w:t>10</w:t>
            </w:r>
            <w:r>
              <w:rPr>
                <w:noProof/>
                <w:webHidden/>
              </w:rPr>
              <w:fldChar w:fldCharType="end"/>
            </w:r>
          </w:hyperlink>
        </w:p>
        <w:p w14:paraId="57AA4040" w14:textId="3D4DB16F" w:rsidR="001E7EB9" w:rsidRDefault="001E7EB9">
          <w:pPr>
            <w:pStyle w:val="TOC3"/>
            <w:tabs>
              <w:tab w:val="right" w:leader="dot" w:pos="9968"/>
            </w:tabs>
            <w:rPr>
              <w:noProof/>
              <w:szCs w:val="22"/>
              <w:lang w:eastAsia="en-AU"/>
            </w:rPr>
          </w:pPr>
          <w:hyperlink w:anchor="_Toc200110467" w:history="1">
            <w:r w:rsidRPr="00246BDD">
              <w:rPr>
                <w:rStyle w:val="Hyperlink"/>
                <w:noProof/>
              </w:rPr>
              <w:t>National Construction Code 2022 – Residential Energy Efficiency</w:t>
            </w:r>
            <w:r>
              <w:rPr>
                <w:noProof/>
                <w:webHidden/>
              </w:rPr>
              <w:tab/>
            </w:r>
            <w:r>
              <w:rPr>
                <w:noProof/>
                <w:webHidden/>
              </w:rPr>
              <w:fldChar w:fldCharType="begin"/>
            </w:r>
            <w:r>
              <w:rPr>
                <w:noProof/>
                <w:webHidden/>
              </w:rPr>
              <w:instrText xml:space="preserve"> PAGEREF _Toc200110467 \h </w:instrText>
            </w:r>
            <w:r>
              <w:rPr>
                <w:noProof/>
                <w:webHidden/>
              </w:rPr>
            </w:r>
            <w:r>
              <w:rPr>
                <w:noProof/>
                <w:webHidden/>
              </w:rPr>
              <w:fldChar w:fldCharType="separate"/>
            </w:r>
            <w:r>
              <w:rPr>
                <w:noProof/>
                <w:webHidden/>
              </w:rPr>
              <w:t>10</w:t>
            </w:r>
            <w:r>
              <w:rPr>
                <w:noProof/>
                <w:webHidden/>
              </w:rPr>
              <w:fldChar w:fldCharType="end"/>
            </w:r>
          </w:hyperlink>
        </w:p>
        <w:p w14:paraId="396FB297" w14:textId="4072CD37" w:rsidR="001E7EB9" w:rsidRDefault="001E7EB9">
          <w:pPr>
            <w:pStyle w:val="TOC2"/>
            <w:tabs>
              <w:tab w:val="right" w:leader="dot" w:pos="9968"/>
            </w:tabs>
            <w:rPr>
              <w:noProof/>
              <w:szCs w:val="22"/>
              <w:lang w:eastAsia="en-AU"/>
            </w:rPr>
          </w:pPr>
          <w:hyperlink w:anchor="_Toc200110468" w:history="1">
            <w:r w:rsidRPr="00246BDD">
              <w:rPr>
                <w:rStyle w:val="Hyperlink"/>
                <w:noProof/>
              </w:rPr>
              <w:t>Decision-making body: Australian Energy Market Commission</w:t>
            </w:r>
            <w:r>
              <w:rPr>
                <w:noProof/>
                <w:webHidden/>
              </w:rPr>
              <w:tab/>
            </w:r>
            <w:r>
              <w:rPr>
                <w:noProof/>
                <w:webHidden/>
              </w:rPr>
              <w:fldChar w:fldCharType="begin"/>
            </w:r>
            <w:r>
              <w:rPr>
                <w:noProof/>
                <w:webHidden/>
              </w:rPr>
              <w:instrText xml:space="preserve"> PAGEREF _Toc200110468 \h </w:instrText>
            </w:r>
            <w:r>
              <w:rPr>
                <w:noProof/>
                <w:webHidden/>
              </w:rPr>
            </w:r>
            <w:r>
              <w:rPr>
                <w:noProof/>
                <w:webHidden/>
              </w:rPr>
              <w:fldChar w:fldCharType="separate"/>
            </w:r>
            <w:r>
              <w:rPr>
                <w:noProof/>
                <w:webHidden/>
              </w:rPr>
              <w:t>11</w:t>
            </w:r>
            <w:r>
              <w:rPr>
                <w:noProof/>
                <w:webHidden/>
              </w:rPr>
              <w:fldChar w:fldCharType="end"/>
            </w:r>
          </w:hyperlink>
        </w:p>
        <w:p w14:paraId="0D230E72" w14:textId="74C35E22" w:rsidR="001E7EB9" w:rsidRDefault="001E7EB9">
          <w:pPr>
            <w:pStyle w:val="TOC3"/>
            <w:tabs>
              <w:tab w:val="right" w:leader="dot" w:pos="9968"/>
            </w:tabs>
            <w:rPr>
              <w:noProof/>
              <w:szCs w:val="22"/>
              <w:lang w:eastAsia="en-AU"/>
            </w:rPr>
          </w:pPr>
          <w:hyperlink w:anchor="_Toc200110469" w:history="1">
            <w:r w:rsidRPr="00246BDD">
              <w:rPr>
                <w:rStyle w:val="Hyperlink"/>
                <w:noProof/>
              </w:rPr>
              <w:t>Integrating Energy Storage Systems into the National Electricity Market</w:t>
            </w:r>
            <w:r>
              <w:rPr>
                <w:noProof/>
                <w:webHidden/>
              </w:rPr>
              <w:tab/>
            </w:r>
            <w:r>
              <w:rPr>
                <w:noProof/>
                <w:webHidden/>
              </w:rPr>
              <w:fldChar w:fldCharType="begin"/>
            </w:r>
            <w:r>
              <w:rPr>
                <w:noProof/>
                <w:webHidden/>
              </w:rPr>
              <w:instrText xml:space="preserve"> PAGEREF _Toc200110469 \h </w:instrText>
            </w:r>
            <w:r>
              <w:rPr>
                <w:noProof/>
                <w:webHidden/>
              </w:rPr>
            </w:r>
            <w:r>
              <w:rPr>
                <w:noProof/>
                <w:webHidden/>
              </w:rPr>
              <w:fldChar w:fldCharType="separate"/>
            </w:r>
            <w:r>
              <w:rPr>
                <w:noProof/>
                <w:webHidden/>
              </w:rPr>
              <w:t>11</w:t>
            </w:r>
            <w:r>
              <w:rPr>
                <w:noProof/>
                <w:webHidden/>
              </w:rPr>
              <w:fldChar w:fldCharType="end"/>
            </w:r>
          </w:hyperlink>
        </w:p>
        <w:p w14:paraId="14EDD8C0" w14:textId="41998B7D" w:rsidR="001E7EB9" w:rsidRDefault="001E7EB9">
          <w:pPr>
            <w:pStyle w:val="TOC3"/>
            <w:tabs>
              <w:tab w:val="right" w:leader="dot" w:pos="9968"/>
            </w:tabs>
            <w:rPr>
              <w:noProof/>
              <w:szCs w:val="22"/>
              <w:lang w:eastAsia="en-AU"/>
            </w:rPr>
          </w:pPr>
          <w:hyperlink w:anchor="_Toc200110470" w:history="1">
            <w:r w:rsidRPr="00246BDD">
              <w:rPr>
                <w:rStyle w:val="Hyperlink"/>
                <w:noProof/>
              </w:rPr>
              <w:t>Primary Frequency Response Incentive Arrangements</w:t>
            </w:r>
            <w:r>
              <w:rPr>
                <w:noProof/>
                <w:webHidden/>
              </w:rPr>
              <w:tab/>
            </w:r>
            <w:r>
              <w:rPr>
                <w:noProof/>
                <w:webHidden/>
              </w:rPr>
              <w:fldChar w:fldCharType="begin"/>
            </w:r>
            <w:r>
              <w:rPr>
                <w:noProof/>
                <w:webHidden/>
              </w:rPr>
              <w:instrText xml:space="preserve"> PAGEREF _Toc200110470 \h </w:instrText>
            </w:r>
            <w:r>
              <w:rPr>
                <w:noProof/>
                <w:webHidden/>
              </w:rPr>
            </w:r>
            <w:r>
              <w:rPr>
                <w:noProof/>
                <w:webHidden/>
              </w:rPr>
              <w:fldChar w:fldCharType="separate"/>
            </w:r>
            <w:r>
              <w:rPr>
                <w:noProof/>
                <w:webHidden/>
              </w:rPr>
              <w:t>11</w:t>
            </w:r>
            <w:r>
              <w:rPr>
                <w:noProof/>
                <w:webHidden/>
              </w:rPr>
              <w:fldChar w:fldCharType="end"/>
            </w:r>
          </w:hyperlink>
        </w:p>
        <w:p w14:paraId="03A0ED1C" w14:textId="4DDD8CDB" w:rsidR="001E7EB9" w:rsidRDefault="001E7EB9">
          <w:pPr>
            <w:pStyle w:val="TOC3"/>
            <w:tabs>
              <w:tab w:val="right" w:leader="dot" w:pos="9968"/>
            </w:tabs>
            <w:rPr>
              <w:noProof/>
              <w:szCs w:val="22"/>
              <w:lang w:eastAsia="en-AU"/>
            </w:rPr>
          </w:pPr>
          <w:hyperlink w:anchor="_Toc200110471" w:history="1">
            <w:r w:rsidRPr="00246BDD">
              <w:rPr>
                <w:rStyle w:val="Hyperlink"/>
                <w:noProof/>
              </w:rPr>
              <w:t>Enhancing operational resilience in relation to indistinct events</w:t>
            </w:r>
            <w:r>
              <w:rPr>
                <w:noProof/>
                <w:webHidden/>
              </w:rPr>
              <w:tab/>
            </w:r>
            <w:r>
              <w:rPr>
                <w:noProof/>
                <w:webHidden/>
              </w:rPr>
              <w:fldChar w:fldCharType="begin"/>
            </w:r>
            <w:r>
              <w:rPr>
                <w:noProof/>
                <w:webHidden/>
              </w:rPr>
              <w:instrText xml:space="preserve"> PAGEREF _Toc200110471 \h </w:instrText>
            </w:r>
            <w:r>
              <w:rPr>
                <w:noProof/>
                <w:webHidden/>
              </w:rPr>
            </w:r>
            <w:r>
              <w:rPr>
                <w:noProof/>
                <w:webHidden/>
              </w:rPr>
              <w:fldChar w:fldCharType="separate"/>
            </w:r>
            <w:r>
              <w:rPr>
                <w:noProof/>
                <w:webHidden/>
              </w:rPr>
              <w:t>11</w:t>
            </w:r>
            <w:r>
              <w:rPr>
                <w:noProof/>
                <w:webHidden/>
              </w:rPr>
              <w:fldChar w:fldCharType="end"/>
            </w:r>
          </w:hyperlink>
        </w:p>
        <w:p w14:paraId="4FB4F6DB" w14:textId="49717E5D" w:rsidR="001E7EB9" w:rsidRDefault="001E7EB9">
          <w:pPr>
            <w:pStyle w:val="TOC3"/>
            <w:tabs>
              <w:tab w:val="right" w:leader="dot" w:pos="9968"/>
            </w:tabs>
            <w:rPr>
              <w:noProof/>
              <w:szCs w:val="22"/>
              <w:lang w:eastAsia="en-AU"/>
            </w:rPr>
          </w:pPr>
          <w:hyperlink w:anchor="_Toc200110472" w:history="1">
            <w:r w:rsidRPr="00246BDD">
              <w:rPr>
                <w:rStyle w:val="Hyperlink"/>
                <w:noProof/>
              </w:rPr>
              <w:t>DWGM Distribution Connected Facilities, draft rule determination</w:t>
            </w:r>
            <w:r>
              <w:rPr>
                <w:noProof/>
                <w:webHidden/>
              </w:rPr>
              <w:tab/>
            </w:r>
            <w:r>
              <w:rPr>
                <w:noProof/>
                <w:webHidden/>
              </w:rPr>
              <w:fldChar w:fldCharType="begin"/>
            </w:r>
            <w:r>
              <w:rPr>
                <w:noProof/>
                <w:webHidden/>
              </w:rPr>
              <w:instrText xml:space="preserve"> PAGEREF _Toc200110472 \h </w:instrText>
            </w:r>
            <w:r>
              <w:rPr>
                <w:noProof/>
                <w:webHidden/>
              </w:rPr>
            </w:r>
            <w:r>
              <w:rPr>
                <w:noProof/>
                <w:webHidden/>
              </w:rPr>
              <w:fldChar w:fldCharType="separate"/>
            </w:r>
            <w:r>
              <w:rPr>
                <w:noProof/>
                <w:webHidden/>
              </w:rPr>
              <w:t>11</w:t>
            </w:r>
            <w:r>
              <w:rPr>
                <w:noProof/>
                <w:webHidden/>
              </w:rPr>
              <w:fldChar w:fldCharType="end"/>
            </w:r>
          </w:hyperlink>
        </w:p>
        <w:p w14:paraId="6C6F056D" w14:textId="155C0C40" w:rsidR="001E7EB9" w:rsidRDefault="001E7EB9">
          <w:pPr>
            <w:pStyle w:val="TOC3"/>
            <w:tabs>
              <w:tab w:val="right" w:leader="dot" w:pos="9968"/>
            </w:tabs>
            <w:rPr>
              <w:noProof/>
              <w:szCs w:val="22"/>
              <w:lang w:eastAsia="en-AU"/>
            </w:rPr>
          </w:pPr>
          <w:hyperlink w:anchor="_Toc200110473" w:history="1">
            <w:r w:rsidRPr="00246BDD">
              <w:rPr>
                <w:rStyle w:val="Hyperlink"/>
                <w:rFonts w:eastAsia="Times New Roman"/>
                <w:noProof/>
                <w:lang w:eastAsia="en-AU"/>
              </w:rPr>
              <w:t>AEMC – Enhancing Information on Generator Availability in MT PASA</w:t>
            </w:r>
            <w:r>
              <w:rPr>
                <w:noProof/>
                <w:webHidden/>
              </w:rPr>
              <w:tab/>
            </w:r>
            <w:r>
              <w:rPr>
                <w:noProof/>
                <w:webHidden/>
              </w:rPr>
              <w:fldChar w:fldCharType="begin"/>
            </w:r>
            <w:r>
              <w:rPr>
                <w:noProof/>
                <w:webHidden/>
              </w:rPr>
              <w:instrText xml:space="preserve"> PAGEREF _Toc200110473 \h </w:instrText>
            </w:r>
            <w:r>
              <w:rPr>
                <w:noProof/>
                <w:webHidden/>
              </w:rPr>
            </w:r>
            <w:r>
              <w:rPr>
                <w:noProof/>
                <w:webHidden/>
              </w:rPr>
              <w:fldChar w:fldCharType="separate"/>
            </w:r>
            <w:r>
              <w:rPr>
                <w:noProof/>
                <w:webHidden/>
              </w:rPr>
              <w:t>12</w:t>
            </w:r>
            <w:r>
              <w:rPr>
                <w:noProof/>
                <w:webHidden/>
              </w:rPr>
              <w:fldChar w:fldCharType="end"/>
            </w:r>
          </w:hyperlink>
        </w:p>
        <w:p w14:paraId="7A300694" w14:textId="5CC21A71" w:rsidR="001E7EB9" w:rsidRDefault="001E7EB9">
          <w:pPr>
            <w:pStyle w:val="TOC3"/>
            <w:tabs>
              <w:tab w:val="right" w:leader="dot" w:pos="9968"/>
            </w:tabs>
            <w:rPr>
              <w:noProof/>
              <w:szCs w:val="22"/>
              <w:lang w:eastAsia="en-AU"/>
            </w:rPr>
          </w:pPr>
          <w:hyperlink w:anchor="_Toc200110474" w:history="1">
            <w:r w:rsidRPr="00246BDD">
              <w:rPr>
                <w:rStyle w:val="Hyperlink"/>
                <w:noProof/>
                <w:shd w:val="clear" w:color="auto" w:fill="FFFFFF"/>
              </w:rPr>
              <w:t>Efficient reactive current access standards for inverter based resources ERC0272 (CRIS)</w:t>
            </w:r>
            <w:r>
              <w:rPr>
                <w:noProof/>
                <w:webHidden/>
              </w:rPr>
              <w:tab/>
            </w:r>
            <w:r>
              <w:rPr>
                <w:noProof/>
                <w:webHidden/>
              </w:rPr>
              <w:fldChar w:fldCharType="begin"/>
            </w:r>
            <w:r>
              <w:rPr>
                <w:noProof/>
                <w:webHidden/>
              </w:rPr>
              <w:instrText xml:space="preserve"> PAGEREF _Toc200110474 \h </w:instrText>
            </w:r>
            <w:r>
              <w:rPr>
                <w:noProof/>
                <w:webHidden/>
              </w:rPr>
            </w:r>
            <w:r>
              <w:rPr>
                <w:noProof/>
                <w:webHidden/>
              </w:rPr>
              <w:fldChar w:fldCharType="separate"/>
            </w:r>
            <w:r>
              <w:rPr>
                <w:noProof/>
                <w:webHidden/>
              </w:rPr>
              <w:t>12</w:t>
            </w:r>
            <w:r>
              <w:rPr>
                <w:noProof/>
                <w:webHidden/>
              </w:rPr>
              <w:fldChar w:fldCharType="end"/>
            </w:r>
          </w:hyperlink>
        </w:p>
        <w:p w14:paraId="1F794FD5" w14:textId="5FB747B7" w:rsidR="001E7EB9" w:rsidRDefault="001E7EB9">
          <w:pPr>
            <w:pStyle w:val="TOC2"/>
            <w:tabs>
              <w:tab w:val="right" w:leader="dot" w:pos="9968"/>
            </w:tabs>
            <w:rPr>
              <w:noProof/>
              <w:szCs w:val="22"/>
              <w:lang w:eastAsia="en-AU"/>
            </w:rPr>
          </w:pPr>
          <w:hyperlink w:anchor="_Toc200110475" w:history="1">
            <w:r w:rsidRPr="00246BDD">
              <w:rPr>
                <w:rStyle w:val="Hyperlink"/>
                <w:noProof/>
              </w:rPr>
              <w:t>Decision-making body: Food Standards Australia New Zealand</w:t>
            </w:r>
            <w:r>
              <w:rPr>
                <w:noProof/>
                <w:webHidden/>
              </w:rPr>
              <w:tab/>
            </w:r>
            <w:r>
              <w:rPr>
                <w:noProof/>
                <w:webHidden/>
              </w:rPr>
              <w:fldChar w:fldCharType="begin"/>
            </w:r>
            <w:r>
              <w:rPr>
                <w:noProof/>
                <w:webHidden/>
              </w:rPr>
              <w:instrText xml:space="preserve"> PAGEREF _Toc200110475 \h </w:instrText>
            </w:r>
            <w:r>
              <w:rPr>
                <w:noProof/>
                <w:webHidden/>
              </w:rPr>
            </w:r>
            <w:r>
              <w:rPr>
                <w:noProof/>
                <w:webHidden/>
              </w:rPr>
              <w:fldChar w:fldCharType="separate"/>
            </w:r>
            <w:r>
              <w:rPr>
                <w:noProof/>
                <w:webHidden/>
              </w:rPr>
              <w:t>12</w:t>
            </w:r>
            <w:r>
              <w:rPr>
                <w:noProof/>
                <w:webHidden/>
              </w:rPr>
              <w:fldChar w:fldCharType="end"/>
            </w:r>
          </w:hyperlink>
        </w:p>
        <w:p w14:paraId="0BF85FCB" w14:textId="1542FB7B" w:rsidR="001E7EB9" w:rsidRDefault="001E7EB9">
          <w:pPr>
            <w:pStyle w:val="TOC3"/>
            <w:tabs>
              <w:tab w:val="right" w:leader="dot" w:pos="9968"/>
            </w:tabs>
            <w:rPr>
              <w:noProof/>
              <w:szCs w:val="22"/>
              <w:lang w:eastAsia="en-AU"/>
            </w:rPr>
          </w:pPr>
          <w:hyperlink w:anchor="_Toc200110476" w:history="1">
            <w:r w:rsidRPr="00246BDD">
              <w:rPr>
                <w:rStyle w:val="Hyperlink"/>
                <w:noProof/>
              </w:rPr>
              <w:t>Primary Production and Processing Requirements for Horticulture (Berries, Leafy Vegetables and Melons)</w:t>
            </w:r>
            <w:r>
              <w:rPr>
                <w:noProof/>
                <w:webHidden/>
              </w:rPr>
              <w:tab/>
            </w:r>
            <w:r>
              <w:rPr>
                <w:noProof/>
                <w:webHidden/>
              </w:rPr>
              <w:fldChar w:fldCharType="begin"/>
            </w:r>
            <w:r>
              <w:rPr>
                <w:noProof/>
                <w:webHidden/>
              </w:rPr>
              <w:instrText xml:space="preserve"> PAGEREF _Toc200110476 \h </w:instrText>
            </w:r>
            <w:r>
              <w:rPr>
                <w:noProof/>
                <w:webHidden/>
              </w:rPr>
            </w:r>
            <w:r>
              <w:rPr>
                <w:noProof/>
                <w:webHidden/>
              </w:rPr>
              <w:fldChar w:fldCharType="separate"/>
            </w:r>
            <w:r>
              <w:rPr>
                <w:noProof/>
                <w:webHidden/>
              </w:rPr>
              <w:t>12</w:t>
            </w:r>
            <w:r>
              <w:rPr>
                <w:noProof/>
                <w:webHidden/>
              </w:rPr>
              <w:fldChar w:fldCharType="end"/>
            </w:r>
          </w:hyperlink>
        </w:p>
        <w:p w14:paraId="527FB82D" w14:textId="7DA9BEF3" w:rsidR="001E7EB9" w:rsidRDefault="001E7EB9">
          <w:pPr>
            <w:pStyle w:val="TOC2"/>
            <w:tabs>
              <w:tab w:val="right" w:leader="dot" w:pos="9968"/>
            </w:tabs>
            <w:rPr>
              <w:noProof/>
              <w:szCs w:val="22"/>
              <w:lang w:eastAsia="en-AU"/>
            </w:rPr>
          </w:pPr>
          <w:hyperlink w:anchor="_Toc200110477" w:history="1">
            <w:r w:rsidRPr="00246BDD">
              <w:rPr>
                <w:rStyle w:val="Hyperlink"/>
                <w:noProof/>
              </w:rPr>
              <w:t>Decision-making body: Health Minister’s Meeting</w:t>
            </w:r>
            <w:r>
              <w:rPr>
                <w:noProof/>
                <w:webHidden/>
              </w:rPr>
              <w:tab/>
            </w:r>
            <w:r>
              <w:rPr>
                <w:noProof/>
                <w:webHidden/>
              </w:rPr>
              <w:fldChar w:fldCharType="begin"/>
            </w:r>
            <w:r>
              <w:rPr>
                <w:noProof/>
                <w:webHidden/>
              </w:rPr>
              <w:instrText xml:space="preserve"> PAGEREF _Toc200110477 \h </w:instrText>
            </w:r>
            <w:r>
              <w:rPr>
                <w:noProof/>
                <w:webHidden/>
              </w:rPr>
            </w:r>
            <w:r>
              <w:rPr>
                <w:noProof/>
                <w:webHidden/>
              </w:rPr>
              <w:fldChar w:fldCharType="separate"/>
            </w:r>
            <w:r>
              <w:rPr>
                <w:noProof/>
                <w:webHidden/>
              </w:rPr>
              <w:t>13</w:t>
            </w:r>
            <w:r>
              <w:rPr>
                <w:noProof/>
                <w:webHidden/>
              </w:rPr>
              <w:fldChar w:fldCharType="end"/>
            </w:r>
          </w:hyperlink>
        </w:p>
        <w:p w14:paraId="08C9707D" w14:textId="3B235D79" w:rsidR="001E7EB9" w:rsidRDefault="001E7EB9">
          <w:pPr>
            <w:pStyle w:val="TOC3"/>
            <w:tabs>
              <w:tab w:val="right" w:leader="dot" w:pos="9968"/>
            </w:tabs>
            <w:rPr>
              <w:noProof/>
              <w:szCs w:val="22"/>
              <w:lang w:eastAsia="en-AU"/>
            </w:rPr>
          </w:pPr>
          <w:hyperlink w:anchor="_Toc200110478" w:history="1">
            <w:r w:rsidRPr="00246BDD">
              <w:rPr>
                <w:rStyle w:val="Hyperlink"/>
                <w:noProof/>
              </w:rPr>
              <w:t>Medical practitioners' use of the title surgeon under the National Law</w:t>
            </w:r>
            <w:r>
              <w:rPr>
                <w:noProof/>
                <w:webHidden/>
              </w:rPr>
              <w:tab/>
            </w:r>
            <w:r>
              <w:rPr>
                <w:noProof/>
                <w:webHidden/>
              </w:rPr>
              <w:fldChar w:fldCharType="begin"/>
            </w:r>
            <w:r>
              <w:rPr>
                <w:noProof/>
                <w:webHidden/>
              </w:rPr>
              <w:instrText xml:space="preserve"> PAGEREF _Toc200110478 \h </w:instrText>
            </w:r>
            <w:r>
              <w:rPr>
                <w:noProof/>
                <w:webHidden/>
              </w:rPr>
            </w:r>
            <w:r>
              <w:rPr>
                <w:noProof/>
                <w:webHidden/>
              </w:rPr>
              <w:fldChar w:fldCharType="separate"/>
            </w:r>
            <w:r>
              <w:rPr>
                <w:noProof/>
                <w:webHidden/>
              </w:rPr>
              <w:t>13</w:t>
            </w:r>
            <w:r>
              <w:rPr>
                <w:noProof/>
                <w:webHidden/>
              </w:rPr>
              <w:fldChar w:fldCharType="end"/>
            </w:r>
          </w:hyperlink>
        </w:p>
        <w:p w14:paraId="32ED3298" w14:textId="31003B29" w:rsidR="001E7EB9" w:rsidRDefault="001E7EB9">
          <w:pPr>
            <w:pStyle w:val="TOC2"/>
            <w:tabs>
              <w:tab w:val="right" w:leader="dot" w:pos="9968"/>
            </w:tabs>
            <w:rPr>
              <w:noProof/>
              <w:szCs w:val="22"/>
              <w:lang w:eastAsia="en-AU"/>
            </w:rPr>
          </w:pPr>
          <w:hyperlink w:anchor="_Toc200110479" w:history="1">
            <w:r w:rsidRPr="00246BDD">
              <w:rPr>
                <w:rStyle w:val="Hyperlink"/>
                <w:noProof/>
              </w:rPr>
              <w:t>Decision-making body: Consumer Affairs Ministers</w:t>
            </w:r>
            <w:r>
              <w:rPr>
                <w:noProof/>
                <w:webHidden/>
              </w:rPr>
              <w:tab/>
            </w:r>
            <w:r>
              <w:rPr>
                <w:noProof/>
                <w:webHidden/>
              </w:rPr>
              <w:fldChar w:fldCharType="begin"/>
            </w:r>
            <w:r>
              <w:rPr>
                <w:noProof/>
                <w:webHidden/>
              </w:rPr>
              <w:instrText xml:space="preserve"> PAGEREF _Toc200110479 \h </w:instrText>
            </w:r>
            <w:r>
              <w:rPr>
                <w:noProof/>
                <w:webHidden/>
              </w:rPr>
            </w:r>
            <w:r>
              <w:rPr>
                <w:noProof/>
                <w:webHidden/>
              </w:rPr>
              <w:fldChar w:fldCharType="separate"/>
            </w:r>
            <w:r>
              <w:rPr>
                <w:noProof/>
                <w:webHidden/>
              </w:rPr>
              <w:t>13</w:t>
            </w:r>
            <w:r>
              <w:rPr>
                <w:noProof/>
                <w:webHidden/>
              </w:rPr>
              <w:fldChar w:fldCharType="end"/>
            </w:r>
          </w:hyperlink>
        </w:p>
        <w:p w14:paraId="50BABA20" w14:textId="4CEA805E" w:rsidR="001E7EB9" w:rsidRDefault="001E7EB9">
          <w:pPr>
            <w:pStyle w:val="TOC3"/>
            <w:tabs>
              <w:tab w:val="right" w:leader="dot" w:pos="9968"/>
            </w:tabs>
            <w:rPr>
              <w:noProof/>
              <w:szCs w:val="22"/>
              <w:lang w:eastAsia="en-AU"/>
            </w:rPr>
          </w:pPr>
          <w:hyperlink w:anchor="_Toc200110480" w:history="1">
            <w:r w:rsidRPr="00246BDD">
              <w:rPr>
                <w:rStyle w:val="Hyperlink"/>
                <w:noProof/>
              </w:rPr>
              <w:t>Australian Consumer Law product safety changes</w:t>
            </w:r>
            <w:r>
              <w:rPr>
                <w:noProof/>
                <w:webHidden/>
              </w:rPr>
              <w:tab/>
            </w:r>
            <w:r>
              <w:rPr>
                <w:noProof/>
                <w:webHidden/>
              </w:rPr>
              <w:fldChar w:fldCharType="begin"/>
            </w:r>
            <w:r>
              <w:rPr>
                <w:noProof/>
                <w:webHidden/>
              </w:rPr>
              <w:instrText xml:space="preserve"> PAGEREF _Toc200110480 \h </w:instrText>
            </w:r>
            <w:r>
              <w:rPr>
                <w:noProof/>
                <w:webHidden/>
              </w:rPr>
            </w:r>
            <w:r>
              <w:rPr>
                <w:noProof/>
                <w:webHidden/>
              </w:rPr>
              <w:fldChar w:fldCharType="separate"/>
            </w:r>
            <w:r>
              <w:rPr>
                <w:noProof/>
                <w:webHidden/>
              </w:rPr>
              <w:t>13</w:t>
            </w:r>
            <w:r>
              <w:rPr>
                <w:noProof/>
                <w:webHidden/>
              </w:rPr>
              <w:fldChar w:fldCharType="end"/>
            </w:r>
          </w:hyperlink>
        </w:p>
        <w:p w14:paraId="26832D5A" w14:textId="78E1218B" w:rsidR="001E7EB9" w:rsidRDefault="001E7EB9">
          <w:pPr>
            <w:pStyle w:val="TOC3"/>
            <w:tabs>
              <w:tab w:val="right" w:leader="dot" w:pos="9968"/>
            </w:tabs>
            <w:rPr>
              <w:noProof/>
              <w:szCs w:val="22"/>
              <w:lang w:eastAsia="en-AU"/>
            </w:rPr>
          </w:pPr>
          <w:hyperlink w:anchor="_Toc200110481" w:history="1">
            <w:r w:rsidRPr="00246BDD">
              <w:rPr>
                <w:rStyle w:val="Hyperlink"/>
                <w:noProof/>
              </w:rPr>
              <w:t>Improving the effectiveness of the consumer guarantee and supplier indemnification provisions under the Australian Consumer Law</w:t>
            </w:r>
            <w:r>
              <w:rPr>
                <w:noProof/>
                <w:webHidden/>
              </w:rPr>
              <w:tab/>
            </w:r>
            <w:r>
              <w:rPr>
                <w:noProof/>
                <w:webHidden/>
              </w:rPr>
              <w:fldChar w:fldCharType="begin"/>
            </w:r>
            <w:r>
              <w:rPr>
                <w:noProof/>
                <w:webHidden/>
              </w:rPr>
              <w:instrText xml:space="preserve"> PAGEREF _Toc200110481 \h </w:instrText>
            </w:r>
            <w:r>
              <w:rPr>
                <w:noProof/>
                <w:webHidden/>
              </w:rPr>
            </w:r>
            <w:r>
              <w:rPr>
                <w:noProof/>
                <w:webHidden/>
              </w:rPr>
              <w:fldChar w:fldCharType="separate"/>
            </w:r>
            <w:r>
              <w:rPr>
                <w:noProof/>
                <w:webHidden/>
              </w:rPr>
              <w:t>13</w:t>
            </w:r>
            <w:r>
              <w:rPr>
                <w:noProof/>
                <w:webHidden/>
              </w:rPr>
              <w:fldChar w:fldCharType="end"/>
            </w:r>
          </w:hyperlink>
        </w:p>
        <w:p w14:paraId="116F935D" w14:textId="10BDCB85" w:rsidR="001E7EB9" w:rsidRDefault="001E7EB9">
          <w:pPr>
            <w:pStyle w:val="TOC2"/>
            <w:tabs>
              <w:tab w:val="right" w:leader="dot" w:pos="9968"/>
            </w:tabs>
            <w:rPr>
              <w:noProof/>
              <w:szCs w:val="22"/>
              <w:lang w:eastAsia="en-AU"/>
            </w:rPr>
          </w:pPr>
          <w:hyperlink w:anchor="_Toc200110482" w:history="1">
            <w:r w:rsidRPr="00246BDD">
              <w:rPr>
                <w:rStyle w:val="Hyperlink"/>
                <w:noProof/>
              </w:rPr>
              <w:t>Decision-making body: Australia and New Zealand Food Regulation Ministerial Council</w:t>
            </w:r>
            <w:r>
              <w:rPr>
                <w:noProof/>
                <w:webHidden/>
              </w:rPr>
              <w:tab/>
            </w:r>
            <w:r>
              <w:rPr>
                <w:noProof/>
                <w:webHidden/>
              </w:rPr>
              <w:fldChar w:fldCharType="begin"/>
            </w:r>
            <w:r>
              <w:rPr>
                <w:noProof/>
                <w:webHidden/>
              </w:rPr>
              <w:instrText xml:space="preserve"> PAGEREF _Toc200110482 \h </w:instrText>
            </w:r>
            <w:r>
              <w:rPr>
                <w:noProof/>
                <w:webHidden/>
              </w:rPr>
            </w:r>
            <w:r>
              <w:rPr>
                <w:noProof/>
                <w:webHidden/>
              </w:rPr>
              <w:fldChar w:fldCharType="separate"/>
            </w:r>
            <w:r>
              <w:rPr>
                <w:noProof/>
                <w:webHidden/>
              </w:rPr>
              <w:t>13</w:t>
            </w:r>
            <w:r>
              <w:rPr>
                <w:noProof/>
                <w:webHidden/>
              </w:rPr>
              <w:fldChar w:fldCharType="end"/>
            </w:r>
          </w:hyperlink>
        </w:p>
        <w:p w14:paraId="00751D12" w14:textId="3366702C" w:rsidR="001E7EB9" w:rsidRDefault="001E7EB9">
          <w:pPr>
            <w:pStyle w:val="TOC3"/>
            <w:tabs>
              <w:tab w:val="right" w:leader="dot" w:pos="9968"/>
            </w:tabs>
            <w:rPr>
              <w:noProof/>
              <w:szCs w:val="22"/>
              <w:lang w:eastAsia="en-AU"/>
            </w:rPr>
          </w:pPr>
          <w:hyperlink w:anchor="_Toc200110483" w:history="1">
            <w:r w:rsidRPr="00246BDD">
              <w:rPr>
                <w:rStyle w:val="Hyperlink"/>
                <w:noProof/>
              </w:rPr>
              <w:t>Proposal P1053 – Food Safety Management tools</w:t>
            </w:r>
            <w:r>
              <w:rPr>
                <w:noProof/>
                <w:webHidden/>
              </w:rPr>
              <w:tab/>
            </w:r>
            <w:r>
              <w:rPr>
                <w:noProof/>
                <w:webHidden/>
              </w:rPr>
              <w:fldChar w:fldCharType="begin"/>
            </w:r>
            <w:r>
              <w:rPr>
                <w:noProof/>
                <w:webHidden/>
              </w:rPr>
              <w:instrText xml:space="preserve"> PAGEREF _Toc200110483 \h </w:instrText>
            </w:r>
            <w:r>
              <w:rPr>
                <w:noProof/>
                <w:webHidden/>
              </w:rPr>
            </w:r>
            <w:r>
              <w:rPr>
                <w:noProof/>
                <w:webHidden/>
              </w:rPr>
              <w:fldChar w:fldCharType="separate"/>
            </w:r>
            <w:r>
              <w:rPr>
                <w:noProof/>
                <w:webHidden/>
              </w:rPr>
              <w:t>13</w:t>
            </w:r>
            <w:r>
              <w:rPr>
                <w:noProof/>
                <w:webHidden/>
              </w:rPr>
              <w:fldChar w:fldCharType="end"/>
            </w:r>
          </w:hyperlink>
        </w:p>
        <w:p w14:paraId="27E8FD8D" w14:textId="19EFE41F" w:rsidR="001E7EB9" w:rsidRDefault="001E7EB9">
          <w:pPr>
            <w:pStyle w:val="TOC2"/>
            <w:tabs>
              <w:tab w:val="right" w:leader="dot" w:pos="9968"/>
            </w:tabs>
            <w:rPr>
              <w:noProof/>
              <w:szCs w:val="22"/>
              <w:lang w:eastAsia="en-AU"/>
            </w:rPr>
          </w:pPr>
          <w:hyperlink w:anchor="_Toc200110484" w:history="1">
            <w:r w:rsidRPr="00246BDD">
              <w:rPr>
                <w:rStyle w:val="Hyperlink"/>
                <w:noProof/>
              </w:rPr>
              <w:t>Decision-making body: Department of Infrastructure, Transport, Regional Development and Communications</w:t>
            </w:r>
            <w:r>
              <w:rPr>
                <w:noProof/>
                <w:webHidden/>
              </w:rPr>
              <w:tab/>
            </w:r>
            <w:r>
              <w:rPr>
                <w:noProof/>
                <w:webHidden/>
              </w:rPr>
              <w:fldChar w:fldCharType="begin"/>
            </w:r>
            <w:r>
              <w:rPr>
                <w:noProof/>
                <w:webHidden/>
              </w:rPr>
              <w:instrText xml:space="preserve"> PAGEREF _Toc200110484 \h </w:instrText>
            </w:r>
            <w:r>
              <w:rPr>
                <w:noProof/>
                <w:webHidden/>
              </w:rPr>
            </w:r>
            <w:r>
              <w:rPr>
                <w:noProof/>
                <w:webHidden/>
              </w:rPr>
              <w:fldChar w:fldCharType="separate"/>
            </w:r>
            <w:r>
              <w:rPr>
                <w:noProof/>
                <w:webHidden/>
              </w:rPr>
              <w:t>14</w:t>
            </w:r>
            <w:r>
              <w:rPr>
                <w:noProof/>
                <w:webHidden/>
              </w:rPr>
              <w:fldChar w:fldCharType="end"/>
            </w:r>
          </w:hyperlink>
        </w:p>
        <w:p w14:paraId="3053E50A" w14:textId="4A62A7E8" w:rsidR="001E7EB9" w:rsidRDefault="001E7EB9">
          <w:pPr>
            <w:pStyle w:val="TOC3"/>
            <w:tabs>
              <w:tab w:val="right" w:leader="dot" w:pos="9968"/>
            </w:tabs>
            <w:rPr>
              <w:noProof/>
              <w:szCs w:val="22"/>
              <w:lang w:eastAsia="en-AU"/>
            </w:rPr>
          </w:pPr>
          <w:hyperlink w:anchor="_Toc200110485" w:history="1">
            <w:r w:rsidRPr="00246BDD">
              <w:rPr>
                <w:rStyle w:val="Hyperlink"/>
                <w:noProof/>
              </w:rPr>
              <w:t>Disability Standards for Accessible Public Transport 2002 (Transport Standards): Stage 2 Reforms</w:t>
            </w:r>
            <w:r>
              <w:rPr>
                <w:noProof/>
                <w:webHidden/>
              </w:rPr>
              <w:tab/>
            </w:r>
            <w:r>
              <w:rPr>
                <w:noProof/>
                <w:webHidden/>
              </w:rPr>
              <w:fldChar w:fldCharType="begin"/>
            </w:r>
            <w:r>
              <w:rPr>
                <w:noProof/>
                <w:webHidden/>
              </w:rPr>
              <w:instrText xml:space="preserve"> PAGEREF _Toc200110485 \h </w:instrText>
            </w:r>
            <w:r>
              <w:rPr>
                <w:noProof/>
                <w:webHidden/>
              </w:rPr>
            </w:r>
            <w:r>
              <w:rPr>
                <w:noProof/>
                <w:webHidden/>
              </w:rPr>
              <w:fldChar w:fldCharType="separate"/>
            </w:r>
            <w:r>
              <w:rPr>
                <w:noProof/>
                <w:webHidden/>
              </w:rPr>
              <w:t>14</w:t>
            </w:r>
            <w:r>
              <w:rPr>
                <w:noProof/>
                <w:webHidden/>
              </w:rPr>
              <w:fldChar w:fldCharType="end"/>
            </w:r>
          </w:hyperlink>
        </w:p>
        <w:p w14:paraId="76CB91D2" w14:textId="6F809817" w:rsidR="007A02EF" w:rsidRDefault="0EEE04EA" w:rsidP="01EB1DAD">
          <w:pPr>
            <w:pStyle w:val="TOC3"/>
            <w:tabs>
              <w:tab w:val="right" w:leader="dot" w:pos="9960"/>
            </w:tabs>
            <w:rPr>
              <w:noProof/>
              <w:lang w:eastAsia="en-AU"/>
            </w:rPr>
          </w:pPr>
          <w:r>
            <w:fldChar w:fldCharType="end"/>
          </w:r>
        </w:p>
      </w:sdtContent>
    </w:sdt>
    <w:p w14:paraId="75C89CB9" w14:textId="77777777" w:rsidR="00D10635" w:rsidRDefault="00D10635" w:rsidP="00E2753F">
      <w:pPr>
        <w:rPr>
          <w:b/>
          <w:bCs/>
          <w:noProof/>
        </w:rPr>
      </w:pPr>
    </w:p>
    <w:p w14:paraId="75C89CBA" w14:textId="77777777" w:rsidR="00117A77" w:rsidRPr="00D10635" w:rsidRDefault="00117A77" w:rsidP="00E2753F">
      <w:r>
        <w:rPr>
          <w:noProof/>
        </w:rPr>
        <w:br w:type="page"/>
      </w:r>
    </w:p>
    <w:p w14:paraId="75C89CBB" w14:textId="77777777" w:rsidR="00774646" w:rsidRDefault="009E2262" w:rsidP="00E92551">
      <w:pPr>
        <w:pStyle w:val="Heading1"/>
        <w:rPr>
          <w:noProof/>
        </w:rPr>
      </w:pPr>
      <w:bookmarkStart w:id="1" w:name="_Toc197597348"/>
      <w:bookmarkStart w:id="2" w:name="_Toc200110443"/>
      <w:r w:rsidRPr="0EEE04EA">
        <w:rPr>
          <w:noProof/>
        </w:rPr>
        <w:lastRenderedPageBreak/>
        <w:t>Compliance with the Commonwealth-State RIS requirements 2016-17 to 2021-22</w:t>
      </w:r>
      <w:bookmarkEnd w:id="1"/>
      <w:bookmarkEnd w:id="2"/>
    </w:p>
    <w:p w14:paraId="75C89CBC" w14:textId="77777777" w:rsidR="00D03322" w:rsidRPr="00774646" w:rsidRDefault="00FC3389" w:rsidP="00D03322">
      <w:pPr>
        <w:pStyle w:val="Figure"/>
        <w:ind w:left="567"/>
      </w:pPr>
      <w:r>
        <w:t>Compliance with the Commonwealth</w:t>
      </w:r>
      <w:r w:rsidR="00AF4ACA">
        <w:t>-</w:t>
      </w:r>
      <w:r>
        <w:t>State RIS requirements</w:t>
      </w:r>
    </w:p>
    <w:tbl>
      <w:tblPr>
        <w:tblStyle w:val="ListTable4-Accent1"/>
        <w:tblW w:w="4995"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620" w:firstRow="1" w:lastRow="0" w:firstColumn="0" w:lastColumn="0" w:noHBand="1" w:noVBand="1"/>
        <w:tblCaption w:val="Compliance with the Commonwealth-State RIS requirements 2016-17 to 2021-22"/>
        <w:tblDescription w:val="Compliance with the Commonwealth-State RIS requirements 2016-17 to 2021-22"/>
      </w:tblPr>
      <w:tblGrid>
        <w:gridCol w:w="1162"/>
        <w:gridCol w:w="880"/>
        <w:gridCol w:w="588"/>
        <w:gridCol w:w="1040"/>
        <w:gridCol w:w="582"/>
        <w:gridCol w:w="944"/>
        <w:gridCol w:w="520"/>
        <w:gridCol w:w="878"/>
        <w:gridCol w:w="438"/>
        <w:gridCol w:w="908"/>
        <w:gridCol w:w="560"/>
        <w:gridCol w:w="880"/>
        <w:gridCol w:w="578"/>
      </w:tblGrid>
      <w:tr w:rsidR="00CD5A98" w14:paraId="75C89CCA" w14:textId="77777777" w:rsidTr="00871890">
        <w:trPr>
          <w:cnfStyle w:val="100000000000" w:firstRow="1" w:lastRow="0" w:firstColumn="0" w:lastColumn="0" w:oddVBand="0" w:evenVBand="0" w:oddHBand="0" w:evenHBand="0" w:firstRowFirstColumn="0" w:firstRowLastColumn="0" w:lastRowFirstColumn="0" w:lastRowLastColumn="0"/>
          <w:trHeight w:val="20"/>
          <w:tblHeader/>
        </w:trPr>
        <w:tc>
          <w:tcPr>
            <w:tcW w:w="584" w:type="pct"/>
            <w:tcBorders>
              <w:top w:val="none" w:sz="0" w:space="0" w:color="auto"/>
              <w:left w:val="none" w:sz="0" w:space="0" w:color="auto"/>
              <w:bottom w:val="none" w:sz="0" w:space="0" w:color="auto"/>
            </w:tcBorders>
            <w:vAlign w:val="center"/>
          </w:tcPr>
          <w:p w14:paraId="75C89CBD" w14:textId="77777777" w:rsidR="00CD5A98" w:rsidRPr="006E170D" w:rsidRDefault="00CD5A98" w:rsidP="00CD5A98">
            <w:pPr>
              <w:pStyle w:val="TBLHeading"/>
              <w:jc w:val="center"/>
            </w:pPr>
            <w:r>
              <w:t>Stage</w:t>
            </w:r>
          </w:p>
        </w:tc>
        <w:tc>
          <w:tcPr>
            <w:tcW w:w="442" w:type="pct"/>
            <w:tcBorders>
              <w:top w:val="none" w:sz="0" w:space="0" w:color="auto"/>
              <w:bottom w:val="none" w:sz="0" w:space="0" w:color="auto"/>
            </w:tcBorders>
            <w:vAlign w:val="center"/>
          </w:tcPr>
          <w:p w14:paraId="75C89CBE" w14:textId="77777777" w:rsidR="00CD5A98" w:rsidRPr="006E170D" w:rsidRDefault="00CD5A98" w:rsidP="00CD5A98">
            <w:pPr>
              <w:pStyle w:val="TBLHeading"/>
              <w:jc w:val="center"/>
            </w:pPr>
            <w:r>
              <w:t>2016-17 Ratio</w:t>
            </w:r>
          </w:p>
        </w:tc>
        <w:tc>
          <w:tcPr>
            <w:tcW w:w="295" w:type="pct"/>
            <w:tcBorders>
              <w:top w:val="none" w:sz="0" w:space="0" w:color="auto"/>
              <w:bottom w:val="none" w:sz="0" w:space="0" w:color="auto"/>
            </w:tcBorders>
            <w:vAlign w:val="center"/>
          </w:tcPr>
          <w:p w14:paraId="75C89CBF" w14:textId="77777777" w:rsidR="00CD5A98" w:rsidRPr="006E170D" w:rsidRDefault="00CD5A98" w:rsidP="00CD5A98">
            <w:pPr>
              <w:pStyle w:val="TBLHeading"/>
              <w:jc w:val="center"/>
            </w:pPr>
            <w:r>
              <w:t>%</w:t>
            </w:r>
          </w:p>
        </w:tc>
        <w:tc>
          <w:tcPr>
            <w:tcW w:w="522" w:type="pct"/>
            <w:tcBorders>
              <w:top w:val="none" w:sz="0" w:space="0" w:color="auto"/>
              <w:bottom w:val="none" w:sz="0" w:space="0" w:color="auto"/>
            </w:tcBorders>
            <w:vAlign w:val="center"/>
          </w:tcPr>
          <w:p w14:paraId="75C89CC0" w14:textId="77777777" w:rsidR="00CD5A98" w:rsidRPr="006E170D" w:rsidRDefault="00CD5A98" w:rsidP="00CD5A98">
            <w:pPr>
              <w:pStyle w:val="TBLHeading"/>
              <w:jc w:val="center"/>
            </w:pPr>
            <w:r>
              <w:t>2017-18 Ratio</w:t>
            </w:r>
          </w:p>
        </w:tc>
        <w:tc>
          <w:tcPr>
            <w:tcW w:w="292" w:type="pct"/>
            <w:tcBorders>
              <w:top w:val="none" w:sz="0" w:space="0" w:color="auto"/>
              <w:bottom w:val="none" w:sz="0" w:space="0" w:color="auto"/>
            </w:tcBorders>
            <w:vAlign w:val="center"/>
          </w:tcPr>
          <w:p w14:paraId="75C89CC1" w14:textId="77777777" w:rsidR="00CD5A98" w:rsidRPr="006E170D" w:rsidRDefault="00CD5A98" w:rsidP="00CD5A98">
            <w:pPr>
              <w:pStyle w:val="TBLHeading"/>
              <w:jc w:val="center"/>
            </w:pPr>
            <w:r>
              <w:t>%</w:t>
            </w:r>
          </w:p>
        </w:tc>
        <w:tc>
          <w:tcPr>
            <w:tcW w:w="474" w:type="pct"/>
            <w:tcBorders>
              <w:top w:val="none" w:sz="0" w:space="0" w:color="auto"/>
              <w:bottom w:val="none" w:sz="0" w:space="0" w:color="auto"/>
            </w:tcBorders>
          </w:tcPr>
          <w:p w14:paraId="75C89CC2" w14:textId="77777777" w:rsidR="00CD5A98" w:rsidRPr="006E170D" w:rsidRDefault="00CD5A98" w:rsidP="00CD5A98">
            <w:pPr>
              <w:pStyle w:val="TBLHeading"/>
              <w:jc w:val="center"/>
            </w:pPr>
            <w:r>
              <w:t>2018-19 Ratio</w:t>
            </w:r>
          </w:p>
        </w:tc>
        <w:tc>
          <w:tcPr>
            <w:tcW w:w="261" w:type="pct"/>
            <w:tcBorders>
              <w:top w:val="none" w:sz="0" w:space="0" w:color="auto"/>
              <w:bottom w:val="none" w:sz="0" w:space="0" w:color="auto"/>
            </w:tcBorders>
          </w:tcPr>
          <w:p w14:paraId="75C89CC3" w14:textId="77777777" w:rsidR="00CD5A98" w:rsidRPr="006E170D" w:rsidRDefault="00CD5A98" w:rsidP="00CD5A98">
            <w:pPr>
              <w:pStyle w:val="TBLHeading"/>
              <w:jc w:val="center"/>
            </w:pPr>
            <w:r>
              <w:t>%</w:t>
            </w:r>
          </w:p>
        </w:tc>
        <w:tc>
          <w:tcPr>
            <w:tcW w:w="441" w:type="pct"/>
            <w:tcBorders>
              <w:top w:val="none" w:sz="0" w:space="0" w:color="auto"/>
              <w:bottom w:val="none" w:sz="0" w:space="0" w:color="auto"/>
            </w:tcBorders>
          </w:tcPr>
          <w:p w14:paraId="75C89CC4" w14:textId="77777777" w:rsidR="00CD5A98" w:rsidRPr="006E170D" w:rsidRDefault="00CD5A98" w:rsidP="00CD5A98">
            <w:pPr>
              <w:pStyle w:val="TBLHeading"/>
              <w:jc w:val="center"/>
            </w:pPr>
            <w:r>
              <w:t>2019-20 Ratio</w:t>
            </w:r>
          </w:p>
        </w:tc>
        <w:tc>
          <w:tcPr>
            <w:tcW w:w="220" w:type="pct"/>
            <w:tcBorders>
              <w:top w:val="none" w:sz="0" w:space="0" w:color="auto"/>
              <w:bottom w:val="none" w:sz="0" w:space="0" w:color="auto"/>
            </w:tcBorders>
          </w:tcPr>
          <w:p w14:paraId="75C89CC5" w14:textId="77777777" w:rsidR="00CD5A98" w:rsidRPr="006E170D" w:rsidRDefault="00CD5A98" w:rsidP="00CD5A98">
            <w:pPr>
              <w:pStyle w:val="TBLHeading"/>
              <w:jc w:val="center"/>
            </w:pPr>
            <w:r>
              <w:t>%</w:t>
            </w:r>
          </w:p>
        </w:tc>
        <w:tc>
          <w:tcPr>
            <w:tcW w:w="456" w:type="pct"/>
            <w:tcBorders>
              <w:top w:val="none" w:sz="0" w:space="0" w:color="auto"/>
              <w:bottom w:val="none" w:sz="0" w:space="0" w:color="auto"/>
            </w:tcBorders>
          </w:tcPr>
          <w:p w14:paraId="75C89CC6" w14:textId="77777777" w:rsidR="00CD5A98" w:rsidRPr="006E170D" w:rsidRDefault="00CD5A98" w:rsidP="00CD5A98">
            <w:pPr>
              <w:pStyle w:val="TBLHeading"/>
              <w:jc w:val="center"/>
            </w:pPr>
            <w:r>
              <w:t>2020-21 Ratio</w:t>
            </w:r>
          </w:p>
        </w:tc>
        <w:tc>
          <w:tcPr>
            <w:tcW w:w="281" w:type="pct"/>
            <w:tcBorders>
              <w:top w:val="none" w:sz="0" w:space="0" w:color="auto"/>
              <w:bottom w:val="none" w:sz="0" w:space="0" w:color="auto"/>
            </w:tcBorders>
          </w:tcPr>
          <w:p w14:paraId="75C89CC7" w14:textId="77777777" w:rsidR="00CD5A98" w:rsidRPr="006E170D" w:rsidRDefault="00CD5A98" w:rsidP="00CD5A98">
            <w:pPr>
              <w:pStyle w:val="TBLHeading"/>
              <w:jc w:val="center"/>
            </w:pPr>
            <w:r>
              <w:t>%</w:t>
            </w:r>
          </w:p>
        </w:tc>
        <w:tc>
          <w:tcPr>
            <w:tcW w:w="442" w:type="pct"/>
            <w:tcBorders>
              <w:top w:val="none" w:sz="0" w:space="0" w:color="auto"/>
              <w:bottom w:val="none" w:sz="0" w:space="0" w:color="auto"/>
            </w:tcBorders>
          </w:tcPr>
          <w:p w14:paraId="75C89CC8" w14:textId="77777777" w:rsidR="00CD5A98" w:rsidRPr="006E170D" w:rsidRDefault="00CD5A98" w:rsidP="00B05528">
            <w:pPr>
              <w:pStyle w:val="TBLHeading"/>
              <w:jc w:val="center"/>
            </w:pPr>
            <w:r>
              <w:t>20</w:t>
            </w:r>
            <w:r w:rsidR="00B05528">
              <w:t>21</w:t>
            </w:r>
            <w:r>
              <w:t>-2</w:t>
            </w:r>
            <w:r w:rsidR="00B05528">
              <w:t>2</w:t>
            </w:r>
            <w:r>
              <w:t xml:space="preserve"> Ratio</w:t>
            </w:r>
          </w:p>
        </w:tc>
        <w:tc>
          <w:tcPr>
            <w:tcW w:w="290" w:type="pct"/>
            <w:tcBorders>
              <w:top w:val="none" w:sz="0" w:space="0" w:color="auto"/>
              <w:bottom w:val="none" w:sz="0" w:space="0" w:color="auto"/>
              <w:right w:val="none" w:sz="0" w:space="0" w:color="auto"/>
            </w:tcBorders>
          </w:tcPr>
          <w:p w14:paraId="75C89CC9" w14:textId="77777777" w:rsidR="00CD5A98" w:rsidRPr="006E170D" w:rsidRDefault="00CD5A98" w:rsidP="00CD5A98">
            <w:pPr>
              <w:pStyle w:val="TBLHeading"/>
              <w:jc w:val="center"/>
            </w:pPr>
            <w:r>
              <w:t>%</w:t>
            </w:r>
          </w:p>
        </w:tc>
      </w:tr>
      <w:tr w:rsidR="00CD5A98" w14:paraId="75C89CD8" w14:textId="77777777" w:rsidTr="00983E65">
        <w:trPr>
          <w:trHeight w:val="20"/>
        </w:trPr>
        <w:tc>
          <w:tcPr>
            <w:tcW w:w="584" w:type="pct"/>
            <w:vAlign w:val="center"/>
          </w:tcPr>
          <w:p w14:paraId="75C89CCB" w14:textId="77777777" w:rsidR="00CD5A98" w:rsidRPr="00FC3389" w:rsidRDefault="00CD5A98" w:rsidP="00FC3389">
            <w:pPr>
              <w:pStyle w:val="TBLText"/>
            </w:pPr>
            <w:r w:rsidRPr="00FC3389">
              <w:t>Consultation stage</w:t>
            </w:r>
            <w:r w:rsidRPr="00B02489">
              <w:rPr>
                <w:vertAlign w:val="superscript"/>
              </w:rPr>
              <w:t>a</w:t>
            </w:r>
          </w:p>
        </w:tc>
        <w:tc>
          <w:tcPr>
            <w:tcW w:w="442" w:type="pct"/>
            <w:vAlign w:val="center"/>
          </w:tcPr>
          <w:p w14:paraId="75C89CCC" w14:textId="77777777" w:rsidR="00CD5A98" w:rsidRPr="00FC3389" w:rsidRDefault="00B05528" w:rsidP="00FC3389">
            <w:pPr>
              <w:pStyle w:val="TBLText"/>
            </w:pPr>
            <w:r w:rsidRPr="00FC3389">
              <w:t>10/11</w:t>
            </w:r>
          </w:p>
        </w:tc>
        <w:tc>
          <w:tcPr>
            <w:tcW w:w="295" w:type="pct"/>
            <w:vAlign w:val="center"/>
          </w:tcPr>
          <w:p w14:paraId="75C89CCD" w14:textId="77777777" w:rsidR="00CD5A98" w:rsidRPr="00FC3389" w:rsidRDefault="00B05528" w:rsidP="00FC3389">
            <w:pPr>
              <w:pStyle w:val="TBLText"/>
            </w:pPr>
            <w:r w:rsidRPr="00FC3389">
              <w:t>90</w:t>
            </w:r>
          </w:p>
        </w:tc>
        <w:tc>
          <w:tcPr>
            <w:tcW w:w="522" w:type="pct"/>
            <w:vAlign w:val="center"/>
          </w:tcPr>
          <w:p w14:paraId="75C89CCE" w14:textId="77777777" w:rsidR="00CD5A98" w:rsidRPr="00FC3389" w:rsidRDefault="00B05528" w:rsidP="00FC3389">
            <w:pPr>
              <w:pStyle w:val="TBLText"/>
            </w:pPr>
            <w:r w:rsidRPr="00FC3389">
              <w:t>6/6</w:t>
            </w:r>
          </w:p>
        </w:tc>
        <w:tc>
          <w:tcPr>
            <w:tcW w:w="292" w:type="pct"/>
            <w:vAlign w:val="center"/>
          </w:tcPr>
          <w:p w14:paraId="75C89CCF" w14:textId="77777777" w:rsidR="00CD5A98" w:rsidRPr="00FC3389" w:rsidRDefault="00B05528" w:rsidP="00FC3389">
            <w:pPr>
              <w:pStyle w:val="TBLText"/>
            </w:pPr>
            <w:r w:rsidRPr="00FC3389">
              <w:t>100</w:t>
            </w:r>
          </w:p>
        </w:tc>
        <w:tc>
          <w:tcPr>
            <w:tcW w:w="474" w:type="pct"/>
            <w:vAlign w:val="center"/>
          </w:tcPr>
          <w:p w14:paraId="75C89CD0" w14:textId="77777777" w:rsidR="00CD5A98" w:rsidRPr="00FC3389" w:rsidRDefault="00B05528" w:rsidP="00FC3389">
            <w:pPr>
              <w:pStyle w:val="TBLText"/>
            </w:pPr>
            <w:r w:rsidRPr="00FC3389">
              <w:t>15/15</w:t>
            </w:r>
          </w:p>
        </w:tc>
        <w:tc>
          <w:tcPr>
            <w:tcW w:w="261" w:type="pct"/>
            <w:vAlign w:val="center"/>
          </w:tcPr>
          <w:p w14:paraId="75C89CD1" w14:textId="77777777" w:rsidR="00CD5A98" w:rsidRPr="00FC3389" w:rsidRDefault="00B05528" w:rsidP="00FC3389">
            <w:pPr>
              <w:pStyle w:val="TBLText"/>
            </w:pPr>
            <w:r w:rsidRPr="00FC3389">
              <w:t>100</w:t>
            </w:r>
          </w:p>
        </w:tc>
        <w:tc>
          <w:tcPr>
            <w:tcW w:w="441" w:type="pct"/>
            <w:vAlign w:val="center"/>
          </w:tcPr>
          <w:p w14:paraId="75C89CD2" w14:textId="77777777" w:rsidR="00CD5A98" w:rsidRPr="00FC3389" w:rsidRDefault="00B05528" w:rsidP="00FC3389">
            <w:pPr>
              <w:pStyle w:val="TBLText"/>
            </w:pPr>
            <w:r w:rsidRPr="00FC3389">
              <w:t>24/25</w:t>
            </w:r>
          </w:p>
        </w:tc>
        <w:tc>
          <w:tcPr>
            <w:tcW w:w="220" w:type="pct"/>
            <w:vAlign w:val="center"/>
          </w:tcPr>
          <w:p w14:paraId="75C89CD3" w14:textId="77777777" w:rsidR="00CD5A98" w:rsidRPr="00FC3389" w:rsidRDefault="00B05528" w:rsidP="00FC3389">
            <w:pPr>
              <w:pStyle w:val="TBLText"/>
            </w:pPr>
            <w:r w:rsidRPr="00FC3389">
              <w:t>96</w:t>
            </w:r>
          </w:p>
        </w:tc>
        <w:tc>
          <w:tcPr>
            <w:tcW w:w="456" w:type="pct"/>
            <w:vAlign w:val="center"/>
          </w:tcPr>
          <w:p w14:paraId="75C89CD4" w14:textId="77777777" w:rsidR="00CD5A98" w:rsidRPr="00FC3389" w:rsidRDefault="00B05528" w:rsidP="00FC3389">
            <w:pPr>
              <w:pStyle w:val="TBLText"/>
            </w:pPr>
            <w:r w:rsidRPr="00FC3389">
              <w:t>19/20</w:t>
            </w:r>
          </w:p>
        </w:tc>
        <w:tc>
          <w:tcPr>
            <w:tcW w:w="281" w:type="pct"/>
            <w:vAlign w:val="center"/>
          </w:tcPr>
          <w:p w14:paraId="75C89CD5" w14:textId="77777777" w:rsidR="00CD5A98" w:rsidRPr="00FC3389" w:rsidRDefault="00B05528" w:rsidP="00FC3389">
            <w:pPr>
              <w:pStyle w:val="TBLText"/>
            </w:pPr>
            <w:r w:rsidRPr="00FC3389">
              <w:t>95</w:t>
            </w:r>
          </w:p>
        </w:tc>
        <w:tc>
          <w:tcPr>
            <w:tcW w:w="442" w:type="pct"/>
            <w:vAlign w:val="center"/>
          </w:tcPr>
          <w:p w14:paraId="75C89CD6" w14:textId="77777777" w:rsidR="00CD5A98" w:rsidRPr="00F83753" w:rsidRDefault="00B05528" w:rsidP="00B02489">
            <w:pPr>
              <w:pStyle w:val="TBLText"/>
            </w:pPr>
            <w:r w:rsidRPr="00F83753">
              <w:t>1</w:t>
            </w:r>
            <w:r w:rsidR="00B02489" w:rsidRPr="00F83753">
              <w:t>4</w:t>
            </w:r>
            <w:r w:rsidRPr="00F83753">
              <w:t>/1</w:t>
            </w:r>
            <w:r w:rsidR="00B02489" w:rsidRPr="00F83753">
              <w:t>4</w:t>
            </w:r>
          </w:p>
        </w:tc>
        <w:tc>
          <w:tcPr>
            <w:tcW w:w="290" w:type="pct"/>
            <w:vAlign w:val="center"/>
          </w:tcPr>
          <w:p w14:paraId="75C89CD7" w14:textId="77777777" w:rsidR="00CD5A98" w:rsidRPr="00F83753" w:rsidRDefault="00B05528" w:rsidP="00FC3389">
            <w:pPr>
              <w:pStyle w:val="TBLText"/>
            </w:pPr>
            <w:r w:rsidRPr="00F83753">
              <w:t>100</w:t>
            </w:r>
          </w:p>
        </w:tc>
      </w:tr>
      <w:tr w:rsidR="00CD5A98" w14:paraId="75C89CE6" w14:textId="77777777" w:rsidTr="00983E65">
        <w:trPr>
          <w:trHeight w:val="20"/>
        </w:trPr>
        <w:tc>
          <w:tcPr>
            <w:tcW w:w="584" w:type="pct"/>
            <w:vAlign w:val="center"/>
          </w:tcPr>
          <w:p w14:paraId="75C89CD9" w14:textId="77777777" w:rsidR="00CD5A98" w:rsidRPr="00FC3389" w:rsidRDefault="00FC3389" w:rsidP="00FC3389">
            <w:pPr>
              <w:pStyle w:val="TBLText"/>
            </w:pPr>
            <w:r w:rsidRPr="00FC3389">
              <w:t>Decision stage</w:t>
            </w:r>
          </w:p>
        </w:tc>
        <w:tc>
          <w:tcPr>
            <w:tcW w:w="442" w:type="pct"/>
            <w:vAlign w:val="center"/>
          </w:tcPr>
          <w:p w14:paraId="75C89CDA" w14:textId="77777777" w:rsidR="00CD5A98" w:rsidRPr="00FC3389" w:rsidRDefault="00FC3389" w:rsidP="00FC3389">
            <w:pPr>
              <w:pStyle w:val="TBLText"/>
            </w:pPr>
            <w:r w:rsidRPr="00FC3389">
              <w:t>10/11</w:t>
            </w:r>
          </w:p>
        </w:tc>
        <w:tc>
          <w:tcPr>
            <w:tcW w:w="295" w:type="pct"/>
            <w:vAlign w:val="center"/>
          </w:tcPr>
          <w:p w14:paraId="75C89CDB" w14:textId="77777777" w:rsidR="00CD5A98" w:rsidRPr="00FC3389" w:rsidRDefault="00FC3389" w:rsidP="00FC3389">
            <w:pPr>
              <w:pStyle w:val="TBLText"/>
            </w:pPr>
            <w:r w:rsidRPr="00FC3389">
              <w:t>90</w:t>
            </w:r>
          </w:p>
        </w:tc>
        <w:tc>
          <w:tcPr>
            <w:tcW w:w="522" w:type="pct"/>
            <w:vAlign w:val="center"/>
          </w:tcPr>
          <w:p w14:paraId="75C89CDC" w14:textId="77777777" w:rsidR="00CD5A98" w:rsidRPr="00FC3389" w:rsidRDefault="00FC3389" w:rsidP="00FC3389">
            <w:pPr>
              <w:pStyle w:val="TBLText"/>
            </w:pPr>
            <w:r w:rsidRPr="00FC3389">
              <w:t>6/6</w:t>
            </w:r>
          </w:p>
        </w:tc>
        <w:tc>
          <w:tcPr>
            <w:tcW w:w="292" w:type="pct"/>
            <w:vAlign w:val="center"/>
          </w:tcPr>
          <w:p w14:paraId="75C89CDD" w14:textId="77777777" w:rsidR="00CD5A98" w:rsidRPr="00FC3389" w:rsidRDefault="00FC3389" w:rsidP="00FC3389">
            <w:pPr>
              <w:pStyle w:val="TBLText"/>
            </w:pPr>
            <w:r w:rsidRPr="00FC3389">
              <w:t>100</w:t>
            </w:r>
          </w:p>
        </w:tc>
        <w:tc>
          <w:tcPr>
            <w:tcW w:w="474" w:type="pct"/>
            <w:vAlign w:val="center"/>
          </w:tcPr>
          <w:p w14:paraId="75C89CDE" w14:textId="77777777" w:rsidR="00CD5A98" w:rsidRPr="00FC3389" w:rsidRDefault="00FC3389" w:rsidP="00FC3389">
            <w:pPr>
              <w:pStyle w:val="TBLText"/>
            </w:pPr>
            <w:r w:rsidRPr="00FC3389">
              <w:t>15/15</w:t>
            </w:r>
          </w:p>
        </w:tc>
        <w:tc>
          <w:tcPr>
            <w:tcW w:w="261" w:type="pct"/>
            <w:vAlign w:val="center"/>
          </w:tcPr>
          <w:p w14:paraId="75C89CDF" w14:textId="77777777" w:rsidR="00CD5A98" w:rsidRPr="00FC3389" w:rsidRDefault="00FC3389" w:rsidP="00FC3389">
            <w:pPr>
              <w:pStyle w:val="TBLText"/>
            </w:pPr>
            <w:r w:rsidRPr="00FC3389">
              <w:t>100</w:t>
            </w:r>
          </w:p>
        </w:tc>
        <w:tc>
          <w:tcPr>
            <w:tcW w:w="441" w:type="pct"/>
            <w:vAlign w:val="center"/>
          </w:tcPr>
          <w:p w14:paraId="75C89CE0" w14:textId="77777777" w:rsidR="00CD5A98" w:rsidRPr="00FC3389" w:rsidRDefault="00FC3389" w:rsidP="00FC3389">
            <w:pPr>
              <w:pStyle w:val="TBLText"/>
            </w:pPr>
            <w:r w:rsidRPr="00FC3389">
              <w:t>23/25</w:t>
            </w:r>
          </w:p>
        </w:tc>
        <w:tc>
          <w:tcPr>
            <w:tcW w:w="220" w:type="pct"/>
            <w:vAlign w:val="center"/>
          </w:tcPr>
          <w:p w14:paraId="75C89CE1" w14:textId="77777777" w:rsidR="00CD5A98" w:rsidRPr="00FC3389" w:rsidRDefault="00FC3389" w:rsidP="00FC3389">
            <w:pPr>
              <w:pStyle w:val="TBLText"/>
            </w:pPr>
            <w:r w:rsidRPr="00FC3389">
              <w:t>92</w:t>
            </w:r>
          </w:p>
        </w:tc>
        <w:tc>
          <w:tcPr>
            <w:tcW w:w="456" w:type="pct"/>
            <w:vAlign w:val="center"/>
          </w:tcPr>
          <w:p w14:paraId="75C89CE2" w14:textId="77777777" w:rsidR="00CD5A98" w:rsidRPr="00FC3389" w:rsidRDefault="00FC3389" w:rsidP="00FC3389">
            <w:pPr>
              <w:pStyle w:val="TBLText"/>
            </w:pPr>
            <w:r w:rsidRPr="00FC3389">
              <w:t>14/15</w:t>
            </w:r>
          </w:p>
        </w:tc>
        <w:tc>
          <w:tcPr>
            <w:tcW w:w="281" w:type="pct"/>
            <w:vAlign w:val="center"/>
          </w:tcPr>
          <w:p w14:paraId="75C89CE3" w14:textId="77777777" w:rsidR="00CD5A98" w:rsidRPr="00FC3389" w:rsidRDefault="00FC3389" w:rsidP="00FC3389">
            <w:pPr>
              <w:pStyle w:val="TBLText"/>
            </w:pPr>
            <w:r w:rsidRPr="00FC3389">
              <w:t>93</w:t>
            </w:r>
          </w:p>
        </w:tc>
        <w:tc>
          <w:tcPr>
            <w:tcW w:w="442" w:type="pct"/>
            <w:vAlign w:val="center"/>
          </w:tcPr>
          <w:p w14:paraId="75C89CE4" w14:textId="77777777" w:rsidR="00CD5A98" w:rsidRPr="0049043B" w:rsidRDefault="00FC3389" w:rsidP="00B02489">
            <w:pPr>
              <w:pStyle w:val="TBLText"/>
            </w:pPr>
            <w:r w:rsidRPr="0049043B">
              <w:t>1</w:t>
            </w:r>
            <w:r w:rsidR="00B02489" w:rsidRPr="0049043B">
              <w:t>4</w:t>
            </w:r>
            <w:r w:rsidRPr="0049043B">
              <w:t>/1</w:t>
            </w:r>
            <w:r w:rsidR="00B02489" w:rsidRPr="0049043B">
              <w:t>4</w:t>
            </w:r>
          </w:p>
        </w:tc>
        <w:tc>
          <w:tcPr>
            <w:tcW w:w="290" w:type="pct"/>
            <w:vAlign w:val="center"/>
          </w:tcPr>
          <w:p w14:paraId="75C89CE5" w14:textId="77777777" w:rsidR="00CD5A98" w:rsidRPr="0049043B" w:rsidRDefault="00FC3389" w:rsidP="00FC3389">
            <w:pPr>
              <w:pStyle w:val="TBLText"/>
            </w:pPr>
            <w:r w:rsidRPr="0049043B">
              <w:t>100</w:t>
            </w:r>
          </w:p>
        </w:tc>
      </w:tr>
    </w:tbl>
    <w:p w14:paraId="75C89CE7" w14:textId="77777777" w:rsidR="00B05528" w:rsidRPr="00F83753" w:rsidRDefault="00B05528" w:rsidP="00B05528">
      <w:pPr>
        <w:rPr>
          <w:rStyle w:val="Emphasis"/>
          <w:sz w:val="16"/>
        </w:rPr>
      </w:pPr>
      <w:proofErr w:type="spellStart"/>
      <w:proofErr w:type="gramStart"/>
      <w:r w:rsidRPr="00F83753">
        <w:rPr>
          <w:rStyle w:val="Emphasis"/>
          <w:sz w:val="16"/>
          <w:vertAlign w:val="superscript"/>
        </w:rPr>
        <w:t>a</w:t>
      </w:r>
      <w:proofErr w:type="spellEnd"/>
      <w:proofErr w:type="gramEnd"/>
      <w:r w:rsidR="00871890" w:rsidRPr="00F83753">
        <w:rPr>
          <w:rStyle w:val="Emphasis"/>
          <w:sz w:val="16"/>
          <w:vertAlign w:val="superscript"/>
        </w:rPr>
        <w:t xml:space="preserve"> </w:t>
      </w:r>
      <w:r w:rsidRPr="00F83753">
        <w:rPr>
          <w:rStyle w:val="Emphasis"/>
          <w:sz w:val="16"/>
        </w:rPr>
        <w:t>The consultation stage figures relate to those decisions at the consultation stage for which a corresponding decision RIS at the decision-m</w:t>
      </w:r>
      <w:r w:rsidR="005538E5">
        <w:rPr>
          <w:rStyle w:val="Emphasis"/>
          <w:sz w:val="16"/>
        </w:rPr>
        <w:t>aking stage has been announced.</w:t>
      </w:r>
    </w:p>
    <w:p w14:paraId="75C89CE8" w14:textId="77777777" w:rsidR="00F83753" w:rsidRPr="00F83753" w:rsidRDefault="00871890" w:rsidP="00F83753">
      <w:pPr>
        <w:rPr>
          <w:rStyle w:val="Emphasis"/>
          <w:sz w:val="16"/>
        </w:rPr>
      </w:pPr>
      <w:r w:rsidRPr="00BB673C">
        <w:rPr>
          <w:rStyle w:val="Emphasis"/>
          <w:sz w:val="16"/>
          <w:szCs w:val="16"/>
        </w:rPr>
        <w:br/>
      </w:r>
    </w:p>
    <w:p w14:paraId="75C89CE9" w14:textId="77777777" w:rsidR="009E2262" w:rsidRPr="009E2262" w:rsidRDefault="00D03322" w:rsidP="009E2262">
      <w:r>
        <w:br w:type="page"/>
      </w:r>
    </w:p>
    <w:p w14:paraId="75C89CEA" w14:textId="6A89BFC4" w:rsidR="00C37227" w:rsidRDefault="00C37227" w:rsidP="00C37227">
      <w:pPr>
        <w:pStyle w:val="Heading1"/>
      </w:pPr>
      <w:bookmarkStart w:id="3" w:name="_Toc459800538"/>
      <w:bookmarkStart w:id="4" w:name="_Toc98330774"/>
      <w:bookmarkStart w:id="5" w:name="_Toc197597349"/>
      <w:bookmarkStart w:id="6" w:name="_Toc200110444"/>
      <w:r>
        <w:lastRenderedPageBreak/>
        <w:t>Detailed information</w:t>
      </w:r>
      <w:bookmarkEnd w:id="3"/>
      <w:r>
        <w:t xml:space="preserve"> on RISs prepared for decision in </w:t>
      </w:r>
      <w:r>
        <w:br/>
        <w:t>2021-22</w:t>
      </w:r>
      <w:bookmarkEnd w:id="4"/>
      <w:bookmarkEnd w:id="5"/>
      <w:bookmarkEnd w:id="6"/>
    </w:p>
    <w:p w14:paraId="75C89CEB" w14:textId="77777777" w:rsidR="00117A77" w:rsidRDefault="0011375F" w:rsidP="00117A77">
      <w:pPr>
        <w:pStyle w:val="Heading2"/>
      </w:pPr>
      <w:bookmarkStart w:id="7" w:name="_Toc197597350"/>
      <w:bookmarkStart w:id="8" w:name="_Toc200110445"/>
      <w:r>
        <w:t>Australian Building Codes Board</w:t>
      </w:r>
      <w:bookmarkEnd w:id="7"/>
      <w:bookmarkEnd w:id="8"/>
    </w:p>
    <w:p w14:paraId="75C89CEC" w14:textId="77777777" w:rsidR="00C37227" w:rsidRPr="00C37227" w:rsidRDefault="00C37227" w:rsidP="00C37227">
      <w:pPr>
        <w:pStyle w:val="Heading3"/>
      </w:pPr>
      <w:bookmarkStart w:id="9" w:name="_Toc197597351"/>
      <w:bookmarkStart w:id="10" w:name="_Toc200110446"/>
      <w:r>
        <w:t>Lead in plumbing products</w:t>
      </w:r>
      <w:bookmarkEnd w:id="9"/>
      <w:bookmarkEnd w:id="10"/>
    </w:p>
    <w:p w14:paraId="75C89CED" w14:textId="77777777" w:rsidR="00D03322" w:rsidRPr="00774646" w:rsidRDefault="008D704F" w:rsidP="00D03322">
      <w:pPr>
        <w:pStyle w:val="Figure"/>
        <w:ind w:left="567"/>
      </w:pPr>
      <w:r>
        <w:t>Lead in plumbing products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Lead in plumbing products"/>
        <w:tblDescription w:val="Lead in plumbing products"/>
      </w:tblPr>
      <w:tblGrid>
        <w:gridCol w:w="1993"/>
        <w:gridCol w:w="1993"/>
        <w:gridCol w:w="1994"/>
        <w:gridCol w:w="1994"/>
      </w:tblGrid>
      <w:tr w:rsidR="001E417F" w14:paraId="75C89CF2"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CEE" w14:textId="77777777" w:rsidR="001E417F" w:rsidRPr="006E170D" w:rsidRDefault="001E417F" w:rsidP="00FF44DE">
            <w:pPr>
              <w:pStyle w:val="TBLHeading"/>
            </w:pPr>
            <w:r>
              <w:t>Decision Date</w:t>
            </w:r>
          </w:p>
        </w:tc>
        <w:tc>
          <w:tcPr>
            <w:tcW w:w="1250" w:type="pct"/>
            <w:tcBorders>
              <w:top w:val="none" w:sz="0" w:space="0" w:color="auto"/>
              <w:bottom w:val="none" w:sz="0" w:space="0" w:color="auto"/>
            </w:tcBorders>
            <w:vAlign w:val="center"/>
          </w:tcPr>
          <w:p w14:paraId="75C89CEF"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CF0" w14:textId="77777777" w:rsidR="001E417F" w:rsidRPr="006E170D" w:rsidRDefault="001E417F" w:rsidP="00564BA8">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CF1" w14:textId="77777777" w:rsidR="001E417F" w:rsidRPr="006E170D" w:rsidRDefault="001E417F" w:rsidP="00FF44DE">
            <w:pPr>
              <w:pStyle w:val="TBLHeading"/>
            </w:pPr>
            <w:r>
              <w:t>Final RIS published</w:t>
            </w:r>
          </w:p>
        </w:tc>
      </w:tr>
      <w:tr w:rsidR="001E417F" w14:paraId="75C89CF7" w14:textId="77777777" w:rsidTr="000A4249">
        <w:trPr>
          <w:trHeight w:val="20"/>
        </w:trPr>
        <w:tc>
          <w:tcPr>
            <w:tcW w:w="1250" w:type="pct"/>
            <w:vAlign w:val="center"/>
          </w:tcPr>
          <w:p w14:paraId="75C89CF3" w14:textId="77777777" w:rsidR="001E417F" w:rsidRPr="006E170D" w:rsidRDefault="00ED21A7" w:rsidP="00ED21A7">
            <w:pPr>
              <w:pStyle w:val="TBLText"/>
            </w:pPr>
            <w:r>
              <w:t>15 July 2021</w:t>
            </w:r>
          </w:p>
        </w:tc>
        <w:tc>
          <w:tcPr>
            <w:tcW w:w="1250" w:type="pct"/>
            <w:vAlign w:val="center"/>
          </w:tcPr>
          <w:p w14:paraId="75C89CF4" w14:textId="77777777" w:rsidR="001E417F" w:rsidRPr="006E170D" w:rsidRDefault="00ED21A7" w:rsidP="00ED21A7">
            <w:pPr>
              <w:pStyle w:val="TBLText"/>
            </w:pPr>
            <w:r w:rsidRPr="00144255">
              <w:t>Yes</w:t>
            </w:r>
          </w:p>
        </w:tc>
        <w:tc>
          <w:tcPr>
            <w:tcW w:w="1250" w:type="pct"/>
            <w:vAlign w:val="center"/>
          </w:tcPr>
          <w:p w14:paraId="75C89CF5" w14:textId="77777777" w:rsidR="001E417F" w:rsidRPr="006E170D" w:rsidRDefault="00ED21A7" w:rsidP="00ED21A7">
            <w:pPr>
              <w:pStyle w:val="TBLText"/>
            </w:pPr>
            <w:r w:rsidRPr="00144255">
              <w:t>Yes</w:t>
            </w:r>
          </w:p>
        </w:tc>
        <w:tc>
          <w:tcPr>
            <w:tcW w:w="1250" w:type="pct"/>
            <w:vAlign w:val="center"/>
          </w:tcPr>
          <w:p w14:paraId="75C89CF6" w14:textId="77777777" w:rsidR="001E417F" w:rsidRPr="006E170D" w:rsidRDefault="00ED21A7" w:rsidP="00ED21A7">
            <w:pPr>
              <w:pStyle w:val="TBLText"/>
            </w:pPr>
            <w:r>
              <w:t>19 July 2021</w:t>
            </w:r>
          </w:p>
        </w:tc>
      </w:tr>
    </w:tbl>
    <w:p w14:paraId="75C89CF8" w14:textId="77777777" w:rsidR="000A4249" w:rsidRDefault="000A4249" w:rsidP="000A4249">
      <w:bookmarkStart w:id="11" w:name="_Toc97121225"/>
      <w:bookmarkStart w:id="12" w:name="_Toc98330776"/>
    </w:p>
    <w:p w14:paraId="75C89CF9" w14:textId="77777777" w:rsidR="000A4249" w:rsidRPr="00934153" w:rsidRDefault="000A4249" w:rsidP="000A4249">
      <w:pPr>
        <w:rPr>
          <w:b/>
          <w:bCs/>
        </w:rPr>
      </w:pPr>
      <w:r w:rsidRPr="00934153">
        <w:t>In 2019-20, the ABCB commenced a regulatory impact analysis to determine whether the permissible lead content in plumbing products in contact with drinking water should be reduced. This followed a number of highly publicised instances of lead leaching from copper alloy plumbing products in contact with drinking water in excess of the levels permitted by AS/NZS 4020 ‘Testing of products for use in contact with drinking water’.</w:t>
      </w:r>
      <w:bookmarkEnd w:id="11"/>
      <w:bookmarkEnd w:id="12"/>
    </w:p>
    <w:p w14:paraId="75C89CFA" w14:textId="77777777" w:rsidR="000A4249" w:rsidRDefault="000A4249" w:rsidP="000A4249">
      <w:bookmarkStart w:id="13" w:name="_Toc97121226"/>
      <w:bookmarkStart w:id="14" w:name="_Toc98330777"/>
      <w:r w:rsidRPr="00934153">
        <w:t>The final Decision RIS recommends in favour of Option 2, that all copper alloy plumbing products in contact with drinking water comply with NSF/ANSI/CAN 372 ‘Drinking Water System Components - Lead Content’ in addition to the requirements of AS/NZS 4020.</w:t>
      </w:r>
      <w:bookmarkEnd w:id="13"/>
      <w:bookmarkEnd w:id="14"/>
    </w:p>
    <w:p w14:paraId="75C89CFB" w14:textId="77777777" w:rsidR="00750063" w:rsidRDefault="00750063" w:rsidP="00750063">
      <w:pPr>
        <w:pStyle w:val="Heading3"/>
        <w:rPr>
          <w:rFonts w:eastAsia="Times New Roman"/>
          <w:lang w:eastAsia="en-AU"/>
        </w:rPr>
      </w:pPr>
      <w:bookmarkStart w:id="15" w:name="_Toc197597352"/>
      <w:bookmarkStart w:id="16" w:name="_Toc200110447"/>
      <w:r w:rsidRPr="0EEE04EA">
        <w:rPr>
          <w:rFonts w:eastAsia="Times New Roman"/>
          <w:lang w:eastAsia="en-AU"/>
        </w:rPr>
        <w:t>Bushfire protection requirements for certain Class 9 buildings</w:t>
      </w:r>
      <w:bookmarkEnd w:id="15"/>
      <w:bookmarkEnd w:id="16"/>
    </w:p>
    <w:p w14:paraId="75C89CFC" w14:textId="77777777" w:rsidR="00750063" w:rsidRPr="00774646" w:rsidRDefault="00750063" w:rsidP="00750063">
      <w:pPr>
        <w:pStyle w:val="Figure"/>
        <w:ind w:left="567"/>
      </w:pPr>
      <w:r>
        <w:t>Bushfire protection requirements for certain Class 9 buildings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Bushfire protection requirements for certain Class 9 buildings"/>
        <w:tblDescription w:val="Bushfire protection requirements for certain Class 9 buildings"/>
      </w:tblPr>
      <w:tblGrid>
        <w:gridCol w:w="1993"/>
        <w:gridCol w:w="1993"/>
        <w:gridCol w:w="1994"/>
        <w:gridCol w:w="1994"/>
      </w:tblGrid>
      <w:tr w:rsidR="00750063" w14:paraId="75C89D01" w14:textId="77777777" w:rsidTr="008C0F10">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CFD" w14:textId="77777777" w:rsidR="00750063" w:rsidRPr="006E170D" w:rsidRDefault="00750063" w:rsidP="008C0F10">
            <w:pPr>
              <w:pStyle w:val="TBLHeading"/>
            </w:pPr>
            <w:r>
              <w:t>Decision Date</w:t>
            </w:r>
          </w:p>
        </w:tc>
        <w:tc>
          <w:tcPr>
            <w:tcW w:w="1250" w:type="pct"/>
            <w:tcBorders>
              <w:top w:val="none" w:sz="0" w:space="0" w:color="auto"/>
              <w:bottom w:val="none" w:sz="0" w:space="0" w:color="auto"/>
            </w:tcBorders>
            <w:vAlign w:val="center"/>
          </w:tcPr>
          <w:p w14:paraId="75C89CFE" w14:textId="77777777" w:rsidR="00750063" w:rsidRPr="006E170D" w:rsidRDefault="00750063" w:rsidP="008C0F10">
            <w:pPr>
              <w:pStyle w:val="TBLHeading"/>
            </w:pPr>
            <w:r>
              <w:t>Compliant at consultation</w:t>
            </w:r>
          </w:p>
        </w:tc>
        <w:tc>
          <w:tcPr>
            <w:tcW w:w="1250" w:type="pct"/>
            <w:tcBorders>
              <w:top w:val="none" w:sz="0" w:space="0" w:color="auto"/>
              <w:bottom w:val="none" w:sz="0" w:space="0" w:color="auto"/>
            </w:tcBorders>
            <w:vAlign w:val="center"/>
          </w:tcPr>
          <w:p w14:paraId="75C89CFF" w14:textId="77777777" w:rsidR="00750063" w:rsidRPr="006E170D" w:rsidRDefault="00750063" w:rsidP="008C0F10">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00" w14:textId="77777777" w:rsidR="00750063" w:rsidRPr="006E170D" w:rsidRDefault="00750063" w:rsidP="008C0F10">
            <w:pPr>
              <w:pStyle w:val="TBLHeading"/>
            </w:pPr>
            <w:r>
              <w:t>Final RIS published</w:t>
            </w:r>
          </w:p>
        </w:tc>
      </w:tr>
      <w:tr w:rsidR="00750063" w14:paraId="75C89D06" w14:textId="77777777" w:rsidTr="008C0F10">
        <w:trPr>
          <w:trHeight w:val="20"/>
        </w:trPr>
        <w:tc>
          <w:tcPr>
            <w:tcW w:w="1250" w:type="pct"/>
            <w:vAlign w:val="center"/>
          </w:tcPr>
          <w:p w14:paraId="75C89D02" w14:textId="77777777" w:rsidR="00750063" w:rsidRPr="006E170D" w:rsidRDefault="003701EA" w:rsidP="008C0F10">
            <w:pPr>
              <w:pStyle w:val="TBLText"/>
            </w:pPr>
            <w:r>
              <w:t>March 2022</w:t>
            </w:r>
          </w:p>
        </w:tc>
        <w:tc>
          <w:tcPr>
            <w:tcW w:w="1250" w:type="pct"/>
            <w:vAlign w:val="center"/>
          </w:tcPr>
          <w:p w14:paraId="75C89D03" w14:textId="77777777" w:rsidR="00750063" w:rsidRPr="006E170D" w:rsidRDefault="00F83753" w:rsidP="008C0F10">
            <w:pPr>
              <w:pStyle w:val="TBLText"/>
            </w:pPr>
            <w:r>
              <w:t>Yes</w:t>
            </w:r>
          </w:p>
        </w:tc>
        <w:tc>
          <w:tcPr>
            <w:tcW w:w="1250" w:type="pct"/>
            <w:vAlign w:val="center"/>
          </w:tcPr>
          <w:p w14:paraId="75C89D04" w14:textId="77777777" w:rsidR="00750063" w:rsidRPr="006E170D" w:rsidRDefault="00750063" w:rsidP="008C0F10">
            <w:pPr>
              <w:pStyle w:val="TBLText"/>
            </w:pPr>
            <w:r w:rsidRPr="00144255">
              <w:t>Yes</w:t>
            </w:r>
          </w:p>
        </w:tc>
        <w:tc>
          <w:tcPr>
            <w:tcW w:w="1250" w:type="pct"/>
            <w:vAlign w:val="center"/>
          </w:tcPr>
          <w:p w14:paraId="75C89D05" w14:textId="77777777" w:rsidR="00750063" w:rsidRPr="006E170D" w:rsidRDefault="00750063" w:rsidP="008C0F10">
            <w:pPr>
              <w:pStyle w:val="TBLText"/>
            </w:pPr>
            <w:r>
              <w:t>28 March 2022</w:t>
            </w:r>
          </w:p>
        </w:tc>
      </w:tr>
    </w:tbl>
    <w:p w14:paraId="75C89D07" w14:textId="77777777" w:rsidR="003701EA" w:rsidRDefault="003701EA" w:rsidP="003701EA">
      <w:pPr>
        <w:rPr>
          <w:rFonts w:eastAsia="Times New Roman"/>
          <w:lang w:eastAsia="en-AU"/>
        </w:rPr>
      </w:pPr>
    </w:p>
    <w:p w14:paraId="75C89D08" w14:textId="77777777" w:rsidR="003701EA" w:rsidRPr="003701EA" w:rsidRDefault="003701EA" w:rsidP="003701EA">
      <w:pPr>
        <w:rPr>
          <w:rFonts w:eastAsia="Times New Roman"/>
          <w:lang w:eastAsia="en-AU"/>
        </w:rPr>
      </w:pPr>
      <w:r w:rsidRPr="003701EA">
        <w:rPr>
          <w:rFonts w:eastAsia="Times New Roman"/>
          <w:lang w:eastAsia="en-AU"/>
        </w:rPr>
        <w:t>In March 2022, the Australian Building Codes Board agreed to implement new bushfire provisions for certain Class 9 buildings under the National Construction Code. The new provisions will apply to;</w:t>
      </w:r>
    </w:p>
    <w:p w14:paraId="75C89D09" w14:textId="77777777" w:rsidR="003701EA" w:rsidRPr="003701EA" w:rsidRDefault="003701EA" w:rsidP="003701EA">
      <w:pPr>
        <w:pStyle w:val="BulletedList-Level1"/>
        <w:rPr>
          <w:rFonts w:eastAsia="Times New Roman"/>
          <w:lang w:eastAsia="en-AU"/>
        </w:rPr>
      </w:pPr>
      <w:r w:rsidRPr="003701EA">
        <w:rPr>
          <w:rFonts w:eastAsia="Times New Roman"/>
          <w:lang w:eastAsia="en-AU"/>
        </w:rPr>
        <w:t>Class 9a health-care buildings;</w:t>
      </w:r>
    </w:p>
    <w:p w14:paraId="75C89D0A" w14:textId="77777777" w:rsidR="003701EA" w:rsidRPr="003701EA" w:rsidRDefault="003701EA" w:rsidP="003701EA">
      <w:pPr>
        <w:pStyle w:val="BulletedList-Level1"/>
        <w:rPr>
          <w:rFonts w:eastAsia="Times New Roman"/>
          <w:lang w:eastAsia="en-AU"/>
        </w:rPr>
      </w:pPr>
      <w:r w:rsidRPr="003701EA">
        <w:rPr>
          <w:rFonts w:eastAsia="Times New Roman"/>
          <w:lang w:eastAsia="en-AU"/>
        </w:rPr>
        <w:t>Class 9b early childhood centres, primary and secondary schools;</w:t>
      </w:r>
    </w:p>
    <w:p w14:paraId="75C89D0B" w14:textId="77777777" w:rsidR="003701EA" w:rsidRPr="003701EA" w:rsidRDefault="003701EA" w:rsidP="003701EA">
      <w:pPr>
        <w:pStyle w:val="BulletedList-Level1"/>
        <w:rPr>
          <w:rFonts w:eastAsia="Times New Roman"/>
          <w:lang w:eastAsia="en-AU"/>
        </w:rPr>
      </w:pPr>
      <w:r w:rsidRPr="003701EA">
        <w:rPr>
          <w:rFonts w:eastAsia="Times New Roman"/>
          <w:lang w:eastAsia="en-AU"/>
        </w:rPr>
        <w:t>Class 9c residential care buildings.</w:t>
      </w:r>
    </w:p>
    <w:p w14:paraId="75C89D0C" w14:textId="77777777" w:rsidR="003701EA" w:rsidRDefault="003701EA" w:rsidP="003701EA">
      <w:pPr>
        <w:rPr>
          <w:rFonts w:eastAsia="Times New Roman"/>
          <w:lang w:eastAsia="en-AU"/>
        </w:rPr>
      </w:pPr>
      <w:r w:rsidRPr="003701EA">
        <w:rPr>
          <w:rFonts w:eastAsia="Times New Roman"/>
          <w:lang w:eastAsia="en-AU"/>
        </w:rPr>
        <w:t>The provisions are designed to provide nationally consistent bushfire protection solutions for buildings accommodating vulnerable occupants of hospitals, aged care buildings, schools, and child care, where they are proposed to be built in a bushfire-prone area.</w:t>
      </w:r>
    </w:p>
    <w:p w14:paraId="75C89D0D" w14:textId="77777777" w:rsidR="00D03322" w:rsidRDefault="00D03322" w:rsidP="00D03322">
      <w:pPr>
        <w:pStyle w:val="Heading2"/>
      </w:pPr>
      <w:bookmarkStart w:id="17" w:name="_Toc98330778"/>
      <w:bookmarkStart w:id="18" w:name="_Toc197597353"/>
      <w:bookmarkStart w:id="19" w:name="_Toc200110448"/>
      <w:r>
        <w:lastRenderedPageBreak/>
        <w:t>Australian Energy Market Commission</w:t>
      </w:r>
      <w:bookmarkEnd w:id="17"/>
      <w:bookmarkEnd w:id="18"/>
      <w:bookmarkEnd w:id="19"/>
      <w:r>
        <w:t xml:space="preserve"> </w:t>
      </w:r>
    </w:p>
    <w:p w14:paraId="75C89D0E" w14:textId="77777777" w:rsidR="00C37227" w:rsidRDefault="00C37227" w:rsidP="00C37227">
      <w:pPr>
        <w:pStyle w:val="Heading3"/>
      </w:pPr>
      <w:bookmarkStart w:id="20" w:name="_Toc197597354"/>
      <w:bookmarkStart w:id="21" w:name="_Toc200110449"/>
      <w:r>
        <w:t>National Electricity Amendment (Connection to Dedicated Connection Assets) Rule 2021</w:t>
      </w:r>
      <w:bookmarkEnd w:id="20"/>
      <w:bookmarkEnd w:id="21"/>
    </w:p>
    <w:p w14:paraId="75C89D0F" w14:textId="77777777" w:rsidR="00C37227" w:rsidRPr="00774646" w:rsidRDefault="008D704F" w:rsidP="00C37227">
      <w:pPr>
        <w:pStyle w:val="Figure"/>
        <w:ind w:left="567"/>
      </w:pPr>
      <w:r>
        <w:t>National Electricity Amendment (Connection to Dedicated Connection Assets) Rule 2021</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National Electricity Amendment (Connection to Dedicated Connection Assets) Rule 2021"/>
        <w:tblDescription w:val="National Electricity Amendment (Connection to Dedicated Connection Assets) Rule 2021"/>
      </w:tblPr>
      <w:tblGrid>
        <w:gridCol w:w="1993"/>
        <w:gridCol w:w="1993"/>
        <w:gridCol w:w="1994"/>
        <w:gridCol w:w="1994"/>
      </w:tblGrid>
      <w:tr w:rsidR="001E417F" w14:paraId="75C89D14"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10"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D11" w14:textId="77777777" w:rsidR="001E417F" w:rsidRPr="006E170D" w:rsidRDefault="00716410" w:rsidP="00FF44DE">
            <w:pPr>
              <w:pStyle w:val="TBLHeading"/>
            </w:pPr>
            <w:r>
              <w:t>Compliant at consultation</w:t>
            </w:r>
          </w:p>
        </w:tc>
        <w:tc>
          <w:tcPr>
            <w:tcW w:w="1250" w:type="pct"/>
            <w:tcBorders>
              <w:top w:val="none" w:sz="0" w:space="0" w:color="auto"/>
              <w:bottom w:val="none" w:sz="0" w:space="0" w:color="auto"/>
            </w:tcBorders>
            <w:vAlign w:val="center"/>
          </w:tcPr>
          <w:p w14:paraId="75C89D12" w14:textId="77777777" w:rsidR="001E417F" w:rsidRPr="006E170D" w:rsidRDefault="001E417F" w:rsidP="00FF44D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13" w14:textId="77777777" w:rsidR="001E417F" w:rsidRPr="006E170D" w:rsidRDefault="001E417F" w:rsidP="00FF44DE">
            <w:pPr>
              <w:pStyle w:val="TBLHeading"/>
            </w:pPr>
            <w:r>
              <w:t>Final RIS published</w:t>
            </w:r>
          </w:p>
        </w:tc>
      </w:tr>
      <w:tr w:rsidR="001E417F" w14:paraId="75C89D19" w14:textId="77777777" w:rsidTr="000A4249">
        <w:trPr>
          <w:trHeight w:val="20"/>
        </w:trPr>
        <w:tc>
          <w:tcPr>
            <w:tcW w:w="1250" w:type="pct"/>
            <w:vAlign w:val="center"/>
          </w:tcPr>
          <w:p w14:paraId="75C89D15" w14:textId="77777777" w:rsidR="001E417F" w:rsidRPr="006E170D" w:rsidRDefault="0003201F" w:rsidP="0003201F">
            <w:pPr>
              <w:pStyle w:val="TBLText"/>
            </w:pPr>
            <w:r>
              <w:t>8</w:t>
            </w:r>
            <w:r w:rsidRPr="00144255">
              <w:t xml:space="preserve"> </w:t>
            </w:r>
            <w:r>
              <w:t>July</w:t>
            </w:r>
            <w:r w:rsidRPr="00144255">
              <w:t xml:space="preserve"> 202</w:t>
            </w:r>
            <w:r>
              <w:t>1</w:t>
            </w:r>
          </w:p>
        </w:tc>
        <w:tc>
          <w:tcPr>
            <w:tcW w:w="1250" w:type="pct"/>
            <w:vAlign w:val="center"/>
          </w:tcPr>
          <w:p w14:paraId="75C89D16" w14:textId="77777777" w:rsidR="001E417F" w:rsidRPr="006E170D" w:rsidRDefault="0003201F" w:rsidP="0003201F">
            <w:pPr>
              <w:pStyle w:val="TBLText"/>
            </w:pPr>
            <w:r w:rsidRPr="00144255">
              <w:t>Yes</w:t>
            </w:r>
          </w:p>
        </w:tc>
        <w:tc>
          <w:tcPr>
            <w:tcW w:w="1250" w:type="pct"/>
            <w:vAlign w:val="center"/>
          </w:tcPr>
          <w:p w14:paraId="75C89D17" w14:textId="77777777" w:rsidR="001E417F" w:rsidRPr="006E170D" w:rsidRDefault="0003201F" w:rsidP="0003201F">
            <w:pPr>
              <w:pStyle w:val="TBLText"/>
            </w:pPr>
            <w:r w:rsidRPr="00144255">
              <w:t>Yes</w:t>
            </w:r>
          </w:p>
        </w:tc>
        <w:tc>
          <w:tcPr>
            <w:tcW w:w="1250" w:type="pct"/>
            <w:vAlign w:val="center"/>
          </w:tcPr>
          <w:p w14:paraId="75C89D18" w14:textId="77777777" w:rsidR="001E417F" w:rsidRPr="006E170D" w:rsidRDefault="0003201F" w:rsidP="0003201F">
            <w:pPr>
              <w:pStyle w:val="TBLText"/>
            </w:pPr>
            <w:r>
              <w:t>9</w:t>
            </w:r>
            <w:r w:rsidRPr="00144255">
              <w:t xml:space="preserve"> </w:t>
            </w:r>
            <w:r>
              <w:t>July</w:t>
            </w:r>
            <w:r w:rsidRPr="00144255">
              <w:t xml:space="preserve"> 202</w:t>
            </w:r>
            <w:r>
              <w:t>1</w:t>
            </w:r>
          </w:p>
        </w:tc>
      </w:tr>
    </w:tbl>
    <w:p w14:paraId="75C89D1A" w14:textId="77777777" w:rsidR="000A4249" w:rsidRDefault="000A4249" w:rsidP="000A4249">
      <w:bookmarkStart w:id="22" w:name="_Toc97121228"/>
      <w:bookmarkStart w:id="23" w:name="_Toc98330779"/>
    </w:p>
    <w:p w14:paraId="75C89D1B" w14:textId="77777777" w:rsidR="000A4249" w:rsidRPr="00D71B3F" w:rsidRDefault="000A4249" w:rsidP="000A4249">
      <w:pPr>
        <w:rPr>
          <w:b/>
          <w:bCs/>
        </w:rPr>
      </w:pPr>
      <w:r w:rsidRPr="00D71B3F">
        <w:t>The AEMC made a rule seeking to support the more effective management of power system security and better facilitate the sharing of parts of the transmission system funded by connecting parties, while maintaining incentives to invest.</w:t>
      </w:r>
      <w:bookmarkEnd w:id="22"/>
      <w:bookmarkEnd w:id="23"/>
    </w:p>
    <w:p w14:paraId="75C89D1C" w14:textId="77777777" w:rsidR="00C37227" w:rsidRDefault="00C37227" w:rsidP="00C37227">
      <w:pPr>
        <w:pStyle w:val="Heading3"/>
      </w:pPr>
      <w:bookmarkStart w:id="24" w:name="_Toc197597355"/>
      <w:bookmarkStart w:id="25" w:name="_Toc200110450"/>
      <w:r>
        <w:t>Fast frequency response market ancillary service</w:t>
      </w:r>
      <w:bookmarkEnd w:id="24"/>
      <w:bookmarkEnd w:id="25"/>
    </w:p>
    <w:p w14:paraId="75C89D1D" w14:textId="77777777" w:rsidR="00C37227" w:rsidRPr="00774646" w:rsidRDefault="008D704F" w:rsidP="00C37227">
      <w:pPr>
        <w:pStyle w:val="Figure"/>
        <w:ind w:left="567"/>
      </w:pPr>
      <w:r>
        <w:t>Fast frequency response to market ancillary service</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ast frequency response to market ancillary service"/>
        <w:tblDescription w:val="Fast frequency response to market ancillary service"/>
      </w:tblPr>
      <w:tblGrid>
        <w:gridCol w:w="1993"/>
        <w:gridCol w:w="1993"/>
        <w:gridCol w:w="1994"/>
        <w:gridCol w:w="1994"/>
      </w:tblGrid>
      <w:tr w:rsidR="001E417F" w14:paraId="75C89D22"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1E"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D1F" w14:textId="77777777" w:rsidR="001E417F" w:rsidRPr="006E170D" w:rsidRDefault="00716410" w:rsidP="00FF44DE">
            <w:pPr>
              <w:pStyle w:val="TBLHeading"/>
            </w:pPr>
            <w:r>
              <w:t>Compliant at consultation</w:t>
            </w:r>
          </w:p>
        </w:tc>
        <w:tc>
          <w:tcPr>
            <w:tcW w:w="1250" w:type="pct"/>
            <w:tcBorders>
              <w:top w:val="none" w:sz="0" w:space="0" w:color="auto"/>
              <w:bottom w:val="none" w:sz="0" w:space="0" w:color="auto"/>
            </w:tcBorders>
            <w:vAlign w:val="center"/>
          </w:tcPr>
          <w:p w14:paraId="75C89D20" w14:textId="77777777" w:rsidR="001E417F" w:rsidRPr="006E170D" w:rsidRDefault="001E417F" w:rsidP="00FF44D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21" w14:textId="77777777" w:rsidR="001E417F" w:rsidRPr="006E170D" w:rsidRDefault="001E417F" w:rsidP="00FF44DE">
            <w:pPr>
              <w:pStyle w:val="TBLHeading"/>
            </w:pPr>
            <w:r>
              <w:t>Final RIS published</w:t>
            </w:r>
          </w:p>
        </w:tc>
      </w:tr>
      <w:tr w:rsidR="001E417F" w14:paraId="75C89D27" w14:textId="77777777" w:rsidTr="000A4249">
        <w:trPr>
          <w:trHeight w:val="20"/>
        </w:trPr>
        <w:tc>
          <w:tcPr>
            <w:tcW w:w="1250" w:type="pct"/>
            <w:vAlign w:val="center"/>
          </w:tcPr>
          <w:p w14:paraId="75C89D23" w14:textId="77777777" w:rsidR="001E417F" w:rsidRPr="006E170D" w:rsidRDefault="000A4249" w:rsidP="000A4249">
            <w:pPr>
              <w:pStyle w:val="TBLText"/>
            </w:pPr>
            <w:r>
              <w:t>15 July</w:t>
            </w:r>
            <w:r w:rsidRPr="00144255">
              <w:t xml:space="preserve"> 202</w:t>
            </w:r>
            <w:r>
              <w:t>1</w:t>
            </w:r>
          </w:p>
        </w:tc>
        <w:tc>
          <w:tcPr>
            <w:tcW w:w="1250" w:type="pct"/>
            <w:vAlign w:val="center"/>
          </w:tcPr>
          <w:p w14:paraId="75C89D24" w14:textId="77777777" w:rsidR="001E417F" w:rsidRPr="006E170D" w:rsidRDefault="000A4249" w:rsidP="000A4249">
            <w:pPr>
              <w:pStyle w:val="TBLText"/>
            </w:pPr>
            <w:r w:rsidRPr="00144255">
              <w:t>Yes</w:t>
            </w:r>
          </w:p>
        </w:tc>
        <w:tc>
          <w:tcPr>
            <w:tcW w:w="1250" w:type="pct"/>
            <w:vAlign w:val="center"/>
          </w:tcPr>
          <w:p w14:paraId="75C89D25" w14:textId="77777777" w:rsidR="001E417F" w:rsidRPr="006E170D" w:rsidRDefault="000A4249" w:rsidP="000A4249">
            <w:pPr>
              <w:pStyle w:val="TBLText"/>
            </w:pPr>
            <w:r w:rsidRPr="00144255">
              <w:t>Yes</w:t>
            </w:r>
          </w:p>
        </w:tc>
        <w:tc>
          <w:tcPr>
            <w:tcW w:w="1250" w:type="pct"/>
            <w:vAlign w:val="center"/>
          </w:tcPr>
          <w:p w14:paraId="75C89D26" w14:textId="77777777" w:rsidR="001E417F" w:rsidRPr="006E170D" w:rsidRDefault="000A4249" w:rsidP="000A4249">
            <w:pPr>
              <w:pStyle w:val="TBLText"/>
            </w:pPr>
            <w:r>
              <w:t>19</w:t>
            </w:r>
            <w:r w:rsidRPr="00144255">
              <w:t xml:space="preserve"> </w:t>
            </w:r>
            <w:r>
              <w:t>July</w:t>
            </w:r>
            <w:r w:rsidRPr="00144255">
              <w:t xml:space="preserve"> 202</w:t>
            </w:r>
            <w:r>
              <w:t>1</w:t>
            </w:r>
          </w:p>
        </w:tc>
      </w:tr>
    </w:tbl>
    <w:p w14:paraId="75C89D28" w14:textId="77777777" w:rsidR="00C37227" w:rsidRDefault="00C37227" w:rsidP="00C37227"/>
    <w:p w14:paraId="75C89D29" w14:textId="77777777" w:rsidR="000A4249" w:rsidRDefault="000A4249" w:rsidP="000A4249">
      <w:pPr>
        <w:rPr>
          <w:b/>
          <w:bCs/>
        </w:rPr>
      </w:pPr>
      <w:bookmarkStart w:id="26" w:name="_Toc97121229"/>
      <w:bookmarkStart w:id="27" w:name="_Toc98330780"/>
      <w:r w:rsidRPr="00D71B3F">
        <w:t>Amendments to the National Electricity Rules to introduce two new market ancillary services in the National Electricity Market to help keep the future power system secure and foster innovation in faster responding technologies that will help lower costs for consumers. The new market ancillary services will allow for fast frequency response to be procured to help control power system frequency following sudden and unplanned generation or power system outages, known as contingency events.</w:t>
      </w:r>
      <w:bookmarkEnd w:id="26"/>
      <w:bookmarkEnd w:id="27"/>
    </w:p>
    <w:p w14:paraId="75C89D2A" w14:textId="77777777" w:rsidR="00C37227" w:rsidRDefault="00C37227" w:rsidP="00C37227">
      <w:pPr>
        <w:pStyle w:val="Heading3"/>
      </w:pPr>
      <w:bookmarkStart w:id="28" w:name="_Toc197597356"/>
      <w:bookmarkStart w:id="29" w:name="_Toc200110451"/>
      <w:r>
        <w:t>Access, pricing and incentive arrangements for distributed energy resources</w:t>
      </w:r>
      <w:bookmarkEnd w:id="28"/>
      <w:bookmarkEnd w:id="29"/>
    </w:p>
    <w:p w14:paraId="75C89D2B" w14:textId="77777777" w:rsidR="00C37227" w:rsidRDefault="008D704F" w:rsidP="00C37227">
      <w:pPr>
        <w:pStyle w:val="Figure"/>
        <w:ind w:left="567"/>
      </w:pPr>
      <w:r>
        <w:t>Access, pricing and incentive arrangements for distributed energy resources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ccess, pricing and incentive arrangements for distributed energy resources"/>
        <w:tblDescription w:val="Access, pricing and incentive arrangements for distributed energy resources"/>
      </w:tblPr>
      <w:tblGrid>
        <w:gridCol w:w="1993"/>
        <w:gridCol w:w="1993"/>
        <w:gridCol w:w="1994"/>
        <w:gridCol w:w="1994"/>
      </w:tblGrid>
      <w:tr w:rsidR="001E417F" w14:paraId="75C89D30"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2C"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D2D" w14:textId="77777777" w:rsidR="001E417F" w:rsidRPr="006E170D" w:rsidRDefault="00716410" w:rsidP="00FF44DE">
            <w:pPr>
              <w:pStyle w:val="TBLHeading"/>
            </w:pPr>
            <w:r>
              <w:t>Compliant at consultation</w:t>
            </w:r>
          </w:p>
        </w:tc>
        <w:tc>
          <w:tcPr>
            <w:tcW w:w="1250" w:type="pct"/>
            <w:tcBorders>
              <w:top w:val="none" w:sz="0" w:space="0" w:color="auto"/>
              <w:bottom w:val="none" w:sz="0" w:space="0" w:color="auto"/>
            </w:tcBorders>
            <w:vAlign w:val="center"/>
          </w:tcPr>
          <w:p w14:paraId="75C89D2E" w14:textId="77777777" w:rsidR="001E417F" w:rsidRPr="006E170D" w:rsidRDefault="001E417F" w:rsidP="00FF44D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2F" w14:textId="77777777" w:rsidR="001E417F" w:rsidRPr="006E170D" w:rsidRDefault="001E417F" w:rsidP="00FF44DE">
            <w:pPr>
              <w:pStyle w:val="TBLHeading"/>
            </w:pPr>
            <w:r>
              <w:t>Final RIS published</w:t>
            </w:r>
          </w:p>
        </w:tc>
      </w:tr>
      <w:tr w:rsidR="001E417F" w14:paraId="75C89D35" w14:textId="77777777" w:rsidTr="000A4249">
        <w:trPr>
          <w:trHeight w:val="20"/>
        </w:trPr>
        <w:tc>
          <w:tcPr>
            <w:tcW w:w="1250" w:type="pct"/>
            <w:vAlign w:val="center"/>
          </w:tcPr>
          <w:p w14:paraId="75C89D31" w14:textId="77777777" w:rsidR="001E417F" w:rsidRPr="00523AE1" w:rsidRDefault="00523AE1" w:rsidP="00523AE1">
            <w:pPr>
              <w:pStyle w:val="TBLText"/>
            </w:pPr>
            <w:r w:rsidRPr="00523AE1">
              <w:t>12 Aug 2021</w:t>
            </w:r>
          </w:p>
        </w:tc>
        <w:tc>
          <w:tcPr>
            <w:tcW w:w="1250" w:type="pct"/>
            <w:vAlign w:val="center"/>
          </w:tcPr>
          <w:p w14:paraId="75C89D32" w14:textId="77777777" w:rsidR="001E417F" w:rsidRPr="00523AE1" w:rsidRDefault="00523AE1" w:rsidP="00523AE1">
            <w:pPr>
              <w:pStyle w:val="TBLText"/>
            </w:pPr>
            <w:r w:rsidRPr="00523AE1">
              <w:t>Yes</w:t>
            </w:r>
          </w:p>
        </w:tc>
        <w:tc>
          <w:tcPr>
            <w:tcW w:w="1250" w:type="pct"/>
            <w:vAlign w:val="center"/>
          </w:tcPr>
          <w:p w14:paraId="75C89D33" w14:textId="77777777" w:rsidR="001E417F" w:rsidRPr="00523AE1" w:rsidRDefault="00523AE1" w:rsidP="00523AE1">
            <w:pPr>
              <w:pStyle w:val="TBLText"/>
            </w:pPr>
            <w:r w:rsidRPr="00523AE1">
              <w:t>Yes</w:t>
            </w:r>
          </w:p>
        </w:tc>
        <w:tc>
          <w:tcPr>
            <w:tcW w:w="1250" w:type="pct"/>
            <w:vAlign w:val="center"/>
          </w:tcPr>
          <w:p w14:paraId="75C89D34" w14:textId="77777777" w:rsidR="001E417F" w:rsidRPr="00523AE1" w:rsidRDefault="00523AE1" w:rsidP="00523AE1">
            <w:pPr>
              <w:pStyle w:val="TBLText"/>
            </w:pPr>
            <w:r w:rsidRPr="00523AE1">
              <w:t>19 Aug 2021</w:t>
            </w:r>
          </w:p>
        </w:tc>
      </w:tr>
    </w:tbl>
    <w:p w14:paraId="75C89D36" w14:textId="77777777" w:rsidR="00523AE1" w:rsidRDefault="00523AE1" w:rsidP="00523AE1">
      <w:bookmarkStart w:id="30" w:name="_Toc97121230"/>
      <w:bookmarkStart w:id="31" w:name="_Toc98330781"/>
    </w:p>
    <w:p w14:paraId="75C89D37" w14:textId="77777777" w:rsidR="00523AE1" w:rsidRDefault="00523AE1" w:rsidP="00523AE1">
      <w:pPr>
        <w:rPr>
          <w:b/>
          <w:bCs/>
        </w:rPr>
      </w:pPr>
      <w:r w:rsidRPr="00D71B3F">
        <w:t>The AEMC Amended the National Electricity and National Energy Retail rules to make it clear that allowing customers to export energy to the grid is a core service of distribution network operators, while allowing two-way pricing to incentivise customers to export power in ways that benefit the grid. Detailed information about the rule changes is available on the AEMC website.</w:t>
      </w:r>
      <w:bookmarkEnd w:id="30"/>
      <w:bookmarkEnd w:id="31"/>
    </w:p>
    <w:p w14:paraId="75C89D38" w14:textId="77777777" w:rsidR="00C37227" w:rsidRDefault="00C37227" w:rsidP="00C37227">
      <w:pPr>
        <w:pStyle w:val="Heading3"/>
      </w:pPr>
      <w:bookmarkStart w:id="32" w:name="_Toc197597357"/>
      <w:bookmarkStart w:id="33" w:name="_Toc200110452"/>
      <w:r>
        <w:lastRenderedPageBreak/>
        <w:t>Integrating Energy Storage Systems into the National Electricity Market</w:t>
      </w:r>
      <w:bookmarkEnd w:id="32"/>
      <w:bookmarkEnd w:id="33"/>
    </w:p>
    <w:p w14:paraId="75C89D39" w14:textId="77777777" w:rsidR="00C37227" w:rsidRDefault="008D704F" w:rsidP="00C37227">
      <w:pPr>
        <w:pStyle w:val="Figure"/>
        <w:ind w:left="567"/>
      </w:pPr>
      <w:r>
        <w:t>Integrating Energy Storage Systems into the National Electricity Market</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Integrating Energy Storage Systems into the National Electricity Market"/>
        <w:tblDescription w:val="Integrating Energy Storage Systems into the National Electricity Market"/>
      </w:tblPr>
      <w:tblGrid>
        <w:gridCol w:w="1993"/>
        <w:gridCol w:w="1993"/>
        <w:gridCol w:w="1994"/>
        <w:gridCol w:w="1994"/>
      </w:tblGrid>
      <w:tr w:rsidR="001E417F" w14:paraId="75C89D3E"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3A"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D3B" w14:textId="77777777" w:rsidR="001E417F" w:rsidRPr="006E170D" w:rsidRDefault="00716410" w:rsidP="00FF44DE">
            <w:pPr>
              <w:pStyle w:val="TBLHeading"/>
            </w:pPr>
            <w:r>
              <w:t>Compliant at consultation</w:t>
            </w:r>
          </w:p>
        </w:tc>
        <w:tc>
          <w:tcPr>
            <w:tcW w:w="1250" w:type="pct"/>
            <w:tcBorders>
              <w:top w:val="none" w:sz="0" w:space="0" w:color="auto"/>
              <w:bottom w:val="none" w:sz="0" w:space="0" w:color="auto"/>
            </w:tcBorders>
            <w:vAlign w:val="center"/>
          </w:tcPr>
          <w:p w14:paraId="75C89D3C" w14:textId="77777777" w:rsidR="001E417F" w:rsidRPr="006E170D" w:rsidRDefault="001E417F" w:rsidP="00FF44D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3D" w14:textId="77777777" w:rsidR="001E417F" w:rsidRPr="006E170D" w:rsidRDefault="001E417F" w:rsidP="00FF44DE">
            <w:pPr>
              <w:pStyle w:val="TBLHeading"/>
            </w:pPr>
            <w:r>
              <w:t>Final RIS published</w:t>
            </w:r>
          </w:p>
        </w:tc>
      </w:tr>
      <w:tr w:rsidR="001E417F" w14:paraId="75C89D43" w14:textId="77777777" w:rsidTr="000A4249">
        <w:trPr>
          <w:trHeight w:val="20"/>
        </w:trPr>
        <w:tc>
          <w:tcPr>
            <w:tcW w:w="1250" w:type="pct"/>
            <w:vAlign w:val="center"/>
          </w:tcPr>
          <w:p w14:paraId="75C89D3F" w14:textId="77777777" w:rsidR="001E417F" w:rsidRPr="00FF06AC" w:rsidRDefault="00FF06AC" w:rsidP="00FF06AC">
            <w:pPr>
              <w:pStyle w:val="TBLText"/>
            </w:pPr>
            <w:r w:rsidRPr="00FF06AC">
              <w:t>2 Dec 2021</w:t>
            </w:r>
          </w:p>
        </w:tc>
        <w:tc>
          <w:tcPr>
            <w:tcW w:w="1250" w:type="pct"/>
            <w:vAlign w:val="center"/>
          </w:tcPr>
          <w:p w14:paraId="75C89D40" w14:textId="77777777" w:rsidR="001E417F" w:rsidRPr="00FF06AC" w:rsidRDefault="00FF06AC" w:rsidP="00FF06AC">
            <w:pPr>
              <w:pStyle w:val="TBLText"/>
            </w:pPr>
            <w:r w:rsidRPr="00FF06AC">
              <w:t>Yes</w:t>
            </w:r>
          </w:p>
        </w:tc>
        <w:tc>
          <w:tcPr>
            <w:tcW w:w="1250" w:type="pct"/>
            <w:vAlign w:val="center"/>
          </w:tcPr>
          <w:p w14:paraId="75C89D41" w14:textId="77777777" w:rsidR="001E417F" w:rsidRPr="00FF06AC" w:rsidRDefault="00FF06AC" w:rsidP="00FF06AC">
            <w:pPr>
              <w:pStyle w:val="TBLText"/>
            </w:pPr>
            <w:r w:rsidRPr="00FF06AC">
              <w:t>Yes</w:t>
            </w:r>
          </w:p>
        </w:tc>
        <w:tc>
          <w:tcPr>
            <w:tcW w:w="1250" w:type="pct"/>
            <w:vAlign w:val="center"/>
          </w:tcPr>
          <w:p w14:paraId="75C89D42" w14:textId="77777777" w:rsidR="001E417F" w:rsidRPr="00FF06AC" w:rsidRDefault="00FF06AC" w:rsidP="00FF06AC">
            <w:pPr>
              <w:pStyle w:val="TBLText"/>
            </w:pPr>
            <w:r w:rsidRPr="00FF06AC">
              <w:t>17 Dec 2021</w:t>
            </w:r>
          </w:p>
        </w:tc>
      </w:tr>
    </w:tbl>
    <w:p w14:paraId="75C89D44" w14:textId="77777777" w:rsidR="00C37227" w:rsidRDefault="00C37227" w:rsidP="00C37227"/>
    <w:p w14:paraId="75C89D45" w14:textId="77777777" w:rsidR="00FF06AC" w:rsidRPr="00B031AC" w:rsidRDefault="00FF06AC" w:rsidP="00FF06AC">
      <w:pPr>
        <w:rPr>
          <w:b/>
          <w:bCs/>
        </w:rPr>
      </w:pPr>
      <w:bookmarkStart w:id="34" w:name="_Toc97121231"/>
      <w:bookmarkStart w:id="35" w:name="_Toc98330782"/>
      <w:r w:rsidRPr="00B031AC">
        <w:t>The AEMC amended the National Electricity Rules to introduce a new participant category, the Integrated Resource Provider (IRP), to accommodate storage and hybrid facilities in a flexible and technology-neutral way. The final rule makes changes to the recovery of the non-energy costs framework that recognise many participants now have two-way energy flows, and will better reflect how participants use and benefit from the non-energy services the Australian Energy Market Operator procures to operate the power system in a safe, secure and reliable manner.</w:t>
      </w:r>
      <w:bookmarkEnd w:id="34"/>
      <w:bookmarkEnd w:id="35"/>
    </w:p>
    <w:p w14:paraId="75C89D46" w14:textId="77777777" w:rsidR="00C37227" w:rsidRDefault="00C37227" w:rsidP="00C37227">
      <w:pPr>
        <w:pStyle w:val="Heading3"/>
      </w:pPr>
      <w:bookmarkStart w:id="36" w:name="_Toc197597358"/>
      <w:bookmarkStart w:id="37" w:name="_Toc200110453"/>
      <w:r>
        <w:t>Compensation for Market Participants</w:t>
      </w:r>
      <w:bookmarkEnd w:id="36"/>
      <w:bookmarkEnd w:id="37"/>
    </w:p>
    <w:p w14:paraId="75C89D47" w14:textId="77777777" w:rsidR="00C37227" w:rsidRDefault="008D704F" w:rsidP="00C37227">
      <w:pPr>
        <w:pStyle w:val="Figure"/>
        <w:ind w:left="567"/>
      </w:pPr>
      <w:r>
        <w:t>Compensation for Market Participants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Compensation for Market Participants"/>
        <w:tblDescription w:val="Compensation for Market Participants"/>
      </w:tblPr>
      <w:tblGrid>
        <w:gridCol w:w="1993"/>
        <w:gridCol w:w="1993"/>
        <w:gridCol w:w="1994"/>
        <w:gridCol w:w="1994"/>
      </w:tblGrid>
      <w:tr w:rsidR="001E417F" w14:paraId="75C89D4C"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48"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D49" w14:textId="77777777" w:rsidR="001E417F" w:rsidRPr="006E170D" w:rsidRDefault="00716410" w:rsidP="00FF44DE">
            <w:pPr>
              <w:pStyle w:val="TBLHeading"/>
            </w:pPr>
            <w:r>
              <w:t>Compliant at consultation</w:t>
            </w:r>
          </w:p>
        </w:tc>
        <w:tc>
          <w:tcPr>
            <w:tcW w:w="1250" w:type="pct"/>
            <w:tcBorders>
              <w:top w:val="none" w:sz="0" w:space="0" w:color="auto"/>
              <w:bottom w:val="none" w:sz="0" w:space="0" w:color="auto"/>
            </w:tcBorders>
            <w:vAlign w:val="center"/>
          </w:tcPr>
          <w:p w14:paraId="75C89D4A" w14:textId="77777777" w:rsidR="001E417F" w:rsidRPr="006E170D" w:rsidRDefault="001E417F" w:rsidP="00FF44D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4B" w14:textId="77777777" w:rsidR="001E417F" w:rsidRPr="006E170D" w:rsidRDefault="001E417F" w:rsidP="00FF44DE">
            <w:pPr>
              <w:pStyle w:val="TBLHeading"/>
            </w:pPr>
            <w:r>
              <w:t>Final RIS published</w:t>
            </w:r>
          </w:p>
        </w:tc>
      </w:tr>
      <w:tr w:rsidR="001E417F" w14:paraId="75C89D51" w14:textId="77777777" w:rsidTr="000A4249">
        <w:trPr>
          <w:trHeight w:val="20"/>
        </w:trPr>
        <w:tc>
          <w:tcPr>
            <w:tcW w:w="1250" w:type="pct"/>
            <w:vAlign w:val="center"/>
          </w:tcPr>
          <w:p w14:paraId="75C89D4D" w14:textId="77777777" w:rsidR="001E417F" w:rsidRPr="00FF06AC" w:rsidRDefault="00FF06AC" w:rsidP="00FF06AC">
            <w:pPr>
              <w:pStyle w:val="TBLText"/>
            </w:pPr>
            <w:r w:rsidRPr="00FF06AC">
              <w:t>2 Dec 2021</w:t>
            </w:r>
          </w:p>
        </w:tc>
        <w:tc>
          <w:tcPr>
            <w:tcW w:w="1250" w:type="pct"/>
            <w:vAlign w:val="center"/>
          </w:tcPr>
          <w:p w14:paraId="75C89D4E" w14:textId="77777777" w:rsidR="001E417F" w:rsidRPr="00FF06AC" w:rsidRDefault="00716410" w:rsidP="00FF06AC">
            <w:pPr>
              <w:pStyle w:val="TBLText"/>
            </w:pPr>
            <w:r w:rsidRPr="00FF06AC">
              <w:t>Yes</w:t>
            </w:r>
          </w:p>
        </w:tc>
        <w:tc>
          <w:tcPr>
            <w:tcW w:w="1250" w:type="pct"/>
            <w:vAlign w:val="center"/>
          </w:tcPr>
          <w:p w14:paraId="75C89D4F" w14:textId="77777777" w:rsidR="001E417F" w:rsidRPr="00FF06AC" w:rsidRDefault="00FF06AC" w:rsidP="00FF06AC">
            <w:pPr>
              <w:pStyle w:val="TBLText"/>
            </w:pPr>
            <w:r w:rsidRPr="00FF06AC">
              <w:t>Yes</w:t>
            </w:r>
          </w:p>
        </w:tc>
        <w:tc>
          <w:tcPr>
            <w:tcW w:w="1250" w:type="pct"/>
            <w:vAlign w:val="center"/>
          </w:tcPr>
          <w:p w14:paraId="75C89D50" w14:textId="77777777" w:rsidR="001E417F" w:rsidRPr="00FF06AC" w:rsidRDefault="00FF06AC" w:rsidP="00FF06AC">
            <w:pPr>
              <w:pStyle w:val="TBLText"/>
            </w:pPr>
            <w:r w:rsidRPr="00FF06AC">
              <w:t>16 Dec 2021</w:t>
            </w:r>
          </w:p>
        </w:tc>
      </w:tr>
    </w:tbl>
    <w:p w14:paraId="75C89D52" w14:textId="77777777" w:rsidR="00C37227" w:rsidRDefault="00C37227" w:rsidP="00C37227"/>
    <w:p w14:paraId="75C89D53" w14:textId="77777777" w:rsidR="00FF06AC" w:rsidRPr="00B031AC" w:rsidRDefault="00FF06AC" w:rsidP="00FF06AC">
      <w:pPr>
        <w:rPr>
          <w:b/>
          <w:bCs/>
        </w:rPr>
      </w:pPr>
      <w:bookmarkStart w:id="38" w:name="_Toc97121232"/>
      <w:bookmarkStart w:id="39" w:name="_Toc98330783"/>
      <w:r w:rsidRPr="00B031AC">
        <w:t>Amend the National Electricity Rules to revise the framework for compensating market participants if they are worse off due to an intervention.</w:t>
      </w:r>
      <w:bookmarkEnd w:id="38"/>
      <w:bookmarkEnd w:id="39"/>
    </w:p>
    <w:p w14:paraId="75C89D54" w14:textId="77777777" w:rsidR="00C37227" w:rsidRPr="00C37227" w:rsidRDefault="00C37227" w:rsidP="00C37227">
      <w:pPr>
        <w:pStyle w:val="Heading3"/>
      </w:pPr>
      <w:bookmarkStart w:id="40" w:name="_Toc197597359"/>
      <w:bookmarkStart w:id="41" w:name="_Toc200110454"/>
      <w:r>
        <w:t>AEMC - Enhancing resilience in relation to indistinct events</w:t>
      </w:r>
      <w:bookmarkEnd w:id="40"/>
      <w:bookmarkEnd w:id="41"/>
    </w:p>
    <w:p w14:paraId="75C89D55" w14:textId="77777777" w:rsidR="00D03322" w:rsidRDefault="006013CA" w:rsidP="00D03322">
      <w:pPr>
        <w:pStyle w:val="Figure"/>
        <w:ind w:left="567"/>
      </w:pPr>
      <w:bookmarkStart w:id="42" w:name="_Toc98330785"/>
      <w:r>
        <w:t>Enhancing resilience in relation to indistinct events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Enhancing resilience in relation to indistinct events"/>
        <w:tblDescription w:val="Enhancing resilience in relation to indistinct events"/>
      </w:tblPr>
      <w:tblGrid>
        <w:gridCol w:w="1993"/>
        <w:gridCol w:w="1993"/>
        <w:gridCol w:w="1994"/>
        <w:gridCol w:w="1994"/>
      </w:tblGrid>
      <w:tr w:rsidR="001E417F" w14:paraId="75C89D5A"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56"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D57" w14:textId="77777777" w:rsidR="001E417F" w:rsidRPr="006E170D" w:rsidRDefault="00716410" w:rsidP="00FF44DE">
            <w:pPr>
              <w:pStyle w:val="TBLHeading"/>
            </w:pPr>
            <w:r>
              <w:t>Compliant at consultation</w:t>
            </w:r>
          </w:p>
        </w:tc>
        <w:tc>
          <w:tcPr>
            <w:tcW w:w="1250" w:type="pct"/>
            <w:tcBorders>
              <w:top w:val="none" w:sz="0" w:space="0" w:color="auto"/>
              <w:bottom w:val="none" w:sz="0" w:space="0" w:color="auto"/>
            </w:tcBorders>
            <w:vAlign w:val="center"/>
          </w:tcPr>
          <w:p w14:paraId="75C89D58" w14:textId="77777777" w:rsidR="001E417F" w:rsidRPr="006E170D" w:rsidRDefault="001E417F" w:rsidP="00FF44D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59" w14:textId="77777777" w:rsidR="001E417F" w:rsidRPr="006E170D" w:rsidRDefault="001E417F" w:rsidP="00FF44DE">
            <w:pPr>
              <w:pStyle w:val="TBLHeading"/>
            </w:pPr>
            <w:r>
              <w:t>Final RIS published</w:t>
            </w:r>
          </w:p>
        </w:tc>
      </w:tr>
      <w:tr w:rsidR="001E417F" w14:paraId="75C89D5F" w14:textId="77777777" w:rsidTr="000A4249">
        <w:trPr>
          <w:trHeight w:val="20"/>
        </w:trPr>
        <w:tc>
          <w:tcPr>
            <w:tcW w:w="1250" w:type="pct"/>
            <w:vAlign w:val="center"/>
          </w:tcPr>
          <w:p w14:paraId="75C89D5B" w14:textId="77777777" w:rsidR="001E417F" w:rsidRPr="006E170D" w:rsidRDefault="00FF06AC" w:rsidP="00E700DD">
            <w:pPr>
              <w:pStyle w:val="TBLText"/>
            </w:pPr>
            <w:r>
              <w:t>3 Mar</w:t>
            </w:r>
            <w:r w:rsidRPr="00144255">
              <w:t xml:space="preserve"> 202</w:t>
            </w:r>
            <w:r>
              <w:t>2</w:t>
            </w:r>
          </w:p>
        </w:tc>
        <w:tc>
          <w:tcPr>
            <w:tcW w:w="1250" w:type="pct"/>
            <w:vAlign w:val="center"/>
          </w:tcPr>
          <w:p w14:paraId="75C89D5C" w14:textId="77777777" w:rsidR="001E417F" w:rsidRPr="006E170D" w:rsidRDefault="00FF06AC" w:rsidP="00E700DD">
            <w:pPr>
              <w:pStyle w:val="TBLText"/>
            </w:pPr>
            <w:r w:rsidRPr="00144255">
              <w:t>Yes</w:t>
            </w:r>
          </w:p>
        </w:tc>
        <w:tc>
          <w:tcPr>
            <w:tcW w:w="1250" w:type="pct"/>
            <w:vAlign w:val="center"/>
          </w:tcPr>
          <w:p w14:paraId="75C89D5D" w14:textId="77777777" w:rsidR="001E417F" w:rsidRPr="006E170D" w:rsidRDefault="00FF06AC" w:rsidP="00E700DD">
            <w:pPr>
              <w:pStyle w:val="TBLText"/>
            </w:pPr>
            <w:r w:rsidRPr="00144255">
              <w:t>Yes</w:t>
            </w:r>
          </w:p>
        </w:tc>
        <w:tc>
          <w:tcPr>
            <w:tcW w:w="1250" w:type="pct"/>
            <w:vAlign w:val="center"/>
          </w:tcPr>
          <w:p w14:paraId="75C89D5E" w14:textId="77777777" w:rsidR="001E417F" w:rsidRPr="006E170D" w:rsidRDefault="00FF06AC" w:rsidP="00E700DD">
            <w:pPr>
              <w:pStyle w:val="TBLText"/>
            </w:pPr>
            <w:r>
              <w:t>4</w:t>
            </w:r>
            <w:r w:rsidRPr="00144255">
              <w:t xml:space="preserve"> </w:t>
            </w:r>
            <w:r>
              <w:t>Mar</w:t>
            </w:r>
            <w:r w:rsidRPr="00144255">
              <w:t xml:space="preserve"> 202</w:t>
            </w:r>
            <w:r>
              <w:t>2</w:t>
            </w:r>
          </w:p>
        </w:tc>
      </w:tr>
    </w:tbl>
    <w:p w14:paraId="75C89D60" w14:textId="77777777" w:rsidR="00D03322" w:rsidRDefault="00D03322" w:rsidP="00D03322"/>
    <w:p w14:paraId="75C89D61" w14:textId="77777777" w:rsidR="00FF06AC" w:rsidRPr="00693FD8" w:rsidRDefault="00FF06AC" w:rsidP="00FF06AC">
      <w:r w:rsidRPr="00693FD8">
        <w:t xml:space="preserve">The Australian Energy Market Commission’s (AEMC) final rule incorporates indistinct events under the existing contingent event framework and refines reporting requirements. This rule is expected to provide the Australian Energy Market Operator (AEMO) with the ability to better manage system security while avoiding the cost and potential complexity of introducing a new, parallel framework solely for indistinct events. The AEMC sought stakeholder views on the draft determination and received positive feedback regarding the </w:t>
      </w:r>
      <w:r w:rsidRPr="00693FD8">
        <w:lastRenderedPageBreak/>
        <w:t>proposed rule change. Specifically, consultation confirmed that implementation of the rule using existing contingency frameworks is consistent with stakeholder expectations, and is predicted to reduce overall costs.</w:t>
      </w:r>
    </w:p>
    <w:p w14:paraId="75C89D62" w14:textId="77777777" w:rsidR="00D03322" w:rsidRDefault="00D03322" w:rsidP="00D03322">
      <w:pPr>
        <w:pStyle w:val="Heading2"/>
      </w:pPr>
      <w:bookmarkStart w:id="43" w:name="_Toc197597360"/>
      <w:bookmarkStart w:id="44" w:name="_Toc200110455"/>
      <w:r>
        <w:t>Energy Ministers Meeting</w:t>
      </w:r>
      <w:bookmarkEnd w:id="42"/>
      <w:bookmarkEnd w:id="43"/>
      <w:bookmarkEnd w:id="44"/>
    </w:p>
    <w:p w14:paraId="75C89D63" w14:textId="77777777" w:rsidR="00C37227" w:rsidRPr="00C37227" w:rsidRDefault="00C37227" w:rsidP="00C37227">
      <w:pPr>
        <w:pStyle w:val="Heading3"/>
      </w:pPr>
      <w:bookmarkStart w:id="45" w:name="_Toc197597361"/>
      <w:bookmarkStart w:id="46" w:name="_Toc200110456"/>
      <w:r>
        <w:t>Gas Pipeline Regulation</w:t>
      </w:r>
      <w:bookmarkEnd w:id="45"/>
      <w:bookmarkEnd w:id="46"/>
    </w:p>
    <w:p w14:paraId="75C89D64" w14:textId="77777777" w:rsidR="00D03322" w:rsidRPr="00774646" w:rsidRDefault="006013CA" w:rsidP="00D03322">
      <w:pPr>
        <w:pStyle w:val="Figure"/>
        <w:ind w:left="567"/>
      </w:pPr>
      <w:r>
        <w:t>Gas Pipeline Regulation</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Gas Pipeline Regulation"/>
        <w:tblDescription w:val="Gas Pipeline Regulation"/>
      </w:tblPr>
      <w:tblGrid>
        <w:gridCol w:w="1993"/>
        <w:gridCol w:w="1993"/>
        <w:gridCol w:w="1994"/>
        <w:gridCol w:w="1994"/>
      </w:tblGrid>
      <w:tr w:rsidR="001E417F" w14:paraId="75C89D69"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65"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D66" w14:textId="77777777" w:rsidR="001E417F" w:rsidRPr="006E170D" w:rsidRDefault="00716410" w:rsidP="00FF44DE">
            <w:pPr>
              <w:pStyle w:val="TBLHeading"/>
            </w:pPr>
            <w:r>
              <w:t>Compliant at consultation</w:t>
            </w:r>
          </w:p>
        </w:tc>
        <w:tc>
          <w:tcPr>
            <w:tcW w:w="1250" w:type="pct"/>
            <w:tcBorders>
              <w:top w:val="none" w:sz="0" w:space="0" w:color="auto"/>
              <w:bottom w:val="none" w:sz="0" w:space="0" w:color="auto"/>
            </w:tcBorders>
            <w:vAlign w:val="center"/>
          </w:tcPr>
          <w:p w14:paraId="75C89D67" w14:textId="77777777" w:rsidR="001E417F" w:rsidRPr="006E170D" w:rsidRDefault="001E417F" w:rsidP="00FF44D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68" w14:textId="77777777" w:rsidR="001E417F" w:rsidRPr="006E170D" w:rsidRDefault="001E417F" w:rsidP="00FF44DE">
            <w:pPr>
              <w:pStyle w:val="TBLHeading"/>
            </w:pPr>
            <w:r>
              <w:t>Final RIS published</w:t>
            </w:r>
          </w:p>
        </w:tc>
      </w:tr>
      <w:tr w:rsidR="001E417F" w14:paraId="75C89D6E" w14:textId="77777777" w:rsidTr="000A4249">
        <w:trPr>
          <w:trHeight w:val="20"/>
        </w:trPr>
        <w:tc>
          <w:tcPr>
            <w:tcW w:w="1250" w:type="pct"/>
            <w:vAlign w:val="center"/>
          </w:tcPr>
          <w:p w14:paraId="75C89D6A" w14:textId="77777777" w:rsidR="001E417F" w:rsidRPr="006C2B06" w:rsidRDefault="006C2B06" w:rsidP="006C2B06">
            <w:pPr>
              <w:pStyle w:val="TBLText"/>
            </w:pPr>
            <w:r w:rsidRPr="006C2B06">
              <w:t>3 May 2021</w:t>
            </w:r>
          </w:p>
        </w:tc>
        <w:tc>
          <w:tcPr>
            <w:tcW w:w="1250" w:type="pct"/>
            <w:vAlign w:val="center"/>
          </w:tcPr>
          <w:p w14:paraId="75C89D6B" w14:textId="77777777" w:rsidR="001E417F" w:rsidRPr="006C2B06" w:rsidRDefault="006C2B06" w:rsidP="006C2B06">
            <w:pPr>
              <w:pStyle w:val="TBLText"/>
            </w:pPr>
            <w:r w:rsidRPr="006C2B06">
              <w:t>Yes</w:t>
            </w:r>
          </w:p>
        </w:tc>
        <w:tc>
          <w:tcPr>
            <w:tcW w:w="1250" w:type="pct"/>
            <w:vAlign w:val="center"/>
          </w:tcPr>
          <w:p w14:paraId="75C89D6C" w14:textId="77777777" w:rsidR="001E417F" w:rsidRPr="006C2B06" w:rsidRDefault="006C2B06" w:rsidP="006C2B06">
            <w:pPr>
              <w:pStyle w:val="TBLText"/>
            </w:pPr>
            <w:r w:rsidRPr="006C2B06">
              <w:t>Yes</w:t>
            </w:r>
          </w:p>
        </w:tc>
        <w:tc>
          <w:tcPr>
            <w:tcW w:w="1250" w:type="pct"/>
            <w:vAlign w:val="center"/>
          </w:tcPr>
          <w:p w14:paraId="75C89D6D" w14:textId="77777777" w:rsidR="001E417F" w:rsidRPr="006C2B06" w:rsidRDefault="006C2B06" w:rsidP="006C2B06">
            <w:pPr>
              <w:pStyle w:val="TBLText"/>
            </w:pPr>
            <w:r w:rsidRPr="006C2B06">
              <w:t>27 July 2021</w:t>
            </w:r>
          </w:p>
        </w:tc>
      </w:tr>
    </w:tbl>
    <w:p w14:paraId="75C89D6F" w14:textId="77777777" w:rsidR="00D03322" w:rsidRDefault="00D03322" w:rsidP="00D03322"/>
    <w:p w14:paraId="75C89D70" w14:textId="77777777" w:rsidR="006C2B06" w:rsidRPr="00B031AC" w:rsidRDefault="006C2B06" w:rsidP="006C2B06">
      <w:pPr>
        <w:rPr>
          <w:rFonts w:eastAsia="MS Mincho"/>
          <w:b/>
          <w:bCs/>
          <w:lang w:eastAsia="en-AU"/>
        </w:rPr>
      </w:pPr>
      <w:bookmarkStart w:id="47" w:name="_Toc97121234"/>
      <w:bookmarkStart w:id="48" w:name="_Toc98330786"/>
      <w:r w:rsidRPr="00B031AC">
        <w:rPr>
          <w:rFonts w:eastAsia="MS Mincho"/>
          <w:lang w:eastAsia="en-AU"/>
        </w:rPr>
        <w:t>Energy Ministers agreed reforms to deliver a simpler regulatory framework that will continue to support the safe, reliable and efficient use of, and investment in, gas pipelines. The reforms are expected to provide:</w:t>
      </w:r>
      <w:bookmarkEnd w:id="47"/>
      <w:bookmarkEnd w:id="48"/>
    </w:p>
    <w:p w14:paraId="75C89D71" w14:textId="77777777" w:rsidR="006C2B06" w:rsidRPr="00B031AC" w:rsidRDefault="006C2B06" w:rsidP="006C2B06">
      <w:pPr>
        <w:pStyle w:val="BulletedList-Level1"/>
        <w:rPr>
          <w:rFonts w:eastAsia="MS Mincho"/>
          <w:b/>
          <w:bCs/>
          <w:lang w:eastAsia="en-AU"/>
        </w:rPr>
      </w:pPr>
      <w:bookmarkStart w:id="49" w:name="_Toc97121235"/>
      <w:bookmarkStart w:id="50" w:name="_Toc98330787"/>
      <w:r w:rsidRPr="00B031AC">
        <w:rPr>
          <w:rFonts w:eastAsia="MS Mincho"/>
          <w:lang w:eastAsia="en-AU"/>
        </w:rPr>
        <w:t>more effective constraints on market power by pipeline operators;</w:t>
      </w:r>
      <w:bookmarkEnd w:id="49"/>
      <w:bookmarkEnd w:id="50"/>
    </w:p>
    <w:p w14:paraId="75C89D72" w14:textId="77777777" w:rsidR="006C2B06" w:rsidRPr="00B031AC" w:rsidRDefault="006C2B06" w:rsidP="006C2B06">
      <w:pPr>
        <w:pStyle w:val="BulletedList-Level1"/>
        <w:rPr>
          <w:rFonts w:eastAsia="MS Mincho"/>
          <w:b/>
          <w:bCs/>
          <w:lang w:eastAsia="en-AU"/>
        </w:rPr>
      </w:pPr>
      <w:bookmarkStart w:id="51" w:name="_Toc97121236"/>
      <w:bookmarkStart w:id="52" w:name="_Toc98330788"/>
      <w:r w:rsidRPr="00B031AC">
        <w:rPr>
          <w:rFonts w:eastAsia="MS Mincho"/>
          <w:lang w:eastAsia="en-AU"/>
        </w:rPr>
        <w:t>better access to pipelines that would not otherwise provide such access;</w:t>
      </w:r>
      <w:bookmarkEnd w:id="51"/>
      <w:bookmarkEnd w:id="52"/>
    </w:p>
    <w:p w14:paraId="75C89D73" w14:textId="77777777" w:rsidR="006C2B06" w:rsidRPr="00B031AC" w:rsidRDefault="006C2B06" w:rsidP="006C2B06">
      <w:pPr>
        <w:pStyle w:val="BulletedList-Level1"/>
        <w:rPr>
          <w:rFonts w:eastAsia="MS Mincho"/>
          <w:b/>
          <w:bCs/>
          <w:lang w:eastAsia="en-AU"/>
        </w:rPr>
      </w:pPr>
      <w:bookmarkStart w:id="53" w:name="_Toc97121237"/>
      <w:bookmarkStart w:id="54" w:name="_Toc98330789"/>
      <w:r w:rsidRPr="00B031AC">
        <w:rPr>
          <w:rFonts w:eastAsia="MS Mincho"/>
          <w:lang w:eastAsia="en-AU"/>
        </w:rPr>
        <w:t>streamlined governance arrangements; and</w:t>
      </w:r>
      <w:bookmarkEnd w:id="53"/>
      <w:bookmarkEnd w:id="54"/>
    </w:p>
    <w:p w14:paraId="75C89D74" w14:textId="77777777" w:rsidR="006C2B06" w:rsidRPr="00B031AC" w:rsidRDefault="006C2B06" w:rsidP="006C2B06">
      <w:pPr>
        <w:pStyle w:val="BulletedList-Level1"/>
        <w:rPr>
          <w:rFonts w:eastAsia="MS Mincho"/>
          <w:b/>
          <w:bCs/>
          <w:lang w:eastAsia="en-AU"/>
        </w:rPr>
      </w:pPr>
      <w:bookmarkStart w:id="55" w:name="_Toc97121238"/>
      <w:bookmarkStart w:id="56" w:name="_Toc98330790"/>
      <w:proofErr w:type="gramStart"/>
      <w:r w:rsidRPr="00B031AC">
        <w:rPr>
          <w:rFonts w:eastAsia="MS Mincho"/>
          <w:lang w:eastAsia="en-AU"/>
        </w:rPr>
        <w:t>better</w:t>
      </w:r>
      <w:proofErr w:type="gramEnd"/>
      <w:r w:rsidRPr="00B031AC">
        <w:rPr>
          <w:rFonts w:eastAsia="MS Mincho"/>
          <w:lang w:eastAsia="en-AU"/>
        </w:rPr>
        <w:t xml:space="preserve"> support for commercial negotiations between shippers and service providers, through more transparency (including greater price transparency), and improvements to the negotiation framework and dispute resolution mechanisms.</w:t>
      </w:r>
      <w:bookmarkEnd w:id="55"/>
      <w:bookmarkEnd w:id="56"/>
      <w:r w:rsidRPr="00B031AC">
        <w:rPr>
          <w:rFonts w:eastAsia="MS Mincho"/>
          <w:lang w:eastAsia="en-AU"/>
        </w:rPr>
        <w:t xml:space="preserve"> </w:t>
      </w:r>
    </w:p>
    <w:p w14:paraId="75C89D75" w14:textId="77777777" w:rsidR="00D03322" w:rsidRDefault="00D03322" w:rsidP="00D03322">
      <w:pPr>
        <w:pStyle w:val="Heading2"/>
      </w:pPr>
      <w:bookmarkStart w:id="57" w:name="_Toc98330791"/>
      <w:bookmarkStart w:id="58" w:name="_Toc197597362"/>
      <w:bookmarkStart w:id="59" w:name="_Toc200110457"/>
      <w:r>
        <w:t>Gene Technology Ministers Meeting</w:t>
      </w:r>
      <w:bookmarkEnd w:id="57"/>
      <w:bookmarkEnd w:id="58"/>
      <w:bookmarkEnd w:id="59"/>
    </w:p>
    <w:p w14:paraId="75C89D76" w14:textId="77777777" w:rsidR="00D03322" w:rsidRPr="00D03322" w:rsidRDefault="00C37227" w:rsidP="00C37227">
      <w:pPr>
        <w:pStyle w:val="Heading3"/>
      </w:pPr>
      <w:bookmarkStart w:id="60" w:name="_Toc197597363"/>
      <w:bookmarkStart w:id="61" w:name="_Toc200110458"/>
      <w:r>
        <w:t>Modernising and Future Proofing the National Gene Technology Scheme</w:t>
      </w:r>
      <w:bookmarkEnd w:id="60"/>
      <w:bookmarkEnd w:id="61"/>
    </w:p>
    <w:p w14:paraId="75C89D77" w14:textId="77777777" w:rsidR="00D03322" w:rsidRPr="00774646" w:rsidRDefault="006013CA" w:rsidP="00D03322">
      <w:pPr>
        <w:pStyle w:val="Figure"/>
        <w:ind w:left="567"/>
      </w:pPr>
      <w:r>
        <w:t>Modernising and Future Proofing the National Gene Technology Scheme</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Modernising and Future Proofing the National Gene Technology Scheme"/>
        <w:tblDescription w:val="Modernising and Future Proofing the National Gene Technology Scheme"/>
      </w:tblPr>
      <w:tblGrid>
        <w:gridCol w:w="1993"/>
        <w:gridCol w:w="1993"/>
        <w:gridCol w:w="1994"/>
        <w:gridCol w:w="1994"/>
      </w:tblGrid>
      <w:tr w:rsidR="001E417F" w14:paraId="75C89D7C"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78"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D79" w14:textId="77777777" w:rsidR="001E417F" w:rsidRPr="006E170D" w:rsidRDefault="00716410" w:rsidP="00FF44DE">
            <w:pPr>
              <w:pStyle w:val="TBLHeading"/>
            </w:pPr>
            <w:r>
              <w:t>Compliant at consultation</w:t>
            </w:r>
          </w:p>
        </w:tc>
        <w:tc>
          <w:tcPr>
            <w:tcW w:w="1250" w:type="pct"/>
            <w:tcBorders>
              <w:top w:val="none" w:sz="0" w:space="0" w:color="auto"/>
              <w:bottom w:val="none" w:sz="0" w:space="0" w:color="auto"/>
            </w:tcBorders>
            <w:vAlign w:val="center"/>
          </w:tcPr>
          <w:p w14:paraId="75C89D7A" w14:textId="77777777" w:rsidR="001E417F" w:rsidRPr="006E170D" w:rsidRDefault="001E417F" w:rsidP="00FF44D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7B" w14:textId="77777777" w:rsidR="001E417F" w:rsidRPr="006E170D" w:rsidRDefault="001E417F" w:rsidP="00FF44DE">
            <w:pPr>
              <w:pStyle w:val="TBLHeading"/>
            </w:pPr>
            <w:r>
              <w:t>Final RIS published</w:t>
            </w:r>
          </w:p>
        </w:tc>
      </w:tr>
      <w:tr w:rsidR="001E417F" w14:paraId="75C89D81" w14:textId="77777777" w:rsidTr="000A4249">
        <w:trPr>
          <w:trHeight w:val="20"/>
        </w:trPr>
        <w:tc>
          <w:tcPr>
            <w:tcW w:w="1250" w:type="pct"/>
            <w:vAlign w:val="center"/>
          </w:tcPr>
          <w:p w14:paraId="75C89D7D" w14:textId="77777777" w:rsidR="001E417F" w:rsidRPr="007E395D" w:rsidRDefault="007E395D" w:rsidP="007E395D">
            <w:pPr>
              <w:pStyle w:val="TBLText"/>
            </w:pPr>
            <w:r w:rsidRPr="007E395D">
              <w:t>20 July 2021</w:t>
            </w:r>
          </w:p>
        </w:tc>
        <w:tc>
          <w:tcPr>
            <w:tcW w:w="1250" w:type="pct"/>
            <w:vAlign w:val="center"/>
          </w:tcPr>
          <w:p w14:paraId="75C89D7E" w14:textId="77777777" w:rsidR="001E417F" w:rsidRPr="007E395D" w:rsidRDefault="007E395D" w:rsidP="007E395D">
            <w:pPr>
              <w:pStyle w:val="TBLText"/>
            </w:pPr>
            <w:r w:rsidRPr="007E395D">
              <w:t>Yes</w:t>
            </w:r>
          </w:p>
        </w:tc>
        <w:tc>
          <w:tcPr>
            <w:tcW w:w="1250" w:type="pct"/>
            <w:vAlign w:val="center"/>
          </w:tcPr>
          <w:p w14:paraId="75C89D7F" w14:textId="77777777" w:rsidR="001E417F" w:rsidRPr="007E395D" w:rsidRDefault="007E395D" w:rsidP="007E395D">
            <w:pPr>
              <w:pStyle w:val="TBLText"/>
            </w:pPr>
            <w:r w:rsidRPr="007E395D">
              <w:t>Yes</w:t>
            </w:r>
          </w:p>
        </w:tc>
        <w:tc>
          <w:tcPr>
            <w:tcW w:w="1250" w:type="pct"/>
            <w:vAlign w:val="center"/>
          </w:tcPr>
          <w:p w14:paraId="75C89D80" w14:textId="77777777" w:rsidR="001E417F" w:rsidRPr="007E395D" w:rsidRDefault="007E395D" w:rsidP="007E395D">
            <w:pPr>
              <w:pStyle w:val="TBLText"/>
            </w:pPr>
            <w:r w:rsidRPr="007E395D">
              <w:t>3 Sept 2021</w:t>
            </w:r>
          </w:p>
        </w:tc>
      </w:tr>
    </w:tbl>
    <w:p w14:paraId="75C89D82" w14:textId="77777777" w:rsidR="007E395D" w:rsidRDefault="007E395D" w:rsidP="007E395D">
      <w:bookmarkStart w:id="62" w:name="_Toc97121240"/>
      <w:bookmarkStart w:id="63" w:name="_Toc98330792"/>
    </w:p>
    <w:p w14:paraId="75C89D83" w14:textId="77777777" w:rsidR="007E395D" w:rsidRPr="00B031AC" w:rsidRDefault="007E395D" w:rsidP="007E395D">
      <w:pPr>
        <w:rPr>
          <w:b/>
          <w:bCs/>
        </w:rPr>
      </w:pPr>
      <w:r w:rsidRPr="00B031AC">
        <w:t>Reforms to address key recommendations of the Third Review of the National Gene Technology Scheme. The level of risk oversight for genetically modified organisms (GMO) will be determined entirely by the level of indicative risk, taking into account matters such as the characteristics of the GMO, the type of dealings and whether effective risk management measures are known.</w:t>
      </w:r>
      <w:bookmarkEnd w:id="62"/>
      <w:bookmarkEnd w:id="63"/>
    </w:p>
    <w:p w14:paraId="75C89D84" w14:textId="77777777" w:rsidR="00D03322" w:rsidRDefault="00D03322" w:rsidP="00D03322">
      <w:pPr>
        <w:pStyle w:val="Heading2"/>
      </w:pPr>
      <w:r>
        <w:rPr>
          <w:rFonts w:ascii="Montserrat" w:hAnsi="Montserrat"/>
          <w:color w:val="343A40"/>
          <w:sz w:val="20"/>
          <w:szCs w:val="20"/>
          <w:shd w:val="clear" w:color="auto" w:fill="FFFFFF"/>
        </w:rPr>
        <w:lastRenderedPageBreak/>
        <w:t> </w:t>
      </w:r>
      <w:bookmarkStart w:id="64" w:name="_Toc98330793"/>
      <w:bookmarkStart w:id="65" w:name="_Toc197597364"/>
      <w:bookmarkStart w:id="66" w:name="_Toc200110459"/>
      <w:r w:rsidRPr="007A3D3E">
        <w:t>Infrast</w:t>
      </w:r>
      <w:r w:rsidR="00C37227">
        <w:t>ructure and Transport Ministers</w:t>
      </w:r>
      <w:r w:rsidRPr="007A3D3E">
        <w:t xml:space="preserve"> Meeting</w:t>
      </w:r>
      <w:bookmarkEnd w:id="64"/>
      <w:bookmarkEnd w:id="65"/>
      <w:bookmarkEnd w:id="66"/>
      <w:r>
        <w:t xml:space="preserve"> </w:t>
      </w:r>
    </w:p>
    <w:p w14:paraId="75C89D85" w14:textId="77777777" w:rsidR="00C37227" w:rsidRPr="00C37227" w:rsidRDefault="00C37227" w:rsidP="00C37227">
      <w:pPr>
        <w:pStyle w:val="Heading3"/>
      </w:pPr>
      <w:bookmarkStart w:id="67" w:name="_Toc197597365"/>
      <w:bookmarkStart w:id="68" w:name="_Toc200110460"/>
      <w:r>
        <w:t>Reforms for the Disability Standards for Accessible Public Transport 2002</w:t>
      </w:r>
      <w:bookmarkEnd w:id="67"/>
      <w:bookmarkEnd w:id="68"/>
    </w:p>
    <w:p w14:paraId="75C89D86" w14:textId="77777777" w:rsidR="00D03322" w:rsidRPr="00774646" w:rsidRDefault="006013CA" w:rsidP="00D03322">
      <w:pPr>
        <w:pStyle w:val="Figure"/>
        <w:ind w:left="567"/>
      </w:pPr>
      <w:r>
        <w:t>Reforms for the Disability Standards for Accessible Public Transport 2002</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Reforms for the Disability Standards for Accessible Public Transport 2002"/>
        <w:tblDescription w:val="Reforms for the Disability Standards for Accessible Public Transport 2002"/>
      </w:tblPr>
      <w:tblGrid>
        <w:gridCol w:w="1993"/>
        <w:gridCol w:w="1993"/>
        <w:gridCol w:w="1994"/>
        <w:gridCol w:w="1994"/>
      </w:tblGrid>
      <w:tr w:rsidR="001E417F" w14:paraId="75C89D8B"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87"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D88" w14:textId="77777777" w:rsidR="001E417F" w:rsidRPr="006E170D" w:rsidRDefault="00716410" w:rsidP="00FF44DE">
            <w:pPr>
              <w:pStyle w:val="TBLHeading"/>
            </w:pPr>
            <w:r>
              <w:t>Compliant at consultation</w:t>
            </w:r>
          </w:p>
        </w:tc>
        <w:tc>
          <w:tcPr>
            <w:tcW w:w="1250" w:type="pct"/>
            <w:tcBorders>
              <w:top w:val="none" w:sz="0" w:space="0" w:color="auto"/>
              <w:bottom w:val="none" w:sz="0" w:space="0" w:color="auto"/>
            </w:tcBorders>
            <w:vAlign w:val="center"/>
          </w:tcPr>
          <w:p w14:paraId="75C89D89" w14:textId="77777777" w:rsidR="001E417F" w:rsidRPr="006E170D" w:rsidRDefault="001E417F" w:rsidP="00FF44D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8A" w14:textId="77777777" w:rsidR="001E417F" w:rsidRPr="006E170D" w:rsidRDefault="001E417F" w:rsidP="00FF44DE">
            <w:pPr>
              <w:pStyle w:val="TBLHeading"/>
            </w:pPr>
            <w:r>
              <w:t>Final RIS published</w:t>
            </w:r>
          </w:p>
        </w:tc>
      </w:tr>
      <w:tr w:rsidR="001E417F" w14:paraId="75C89D90" w14:textId="77777777" w:rsidTr="000A4249">
        <w:trPr>
          <w:trHeight w:val="20"/>
        </w:trPr>
        <w:tc>
          <w:tcPr>
            <w:tcW w:w="1250" w:type="pct"/>
            <w:vAlign w:val="center"/>
          </w:tcPr>
          <w:p w14:paraId="75C89D8C" w14:textId="77777777" w:rsidR="001E417F" w:rsidRPr="007E395D" w:rsidRDefault="007E395D" w:rsidP="007E395D">
            <w:pPr>
              <w:pStyle w:val="TBLText"/>
            </w:pPr>
            <w:r w:rsidRPr="007E395D">
              <w:t>11 Feb 2022</w:t>
            </w:r>
          </w:p>
        </w:tc>
        <w:tc>
          <w:tcPr>
            <w:tcW w:w="1250" w:type="pct"/>
            <w:vAlign w:val="center"/>
          </w:tcPr>
          <w:p w14:paraId="75C89D8D" w14:textId="77777777" w:rsidR="001E417F" w:rsidRPr="007E395D" w:rsidRDefault="007E395D" w:rsidP="007E395D">
            <w:pPr>
              <w:pStyle w:val="TBLText"/>
            </w:pPr>
            <w:r w:rsidRPr="007E395D">
              <w:t>Yes</w:t>
            </w:r>
          </w:p>
        </w:tc>
        <w:tc>
          <w:tcPr>
            <w:tcW w:w="1250" w:type="pct"/>
            <w:vAlign w:val="center"/>
          </w:tcPr>
          <w:p w14:paraId="75C89D8E" w14:textId="77777777" w:rsidR="001E417F" w:rsidRPr="007E395D" w:rsidRDefault="007E395D" w:rsidP="007E395D">
            <w:pPr>
              <w:pStyle w:val="TBLText"/>
            </w:pPr>
            <w:r w:rsidRPr="007E395D">
              <w:t>Yes</w:t>
            </w:r>
          </w:p>
        </w:tc>
        <w:tc>
          <w:tcPr>
            <w:tcW w:w="1250" w:type="pct"/>
            <w:vAlign w:val="center"/>
          </w:tcPr>
          <w:p w14:paraId="75C89D8F" w14:textId="77777777" w:rsidR="001E417F" w:rsidRPr="007E395D" w:rsidRDefault="007E395D" w:rsidP="007E395D">
            <w:pPr>
              <w:pStyle w:val="TBLText"/>
            </w:pPr>
            <w:r w:rsidRPr="007E395D">
              <w:t>17 Feb 2022</w:t>
            </w:r>
          </w:p>
        </w:tc>
      </w:tr>
    </w:tbl>
    <w:p w14:paraId="75C89D91" w14:textId="77777777" w:rsidR="007E395D" w:rsidRDefault="007E395D" w:rsidP="007E395D">
      <w:bookmarkStart w:id="69" w:name="_Toc97121242"/>
      <w:bookmarkStart w:id="70" w:name="_Toc98330794"/>
      <w:bookmarkStart w:id="71" w:name="_Toc98330797"/>
    </w:p>
    <w:p w14:paraId="75C89D92" w14:textId="77777777" w:rsidR="007E395D" w:rsidRPr="00B031AC" w:rsidRDefault="007E395D" w:rsidP="007E395D">
      <w:pPr>
        <w:rPr>
          <w:b/>
          <w:bCs/>
        </w:rPr>
      </w:pPr>
      <w:r w:rsidRPr="00B031AC">
        <w:t>On 11 February 2022, the Infrastructure and Transport Ministers’ Meeting confirmed a number of reforms related to accessibility of public transport for the disability community.</w:t>
      </w:r>
      <w:bookmarkEnd w:id="69"/>
      <w:bookmarkEnd w:id="70"/>
    </w:p>
    <w:p w14:paraId="75C89D93" w14:textId="77777777" w:rsidR="007E395D" w:rsidRPr="00B031AC" w:rsidRDefault="007E395D" w:rsidP="007E395D">
      <w:pPr>
        <w:rPr>
          <w:b/>
          <w:bCs/>
        </w:rPr>
      </w:pPr>
      <w:bookmarkStart w:id="72" w:name="_Toc97121243"/>
      <w:bookmarkStart w:id="73" w:name="_Toc98330795"/>
      <w:r w:rsidRPr="00B031AC">
        <w:t>16 areas of reform were identified throughout the reform process and different policy options for each of these areas were explored in a Decision Regulation Impact Statement.</w:t>
      </w:r>
      <w:bookmarkEnd w:id="72"/>
      <w:bookmarkEnd w:id="73"/>
    </w:p>
    <w:p w14:paraId="75C89D94" w14:textId="77777777" w:rsidR="007E395D" w:rsidRPr="00B031AC" w:rsidRDefault="007E395D" w:rsidP="007E395D">
      <w:pPr>
        <w:rPr>
          <w:b/>
          <w:bCs/>
        </w:rPr>
      </w:pPr>
      <w:bookmarkStart w:id="74" w:name="_Toc97121244"/>
      <w:bookmarkStart w:id="75" w:name="_Toc98330796"/>
      <w:r w:rsidRPr="00B031AC">
        <w:t>The Department of Infrastructure, Transport, Regional Development and Communications prepared the decision-making RIS that was provided to the Ministers’ Meeting to inform their discussion.</w:t>
      </w:r>
      <w:bookmarkEnd w:id="74"/>
      <w:bookmarkEnd w:id="75"/>
    </w:p>
    <w:p w14:paraId="75C89D95" w14:textId="77777777" w:rsidR="00D03322" w:rsidRDefault="00D03322" w:rsidP="00D03322">
      <w:pPr>
        <w:pStyle w:val="Heading2"/>
      </w:pPr>
      <w:bookmarkStart w:id="76" w:name="_Toc197597366"/>
      <w:bookmarkStart w:id="77" w:name="_Toc200110461"/>
      <w:r>
        <w:t>National Transport Commission</w:t>
      </w:r>
      <w:bookmarkEnd w:id="71"/>
      <w:bookmarkEnd w:id="76"/>
      <w:bookmarkEnd w:id="77"/>
    </w:p>
    <w:p w14:paraId="75C89D96" w14:textId="77777777" w:rsidR="00C37227" w:rsidRPr="00C37227" w:rsidRDefault="00C37227" w:rsidP="00C37227">
      <w:pPr>
        <w:pStyle w:val="Heading3"/>
      </w:pPr>
      <w:bookmarkStart w:id="78" w:name="_Toc197597367"/>
      <w:bookmarkStart w:id="79" w:name="_Toc200110462"/>
      <w:r>
        <w:t>Developing Technology Neutral Road Rules for Driver Distraction</w:t>
      </w:r>
      <w:bookmarkEnd w:id="78"/>
      <w:bookmarkEnd w:id="79"/>
    </w:p>
    <w:p w14:paraId="75C89D97" w14:textId="77777777" w:rsidR="00D03322" w:rsidRPr="00774646" w:rsidRDefault="00731174" w:rsidP="00D03322">
      <w:pPr>
        <w:pStyle w:val="Figure"/>
        <w:ind w:left="567"/>
      </w:pPr>
      <w:r>
        <w:t>Developing Neutral Road Rules for Driver Distraction</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veloping Neutral Road Rules for Driver Distraction"/>
        <w:tblDescription w:val="Developing Neutral Road Rules for Driver Distraction"/>
      </w:tblPr>
      <w:tblGrid>
        <w:gridCol w:w="1993"/>
        <w:gridCol w:w="1993"/>
        <w:gridCol w:w="1994"/>
        <w:gridCol w:w="1994"/>
      </w:tblGrid>
      <w:tr w:rsidR="001E417F" w14:paraId="75C89D9C"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98"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D99" w14:textId="77777777" w:rsidR="001E417F" w:rsidRPr="006E170D" w:rsidRDefault="00716410" w:rsidP="00FF44DE">
            <w:pPr>
              <w:pStyle w:val="TBLHeading"/>
            </w:pPr>
            <w:r>
              <w:t>Compliant at consultation</w:t>
            </w:r>
          </w:p>
        </w:tc>
        <w:tc>
          <w:tcPr>
            <w:tcW w:w="1250" w:type="pct"/>
            <w:tcBorders>
              <w:top w:val="none" w:sz="0" w:space="0" w:color="auto"/>
              <w:bottom w:val="none" w:sz="0" w:space="0" w:color="auto"/>
            </w:tcBorders>
            <w:vAlign w:val="center"/>
          </w:tcPr>
          <w:p w14:paraId="75C89D9A" w14:textId="77777777" w:rsidR="001E417F" w:rsidRPr="006E170D" w:rsidRDefault="001E417F" w:rsidP="00FF44D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9B" w14:textId="77777777" w:rsidR="001E417F" w:rsidRPr="006E170D" w:rsidRDefault="001E417F" w:rsidP="00FF44DE">
            <w:pPr>
              <w:pStyle w:val="TBLHeading"/>
            </w:pPr>
            <w:r>
              <w:t>Final RIS published</w:t>
            </w:r>
          </w:p>
        </w:tc>
      </w:tr>
      <w:tr w:rsidR="001E417F" w14:paraId="75C89DA1" w14:textId="77777777" w:rsidTr="000A4249">
        <w:trPr>
          <w:trHeight w:val="20"/>
        </w:trPr>
        <w:tc>
          <w:tcPr>
            <w:tcW w:w="1250" w:type="pct"/>
            <w:vAlign w:val="center"/>
          </w:tcPr>
          <w:p w14:paraId="75C89D9D" w14:textId="77777777" w:rsidR="001E417F" w:rsidRPr="006F3BE4" w:rsidRDefault="006F3BE4" w:rsidP="006F3BE4">
            <w:pPr>
              <w:pStyle w:val="TBLText"/>
            </w:pPr>
            <w:r w:rsidRPr="006F3BE4">
              <w:t>20 Nov 2020</w:t>
            </w:r>
          </w:p>
        </w:tc>
        <w:tc>
          <w:tcPr>
            <w:tcW w:w="1250" w:type="pct"/>
            <w:vAlign w:val="center"/>
          </w:tcPr>
          <w:p w14:paraId="75C89D9E" w14:textId="77777777" w:rsidR="001E417F" w:rsidRPr="006F3BE4" w:rsidRDefault="006F3BE4" w:rsidP="006F3BE4">
            <w:pPr>
              <w:pStyle w:val="TBLText"/>
            </w:pPr>
            <w:r w:rsidRPr="006F3BE4">
              <w:t>Yes</w:t>
            </w:r>
          </w:p>
        </w:tc>
        <w:tc>
          <w:tcPr>
            <w:tcW w:w="1250" w:type="pct"/>
            <w:vAlign w:val="center"/>
          </w:tcPr>
          <w:p w14:paraId="75C89D9F" w14:textId="77777777" w:rsidR="001E417F" w:rsidRPr="006F3BE4" w:rsidRDefault="006F3BE4" w:rsidP="006F3BE4">
            <w:pPr>
              <w:pStyle w:val="TBLText"/>
            </w:pPr>
            <w:r w:rsidRPr="006F3BE4">
              <w:t>Yes</w:t>
            </w:r>
          </w:p>
        </w:tc>
        <w:tc>
          <w:tcPr>
            <w:tcW w:w="1250" w:type="pct"/>
            <w:vAlign w:val="center"/>
          </w:tcPr>
          <w:p w14:paraId="75C89DA0" w14:textId="77777777" w:rsidR="001E417F" w:rsidRPr="006F3BE4" w:rsidRDefault="006F3BE4" w:rsidP="006F3BE4">
            <w:pPr>
              <w:pStyle w:val="TBLText"/>
            </w:pPr>
            <w:r w:rsidRPr="006F3BE4">
              <w:t>16 July 2021</w:t>
            </w:r>
          </w:p>
        </w:tc>
      </w:tr>
    </w:tbl>
    <w:p w14:paraId="75C89DA2" w14:textId="77777777" w:rsidR="006F3BE4" w:rsidRDefault="006F3BE4" w:rsidP="006F3BE4">
      <w:bookmarkStart w:id="80" w:name="_Toc97121246"/>
      <w:bookmarkStart w:id="81" w:name="_Toc98330798"/>
    </w:p>
    <w:p w14:paraId="75C89DA3" w14:textId="77777777" w:rsidR="006F3BE4" w:rsidRPr="00D71B3F" w:rsidRDefault="006F3BE4" w:rsidP="006F3BE4">
      <w:pPr>
        <w:rPr>
          <w:b/>
          <w:bCs/>
        </w:rPr>
      </w:pPr>
      <w:r w:rsidRPr="00D71B3F">
        <w:t>The endorsed recommendations seek to address all sources of distraction while driving and provide a technology-neutral approach to regulate interactions with technology in the ARRs.</w:t>
      </w:r>
      <w:bookmarkEnd w:id="80"/>
      <w:bookmarkEnd w:id="81"/>
    </w:p>
    <w:p w14:paraId="75C89DA4" w14:textId="77777777" w:rsidR="006F3BE4" w:rsidRDefault="006F3BE4" w:rsidP="006F3BE4">
      <w:pPr>
        <w:rPr>
          <w:b/>
          <w:bCs/>
        </w:rPr>
      </w:pPr>
      <w:bookmarkStart w:id="82" w:name="_Toc97121247"/>
      <w:bookmarkStart w:id="83" w:name="_Toc98330799"/>
      <w:r w:rsidRPr="00D71B3F">
        <w:t>The recommendations also amend the ARRs to adopt a hybrid policy approach (using both prescriptive and performance-based rules) to clarify what the public can and cannot do safety when interacting with technology while driving.</w:t>
      </w:r>
      <w:bookmarkEnd w:id="82"/>
      <w:bookmarkEnd w:id="83"/>
    </w:p>
    <w:p w14:paraId="75C89DA5" w14:textId="77777777" w:rsidR="00D03322" w:rsidRDefault="00C37227" w:rsidP="00C37227">
      <w:pPr>
        <w:pStyle w:val="Heading3"/>
      </w:pPr>
      <w:bookmarkStart w:id="84" w:name="_Toc197597368"/>
      <w:bookmarkStart w:id="85" w:name="_Toc200110463"/>
      <w:r>
        <w:t>Barriers to the safe use of innovative vehicles and motorised mobility devices</w:t>
      </w:r>
      <w:bookmarkEnd w:id="84"/>
      <w:bookmarkEnd w:id="85"/>
    </w:p>
    <w:p w14:paraId="75C89DA6" w14:textId="77777777" w:rsidR="00D03322" w:rsidRPr="00774646" w:rsidRDefault="00731174" w:rsidP="00D03322">
      <w:pPr>
        <w:pStyle w:val="Figure"/>
        <w:ind w:left="567"/>
      </w:pPr>
      <w:r>
        <w:t>Barriers to the safe use of innovative vehicles and motorised mobility devices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Barriers to the safe use of innovative vehicles and motorised mobility devices"/>
        <w:tblDescription w:val="Barriers to the safe use of innovative vehicles and motorised mobility devices"/>
      </w:tblPr>
      <w:tblGrid>
        <w:gridCol w:w="1993"/>
        <w:gridCol w:w="1993"/>
        <w:gridCol w:w="1994"/>
        <w:gridCol w:w="1994"/>
      </w:tblGrid>
      <w:tr w:rsidR="001E417F" w14:paraId="75C89DAB" w14:textId="77777777" w:rsidTr="000A424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A7" w14:textId="77777777" w:rsidR="001E417F" w:rsidRPr="006E170D" w:rsidRDefault="001E417F" w:rsidP="00FF44DE">
            <w:pPr>
              <w:pStyle w:val="TBLHeading"/>
            </w:pPr>
            <w:r>
              <w:t>Compliant at consultation</w:t>
            </w:r>
          </w:p>
        </w:tc>
        <w:tc>
          <w:tcPr>
            <w:tcW w:w="1250" w:type="pct"/>
            <w:tcBorders>
              <w:top w:val="none" w:sz="0" w:space="0" w:color="auto"/>
              <w:bottom w:val="none" w:sz="0" w:space="0" w:color="auto"/>
            </w:tcBorders>
            <w:vAlign w:val="center"/>
          </w:tcPr>
          <w:p w14:paraId="75C89DA8" w14:textId="77777777" w:rsidR="001E417F" w:rsidRPr="006E170D" w:rsidRDefault="00716410" w:rsidP="00FF44DE">
            <w:pPr>
              <w:pStyle w:val="TBLHeading"/>
            </w:pPr>
            <w:r>
              <w:t>Compliant at consultation</w:t>
            </w:r>
          </w:p>
        </w:tc>
        <w:tc>
          <w:tcPr>
            <w:tcW w:w="1250" w:type="pct"/>
            <w:tcBorders>
              <w:top w:val="none" w:sz="0" w:space="0" w:color="auto"/>
              <w:bottom w:val="none" w:sz="0" w:space="0" w:color="auto"/>
            </w:tcBorders>
            <w:vAlign w:val="center"/>
          </w:tcPr>
          <w:p w14:paraId="75C89DA9" w14:textId="77777777" w:rsidR="001E417F" w:rsidRPr="006E170D" w:rsidRDefault="001E417F" w:rsidP="00FF44D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AA" w14:textId="77777777" w:rsidR="001E417F" w:rsidRPr="006E170D" w:rsidRDefault="001E417F" w:rsidP="00FF44DE">
            <w:pPr>
              <w:pStyle w:val="TBLHeading"/>
            </w:pPr>
            <w:r>
              <w:t>Final RIS published</w:t>
            </w:r>
          </w:p>
        </w:tc>
      </w:tr>
      <w:tr w:rsidR="001E417F" w14:paraId="75C89DB0" w14:textId="77777777" w:rsidTr="000A4249">
        <w:trPr>
          <w:trHeight w:val="20"/>
        </w:trPr>
        <w:tc>
          <w:tcPr>
            <w:tcW w:w="1250" w:type="pct"/>
            <w:vAlign w:val="center"/>
          </w:tcPr>
          <w:p w14:paraId="75C89DAC" w14:textId="77777777" w:rsidR="001E417F" w:rsidRPr="00417F84" w:rsidRDefault="00417F84" w:rsidP="00417F84">
            <w:pPr>
              <w:pStyle w:val="TBLText"/>
            </w:pPr>
            <w:r w:rsidRPr="00417F84">
              <w:t>20 Nov 2020</w:t>
            </w:r>
          </w:p>
        </w:tc>
        <w:tc>
          <w:tcPr>
            <w:tcW w:w="1250" w:type="pct"/>
            <w:vAlign w:val="center"/>
          </w:tcPr>
          <w:p w14:paraId="75C89DAD" w14:textId="77777777" w:rsidR="001E417F" w:rsidRPr="00417F84" w:rsidRDefault="00417F84" w:rsidP="00417F84">
            <w:pPr>
              <w:pStyle w:val="TBLText"/>
            </w:pPr>
            <w:r w:rsidRPr="00417F84">
              <w:t>Yes</w:t>
            </w:r>
          </w:p>
        </w:tc>
        <w:tc>
          <w:tcPr>
            <w:tcW w:w="1250" w:type="pct"/>
            <w:vAlign w:val="center"/>
          </w:tcPr>
          <w:p w14:paraId="75C89DAE" w14:textId="77777777" w:rsidR="001E417F" w:rsidRPr="00417F84" w:rsidRDefault="00417F84" w:rsidP="00417F84">
            <w:pPr>
              <w:pStyle w:val="TBLText"/>
            </w:pPr>
            <w:r w:rsidRPr="00417F84">
              <w:t>Yes</w:t>
            </w:r>
          </w:p>
        </w:tc>
        <w:tc>
          <w:tcPr>
            <w:tcW w:w="1250" w:type="pct"/>
            <w:vAlign w:val="center"/>
          </w:tcPr>
          <w:p w14:paraId="75C89DAF" w14:textId="77777777" w:rsidR="001E417F" w:rsidRPr="00417F84" w:rsidRDefault="00417F84" w:rsidP="00417F84">
            <w:pPr>
              <w:pStyle w:val="TBLText"/>
            </w:pPr>
            <w:r w:rsidRPr="00417F84">
              <w:t>16 July 2021</w:t>
            </w:r>
          </w:p>
        </w:tc>
      </w:tr>
    </w:tbl>
    <w:p w14:paraId="75C89DB1" w14:textId="77777777" w:rsidR="00417F84" w:rsidRDefault="00417F84" w:rsidP="00417F84">
      <w:bookmarkStart w:id="86" w:name="_Toc97121248"/>
      <w:bookmarkStart w:id="87" w:name="_Toc98330800"/>
    </w:p>
    <w:p w14:paraId="75C89DB2" w14:textId="77777777" w:rsidR="00417F84" w:rsidRDefault="00417F84" w:rsidP="00417F84">
      <w:r>
        <w:t xml:space="preserve">Reforms to personal mobility devised to </w:t>
      </w:r>
      <w:r w:rsidRPr="00D71B3F">
        <w:t>access road and path infrastructure</w:t>
      </w:r>
      <w:r>
        <w:t>,</w:t>
      </w:r>
      <w:r w:rsidRPr="00D71B3F">
        <w:t xml:space="preserve"> and three speed approaches. The analysis conducted by the NTC includes an assessment of safety risks, access and amenity impacts, broader economic impacts, as well as compliance and enforcement challenges.</w:t>
      </w:r>
      <w:bookmarkEnd w:id="86"/>
      <w:bookmarkEnd w:id="87"/>
    </w:p>
    <w:p w14:paraId="75C89DB3" w14:textId="77777777" w:rsidR="006E54E1" w:rsidRPr="006E54E1" w:rsidRDefault="006E54E1" w:rsidP="006E54E1">
      <w:pPr>
        <w:pStyle w:val="Heading3"/>
        <w:rPr>
          <w:rFonts w:eastAsia="Times New Roman"/>
          <w:lang w:eastAsia="en-AU"/>
        </w:rPr>
      </w:pPr>
      <w:bookmarkStart w:id="88" w:name="_Toc197597369"/>
      <w:bookmarkStart w:id="89" w:name="_Toc200110464"/>
      <w:r w:rsidRPr="0EEE04EA">
        <w:rPr>
          <w:rFonts w:eastAsia="Times New Roman"/>
          <w:lang w:eastAsia="en-AU"/>
        </w:rPr>
        <w:t>The regulatory framework for automated vehicles in Australia</w:t>
      </w:r>
      <w:bookmarkEnd w:id="88"/>
      <w:bookmarkEnd w:id="89"/>
    </w:p>
    <w:p w14:paraId="75C89DB4" w14:textId="77777777" w:rsidR="006E54E1" w:rsidRPr="00774646" w:rsidRDefault="006E54E1" w:rsidP="006E54E1">
      <w:pPr>
        <w:pStyle w:val="Figure"/>
        <w:ind w:left="567"/>
      </w:pPr>
      <w:r>
        <w:t>The regulatory framework for automated vehicles in Australia</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The regulatory framework for automated vehicles in Australia"/>
        <w:tblDescription w:val="The regulatory framework for automated vehicles in Australia"/>
      </w:tblPr>
      <w:tblGrid>
        <w:gridCol w:w="1993"/>
        <w:gridCol w:w="1993"/>
        <w:gridCol w:w="1994"/>
        <w:gridCol w:w="1994"/>
      </w:tblGrid>
      <w:tr w:rsidR="006E54E1" w14:paraId="75C89DB9" w14:textId="77777777" w:rsidTr="008C0F10">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5C89DB5" w14:textId="77777777" w:rsidR="006E54E1" w:rsidRPr="006E170D" w:rsidRDefault="006E54E1" w:rsidP="008C0F10">
            <w:pPr>
              <w:pStyle w:val="TBLHeading"/>
            </w:pPr>
            <w:r>
              <w:t>Compliant at consultation</w:t>
            </w:r>
          </w:p>
        </w:tc>
        <w:tc>
          <w:tcPr>
            <w:tcW w:w="1250" w:type="pct"/>
            <w:tcBorders>
              <w:top w:val="none" w:sz="0" w:space="0" w:color="auto"/>
              <w:bottom w:val="none" w:sz="0" w:space="0" w:color="auto"/>
            </w:tcBorders>
            <w:vAlign w:val="center"/>
          </w:tcPr>
          <w:p w14:paraId="75C89DB6" w14:textId="77777777" w:rsidR="006E54E1" w:rsidRPr="006E170D" w:rsidRDefault="006E54E1" w:rsidP="008C0F10">
            <w:pPr>
              <w:pStyle w:val="TBLHeading"/>
            </w:pPr>
            <w:r>
              <w:t>Compliant at consultation</w:t>
            </w:r>
          </w:p>
        </w:tc>
        <w:tc>
          <w:tcPr>
            <w:tcW w:w="1250" w:type="pct"/>
            <w:tcBorders>
              <w:top w:val="none" w:sz="0" w:space="0" w:color="auto"/>
              <w:bottom w:val="none" w:sz="0" w:space="0" w:color="auto"/>
            </w:tcBorders>
            <w:vAlign w:val="center"/>
          </w:tcPr>
          <w:p w14:paraId="75C89DB7" w14:textId="77777777" w:rsidR="006E54E1" w:rsidRPr="006E170D" w:rsidRDefault="006E54E1" w:rsidP="008C0F10">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5C89DB8" w14:textId="77777777" w:rsidR="006E54E1" w:rsidRPr="006E170D" w:rsidRDefault="006E54E1" w:rsidP="008C0F10">
            <w:pPr>
              <w:pStyle w:val="TBLHeading"/>
            </w:pPr>
            <w:r>
              <w:t>Final RIS published</w:t>
            </w:r>
          </w:p>
        </w:tc>
      </w:tr>
      <w:tr w:rsidR="006E54E1" w14:paraId="75C89DBE" w14:textId="77777777" w:rsidTr="008C0F10">
        <w:trPr>
          <w:trHeight w:val="20"/>
        </w:trPr>
        <w:tc>
          <w:tcPr>
            <w:tcW w:w="1250" w:type="pct"/>
            <w:vAlign w:val="center"/>
          </w:tcPr>
          <w:p w14:paraId="75C89DBA" w14:textId="77777777" w:rsidR="006E54E1" w:rsidRPr="00417F84" w:rsidRDefault="006E54E1" w:rsidP="008C0F10">
            <w:pPr>
              <w:pStyle w:val="TBLText"/>
            </w:pPr>
            <w:r>
              <w:t>May 2021</w:t>
            </w:r>
          </w:p>
        </w:tc>
        <w:tc>
          <w:tcPr>
            <w:tcW w:w="1250" w:type="pct"/>
            <w:vAlign w:val="center"/>
          </w:tcPr>
          <w:p w14:paraId="75C89DBB" w14:textId="77777777" w:rsidR="006E54E1" w:rsidRPr="00417F84" w:rsidRDefault="00F83753" w:rsidP="008C0F10">
            <w:pPr>
              <w:pStyle w:val="TBLText"/>
            </w:pPr>
            <w:r>
              <w:t>Yes</w:t>
            </w:r>
          </w:p>
        </w:tc>
        <w:tc>
          <w:tcPr>
            <w:tcW w:w="1250" w:type="pct"/>
            <w:vAlign w:val="center"/>
          </w:tcPr>
          <w:p w14:paraId="75C89DBC" w14:textId="77777777" w:rsidR="006E54E1" w:rsidRPr="00417F84" w:rsidRDefault="006E54E1" w:rsidP="008C0F10">
            <w:pPr>
              <w:pStyle w:val="TBLText"/>
            </w:pPr>
            <w:r w:rsidRPr="00417F84">
              <w:t>Yes</w:t>
            </w:r>
          </w:p>
        </w:tc>
        <w:tc>
          <w:tcPr>
            <w:tcW w:w="1250" w:type="pct"/>
            <w:vAlign w:val="center"/>
          </w:tcPr>
          <w:p w14:paraId="75C89DBD" w14:textId="77777777" w:rsidR="006E54E1" w:rsidRPr="00417F84" w:rsidRDefault="006E54E1" w:rsidP="008C0F10">
            <w:pPr>
              <w:pStyle w:val="TBLText"/>
            </w:pPr>
            <w:r>
              <w:t>4 April 2022</w:t>
            </w:r>
          </w:p>
        </w:tc>
      </w:tr>
    </w:tbl>
    <w:p w14:paraId="75C89DBF" w14:textId="77777777" w:rsidR="006E54E1" w:rsidRDefault="006E54E1" w:rsidP="006E54E1">
      <w:pPr>
        <w:rPr>
          <w:shd w:val="clear" w:color="auto" w:fill="FFFFFF"/>
        </w:rPr>
      </w:pPr>
      <w:bookmarkStart w:id="90" w:name="_Toc98330801"/>
    </w:p>
    <w:p w14:paraId="75C89DC0" w14:textId="77777777" w:rsidR="006E54E1" w:rsidRDefault="006E54E1" w:rsidP="006E54E1">
      <w:pPr>
        <w:rPr>
          <w:shd w:val="clear" w:color="auto" w:fill="FFFFFF"/>
        </w:rPr>
      </w:pPr>
      <w:r>
        <w:rPr>
          <w:shd w:val="clear" w:color="auto" w:fill="FFFFFF"/>
        </w:rPr>
        <w:t>In June 2020, the National Transport Commission (NTC) drafted a decision Regulation Impact Statement (RIS) on the in-service safety framework for automated vehicles, which resulted in decisions made by infrastructure and transport ministers on the key elements of the framework including the establishment of a new national law (the Automated Vehicle Safety Law (AVSL)) and regulator. The AVSL will regulate Automated Diving System Entities (ADSEs) who have a responsibility to ensure the safe operation of their automated driving systems for their entire lifecycle.</w:t>
      </w:r>
    </w:p>
    <w:p w14:paraId="75C89DC1" w14:textId="77777777" w:rsidR="00A239D5" w:rsidRDefault="00A239D5" w:rsidP="00A239D5">
      <w:pPr>
        <w:rPr>
          <w:sz w:val="24"/>
        </w:rPr>
      </w:pPr>
      <w:r>
        <w:t>Further consultation on the detailed content of the law and differences in potential legislative implementation approaches resulted in in a range of proposals noted by infrastructure and transport ministers in May 2021. A subsequent round of targeted consultation focused on how the AVSL framework would interact with existing state, territory and Commonwealth transport laws and new frameworks for automated vehicles previously agreed by ministers. The RIS was updated with respect to the recommendations arising out of this consultation.</w:t>
      </w:r>
    </w:p>
    <w:p w14:paraId="75C89DC2" w14:textId="77777777" w:rsidR="00A239D5" w:rsidRDefault="00A239D5" w:rsidP="00A239D5">
      <w:r>
        <w:t>Ministers agreed in February 2022 to a Commonwealth law approach to the AVSL, recommended as option 3 by the NTC in the RIS. This option has the highest net benefits of the four options originally considered.</w:t>
      </w:r>
    </w:p>
    <w:p w14:paraId="75C89DC3" w14:textId="77777777" w:rsidR="00D03322" w:rsidRDefault="00D03322" w:rsidP="00D03322">
      <w:pPr>
        <w:pStyle w:val="Heading1"/>
      </w:pPr>
      <w:bookmarkStart w:id="91" w:name="_Toc197597370"/>
      <w:bookmarkStart w:id="92" w:name="_Toc200110465"/>
      <w:r>
        <w:t>Appendix A - RISs prepared for consultation in 2021-22</w:t>
      </w:r>
      <w:bookmarkEnd w:id="90"/>
      <w:bookmarkEnd w:id="91"/>
      <w:bookmarkEnd w:id="92"/>
    </w:p>
    <w:p w14:paraId="75C89DC4" w14:textId="77777777" w:rsidR="00D03322" w:rsidRDefault="00D03322" w:rsidP="00D03322">
      <w:bookmarkStart w:id="93" w:name="_Toc432587379"/>
      <w:bookmarkStart w:id="94" w:name="_Toc432175595"/>
      <w:bookmarkStart w:id="95" w:name="_Toc428440455"/>
      <w:bookmarkStart w:id="96" w:name="_Toc428440028"/>
      <w:bookmarkStart w:id="97" w:name="_Toc424049626"/>
      <w:bookmarkStart w:id="98" w:name="_Toc419707558"/>
      <w:bookmarkStart w:id="99" w:name="_Toc473715465"/>
      <w:bookmarkStart w:id="100" w:name="_Toc459800321"/>
      <w:bookmarkStart w:id="101" w:name="_Toc451264807"/>
      <w:bookmarkStart w:id="102" w:name="_Toc451264240"/>
      <w:bookmarkStart w:id="103" w:name="_Toc451168646"/>
      <w:bookmarkStart w:id="104" w:name="_Toc447532697"/>
      <w:bookmarkStart w:id="105" w:name="_Toc446318438"/>
      <w:bookmarkStart w:id="106" w:name="_Toc445974404"/>
      <w:bookmarkStart w:id="107" w:name="_Toc445974143"/>
      <w:bookmarkStart w:id="108" w:name="_Toc445973445"/>
      <w:bookmarkStart w:id="109" w:name="_Toc440639816"/>
      <w:bookmarkStart w:id="110" w:name="_Toc438539631"/>
      <w:r>
        <w:t xml:space="preserve">The following consultation RISs have been published </w:t>
      </w:r>
      <w:bookmarkEnd w:id="93"/>
      <w:bookmarkEnd w:id="94"/>
      <w:bookmarkEnd w:id="95"/>
      <w:bookmarkEnd w:id="96"/>
      <w:bookmarkEnd w:id="97"/>
      <w:bookmarkEnd w:id="98"/>
      <w:r>
        <w:t>for consultation in 2021-2</w:t>
      </w:r>
      <w:bookmarkEnd w:id="99"/>
      <w:bookmarkEnd w:id="100"/>
      <w:bookmarkEnd w:id="101"/>
      <w:bookmarkEnd w:id="102"/>
      <w:bookmarkEnd w:id="103"/>
      <w:bookmarkEnd w:id="104"/>
      <w:bookmarkEnd w:id="105"/>
      <w:bookmarkEnd w:id="106"/>
      <w:bookmarkEnd w:id="107"/>
      <w:bookmarkEnd w:id="108"/>
      <w:bookmarkEnd w:id="109"/>
      <w:bookmarkEnd w:id="110"/>
      <w:r>
        <w:t>2.</w:t>
      </w:r>
    </w:p>
    <w:p w14:paraId="75C89DC5" w14:textId="77777777" w:rsidR="00731174" w:rsidRDefault="00731174" w:rsidP="00731174">
      <w:pPr>
        <w:pStyle w:val="Heading2"/>
      </w:pPr>
      <w:bookmarkStart w:id="111" w:name="_Toc197597371"/>
      <w:bookmarkStart w:id="112" w:name="_Toc200110466"/>
      <w:r>
        <w:t>Decision-making body: Australian Building Codes Board</w:t>
      </w:r>
      <w:bookmarkEnd w:id="111"/>
      <w:bookmarkEnd w:id="112"/>
    </w:p>
    <w:p w14:paraId="75C89DC6" w14:textId="77777777" w:rsidR="00731174" w:rsidRPr="00731174" w:rsidRDefault="00731174" w:rsidP="00731174">
      <w:pPr>
        <w:pStyle w:val="Heading3"/>
      </w:pPr>
      <w:bookmarkStart w:id="113" w:name="_Toc197597372"/>
      <w:bookmarkStart w:id="114" w:name="_Toc200110467"/>
      <w:r>
        <w:t>National Construction Code 2022 – Residential Energy Efficiency</w:t>
      </w:r>
      <w:bookmarkEnd w:id="113"/>
      <w:bookmarkEnd w:id="114"/>
    </w:p>
    <w:p w14:paraId="75C89DC7" w14:textId="77777777" w:rsidR="00D03322" w:rsidRPr="00731174" w:rsidRDefault="00731174" w:rsidP="00731174">
      <w:pPr>
        <w:rPr>
          <w:szCs w:val="22"/>
        </w:rPr>
      </w:pPr>
      <w:r w:rsidRPr="00731174">
        <w:rPr>
          <w:szCs w:val="22"/>
        </w:rPr>
        <w:t>Closing date: 7 November 2021</w:t>
      </w:r>
    </w:p>
    <w:p w14:paraId="75C89DC8" w14:textId="77777777" w:rsidR="00731174" w:rsidRPr="00731174" w:rsidRDefault="00731174" w:rsidP="00731174">
      <w:pPr>
        <w:rPr>
          <w:rFonts w:cs="Arial"/>
          <w:spacing w:val="4"/>
          <w:szCs w:val="22"/>
        </w:rPr>
      </w:pPr>
      <w:r w:rsidRPr="00731174">
        <w:rPr>
          <w:rFonts w:cs="Arial"/>
          <w:spacing w:val="4"/>
          <w:szCs w:val="22"/>
        </w:rPr>
        <w:lastRenderedPageBreak/>
        <w:t>The RIS sets out market failures that complicate energy efficiency decisions and result in over consumption of energy and underinvestment in energy efficiency and provides options to address these issues.</w:t>
      </w:r>
    </w:p>
    <w:p w14:paraId="75C89DC9" w14:textId="77777777" w:rsidR="00D03322" w:rsidRDefault="00731174" w:rsidP="00D03322">
      <w:pPr>
        <w:pStyle w:val="Heading2"/>
      </w:pPr>
      <w:bookmarkStart w:id="115" w:name="_Toc197597373"/>
      <w:bookmarkStart w:id="116" w:name="_Toc200110468"/>
      <w:r>
        <w:t xml:space="preserve">Decision-making body: </w:t>
      </w:r>
      <w:r w:rsidR="00D03322">
        <w:t>Australian Energy Market Commission</w:t>
      </w:r>
      <w:bookmarkEnd w:id="115"/>
      <w:bookmarkEnd w:id="116"/>
    </w:p>
    <w:p w14:paraId="75C89DCA" w14:textId="77777777" w:rsidR="00D03322" w:rsidRDefault="00D03322" w:rsidP="00D03322">
      <w:pPr>
        <w:pStyle w:val="Heading3"/>
      </w:pPr>
      <w:bookmarkStart w:id="117" w:name="_Toc197597374"/>
      <w:bookmarkStart w:id="118" w:name="_Toc200110469"/>
      <w:r>
        <w:t>Integrating Energy Storage Systems into the National Electricity Market</w:t>
      </w:r>
      <w:bookmarkEnd w:id="117"/>
      <w:bookmarkEnd w:id="118"/>
    </w:p>
    <w:p w14:paraId="75C89DCB" w14:textId="77777777" w:rsidR="00D03322" w:rsidRDefault="0060282F" w:rsidP="00D03322">
      <w:r>
        <w:t>Closing date: 16 September 2021</w:t>
      </w:r>
    </w:p>
    <w:p w14:paraId="75C89DCC" w14:textId="77777777" w:rsidR="0060282F" w:rsidRPr="00B031AC" w:rsidRDefault="0060282F" w:rsidP="0060282F">
      <w:r w:rsidRPr="00144255">
        <w:t xml:space="preserve">The RIS </w:t>
      </w:r>
      <w:r>
        <w:t>amendments to</w:t>
      </w:r>
      <w:r w:rsidRPr="004D2A41">
        <w:t xml:space="preserve"> the NER to introduce a new participant category, the Integrated Resource Provider (IRP), that will accommodate storage and hybrid facilities in a flexible and technology-neutral way. The proposal makes changes to the recovery of the non-energy costs framework that recognise many participants now have two-way energy flows, and will better reflect how participants use and benefit from the non-energy services the Australian Energy Market Operator procures to operate the power system in a safe, secure and reliable manner.</w:t>
      </w:r>
    </w:p>
    <w:p w14:paraId="75C89DCD" w14:textId="77777777" w:rsidR="00D03322" w:rsidRDefault="00D03322" w:rsidP="00D03322">
      <w:pPr>
        <w:pStyle w:val="Heading3"/>
      </w:pPr>
      <w:bookmarkStart w:id="119" w:name="_Toc197597375"/>
      <w:bookmarkStart w:id="120" w:name="_Toc200110470"/>
      <w:r>
        <w:t>Primary Frequency Response Incentive Arrangements</w:t>
      </w:r>
      <w:bookmarkEnd w:id="119"/>
      <w:bookmarkEnd w:id="120"/>
    </w:p>
    <w:p w14:paraId="75C89DCE" w14:textId="77777777" w:rsidR="00D03322" w:rsidRDefault="0060282F" w:rsidP="00D03322">
      <w:r>
        <w:t>Closing date: 28 October 2021</w:t>
      </w:r>
    </w:p>
    <w:p w14:paraId="75C89DCF" w14:textId="77777777" w:rsidR="0060282F" w:rsidRPr="00144255" w:rsidRDefault="0060282F" w:rsidP="0060282F">
      <w:pPr>
        <w:rPr>
          <w:rFonts w:eastAsia="MS Mincho"/>
          <w:lang w:eastAsia="en-AU"/>
        </w:rPr>
      </w:pPr>
      <w:r>
        <w:rPr>
          <w:rFonts w:eastAsia="MS Mincho"/>
          <w:lang w:eastAsia="en-AU"/>
        </w:rPr>
        <w:t>T</w:t>
      </w:r>
      <w:r w:rsidRPr="004D2A41">
        <w:rPr>
          <w:rFonts w:eastAsia="MS Mincho"/>
          <w:lang w:eastAsia="en-AU"/>
        </w:rPr>
        <w:t xml:space="preserve">o amend the National Electricity Rules </w:t>
      </w:r>
      <w:r>
        <w:rPr>
          <w:rFonts w:eastAsia="MS Mincho"/>
          <w:lang w:eastAsia="en-AU"/>
        </w:rPr>
        <w:t>to</w:t>
      </w:r>
      <w:r w:rsidRPr="004D2A41">
        <w:rPr>
          <w:rFonts w:eastAsia="MS Mincho"/>
          <w:lang w:eastAsia="en-AU"/>
        </w:rPr>
        <w:t xml:space="preserve"> support system security and deliver reduced costs for frequency control over the long term, as compared with the continuation of the current arrangements. The rule would confirm the Mandatory primary frequency response arrangements put in place through a change to the national electricity rules in March 2020 as permanent and enduring.</w:t>
      </w:r>
    </w:p>
    <w:p w14:paraId="75C89DD0" w14:textId="77777777" w:rsidR="00D03322" w:rsidRDefault="00D03322" w:rsidP="00D03322">
      <w:pPr>
        <w:pStyle w:val="Heading3"/>
      </w:pPr>
      <w:bookmarkStart w:id="121" w:name="_Toc197597376"/>
      <w:bookmarkStart w:id="122" w:name="_Toc200110471"/>
      <w:r>
        <w:t>Enhancing operational resilience in relation to indistinct events</w:t>
      </w:r>
      <w:bookmarkEnd w:id="121"/>
      <w:bookmarkEnd w:id="122"/>
    </w:p>
    <w:p w14:paraId="75C89DD1" w14:textId="77777777" w:rsidR="00D03322" w:rsidRDefault="0060282F" w:rsidP="00D03322">
      <w:r>
        <w:t>Closing date: 6 January 2022</w:t>
      </w:r>
    </w:p>
    <w:p w14:paraId="75C89DD2" w14:textId="77777777" w:rsidR="0060282F" w:rsidRDefault="0060282F" w:rsidP="0060282F">
      <w:pPr>
        <w:rPr>
          <w:rFonts w:eastAsia="MS Mincho"/>
          <w:lang w:eastAsia="en-AU"/>
        </w:rPr>
      </w:pPr>
      <w:r>
        <w:rPr>
          <w:rFonts w:eastAsia="MS Mincho"/>
          <w:lang w:eastAsia="en-AU"/>
        </w:rPr>
        <w:t>A</w:t>
      </w:r>
      <w:r w:rsidRPr="004D2A41">
        <w:rPr>
          <w:rFonts w:eastAsia="MS Mincho"/>
          <w:lang w:eastAsia="en-AU"/>
        </w:rPr>
        <w:t xml:space="preserve"> draft rule that incorporates indistinct events under the existing contingent event framework and refines reporting requirements. This rule is expected to provide the Australian Energy Market Operator (AEMO) with the ability to better manage system security while avoiding the cost and potential complexity of introducing a new, parallel framework solely for indistinct events.</w:t>
      </w:r>
    </w:p>
    <w:p w14:paraId="75C89DD3" w14:textId="77777777" w:rsidR="0049043B" w:rsidRDefault="0049043B" w:rsidP="0049043B">
      <w:pPr>
        <w:pStyle w:val="Heading3"/>
      </w:pPr>
      <w:bookmarkStart w:id="123" w:name="_Toc197597377"/>
      <w:bookmarkStart w:id="124" w:name="_Toc200110472"/>
      <w:r>
        <w:t>DWGM Distribution Connected Facilities, draft rule determination</w:t>
      </w:r>
      <w:bookmarkEnd w:id="123"/>
      <w:bookmarkEnd w:id="124"/>
    </w:p>
    <w:p w14:paraId="75C89DD4" w14:textId="77777777" w:rsidR="0049043B" w:rsidRDefault="0049043B" w:rsidP="0049043B">
      <w:r>
        <w:t>Closing date: 19 May 2022</w:t>
      </w:r>
    </w:p>
    <w:p w14:paraId="75C89DD5" w14:textId="77777777" w:rsidR="0049043B" w:rsidRDefault="0049043B" w:rsidP="0049043B">
      <w:pPr>
        <w:rPr>
          <w:shd w:val="clear" w:color="auto" w:fill="FFFFFF"/>
        </w:rPr>
      </w:pPr>
      <w:r>
        <w:rPr>
          <w:shd w:val="clear" w:color="auto" w:fill="FFFFFF"/>
        </w:rPr>
        <w:t xml:space="preserve">On 8 September 2021, the Australian Energy Market Commission (AEMC) received a rule change request from the Victorian Minister for Energy, Environment and Climate Change to include distribution connected gas facilities in the Victorian Declared Wholesale Gas Market (DWGM). The request seeks to change Part 19 of the National Gas Rules (NGR) in order to allow the market participation of such facilities. By changing relevant definitions within the National Gas Rules (NGR) the Victorian Government can implement the participation of distribution connected facilities in the DWGM whilst maintaining the fundamentals of the </w:t>
      </w:r>
      <w:r>
        <w:rPr>
          <w:shd w:val="clear" w:color="auto" w:fill="FFFFFF"/>
        </w:rPr>
        <w:lastRenderedPageBreak/>
        <w:t>current market design. The rule change request also aims to develop the regulatory changes required to support some decarbonisation initiatives by the Victorian Government to reach net zero emissions by 2050.</w:t>
      </w:r>
    </w:p>
    <w:p w14:paraId="75C89DD6" w14:textId="77777777" w:rsidR="00005119" w:rsidRPr="00005119" w:rsidRDefault="00005119" w:rsidP="00005119">
      <w:pPr>
        <w:pStyle w:val="Heading3"/>
        <w:rPr>
          <w:rFonts w:eastAsia="Times New Roman"/>
          <w:lang w:eastAsia="en-AU"/>
        </w:rPr>
      </w:pPr>
      <w:bookmarkStart w:id="125" w:name="_Toc197597378"/>
      <w:bookmarkStart w:id="126" w:name="_Toc200110473"/>
      <w:r w:rsidRPr="0EEE04EA">
        <w:rPr>
          <w:rFonts w:eastAsia="Times New Roman"/>
          <w:lang w:eastAsia="en-AU"/>
        </w:rPr>
        <w:t>AEMC – Enhancing Information on Generator Availability in MT PASA</w:t>
      </w:r>
      <w:bookmarkEnd w:id="125"/>
      <w:bookmarkEnd w:id="126"/>
    </w:p>
    <w:p w14:paraId="75C89DD7" w14:textId="77777777" w:rsidR="00005119" w:rsidRDefault="00005119" w:rsidP="00005119">
      <w:r>
        <w:t>Closing date: 7 July 2022</w:t>
      </w:r>
    </w:p>
    <w:p w14:paraId="75C89DD8" w14:textId="51773243" w:rsidR="00005119" w:rsidRDefault="00005119" w:rsidP="00005119">
      <w:pPr>
        <w:rPr>
          <w:shd w:val="clear" w:color="auto" w:fill="FFFFFF"/>
        </w:rPr>
      </w:pPr>
      <w:r w:rsidRPr="00005119">
        <w:rPr>
          <w:shd w:val="clear" w:color="auto" w:fill="FFFFFF"/>
        </w:rPr>
        <w:t>The ongoing transition of the power system has contributed to a lack of detailed information on generator availability, which is becoming an increasing issue as older generators approach the end of their technical life. As a result, the operators may shift to cyclical operating regimes where they only generate energy for certain periods of the year. This causes uncertainty amongst participants and stakeholders on why and for how long particular generators are unavailable and the challenge of operating the power system to deliver reliable, secure supply is expected to grow. Without comprehensive, standardised and public information to provide a more nuanced view of future unit availability, AEMO, participants and other stakeholders will likely face increasing time and resource costs.</w:t>
      </w:r>
    </w:p>
    <w:p w14:paraId="6BDBBA0E" w14:textId="77777777" w:rsidR="008E30D6" w:rsidRPr="008E30D6" w:rsidRDefault="008E30D6" w:rsidP="00BF0C17">
      <w:pPr>
        <w:pStyle w:val="Heading3"/>
        <w:rPr>
          <w:shd w:val="clear" w:color="auto" w:fill="FFFFFF"/>
        </w:rPr>
      </w:pPr>
      <w:bookmarkStart w:id="127" w:name="_Toc197597379"/>
      <w:bookmarkStart w:id="128" w:name="_Toc200110474"/>
      <w:r w:rsidRPr="0EEE04EA">
        <w:rPr>
          <w:rFonts w:eastAsiaTheme="minorEastAsia"/>
          <w:shd w:val="clear" w:color="auto" w:fill="FFFFFF"/>
        </w:rPr>
        <w:t>Efficient reactive current access standards for inverter based resources ERC0272 (CRIS)</w:t>
      </w:r>
      <w:bookmarkEnd w:id="127"/>
      <w:bookmarkEnd w:id="128"/>
    </w:p>
    <w:p w14:paraId="64D00A95" w14:textId="2F011B92" w:rsidR="008E30D6" w:rsidRDefault="008E30D6" w:rsidP="00005119">
      <w:pPr>
        <w:rPr>
          <w:shd w:val="clear" w:color="auto" w:fill="FFFFFF"/>
        </w:rPr>
      </w:pPr>
      <w:r>
        <w:rPr>
          <w:shd w:val="clear" w:color="auto" w:fill="FFFFFF"/>
        </w:rPr>
        <w:t>Closing date: 23 June 2022</w:t>
      </w:r>
    </w:p>
    <w:p w14:paraId="588B6DB4" w14:textId="294869F8" w:rsidR="008E30D6" w:rsidRDefault="005C54F1" w:rsidP="00005119">
      <w:pPr>
        <w:rPr>
          <w:shd w:val="clear" w:color="auto" w:fill="FFFFFF"/>
        </w:rPr>
      </w:pPr>
      <w:r w:rsidRPr="005C54F1">
        <w:rPr>
          <w:shd w:val="clear" w:color="auto" w:fill="FFFFFF"/>
        </w:rPr>
        <w:t>Inverter connected resources such as batteries currently have to demonstrate that they comply with the minimum access standards specified in Schedule 5.2.5.5 of the National Energy Rules (NER) – including reactive current fault-response minimum access standard. Network service providers are not able to provide connection approval to parties that do not meet this minimum standard. </w:t>
      </w:r>
    </w:p>
    <w:p w14:paraId="5A16185F" w14:textId="4B1CD013" w:rsidR="007420D6" w:rsidRPr="00005119" w:rsidRDefault="007420D6" w:rsidP="00005119">
      <w:pPr>
        <w:rPr>
          <w:shd w:val="clear" w:color="auto" w:fill="FFFFFF"/>
        </w:rPr>
      </w:pPr>
      <w:r>
        <w:t>AEMC’s consultation paper so</w:t>
      </w:r>
      <w:r w:rsidR="009F146B">
        <w:t>ught</w:t>
      </w:r>
      <w:r>
        <w:t xml:space="preserve"> stakeholder feedback on two rule change requests for the rules around reactive current access standards for inverter based generation. One rule change request was from a consortium of wind turbine original equipment manufacturers (OEMs) and the other from the </w:t>
      </w:r>
      <w:r w:rsidR="006A5F24">
        <w:t>Renewable Energy Revolution (</w:t>
      </w:r>
      <w:r>
        <w:t>RER</w:t>
      </w:r>
      <w:r w:rsidR="006A5F24">
        <w:t>)</w:t>
      </w:r>
      <w:r>
        <w:t>. The rule change requests were considered together as they both propose changes to the standards with which connecting generators must comply, with the aim of ensuring the needs of the power system are met without connecting generators being subject to undue requirements.</w:t>
      </w:r>
    </w:p>
    <w:p w14:paraId="75C89DD9" w14:textId="77777777" w:rsidR="00D03322" w:rsidRPr="00D03322" w:rsidRDefault="00731174" w:rsidP="00D03322">
      <w:pPr>
        <w:pStyle w:val="Heading2"/>
      </w:pPr>
      <w:bookmarkStart w:id="129" w:name="_Toc197597380"/>
      <w:bookmarkStart w:id="130" w:name="_Toc200110475"/>
      <w:r>
        <w:t xml:space="preserve">Decision-making body: </w:t>
      </w:r>
      <w:r w:rsidR="00D03322">
        <w:t>Food Standards Australia New Zealand</w:t>
      </w:r>
      <w:bookmarkEnd w:id="129"/>
      <w:bookmarkEnd w:id="130"/>
    </w:p>
    <w:p w14:paraId="75C89DDA" w14:textId="77777777" w:rsidR="00D03322" w:rsidRDefault="00D03322" w:rsidP="00D03322">
      <w:pPr>
        <w:pStyle w:val="Heading3"/>
      </w:pPr>
      <w:bookmarkStart w:id="131" w:name="_Toc197597381"/>
      <w:bookmarkStart w:id="132" w:name="_Toc200110476"/>
      <w:r>
        <w:t>Primary Production and Processing Requirements for Horticulture (Berries, Leafy Vegetables and Melons)</w:t>
      </w:r>
      <w:bookmarkEnd w:id="131"/>
      <w:bookmarkEnd w:id="132"/>
    </w:p>
    <w:p w14:paraId="75C89DDB" w14:textId="77777777" w:rsidR="00D03322" w:rsidRDefault="00F326FB" w:rsidP="00D03322">
      <w:r>
        <w:t>Closing date: 16 February 2022</w:t>
      </w:r>
    </w:p>
    <w:p w14:paraId="75C89DDC" w14:textId="77777777" w:rsidR="00F326FB" w:rsidRPr="00144255" w:rsidRDefault="00F326FB" w:rsidP="00F326FB">
      <w:pPr>
        <w:rPr>
          <w:rFonts w:eastAsia="MS Mincho"/>
          <w:spacing w:val="-3"/>
          <w:lang w:eastAsia="en-AU"/>
        </w:rPr>
      </w:pPr>
      <w:r>
        <w:t>The RIS considers options to further improve the safety of the</w:t>
      </w:r>
      <w:r w:rsidRPr="004D2A41">
        <w:t xml:space="preserve"> production and consumption of fresh horticultural produce </w:t>
      </w:r>
      <w:r>
        <w:t>to reduce</w:t>
      </w:r>
      <w:r w:rsidRPr="004D2A41">
        <w:t xml:space="preserve"> foodborne illness.</w:t>
      </w:r>
    </w:p>
    <w:p w14:paraId="75C89DDD" w14:textId="77777777" w:rsidR="00D03322" w:rsidRPr="00D03322" w:rsidRDefault="00731174" w:rsidP="00D03322">
      <w:pPr>
        <w:pStyle w:val="Heading2"/>
      </w:pPr>
      <w:bookmarkStart w:id="133" w:name="_Toc197597382"/>
      <w:bookmarkStart w:id="134" w:name="_Toc200110477"/>
      <w:r>
        <w:lastRenderedPageBreak/>
        <w:t xml:space="preserve">Decision-making body: </w:t>
      </w:r>
      <w:r w:rsidR="00D03322">
        <w:t>Health Minister’s Meeting</w:t>
      </w:r>
      <w:bookmarkEnd w:id="133"/>
      <w:bookmarkEnd w:id="134"/>
    </w:p>
    <w:p w14:paraId="75C89DDE" w14:textId="77777777" w:rsidR="00D03322" w:rsidRDefault="00D03322" w:rsidP="00D03322">
      <w:pPr>
        <w:pStyle w:val="Heading3"/>
      </w:pPr>
      <w:bookmarkStart w:id="135" w:name="_Toc197597383"/>
      <w:bookmarkStart w:id="136" w:name="_Toc200110478"/>
      <w:r>
        <w:t>Medical practitioners' use of the title surgeon under the National Law</w:t>
      </w:r>
      <w:bookmarkEnd w:id="135"/>
      <w:bookmarkEnd w:id="136"/>
    </w:p>
    <w:p w14:paraId="75C89DDF" w14:textId="77777777" w:rsidR="00D03322" w:rsidRDefault="00F326FB" w:rsidP="00D03322">
      <w:r>
        <w:t>Closing date: 1 April 2022</w:t>
      </w:r>
    </w:p>
    <w:p w14:paraId="75C89DE0" w14:textId="77777777" w:rsidR="00F326FB" w:rsidRPr="00B031AC" w:rsidRDefault="00F326FB" w:rsidP="00F326FB">
      <w:pPr>
        <w:rPr>
          <w:rFonts w:eastAsia="MS Mincho"/>
          <w:lang w:eastAsia="en-AU"/>
        </w:rPr>
      </w:pPr>
      <w:r w:rsidRPr="00B031AC">
        <w:rPr>
          <w:rFonts w:eastAsia="MS Mincho"/>
          <w:lang w:eastAsia="en-AU"/>
        </w:rPr>
        <w:t xml:space="preserve">The RIS examines concerns around use of the title “surgeon”, including “cosmetic surgeon”, which may be confusing for members of the public, who may not have knowledge of medical practitioner qualifications and training. </w:t>
      </w:r>
    </w:p>
    <w:p w14:paraId="75C89DE1" w14:textId="77777777" w:rsidR="00D03322" w:rsidRPr="00D03322" w:rsidRDefault="00731174" w:rsidP="00D03322">
      <w:pPr>
        <w:pStyle w:val="Heading2"/>
      </w:pPr>
      <w:bookmarkStart w:id="137" w:name="_Toc197597384"/>
      <w:bookmarkStart w:id="138" w:name="_Toc200110479"/>
      <w:r>
        <w:t xml:space="preserve">Decision-making body: </w:t>
      </w:r>
      <w:r w:rsidR="00D03322">
        <w:t>Consumer Affairs Ministers</w:t>
      </w:r>
      <w:bookmarkEnd w:id="137"/>
      <w:bookmarkEnd w:id="138"/>
    </w:p>
    <w:p w14:paraId="75C89DE2" w14:textId="77777777" w:rsidR="00D03322" w:rsidRDefault="00D03322" w:rsidP="00D03322">
      <w:pPr>
        <w:pStyle w:val="Heading3"/>
      </w:pPr>
      <w:bookmarkStart w:id="139" w:name="_Toc197597385"/>
      <w:bookmarkStart w:id="140" w:name="_Toc200110480"/>
      <w:r>
        <w:t>Australian Consumer Law product safety changes</w:t>
      </w:r>
      <w:bookmarkEnd w:id="139"/>
      <w:bookmarkEnd w:id="140"/>
    </w:p>
    <w:p w14:paraId="75C89DE3" w14:textId="77777777" w:rsidR="00D03322" w:rsidRDefault="00F326FB" w:rsidP="00D03322">
      <w:r>
        <w:t>Closing date: 21 January 2022</w:t>
      </w:r>
    </w:p>
    <w:p w14:paraId="75C89DE4" w14:textId="77777777" w:rsidR="00F326FB" w:rsidRPr="00B031AC" w:rsidRDefault="00F326FB" w:rsidP="00F326FB">
      <w:r w:rsidRPr="00B031AC">
        <w:t>The RIS considers amendments to the ACL to allow for the easier use of trusted overseas product standards and to potentially allow for the automatic update of mandatory standards. The objectives of these proposed amendments are to: make it easier for suppliers and importers to comply with product safety requirements set under the ACL; reduce compliance costs for business and barriers to trade by removing duplicative testing and compliance measures where a product has been manufactured overseas to the requirements of an equivalent overseas standard; and provide benefits for Australian consumers and for the Australian market by increasing product availability and consumer choice.</w:t>
      </w:r>
    </w:p>
    <w:p w14:paraId="75C89DE5" w14:textId="77777777" w:rsidR="00D03322" w:rsidRDefault="00D03322" w:rsidP="00D03322">
      <w:pPr>
        <w:pStyle w:val="Heading3"/>
      </w:pPr>
      <w:bookmarkStart w:id="141" w:name="_Toc197597386"/>
      <w:bookmarkStart w:id="142" w:name="_Toc200110481"/>
      <w:r>
        <w:t>Improving the effectiveness of the consumer guarantee and supplier indemnification provisions under the Australian Consumer Law</w:t>
      </w:r>
      <w:bookmarkEnd w:id="141"/>
      <w:bookmarkEnd w:id="142"/>
    </w:p>
    <w:p w14:paraId="75C89DE6" w14:textId="77777777" w:rsidR="00D03322" w:rsidRDefault="00F326FB" w:rsidP="00D03322">
      <w:r>
        <w:t>Closing date: 11 February 2022</w:t>
      </w:r>
    </w:p>
    <w:p w14:paraId="75C89DE7" w14:textId="77777777" w:rsidR="00F326FB" w:rsidRPr="00B031AC" w:rsidRDefault="00F326FB" w:rsidP="00F326FB">
      <w:pPr>
        <w:rPr>
          <w:rFonts w:eastAsia="MS Mincho"/>
          <w:lang w:eastAsia="en-AU"/>
        </w:rPr>
      </w:pPr>
      <w:r w:rsidRPr="00B031AC">
        <w:rPr>
          <w:rFonts w:eastAsia="MS Mincho"/>
          <w:lang w:eastAsia="en-AU"/>
        </w:rPr>
        <w:t>The RIS considers options to ensure businesses comply with the consumer guarantees and consumers can access the remedies to which they are entitled, and options to prohibit manufacturers from failing to indemnify suppliers.</w:t>
      </w:r>
    </w:p>
    <w:p w14:paraId="75C89DE8" w14:textId="77777777" w:rsidR="00D03322" w:rsidRPr="00D03322" w:rsidRDefault="00731174" w:rsidP="00D03322">
      <w:pPr>
        <w:pStyle w:val="Heading2"/>
      </w:pPr>
      <w:bookmarkStart w:id="143" w:name="_Toc197597387"/>
      <w:bookmarkStart w:id="144" w:name="_Toc200110482"/>
      <w:r>
        <w:t xml:space="preserve">Decision-making body: </w:t>
      </w:r>
      <w:r w:rsidR="00D03322">
        <w:t>Australia and New Zealand Food Regulation Ministerial Council</w:t>
      </w:r>
      <w:bookmarkEnd w:id="143"/>
      <w:bookmarkEnd w:id="144"/>
    </w:p>
    <w:p w14:paraId="75C89DE9" w14:textId="77777777" w:rsidR="00D03322" w:rsidRDefault="00D03322" w:rsidP="00D03322">
      <w:pPr>
        <w:pStyle w:val="Heading3"/>
      </w:pPr>
      <w:bookmarkStart w:id="145" w:name="_Toc197597388"/>
      <w:bookmarkStart w:id="146" w:name="_Toc200110483"/>
      <w:r>
        <w:t>Proposal P1053 – Food Safety Management tools</w:t>
      </w:r>
      <w:bookmarkEnd w:id="145"/>
      <w:bookmarkEnd w:id="146"/>
    </w:p>
    <w:p w14:paraId="75C89DEA" w14:textId="77777777" w:rsidR="00F326FB" w:rsidRDefault="00F326FB" w:rsidP="00F326FB">
      <w:r>
        <w:t>Closing date: 11 April 2022</w:t>
      </w:r>
    </w:p>
    <w:p w14:paraId="75C89DEB" w14:textId="77777777" w:rsidR="00F326FB" w:rsidRPr="00B031AC" w:rsidRDefault="00F326FB" w:rsidP="00F326FB">
      <w:r w:rsidRPr="00B031AC">
        <w:t>FSANZ has prepared a Consultation Regulation Impact Statement (RIS) to explain the current regulatory framework and the potential issues that may be arising from it. The Consultation RIS also proposes potential reform options which may help to address these issues. These options include:</w:t>
      </w:r>
    </w:p>
    <w:p w14:paraId="75C89DEC" w14:textId="77777777" w:rsidR="00F326FB" w:rsidRPr="00B031AC" w:rsidRDefault="00F326FB" w:rsidP="00564BA8">
      <w:pPr>
        <w:pStyle w:val="BulletedList-Level1"/>
      </w:pPr>
      <w:r w:rsidRPr="00B031AC">
        <w:t>maintaining the status quo such that the current regulatory environment would continue;</w:t>
      </w:r>
    </w:p>
    <w:p w14:paraId="75C89DED" w14:textId="77777777" w:rsidR="00F326FB" w:rsidRPr="00B031AC" w:rsidRDefault="00F326FB" w:rsidP="00564BA8">
      <w:pPr>
        <w:pStyle w:val="BulletedList-Level1"/>
      </w:pPr>
      <w:r w:rsidRPr="00B031AC">
        <w:lastRenderedPageBreak/>
        <w:t>self-regulation, which would involve food businesses putting their own systems that are not subject to regulatory oversight in place to improve food safety; and</w:t>
      </w:r>
    </w:p>
    <w:p w14:paraId="75C89DEE" w14:textId="77777777" w:rsidR="00F326FB" w:rsidRPr="00B031AC" w:rsidRDefault="00F326FB" w:rsidP="00564BA8">
      <w:pPr>
        <w:pStyle w:val="BulletedList-Level1"/>
      </w:pPr>
      <w:proofErr w:type="gramStart"/>
      <w:r w:rsidRPr="00B031AC">
        <w:t>regulated</w:t>
      </w:r>
      <w:proofErr w:type="gramEnd"/>
      <w:r w:rsidRPr="00B031AC">
        <w:t xml:space="preserve"> food safety management tools, which would involve amending the Australia New Zealand Food Standards Code to require a food safety supervisor, food handler training, and evidence to substantiate food safety management, for some but not all business types.</w:t>
      </w:r>
    </w:p>
    <w:p w14:paraId="75C89DEF" w14:textId="77777777" w:rsidR="00D03322" w:rsidRPr="00D03322" w:rsidRDefault="00731174" w:rsidP="00D03322">
      <w:pPr>
        <w:pStyle w:val="Heading2"/>
      </w:pPr>
      <w:bookmarkStart w:id="147" w:name="_Toc197597389"/>
      <w:bookmarkStart w:id="148" w:name="_Toc200110484"/>
      <w:r>
        <w:t xml:space="preserve">Decision-making body: </w:t>
      </w:r>
      <w:r w:rsidR="00D03322">
        <w:t>Department of Infrastructure, Transport, Regional Development and Communications</w:t>
      </w:r>
      <w:bookmarkEnd w:id="147"/>
      <w:bookmarkEnd w:id="148"/>
    </w:p>
    <w:p w14:paraId="75C89DF0" w14:textId="77777777" w:rsidR="00D03322" w:rsidRPr="00D03322" w:rsidRDefault="00D03322" w:rsidP="00D03322">
      <w:pPr>
        <w:pStyle w:val="Heading3"/>
      </w:pPr>
      <w:bookmarkStart w:id="149" w:name="_Toc197597390"/>
      <w:bookmarkStart w:id="150" w:name="_Toc200110485"/>
      <w:r>
        <w:t>Disability Standards for Accessible Public Transport 2002 (Transport Standards): Stage 2 Reforms</w:t>
      </w:r>
      <w:bookmarkEnd w:id="149"/>
      <w:bookmarkEnd w:id="150"/>
    </w:p>
    <w:p w14:paraId="75C89DF1" w14:textId="77777777" w:rsidR="00F326FB" w:rsidRDefault="00F326FB" w:rsidP="00F326FB">
      <w:r>
        <w:t>Closing date: 9 August 2022</w:t>
      </w:r>
    </w:p>
    <w:p w14:paraId="75C89DF2" w14:textId="77777777" w:rsidR="00F326FB" w:rsidRPr="00B031AC" w:rsidRDefault="00F326FB" w:rsidP="00F326FB">
      <w:r w:rsidRPr="00B031AC">
        <w:t>In August 2019, Transport Ministers agreed to reform the Transport Standards. This consultation Regulation Impact Statement covers the reforms outlined under stage 2 of the reform process, with the consultation and decision RIS for the stage 1 reforms available under the OBPR's published impact analyses.</w:t>
      </w:r>
    </w:p>
    <w:p w14:paraId="75C89DF3" w14:textId="77777777" w:rsidR="00F326FB" w:rsidRPr="00B031AC" w:rsidRDefault="00F326FB" w:rsidP="00F326FB">
      <w:r w:rsidRPr="00B031AC">
        <w:t>These reforms aim to eliminate discrimination, as far as possible, against people with disability and provide greater certainty to operators and providers regarding their responsibilities under the Transport Standards.</w:t>
      </w:r>
    </w:p>
    <w:p w14:paraId="75C89DF4" w14:textId="77777777" w:rsidR="00F326FB" w:rsidRDefault="00F326FB" w:rsidP="00F326FB"/>
    <w:p w14:paraId="75C89DF5" w14:textId="77777777" w:rsidR="00374D2A" w:rsidRPr="00774646" w:rsidRDefault="00374D2A" w:rsidP="00F326FB">
      <w:pPr>
        <w:pStyle w:val="Figure"/>
        <w:numPr>
          <w:ilvl w:val="0"/>
          <w:numId w:val="0"/>
        </w:numPr>
        <w:ind w:left="9782" w:hanging="567"/>
      </w:pPr>
    </w:p>
    <w:p w14:paraId="75C89DF6" w14:textId="77777777" w:rsidR="006A5AA6" w:rsidRPr="00E92551" w:rsidRDefault="006A5AA6" w:rsidP="009E2262">
      <w:pPr>
        <w:pStyle w:val="Heading2"/>
        <w:rPr>
          <w:noProof/>
        </w:rPr>
      </w:pPr>
    </w:p>
    <w:sectPr w:rsidR="006A5AA6" w:rsidRPr="00E92551" w:rsidSect="008C0F10">
      <w:headerReference w:type="default" r:id="rId18"/>
      <w:footerReference w:type="default" r:id="rId19"/>
      <w:headerReference w:type="first" r:id="rId20"/>
      <w:pgSz w:w="11906" w:h="16838"/>
      <w:pgMar w:top="1701" w:right="964" w:bottom="1701" w:left="964" w:header="993"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89DF9" w14:textId="77777777" w:rsidR="00E4071B" w:rsidRDefault="00E4071B" w:rsidP="00F957C6">
      <w:pPr>
        <w:spacing w:after="0" w:line="240" w:lineRule="auto"/>
      </w:pPr>
      <w:r>
        <w:separator/>
      </w:r>
    </w:p>
  </w:endnote>
  <w:endnote w:type="continuationSeparator" w:id="0">
    <w:p w14:paraId="75C89DFA" w14:textId="77777777" w:rsidR="00E4071B" w:rsidRDefault="00E4071B"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ontserrat">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9E00" w14:textId="77777777" w:rsidR="00E4071B" w:rsidRDefault="00E40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9E01" w14:textId="77777777" w:rsidR="00E4071B" w:rsidRDefault="00E40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9E03" w14:textId="77777777" w:rsidR="00E4071B" w:rsidRPr="00303C55" w:rsidRDefault="00E4071B" w:rsidP="00303C55">
    <w:pPr>
      <w:pStyle w:val="Footer"/>
    </w:pPr>
    <w:r>
      <w:t>Commonwealth-State Regulation Impact Statement status, 2021-22</w:t>
    </w:r>
    <w:r>
      <w:ptab w:relativeTo="margin" w:alignment="center" w:leader="none"/>
    </w:r>
    <w:r>
      <w:rPr>
        <w:noProof/>
        <w:lang w:eastAsia="en-AU"/>
      </w:rPr>
      <mc:AlternateContent>
        <mc:Choice Requires="wps">
          <w:drawing>
            <wp:anchor distT="0" distB="0" distL="114300" distR="114300" simplePos="0" relativeHeight="251673600" behindDoc="1" locked="0" layoutInCell="1" allowOverlap="1" wp14:anchorId="75C89E10" wp14:editId="75C89E11">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4D1438F7">
            <v:line id="Straight Connector 106" style="position:absolute;z-index:-251642880;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540C5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v:stroke joinstyle="miter"/>
              <w10:wrap anchory="page"/>
            </v:line>
          </w:pict>
        </mc:Fallback>
      </mc:AlternateContent>
    </w:r>
    <w:sdt>
      <w:sdtPr>
        <w:rPr>
          <w:rStyle w:val="CLASSIFICATIONChar"/>
        </w:rPr>
        <w:alias w:val="Classification"/>
        <w:tag w:val="Classification"/>
        <w:id w:val="-810248438"/>
        <w:placeholder>
          <w:docPart w:val="F84544CAA0024637B2876D8CA1447935"/>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r>
      <w:rPr>
        <w:noProof/>
        <w:lang w:eastAsia="en-AU"/>
      </w:rPr>
      <mc:AlternateContent>
        <mc:Choice Requires="wps">
          <w:drawing>
            <wp:anchor distT="0" distB="0" distL="114300" distR="114300" simplePos="0" relativeHeight="251672576" behindDoc="0" locked="0" layoutInCell="1" allowOverlap="1" wp14:anchorId="75C89E12" wp14:editId="75C89E13">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98AB772">
            <v:line id="Straight Connector 107" style="position:absolute;z-index:251672576;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90pt,54.35pt" to="538pt,54.35pt" w14:anchorId="70688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9E05" w14:textId="77777777" w:rsidR="00E4071B" w:rsidRPr="00285CAF" w:rsidRDefault="00E4071B" w:rsidP="00D10635">
    <w:pPr>
      <w:jc w:val="center"/>
    </w:pPr>
  </w:p>
  <w:p w14:paraId="75C89E06" w14:textId="51012F3D" w:rsidR="00E4071B" w:rsidRPr="008046D4" w:rsidRDefault="00E4071B" w:rsidP="00D10635">
    <w:pPr>
      <w:pStyle w:val="Header"/>
      <w:rPr>
        <w:rFonts w:ascii="Segoe UI" w:hAnsi="Segoe UI" w:cs="Segoe UI"/>
        <w:color w:val="7F7F7F" w:themeColor="text1" w:themeTint="80"/>
        <w:sz w:val="18"/>
      </w:rPr>
    </w:pPr>
    <w:r>
      <w:rPr>
        <w:color w:val="7F7F7F" w:themeColor="text1" w:themeTint="80"/>
        <w:sz w:val="18"/>
        <w:szCs w:val="18"/>
      </w:rPr>
      <w:t>PM&amp;C | OBPR | Commonwealth-State Regulation Impact Statement status, 2021-22</w:t>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1E7EB9">
      <w:rPr>
        <w:rFonts w:ascii="Segoe UI" w:hAnsi="Segoe UI" w:cs="Segoe UI"/>
        <w:noProof/>
        <w:color w:val="7F7F7F" w:themeColor="text1" w:themeTint="80"/>
        <w:sz w:val="18"/>
      </w:rPr>
      <w:t>14</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89DF7" w14:textId="77777777" w:rsidR="00E4071B" w:rsidRDefault="00E4071B" w:rsidP="00F957C6">
      <w:pPr>
        <w:spacing w:after="0" w:line="240" w:lineRule="auto"/>
      </w:pPr>
      <w:r>
        <w:separator/>
      </w:r>
    </w:p>
  </w:footnote>
  <w:footnote w:type="continuationSeparator" w:id="0">
    <w:p w14:paraId="75C89DF8" w14:textId="77777777" w:rsidR="00E4071B" w:rsidRDefault="00E4071B"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9DFB" w14:textId="77777777" w:rsidR="00E4071B" w:rsidRDefault="00E40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9DFC" w14:textId="77777777" w:rsidR="00E4071B" w:rsidRDefault="00E4071B" w:rsidP="00303C55">
    <w:pPr>
      <w:pStyle w:val="Header"/>
      <w:ind w:left="1134"/>
      <w:rPr>
        <w:noProof/>
        <w:lang w:eastAsia="en-AU"/>
      </w:rPr>
    </w:pPr>
    <w:r>
      <w:rPr>
        <w:rFonts w:ascii="Segoe UI" w:hAnsi="Segoe UI"/>
        <w:caps/>
        <w:noProof/>
        <w:color w:val="C00000"/>
        <w:sz w:val="18"/>
        <w:lang w:eastAsia="en-AU"/>
      </w:rPr>
      <w:drawing>
        <wp:anchor distT="0" distB="0" distL="114300" distR="114300" simplePos="0" relativeHeight="251681792" behindDoc="0" locked="0" layoutInCell="1" allowOverlap="1" wp14:anchorId="75C89E08" wp14:editId="75C89E09">
          <wp:simplePos x="0" y="0"/>
          <wp:positionH relativeFrom="column">
            <wp:posOffset>4165600</wp:posOffset>
          </wp:positionH>
          <wp:positionV relativeFrom="page">
            <wp:posOffset>-71755</wp:posOffset>
          </wp:positionV>
          <wp:extent cx="1440000" cy="1324800"/>
          <wp:effectExtent l="0" t="0" r="8255" b="8890"/>
          <wp:wrapSquare wrapText="bothSides"/>
          <wp:docPr id="141" name="Picture 141" descr="OBPR The Office of Best Practic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PR The Office of Best Practice Regul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132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aps/>
        <w:noProof/>
        <w:color w:val="C00000"/>
        <w:sz w:val="18"/>
        <w:lang w:eastAsia="en-AU"/>
      </w:rPr>
      <w:drawing>
        <wp:anchor distT="0" distB="0" distL="114300" distR="114300" simplePos="0" relativeHeight="251680768" behindDoc="0" locked="0" layoutInCell="1" allowOverlap="1" wp14:anchorId="75C89E0A" wp14:editId="75C89E0B">
          <wp:simplePos x="0" y="0"/>
          <wp:positionH relativeFrom="margin">
            <wp:posOffset>0</wp:posOffset>
          </wp:positionH>
          <wp:positionV relativeFrom="page">
            <wp:posOffset>349250</wp:posOffset>
          </wp:positionV>
          <wp:extent cx="3236400" cy="547200"/>
          <wp:effectExtent l="0" t="0" r="2540" b="5715"/>
          <wp:wrapSquare wrapText="bothSides"/>
          <wp:docPr id="142" name="Picture 142"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the Prime Minister and Cabinet"/>
                  <pic:cNvPicPr>
                    <a:picLocks noChangeAspect="1" noChangeArrowheads="1"/>
                  </pic:cNvPicPr>
                </pic:nvPicPr>
                <pic:blipFill>
                  <a:blip r:embed="rId2">
                    <a:extLst>
                      <a:ext uri="{28A0092B-C50C-407E-A947-70E740481C1C}">
                        <a14:useLocalDpi xmlns:a14="http://schemas.microsoft.com/office/drawing/2010/main" val="0"/>
                      </a:ext>
                    </a:extLst>
                  </a:blip>
                  <a:srcRect l="6358" t="23689" r="6641" b="24025"/>
                  <a:stretch>
                    <a:fillRect/>
                  </a:stretch>
                </pic:blipFill>
                <pic:spPr bwMode="auto">
                  <a:xfrm>
                    <a:off x="0" y="0"/>
                    <a:ext cx="3236400" cy="54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89DFD" w14:textId="77777777" w:rsidR="00E4071B" w:rsidRDefault="00E4071B" w:rsidP="00DC000A">
    <w:pPr>
      <w:pStyle w:val="Header"/>
      <w:tabs>
        <w:tab w:val="clear" w:pos="4513"/>
        <w:tab w:val="clear" w:pos="9026"/>
        <w:tab w:val="left" w:pos="3046"/>
      </w:tabs>
      <w:ind w:left="1134"/>
    </w:pPr>
    <w:r w:rsidRPr="00285CAF">
      <w:rPr>
        <w:noProof/>
        <w:lang w:eastAsia="en-AU"/>
      </w:rPr>
      <mc:AlternateContent>
        <mc:Choice Requires="wps">
          <w:drawing>
            <wp:anchor distT="0" distB="0" distL="114300" distR="114300" simplePos="0" relativeHeight="251660288" behindDoc="1" locked="0" layoutInCell="1" allowOverlap="1" wp14:anchorId="75C89E0C" wp14:editId="75C89E0D">
              <wp:simplePos x="0" y="0"/>
              <wp:positionH relativeFrom="column">
                <wp:posOffset>6334941</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D5B5CCF">
            <v:line id="Straight Connector 3"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black [3200]" strokeweight=".5pt" from="498.8pt,54.5pt" to="546.8pt,54.5pt" w14:anchorId="08B1E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">
              <v:stroke joinstyle="miter"/>
              <w10:wrap anchory="page"/>
            </v:line>
          </w:pict>
        </mc:Fallback>
      </mc:AlternateContent>
    </w:r>
    <w:r>
      <w:tab/>
    </w:r>
  </w:p>
  <w:p w14:paraId="75C89DFE" w14:textId="77777777" w:rsidR="00E4071B" w:rsidRDefault="00E4071B" w:rsidP="00303C55">
    <w:pPr>
      <w:pStyle w:val="Header"/>
      <w:ind w:left="1134"/>
    </w:pPr>
  </w:p>
  <w:p w14:paraId="75C89DFF" w14:textId="77777777" w:rsidR="00E4071B" w:rsidRDefault="00E4071B" w:rsidP="00303C55">
    <w:pPr>
      <w:pStyle w:val="Header"/>
      <w:ind w:lef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9E02" w14:textId="77777777" w:rsidR="00E4071B" w:rsidRDefault="00E4071B" w:rsidP="00303C55">
    <w:pPr>
      <w:pStyle w:val="Header"/>
      <w:jc w:val="center"/>
    </w:pPr>
    <w:r>
      <w:rPr>
        <w:noProof/>
        <w:lang w:eastAsia="en-AU"/>
      </w:rPr>
      <mc:AlternateContent>
        <mc:Choice Requires="wps">
          <w:drawing>
            <wp:anchor distT="0" distB="0" distL="114300" distR="114300" simplePos="0" relativeHeight="251665408" behindDoc="1" locked="0" layoutInCell="1" allowOverlap="1" wp14:anchorId="75C89E0E" wp14:editId="75C89E0F">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518AB767">
            <v:line id="Straight Connector 102" style="position:absolute;z-index:-25165107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7030F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v:stroke joinstyle="miter"/>
              <w10:wrap anchory="page"/>
            </v:line>
          </w:pict>
        </mc:Fallback>
      </mc:AlternateContent>
    </w:r>
    <w:sdt>
      <w:sdtPr>
        <w:rPr>
          <w:rStyle w:val="CLASSIFICATIONChar"/>
        </w:rPr>
        <w:alias w:val="Classification"/>
        <w:tag w:val="Classification"/>
        <w:id w:val="848293828"/>
        <w:placeholder>
          <w:docPart w:val="A4C6ADF772F94FE1A56C12C4B49620AD"/>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9E04" w14:textId="77777777" w:rsidR="00E4071B" w:rsidRPr="00D10635" w:rsidRDefault="00E4071B" w:rsidP="00D10635">
    <w:pPr>
      <w:jc w:val="center"/>
    </w:pPr>
    <w:r>
      <w:rPr>
        <w:noProof/>
        <w:lang w:eastAsia="en-AU"/>
      </w:rPr>
      <mc:AlternateContent>
        <mc:Choice Requires="wps">
          <w:drawing>
            <wp:anchor distT="0" distB="0" distL="114300" distR="114300" simplePos="0" relativeHeight="251677696" behindDoc="1" locked="0" layoutInCell="1" allowOverlap="1" wp14:anchorId="75C89E14" wp14:editId="75C89E15">
              <wp:simplePos x="0" y="0"/>
              <wp:positionH relativeFrom="column">
                <wp:posOffset>6334941</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082050A">
            <v:line id="Straight Connector 4"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black [3200]" strokeweight=".5pt" from="498.8pt,54.45pt" to="546.7pt,54.45pt" w14:anchorId="108F7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D7PKcneAAAADAEAAA8AAAAAAAAAAAAAAAAADwQAAGRycy9k&#10;b3ducmV2LnhtbFBLBQYAAAAABAAEAPMAAAAaBQAAAAA=&#10;">
              <v:stroke joinstyle="miter"/>
              <w10:wrap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9E07" w14:textId="77777777" w:rsidR="00E4071B" w:rsidRDefault="00E4071B" w:rsidP="00303C55">
    <w:pPr>
      <w:pStyle w:val="Header"/>
      <w:jc w:val="center"/>
    </w:pPr>
    <w:r>
      <w:rPr>
        <w:noProof/>
        <w:lang w:eastAsia="en-AU"/>
      </w:rPr>
      <mc:AlternateContent>
        <mc:Choice Requires="wps">
          <w:drawing>
            <wp:anchor distT="0" distB="0" distL="114300" distR="114300" simplePos="0" relativeHeight="251675648" behindDoc="1" locked="0" layoutInCell="1" allowOverlap="1" wp14:anchorId="75C89E16" wp14:editId="75C89E17">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14988619">
            <v:line id="Straight Connector 108" style="position:absolute;z-index:-25164083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1FD4B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v:stroke joinstyle="miter"/>
              <w10:wrap anchory="page"/>
            </v:line>
          </w:pict>
        </mc:Fallback>
      </mc:AlternateContent>
    </w:r>
    <w:sdt>
      <w:sdtPr>
        <w:rPr>
          <w:rStyle w:val="CLASSIFICATIONChar"/>
        </w:rPr>
        <w:alias w:val="Classification"/>
        <w:tag w:val="Classification"/>
        <w:id w:val="205463371"/>
        <w:placeholder>
          <w:docPart w:val="DA11E11FA08B4268AED610968B9F9BDA"/>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A3F81"/>
    <w:multiLevelType w:val="multilevel"/>
    <w:tmpl w:val="F2C0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9F33BBA"/>
    <w:multiLevelType w:val="hybridMultilevel"/>
    <w:tmpl w:val="C6B214D4"/>
    <w:lvl w:ilvl="0" w:tplc="8460E7C6">
      <w:start w:val="1"/>
      <w:numFmt w:val="decimal"/>
      <w:pStyle w:val="Figure"/>
      <w:suff w:val="space"/>
      <w:lvlText w:val="Figure %1."/>
      <w:lvlJc w:val="left"/>
      <w:pPr>
        <w:ind w:left="978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962B43"/>
    <w:multiLevelType w:val="hybridMultilevel"/>
    <w:tmpl w:val="6640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B56519"/>
    <w:multiLevelType w:val="hybridMultilevel"/>
    <w:tmpl w:val="DC949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2"/>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9"/>
  </w:num>
  <w:num w:numId="20">
    <w:abstractNumId w:val="19"/>
    <w:lvlOverride w:ilvl="0">
      <w:startOverride w:val="1"/>
    </w:lvlOverride>
  </w:num>
  <w:num w:numId="21">
    <w:abstractNumId w:val="24"/>
  </w:num>
  <w:num w:numId="22">
    <w:abstractNumId w:val="21"/>
  </w:num>
  <w:num w:numId="23">
    <w:abstractNumId w:val="12"/>
    <w:lvlOverride w:ilvl="0">
      <w:startOverride w:val="1"/>
    </w:lvlOverride>
  </w:num>
  <w:num w:numId="24">
    <w:abstractNumId w:val="24"/>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15"/>
  </w:num>
  <w:num w:numId="28">
    <w:abstractNumId w:val="18"/>
  </w:num>
  <w:num w:numId="29">
    <w:abstractNumId w:val="14"/>
  </w:num>
  <w:num w:numId="30">
    <w:abstractNumId w:val="16"/>
  </w:num>
  <w:num w:numId="31">
    <w:abstractNumId w:val="13"/>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3"/>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C7"/>
    <w:rsid w:val="00002DDB"/>
    <w:rsid w:val="00005119"/>
    <w:rsid w:val="00027038"/>
    <w:rsid w:val="0003154E"/>
    <w:rsid w:val="0003201F"/>
    <w:rsid w:val="00037513"/>
    <w:rsid w:val="0006627F"/>
    <w:rsid w:val="00083F3B"/>
    <w:rsid w:val="000A4249"/>
    <w:rsid w:val="000B1AB4"/>
    <w:rsid w:val="000B3417"/>
    <w:rsid w:val="000C741C"/>
    <w:rsid w:val="000D6466"/>
    <w:rsid w:val="000D724C"/>
    <w:rsid w:val="000D749D"/>
    <w:rsid w:val="000E6BD7"/>
    <w:rsid w:val="0011375F"/>
    <w:rsid w:val="00117A77"/>
    <w:rsid w:val="0014489D"/>
    <w:rsid w:val="00157FC1"/>
    <w:rsid w:val="001748D6"/>
    <w:rsid w:val="001E414D"/>
    <w:rsid w:val="001E417F"/>
    <w:rsid w:val="001E7EB9"/>
    <w:rsid w:val="00220DDA"/>
    <w:rsid w:val="00227DB5"/>
    <w:rsid w:val="00266CCC"/>
    <w:rsid w:val="00274D42"/>
    <w:rsid w:val="00285CAF"/>
    <w:rsid w:val="002A3781"/>
    <w:rsid w:val="002B661A"/>
    <w:rsid w:val="002C1077"/>
    <w:rsid w:val="002C7A05"/>
    <w:rsid w:val="002D6B3D"/>
    <w:rsid w:val="00303C55"/>
    <w:rsid w:val="00311C2D"/>
    <w:rsid w:val="00353E5E"/>
    <w:rsid w:val="003701EA"/>
    <w:rsid w:val="00374D2A"/>
    <w:rsid w:val="00376FE6"/>
    <w:rsid w:val="00385BD5"/>
    <w:rsid w:val="00385D35"/>
    <w:rsid w:val="003D4B0F"/>
    <w:rsid w:val="003D676D"/>
    <w:rsid w:val="003F0B36"/>
    <w:rsid w:val="003F23E9"/>
    <w:rsid w:val="00412D8F"/>
    <w:rsid w:val="00417F84"/>
    <w:rsid w:val="00447700"/>
    <w:rsid w:val="0049043B"/>
    <w:rsid w:val="004B2C90"/>
    <w:rsid w:val="004C17DE"/>
    <w:rsid w:val="004D35D7"/>
    <w:rsid w:val="004F4C4F"/>
    <w:rsid w:val="00504665"/>
    <w:rsid w:val="005226B9"/>
    <w:rsid w:val="00523AE1"/>
    <w:rsid w:val="00530A9C"/>
    <w:rsid w:val="005538E5"/>
    <w:rsid w:val="00564BA8"/>
    <w:rsid w:val="00591288"/>
    <w:rsid w:val="005917FD"/>
    <w:rsid w:val="005A4AA1"/>
    <w:rsid w:val="005C0F15"/>
    <w:rsid w:val="005C54F1"/>
    <w:rsid w:val="005D4124"/>
    <w:rsid w:val="005D4706"/>
    <w:rsid w:val="005F2E14"/>
    <w:rsid w:val="005F4B91"/>
    <w:rsid w:val="006013CA"/>
    <w:rsid w:val="0060282F"/>
    <w:rsid w:val="00605B9A"/>
    <w:rsid w:val="006200EB"/>
    <w:rsid w:val="00621EA3"/>
    <w:rsid w:val="00640234"/>
    <w:rsid w:val="0064343A"/>
    <w:rsid w:val="006823A0"/>
    <w:rsid w:val="006A008F"/>
    <w:rsid w:val="006A5AA6"/>
    <w:rsid w:val="006A5F24"/>
    <w:rsid w:val="006C0F57"/>
    <w:rsid w:val="006C2B06"/>
    <w:rsid w:val="006E170D"/>
    <w:rsid w:val="006E54E1"/>
    <w:rsid w:val="006E7694"/>
    <w:rsid w:val="006F3BE4"/>
    <w:rsid w:val="006F4478"/>
    <w:rsid w:val="0071548B"/>
    <w:rsid w:val="00716410"/>
    <w:rsid w:val="007204A9"/>
    <w:rsid w:val="00731174"/>
    <w:rsid w:val="007420D6"/>
    <w:rsid w:val="00750063"/>
    <w:rsid w:val="00756929"/>
    <w:rsid w:val="00767DBB"/>
    <w:rsid w:val="00774646"/>
    <w:rsid w:val="00781695"/>
    <w:rsid w:val="00782B97"/>
    <w:rsid w:val="007A02A7"/>
    <w:rsid w:val="007A02EF"/>
    <w:rsid w:val="007C0935"/>
    <w:rsid w:val="007E395D"/>
    <w:rsid w:val="008046D4"/>
    <w:rsid w:val="0082797C"/>
    <w:rsid w:val="00833792"/>
    <w:rsid w:val="008542C2"/>
    <w:rsid w:val="00871890"/>
    <w:rsid w:val="008A0614"/>
    <w:rsid w:val="008C0F10"/>
    <w:rsid w:val="008C47A1"/>
    <w:rsid w:val="008C738F"/>
    <w:rsid w:val="008D0DF5"/>
    <w:rsid w:val="008D6B9E"/>
    <w:rsid w:val="008D704F"/>
    <w:rsid w:val="008E1024"/>
    <w:rsid w:val="008E30D6"/>
    <w:rsid w:val="00913ED0"/>
    <w:rsid w:val="00927650"/>
    <w:rsid w:val="00942CB6"/>
    <w:rsid w:val="00942CE9"/>
    <w:rsid w:val="00954FF2"/>
    <w:rsid w:val="00962EE8"/>
    <w:rsid w:val="0097624A"/>
    <w:rsid w:val="00976EE9"/>
    <w:rsid w:val="00983E65"/>
    <w:rsid w:val="00990A99"/>
    <w:rsid w:val="009A6D9C"/>
    <w:rsid w:val="009B3E53"/>
    <w:rsid w:val="009C60F6"/>
    <w:rsid w:val="009E2262"/>
    <w:rsid w:val="009F0889"/>
    <w:rsid w:val="009F146B"/>
    <w:rsid w:val="00A008E6"/>
    <w:rsid w:val="00A05565"/>
    <w:rsid w:val="00A12C83"/>
    <w:rsid w:val="00A239D5"/>
    <w:rsid w:val="00A67C7E"/>
    <w:rsid w:val="00A738B8"/>
    <w:rsid w:val="00A91881"/>
    <w:rsid w:val="00AA34EB"/>
    <w:rsid w:val="00AA705F"/>
    <w:rsid w:val="00AB4685"/>
    <w:rsid w:val="00AC4357"/>
    <w:rsid w:val="00AC78FB"/>
    <w:rsid w:val="00AD7805"/>
    <w:rsid w:val="00AF0A5C"/>
    <w:rsid w:val="00AF4ACA"/>
    <w:rsid w:val="00B02489"/>
    <w:rsid w:val="00B05528"/>
    <w:rsid w:val="00B14A9E"/>
    <w:rsid w:val="00B15442"/>
    <w:rsid w:val="00B62E0D"/>
    <w:rsid w:val="00B6596F"/>
    <w:rsid w:val="00B96B23"/>
    <w:rsid w:val="00BB673C"/>
    <w:rsid w:val="00BD57F5"/>
    <w:rsid w:val="00BE48A4"/>
    <w:rsid w:val="00BE56F0"/>
    <w:rsid w:val="00BF0C17"/>
    <w:rsid w:val="00C26D0D"/>
    <w:rsid w:val="00C364C7"/>
    <w:rsid w:val="00C37227"/>
    <w:rsid w:val="00C47620"/>
    <w:rsid w:val="00C52673"/>
    <w:rsid w:val="00C54D1F"/>
    <w:rsid w:val="00C67637"/>
    <w:rsid w:val="00CC13B8"/>
    <w:rsid w:val="00CC6110"/>
    <w:rsid w:val="00CD5A98"/>
    <w:rsid w:val="00D03322"/>
    <w:rsid w:val="00D03799"/>
    <w:rsid w:val="00D04E61"/>
    <w:rsid w:val="00D10635"/>
    <w:rsid w:val="00D33703"/>
    <w:rsid w:val="00D525B8"/>
    <w:rsid w:val="00DA18A2"/>
    <w:rsid w:val="00DC000A"/>
    <w:rsid w:val="00DD4CCF"/>
    <w:rsid w:val="00DF2BE4"/>
    <w:rsid w:val="00DF2F8D"/>
    <w:rsid w:val="00E15B53"/>
    <w:rsid w:val="00E224F4"/>
    <w:rsid w:val="00E2753F"/>
    <w:rsid w:val="00E4071B"/>
    <w:rsid w:val="00E700DD"/>
    <w:rsid w:val="00E73E81"/>
    <w:rsid w:val="00E84F06"/>
    <w:rsid w:val="00E92551"/>
    <w:rsid w:val="00EC7F44"/>
    <w:rsid w:val="00ED0697"/>
    <w:rsid w:val="00ED21A7"/>
    <w:rsid w:val="00F03073"/>
    <w:rsid w:val="00F112E6"/>
    <w:rsid w:val="00F326FB"/>
    <w:rsid w:val="00F428AD"/>
    <w:rsid w:val="00F45554"/>
    <w:rsid w:val="00F83753"/>
    <w:rsid w:val="00F9177A"/>
    <w:rsid w:val="00F957C6"/>
    <w:rsid w:val="00FC01E6"/>
    <w:rsid w:val="00FC3389"/>
    <w:rsid w:val="00FD2573"/>
    <w:rsid w:val="00FD2C22"/>
    <w:rsid w:val="00FE2C7F"/>
    <w:rsid w:val="00FF06AC"/>
    <w:rsid w:val="00FF44DE"/>
    <w:rsid w:val="01EB1DAD"/>
    <w:rsid w:val="03A9F4CA"/>
    <w:rsid w:val="0EEE04EA"/>
    <w:rsid w:val="12082EF4"/>
    <w:rsid w:val="2483E8D6"/>
    <w:rsid w:val="4BDF4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5C89C8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200EB"/>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customStyle="1" w:styleId="BodyText1">
    <w:name w:val="Body Text1"/>
    <w:basedOn w:val="Normal"/>
    <w:rsid w:val="00D03322"/>
    <w:pPr>
      <w:spacing w:after="200" w:line="260" w:lineRule="exact"/>
    </w:pPr>
    <w:rPr>
      <w:rFonts w:ascii="Arial" w:eastAsia="Times New Roman" w:hAnsi="Arial" w:cs="Times New Roman"/>
      <w:szCs w:val="24"/>
    </w:rPr>
  </w:style>
  <w:style w:type="paragraph" w:customStyle="1" w:styleId="Sourcenotetext">
    <w:name w:val="Source/note text"/>
    <w:qFormat/>
    <w:rsid w:val="00B05528"/>
    <w:pPr>
      <w:spacing w:before="85" w:after="85" w:line="240" w:lineRule="auto"/>
    </w:pPr>
    <w:rPr>
      <w:rFonts w:ascii="Arial" w:eastAsia="Times New Roman" w:hAnsi="Arial" w:cs="Arial"/>
      <w:i/>
      <w:sz w:val="12"/>
      <w:szCs w:val="12"/>
    </w:rPr>
  </w:style>
  <w:style w:type="paragraph" w:styleId="NormalWeb">
    <w:name w:val="Normal (Web)"/>
    <w:basedOn w:val="Normal"/>
    <w:uiPriority w:val="99"/>
    <w:semiHidden/>
    <w:unhideWhenUsed/>
    <w:rsid w:val="00A239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C13B8"/>
    <w:rPr>
      <w:sz w:val="16"/>
      <w:szCs w:val="16"/>
    </w:rPr>
  </w:style>
  <w:style w:type="paragraph" w:styleId="CommentText">
    <w:name w:val="annotation text"/>
    <w:basedOn w:val="Normal"/>
    <w:link w:val="CommentTextChar"/>
    <w:uiPriority w:val="99"/>
    <w:semiHidden/>
    <w:unhideWhenUsed/>
    <w:rsid w:val="00CC13B8"/>
    <w:pPr>
      <w:spacing w:line="240" w:lineRule="auto"/>
    </w:pPr>
    <w:rPr>
      <w:sz w:val="20"/>
      <w:szCs w:val="20"/>
    </w:rPr>
  </w:style>
  <w:style w:type="character" w:customStyle="1" w:styleId="CommentTextChar">
    <w:name w:val="Comment Text Char"/>
    <w:basedOn w:val="DefaultParagraphFont"/>
    <w:link w:val="CommentText"/>
    <w:uiPriority w:val="99"/>
    <w:semiHidden/>
    <w:rsid w:val="00CC13B8"/>
    <w:rPr>
      <w:sz w:val="20"/>
      <w:szCs w:val="20"/>
    </w:rPr>
  </w:style>
  <w:style w:type="paragraph" w:styleId="CommentSubject">
    <w:name w:val="annotation subject"/>
    <w:basedOn w:val="CommentText"/>
    <w:next w:val="CommentText"/>
    <w:link w:val="CommentSubjectChar"/>
    <w:uiPriority w:val="99"/>
    <w:semiHidden/>
    <w:unhideWhenUsed/>
    <w:rsid w:val="00CC13B8"/>
    <w:rPr>
      <w:b/>
      <w:bCs/>
    </w:rPr>
  </w:style>
  <w:style w:type="character" w:customStyle="1" w:styleId="CommentSubjectChar">
    <w:name w:val="Comment Subject Char"/>
    <w:basedOn w:val="CommentTextChar"/>
    <w:link w:val="CommentSubject"/>
    <w:uiPriority w:val="99"/>
    <w:semiHidden/>
    <w:rsid w:val="00CC13B8"/>
    <w:rPr>
      <w:b/>
      <w:bCs/>
      <w:sz w:val="20"/>
      <w:szCs w:val="20"/>
    </w:rPr>
  </w:style>
  <w:style w:type="paragraph" w:styleId="Revision">
    <w:name w:val="Revision"/>
    <w:hidden/>
    <w:uiPriority w:val="99"/>
    <w:semiHidden/>
    <w:rsid w:val="00385D35"/>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13430">
      <w:bodyDiv w:val="1"/>
      <w:marLeft w:val="0"/>
      <w:marRight w:val="0"/>
      <w:marTop w:val="0"/>
      <w:marBottom w:val="0"/>
      <w:divBdr>
        <w:top w:val="none" w:sz="0" w:space="0" w:color="auto"/>
        <w:left w:val="none" w:sz="0" w:space="0" w:color="auto"/>
        <w:bottom w:val="none" w:sz="0" w:space="0" w:color="auto"/>
        <w:right w:val="none" w:sz="0" w:space="0" w:color="auto"/>
      </w:divBdr>
    </w:div>
    <w:div w:id="334118182">
      <w:bodyDiv w:val="1"/>
      <w:marLeft w:val="0"/>
      <w:marRight w:val="0"/>
      <w:marTop w:val="0"/>
      <w:marBottom w:val="0"/>
      <w:divBdr>
        <w:top w:val="none" w:sz="0" w:space="0" w:color="auto"/>
        <w:left w:val="none" w:sz="0" w:space="0" w:color="auto"/>
        <w:bottom w:val="none" w:sz="0" w:space="0" w:color="auto"/>
        <w:right w:val="none" w:sz="0" w:space="0" w:color="auto"/>
      </w:divBdr>
    </w:div>
    <w:div w:id="678390556">
      <w:bodyDiv w:val="1"/>
      <w:marLeft w:val="0"/>
      <w:marRight w:val="0"/>
      <w:marTop w:val="0"/>
      <w:marBottom w:val="0"/>
      <w:divBdr>
        <w:top w:val="none" w:sz="0" w:space="0" w:color="auto"/>
        <w:left w:val="none" w:sz="0" w:space="0" w:color="auto"/>
        <w:bottom w:val="none" w:sz="0" w:space="0" w:color="auto"/>
        <w:right w:val="none" w:sz="0" w:space="0" w:color="auto"/>
      </w:divBdr>
    </w:div>
    <w:div w:id="787434639">
      <w:bodyDiv w:val="1"/>
      <w:marLeft w:val="0"/>
      <w:marRight w:val="0"/>
      <w:marTop w:val="0"/>
      <w:marBottom w:val="0"/>
      <w:divBdr>
        <w:top w:val="none" w:sz="0" w:space="0" w:color="auto"/>
        <w:left w:val="none" w:sz="0" w:space="0" w:color="auto"/>
        <w:bottom w:val="none" w:sz="0" w:space="0" w:color="auto"/>
        <w:right w:val="none" w:sz="0" w:space="0" w:color="auto"/>
      </w:divBdr>
    </w:div>
    <w:div w:id="890338875">
      <w:bodyDiv w:val="1"/>
      <w:marLeft w:val="0"/>
      <w:marRight w:val="0"/>
      <w:marTop w:val="0"/>
      <w:marBottom w:val="0"/>
      <w:divBdr>
        <w:top w:val="none" w:sz="0" w:space="0" w:color="auto"/>
        <w:left w:val="none" w:sz="0" w:space="0" w:color="auto"/>
        <w:bottom w:val="none" w:sz="0" w:space="0" w:color="auto"/>
        <w:right w:val="none" w:sz="0" w:space="0" w:color="auto"/>
      </w:divBdr>
    </w:div>
    <w:div w:id="1102840488">
      <w:bodyDiv w:val="1"/>
      <w:marLeft w:val="0"/>
      <w:marRight w:val="0"/>
      <w:marTop w:val="0"/>
      <w:marBottom w:val="0"/>
      <w:divBdr>
        <w:top w:val="none" w:sz="0" w:space="0" w:color="auto"/>
        <w:left w:val="none" w:sz="0" w:space="0" w:color="auto"/>
        <w:bottom w:val="none" w:sz="0" w:space="0" w:color="auto"/>
        <w:right w:val="none" w:sz="0" w:space="0" w:color="auto"/>
      </w:divBdr>
    </w:div>
    <w:div w:id="153947240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13991779">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207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af693805d6304205"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C6ADF772F94FE1A56C12C4B49620AD"/>
        <w:category>
          <w:name w:val="General"/>
          <w:gallery w:val="placeholder"/>
        </w:category>
        <w:types>
          <w:type w:val="bbPlcHdr"/>
        </w:types>
        <w:behaviors>
          <w:behavior w:val="content"/>
        </w:behaviors>
        <w:guid w:val="{0F865F60-64A8-48E2-8448-8335989A6612}"/>
      </w:docPartPr>
      <w:docPartBody>
        <w:p w:rsidR="00F83832" w:rsidRDefault="008542C2">
          <w:pPr>
            <w:pStyle w:val="A4C6ADF772F94FE1A56C12C4B49620AD"/>
          </w:pPr>
          <w:r w:rsidRPr="00B6525C">
            <w:rPr>
              <w:rStyle w:val="PlaceholderText"/>
            </w:rPr>
            <w:t>Choose an item.</w:t>
          </w:r>
        </w:p>
      </w:docPartBody>
    </w:docPart>
    <w:docPart>
      <w:docPartPr>
        <w:name w:val="F84544CAA0024637B2876D8CA1447935"/>
        <w:category>
          <w:name w:val="General"/>
          <w:gallery w:val="placeholder"/>
        </w:category>
        <w:types>
          <w:type w:val="bbPlcHdr"/>
        </w:types>
        <w:behaviors>
          <w:behavior w:val="content"/>
        </w:behaviors>
        <w:guid w:val="{86C35B5B-CEF2-492D-A17F-A3F00BC71C0B}"/>
      </w:docPartPr>
      <w:docPartBody>
        <w:p w:rsidR="00F83832" w:rsidRDefault="008542C2">
          <w:pPr>
            <w:pStyle w:val="F84544CAA0024637B2876D8CA1447935"/>
          </w:pPr>
          <w:r w:rsidRPr="00B6525C">
            <w:rPr>
              <w:rStyle w:val="PlaceholderText"/>
            </w:rPr>
            <w:t>Choose an item.</w:t>
          </w:r>
        </w:p>
      </w:docPartBody>
    </w:docPart>
    <w:docPart>
      <w:docPartPr>
        <w:name w:val="DA11E11FA08B4268AED610968B9F9BDA"/>
        <w:category>
          <w:name w:val="General"/>
          <w:gallery w:val="placeholder"/>
        </w:category>
        <w:types>
          <w:type w:val="bbPlcHdr"/>
        </w:types>
        <w:behaviors>
          <w:behavior w:val="content"/>
        </w:behaviors>
        <w:guid w:val="{F5E26A5D-CDCD-4389-83CA-939AE3A09D96}"/>
      </w:docPartPr>
      <w:docPartBody>
        <w:p w:rsidR="00F83832" w:rsidRDefault="008542C2">
          <w:pPr>
            <w:pStyle w:val="DA11E11FA08B4268AED610968B9F9BDA"/>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ontserrat">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C2"/>
    <w:rsid w:val="000232DF"/>
    <w:rsid w:val="00054044"/>
    <w:rsid w:val="00380FCD"/>
    <w:rsid w:val="003E4EEB"/>
    <w:rsid w:val="004B6342"/>
    <w:rsid w:val="004C6377"/>
    <w:rsid w:val="00560BEA"/>
    <w:rsid w:val="0057545C"/>
    <w:rsid w:val="006844CE"/>
    <w:rsid w:val="008542C2"/>
    <w:rsid w:val="0094372A"/>
    <w:rsid w:val="00C470C6"/>
    <w:rsid w:val="00CA70DA"/>
    <w:rsid w:val="00D05D71"/>
    <w:rsid w:val="00D1001F"/>
    <w:rsid w:val="00DE5B97"/>
    <w:rsid w:val="00E12CD9"/>
    <w:rsid w:val="00E86496"/>
    <w:rsid w:val="00EB60F7"/>
    <w:rsid w:val="00F83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8AF6D60B4D44B4B10E8D1183E48386">
    <w:name w:val="3F8AF6D60B4D44B4B10E8D1183E48386"/>
  </w:style>
  <w:style w:type="paragraph" w:customStyle="1" w:styleId="F84BDB6224B240A5BE70D5E38426BCD6">
    <w:name w:val="F84BDB6224B240A5BE70D5E38426BCD6"/>
  </w:style>
  <w:style w:type="paragraph" w:customStyle="1" w:styleId="15F5411DC6D549EFA2B71AB2668C5C1D">
    <w:name w:val="15F5411DC6D549EFA2B71AB2668C5C1D"/>
  </w:style>
  <w:style w:type="paragraph" w:customStyle="1" w:styleId="A4C6ADF772F94FE1A56C12C4B49620AD">
    <w:name w:val="A4C6ADF772F94FE1A56C12C4B49620AD"/>
  </w:style>
  <w:style w:type="paragraph" w:customStyle="1" w:styleId="F84544CAA0024637B2876D8CA1447935">
    <w:name w:val="F84544CAA0024637B2876D8CA1447935"/>
  </w:style>
  <w:style w:type="paragraph" w:customStyle="1" w:styleId="B62F219FA8A447FF8646FB6BAE4A2DBF">
    <w:name w:val="B62F219FA8A447FF8646FB6BAE4A2DBF"/>
  </w:style>
  <w:style w:type="paragraph" w:customStyle="1" w:styleId="78D76AC1618F41DFBFE448DB528EDFEB">
    <w:name w:val="78D76AC1618F41DFBFE448DB528EDFEB"/>
  </w:style>
  <w:style w:type="paragraph" w:customStyle="1" w:styleId="DA11E11FA08B4268AED610968B9F9BDA">
    <w:name w:val="DA11E11FA08B4268AED610968B9F9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_dlc_DocId xmlns="d0dfa800-9ef0-44cb-8a12-633e29de1e0b">PMCdoc-213507164-64733</_dlc_DocId>
    <_dlc_DocIdUrl xmlns="d0dfa800-9ef0-44cb-8a12-633e29de1e0b">
      <Url>https://pmc01.sharepoint.com/sites/pmc-ms-cb/_layouts/15/DocIdRedir.aspx?ID=PMCdoc-213507164-64733</Url>
      <Description>PMCdoc-213507164-64733</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0505A-4F99-4052-AF66-14BDC385FA98}">
  <ds:schemaRefs>
    <ds:schemaRef ds:uri="http://schemas.microsoft.com/sharepoint/v3/contenttype/forms"/>
  </ds:schemaRefs>
</ds:datastoreItem>
</file>

<file path=customXml/itemProps2.xml><?xml version="1.0" encoding="utf-8"?>
<ds:datastoreItem xmlns:ds="http://schemas.openxmlformats.org/officeDocument/2006/customXml" ds:itemID="{21A574AD-02D1-4DCE-A4D3-D79907AC5822}">
  <ds:schemaRefs>
    <ds:schemaRef ds:uri="http://purl.org/dc/elements/1.1/"/>
    <ds:schemaRef ds:uri="http://schemas.microsoft.com/office/infopath/2007/PartnerControls"/>
    <ds:schemaRef ds:uri="http://schemas.openxmlformats.org/package/2006/metadata/core-properties"/>
    <ds:schemaRef ds:uri="ce530a30-1469-477c-a42f-e412a5d2cfe7"/>
    <ds:schemaRef ds:uri="http://purl.org/dc/terms/"/>
    <ds:schemaRef ds:uri="http://schemas.microsoft.com/office/2006/metadata/properties"/>
    <ds:schemaRef ds:uri="e771ab56-0c5d-40e7-b080-2686d2b89623"/>
    <ds:schemaRef ds:uri="http://schemas.microsoft.com/office/2006/documentManagement/types"/>
    <ds:schemaRef ds:uri="http://schemas.microsoft.com/sharepoint/v3"/>
    <ds:schemaRef ds:uri="d0dfa800-9ef0-44cb-8a12-633e29de1e0b"/>
    <ds:schemaRef ds:uri="http://www.w3.org/XML/1998/namespace"/>
    <ds:schemaRef ds:uri="http://purl.org/dc/dcmitype/"/>
  </ds:schemaRefs>
</ds:datastoreItem>
</file>

<file path=customXml/itemProps3.xml><?xml version="1.0" encoding="utf-8"?>
<ds:datastoreItem xmlns:ds="http://schemas.openxmlformats.org/officeDocument/2006/customXml" ds:itemID="{463C6C53-5DB3-4872-8765-A270D1C43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D0E47-A280-4555-B575-6753B73FF4C1}">
  <ds:schemaRefs>
    <ds:schemaRef ds:uri="http://schemas.microsoft.com/sharepoint/events"/>
  </ds:schemaRefs>
</ds:datastoreItem>
</file>

<file path=customXml/itemProps5.xml><?xml version="1.0" encoding="utf-8"?>
<ds:datastoreItem xmlns:ds="http://schemas.openxmlformats.org/officeDocument/2006/customXml" ds:itemID="{3948828C-AF13-4DE4-A0AB-659C7444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3836</Words>
  <Characters>22827</Characters>
  <Application>Microsoft Office Word</Application>
  <DocSecurity>0</DocSecurity>
  <Lines>616</Lines>
  <Paragraphs>410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Commonwealth-State Regulation Impact Statement status, 2021-22</dc:title>
  <dc:subject/>
  <dc:creator/>
  <cp:keywords/>
  <dc:description/>
  <cp:lastModifiedBy/>
  <dcterms:created xsi:type="dcterms:W3CDTF">2022-08-16T00:51:00Z</dcterms:created>
  <dcterms:modified xsi:type="dcterms:W3CDTF">2025-06-06T03:54:00Z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SecurityClassification">
    <vt:lpwstr>4;#OFFICIAL|9e0ec9cb-4e7f-4d4a-bd32-1ee7525c6d87</vt:lpwstr>
  </property>
  <property fmtid="{D5CDD505-2E9C-101B-9397-08002B2CF9AE}" pid="4" name="_dlc_DocIdItemGuid">
    <vt:lpwstr>8d17397b-1513-453e-ad34-3c47dd204055</vt:lpwstr>
  </property>
  <property fmtid="{D5CDD505-2E9C-101B-9397-08002B2CF9AE}" pid="5" name="TaxKeyword">
    <vt:lpwstr/>
  </property>
  <property fmtid="{D5CDD505-2E9C-101B-9397-08002B2CF9AE}" pid="6" name="InformationMarker">
    <vt:lpwstr/>
  </property>
  <property fmtid="{D5CDD505-2E9C-101B-9397-08002B2CF9AE}" pid="7" name="MediaServiceImageTags">
    <vt:lpwstr/>
  </property>
</Properties>
</file>