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5DDEB" w14:textId="1F7BDEFC" w:rsidR="00E92551" w:rsidRPr="00F957C6" w:rsidRDefault="009E2262" w:rsidP="000743FF">
      <w:pPr>
        <w:pStyle w:val="Title"/>
        <w:spacing w:before="480"/>
      </w:pPr>
      <w:r>
        <w:t xml:space="preserve">Commonwealth-State </w:t>
      </w:r>
      <w:r w:rsidR="00A52809">
        <w:t>Regulat</w:t>
      </w:r>
      <w:r w:rsidR="4E4CAD8C">
        <w:t>ion</w:t>
      </w:r>
      <w:r w:rsidR="00A52809">
        <w:t xml:space="preserve"> </w:t>
      </w:r>
      <w:r>
        <w:t xml:space="preserve">Impact </w:t>
      </w:r>
      <w:r w:rsidR="000B03B3">
        <w:t xml:space="preserve">Statement </w:t>
      </w:r>
      <w:r>
        <w:t>status, 202</w:t>
      </w:r>
      <w:r w:rsidR="00EC344D">
        <w:t>4</w:t>
      </w:r>
      <w:r>
        <w:t>-2</w:t>
      </w:r>
      <w:r w:rsidR="00EC344D">
        <w:t>5</w:t>
      </w:r>
    </w:p>
    <w:p w14:paraId="2729862F" w14:textId="65BC13E4" w:rsidR="00044BAF" w:rsidRDefault="009E2262" w:rsidP="0097624A">
      <w:pPr>
        <w:pStyle w:val="Subtitle"/>
      </w:pPr>
      <w:r>
        <w:t xml:space="preserve">The Office of </w:t>
      </w:r>
      <w:r w:rsidR="00997E86">
        <w:t>Impact A</w:t>
      </w:r>
      <w:r w:rsidR="00387079">
        <w:t>n</w:t>
      </w:r>
      <w:r w:rsidR="00997E86">
        <w:t>alysis</w:t>
      </w:r>
      <w:r>
        <w:t xml:space="preserve"> (</w:t>
      </w:r>
      <w:r w:rsidR="00997E86">
        <w:t>OIA</w:t>
      </w:r>
      <w:r>
        <w:t>) publishes</w:t>
      </w:r>
      <w:r w:rsidR="00A94949">
        <w:t xml:space="preserve"> </w:t>
      </w:r>
      <w:r w:rsidR="000B03B3">
        <w:t xml:space="preserve">Regulation Impact Statements </w:t>
      </w:r>
      <w:r w:rsidR="00997E86">
        <w:t>(</w:t>
      </w:r>
      <w:r w:rsidR="00A94949">
        <w:t>R</w:t>
      </w:r>
      <w:r w:rsidR="000B03B3">
        <w:t>IS</w:t>
      </w:r>
      <w:r w:rsidR="00997E86">
        <w:t xml:space="preserve">s) </w:t>
      </w:r>
      <w:r>
        <w:t>and the O</w:t>
      </w:r>
      <w:r w:rsidR="00997E86">
        <w:t>IA’</w:t>
      </w:r>
      <w:r>
        <w:t xml:space="preserve">s assessment of </w:t>
      </w:r>
      <w:r w:rsidR="005538E5">
        <w:t xml:space="preserve">each </w:t>
      </w:r>
      <w:r w:rsidR="000B03B3">
        <w:t>RIS</w:t>
      </w:r>
      <w:r w:rsidR="00997E86">
        <w:t xml:space="preserve"> </w:t>
      </w:r>
      <w:r>
        <w:t xml:space="preserve">on its website as soon as practicable after a </w:t>
      </w:r>
      <w:r w:rsidR="002010AE">
        <w:t>policy</w:t>
      </w:r>
      <w:r>
        <w:t xml:space="preserve"> announcement, in consultation with the relevant Ministerial Meeting or national standard-setting body (NSSB).</w:t>
      </w:r>
    </w:p>
    <w:p w14:paraId="40FF4C93" w14:textId="3E87E199" w:rsidR="0076518B" w:rsidRPr="004C5D63" w:rsidRDefault="00044BAF" w:rsidP="0097624A">
      <w:pPr>
        <w:pStyle w:val="Subtitle"/>
      </w:pPr>
      <w:r>
        <w:t xml:space="preserve">Please note that all Department and Agency names in this report reflect their name at the time the </w:t>
      </w:r>
      <w:r w:rsidR="000872C2">
        <w:t>RIS</w:t>
      </w:r>
      <w:r>
        <w:t xml:space="preserve"> was published.</w:t>
      </w:r>
    </w:p>
    <w:p w14:paraId="6B75C3C6" w14:textId="16B9C020" w:rsidR="000C2867" w:rsidRDefault="00F47011" w:rsidP="2C667E85">
      <w:pPr>
        <w:rPr>
          <w:rFonts w:eastAsiaTheme="majorEastAsia"/>
          <w:sz w:val="28"/>
          <w:szCs w:val="28"/>
        </w:rPr>
      </w:pPr>
      <w:r w:rsidRPr="2C667E85">
        <w:rPr>
          <w:rFonts w:eastAsiaTheme="majorEastAsia"/>
          <w:sz w:val="28"/>
          <w:szCs w:val="28"/>
        </w:rPr>
        <w:t>O</w:t>
      </w:r>
      <w:r w:rsidR="39CE231A" w:rsidRPr="2C667E85">
        <w:rPr>
          <w:rFonts w:eastAsiaTheme="majorEastAsia"/>
          <w:sz w:val="28"/>
          <w:szCs w:val="28"/>
        </w:rPr>
        <w:t xml:space="preserve">n 28 April 2023, </w:t>
      </w:r>
      <w:r w:rsidRPr="2C667E85">
        <w:rPr>
          <w:rFonts w:eastAsiaTheme="majorEastAsia"/>
          <w:sz w:val="28"/>
          <w:szCs w:val="28"/>
        </w:rPr>
        <w:t xml:space="preserve">National Cabinet agreed to </w:t>
      </w:r>
      <w:r w:rsidR="39CE231A" w:rsidRPr="2C667E85">
        <w:rPr>
          <w:rFonts w:eastAsiaTheme="majorEastAsia"/>
          <w:sz w:val="28"/>
          <w:szCs w:val="28"/>
        </w:rPr>
        <w:t xml:space="preserve">changes to the </w:t>
      </w:r>
      <w:r w:rsidR="00B32284" w:rsidRPr="2C667E85">
        <w:rPr>
          <w:rFonts w:eastAsiaTheme="majorEastAsia"/>
          <w:sz w:val="28"/>
          <w:szCs w:val="28"/>
        </w:rPr>
        <w:t>RIS</w:t>
      </w:r>
      <w:r w:rsidR="39CE231A" w:rsidRPr="2C667E85">
        <w:rPr>
          <w:rFonts w:eastAsiaTheme="majorEastAsia"/>
          <w:sz w:val="28"/>
          <w:szCs w:val="28"/>
        </w:rPr>
        <w:t xml:space="preserve"> requirements that apply to decisions in the Federal Relations Architecture. </w:t>
      </w:r>
      <w:r w:rsidR="00755827" w:rsidRPr="2C667E85">
        <w:rPr>
          <w:rFonts w:eastAsiaTheme="majorEastAsia"/>
          <w:sz w:val="28"/>
          <w:szCs w:val="28"/>
        </w:rPr>
        <w:t xml:space="preserve">Under the </w:t>
      </w:r>
      <w:r w:rsidR="00755827" w:rsidRPr="2C667E85">
        <w:rPr>
          <w:rFonts w:eastAsiaTheme="majorEastAsia"/>
          <w:i/>
          <w:iCs/>
          <w:sz w:val="28"/>
          <w:szCs w:val="28"/>
        </w:rPr>
        <w:t>Guide for Ministers’ Meetings and National Standard Setting Bodies</w:t>
      </w:r>
      <w:r w:rsidR="00EF118A" w:rsidRPr="2C667E85">
        <w:rPr>
          <w:rFonts w:eastAsiaTheme="majorEastAsia"/>
          <w:sz w:val="28"/>
          <w:szCs w:val="28"/>
        </w:rPr>
        <w:t xml:space="preserve"> (the Guide)</w:t>
      </w:r>
      <w:r w:rsidR="00755827" w:rsidRPr="2C667E85">
        <w:rPr>
          <w:rFonts w:eastAsiaTheme="majorEastAsia"/>
          <w:sz w:val="28"/>
          <w:szCs w:val="28"/>
        </w:rPr>
        <w:t xml:space="preserve">, a </w:t>
      </w:r>
      <w:r w:rsidR="14DCAC63" w:rsidRPr="2C667E85">
        <w:rPr>
          <w:rFonts w:eastAsiaTheme="majorEastAsia"/>
          <w:sz w:val="28"/>
          <w:szCs w:val="28"/>
        </w:rPr>
        <w:t>RIS</w:t>
      </w:r>
      <w:r w:rsidR="39CE231A" w:rsidRPr="2C667E85">
        <w:rPr>
          <w:rFonts w:eastAsiaTheme="majorEastAsia"/>
          <w:sz w:val="28"/>
          <w:szCs w:val="28"/>
        </w:rPr>
        <w:t xml:space="preserve"> </w:t>
      </w:r>
      <w:r w:rsidR="00755827" w:rsidRPr="2C667E85">
        <w:rPr>
          <w:rFonts w:eastAsiaTheme="majorEastAsia"/>
          <w:sz w:val="28"/>
          <w:szCs w:val="28"/>
        </w:rPr>
        <w:t xml:space="preserve">only needs to be </w:t>
      </w:r>
      <w:r w:rsidR="39CE231A" w:rsidRPr="2C667E85">
        <w:rPr>
          <w:rFonts w:eastAsiaTheme="majorEastAsia"/>
          <w:sz w:val="28"/>
          <w:szCs w:val="28"/>
        </w:rPr>
        <w:t>finalised with the OIA</w:t>
      </w:r>
      <w:r w:rsidR="00755827" w:rsidRPr="2C667E85">
        <w:rPr>
          <w:rFonts w:eastAsiaTheme="majorEastAsia"/>
          <w:sz w:val="28"/>
          <w:szCs w:val="28"/>
        </w:rPr>
        <w:t xml:space="preserve"> if</w:t>
      </w:r>
      <w:r w:rsidR="39CE231A" w:rsidRPr="2C667E85">
        <w:rPr>
          <w:rFonts w:eastAsiaTheme="majorEastAsia"/>
          <w:sz w:val="28"/>
          <w:szCs w:val="28"/>
        </w:rPr>
        <w:t xml:space="preserve"> requested by the relevant decision maker(s).</w:t>
      </w:r>
    </w:p>
    <w:p w14:paraId="15248CD2" w14:textId="21C7C61B" w:rsidR="00CD1F9B" w:rsidRDefault="00EF118A" w:rsidP="57F861BE">
      <w:pPr>
        <w:rPr>
          <w:rFonts w:eastAsiaTheme="majorEastAsia"/>
          <w:sz w:val="28"/>
          <w:szCs w:val="28"/>
        </w:rPr>
      </w:pPr>
      <w:r w:rsidRPr="01B86E0C">
        <w:rPr>
          <w:rFonts w:eastAsiaTheme="majorEastAsia"/>
          <w:sz w:val="28"/>
          <w:szCs w:val="28"/>
        </w:rPr>
        <w:t>As outlined in the Guide, w</w:t>
      </w:r>
      <w:r w:rsidR="08E92075" w:rsidRPr="01B86E0C">
        <w:rPr>
          <w:rFonts w:eastAsiaTheme="majorEastAsia"/>
          <w:sz w:val="28"/>
          <w:szCs w:val="28"/>
        </w:rPr>
        <w:t xml:space="preserve">here a RIS is commissioned by the decision maker, the default requirement is that both a </w:t>
      </w:r>
      <w:r w:rsidR="307DB0FE" w:rsidRPr="01B86E0C">
        <w:rPr>
          <w:rFonts w:eastAsiaTheme="majorEastAsia"/>
          <w:sz w:val="28"/>
          <w:szCs w:val="28"/>
        </w:rPr>
        <w:t>C-</w:t>
      </w:r>
      <w:r w:rsidR="08E92075" w:rsidRPr="01B86E0C">
        <w:rPr>
          <w:rFonts w:eastAsiaTheme="majorEastAsia"/>
          <w:sz w:val="28"/>
          <w:szCs w:val="28"/>
        </w:rPr>
        <w:t xml:space="preserve">RIS and </w:t>
      </w:r>
      <w:r w:rsidR="2407031A" w:rsidRPr="01B86E0C">
        <w:rPr>
          <w:rFonts w:eastAsiaTheme="majorEastAsia"/>
          <w:sz w:val="28"/>
          <w:szCs w:val="28"/>
        </w:rPr>
        <w:t>D-</w:t>
      </w:r>
      <w:r w:rsidR="08E92075" w:rsidRPr="01B86E0C">
        <w:rPr>
          <w:rFonts w:eastAsiaTheme="majorEastAsia"/>
          <w:sz w:val="28"/>
          <w:szCs w:val="28"/>
        </w:rPr>
        <w:t xml:space="preserve">RIS must be prepared. However, a </w:t>
      </w:r>
      <w:r>
        <w:br/>
      </w:r>
      <w:r w:rsidR="696684C5" w:rsidRPr="01B86E0C">
        <w:rPr>
          <w:rFonts w:eastAsiaTheme="majorEastAsia"/>
          <w:sz w:val="28"/>
          <w:szCs w:val="28"/>
        </w:rPr>
        <w:t>C-</w:t>
      </w:r>
      <w:r w:rsidR="08E92075" w:rsidRPr="01B86E0C">
        <w:rPr>
          <w:rFonts w:eastAsiaTheme="majorEastAsia"/>
          <w:sz w:val="28"/>
          <w:szCs w:val="28"/>
        </w:rPr>
        <w:t xml:space="preserve">RIS may not be required in circumstances where </w:t>
      </w:r>
      <w:r w:rsidR="00240B62" w:rsidRPr="01B86E0C">
        <w:rPr>
          <w:rFonts w:eastAsiaTheme="majorEastAsia"/>
          <w:sz w:val="28"/>
          <w:szCs w:val="28"/>
        </w:rPr>
        <w:t xml:space="preserve">the OIA has agreed </w:t>
      </w:r>
      <w:r w:rsidR="79FF49DE" w:rsidRPr="01B86E0C">
        <w:rPr>
          <w:rFonts w:eastAsiaTheme="majorEastAsia"/>
          <w:sz w:val="28"/>
          <w:szCs w:val="28"/>
        </w:rPr>
        <w:t xml:space="preserve">that </w:t>
      </w:r>
      <w:r w:rsidR="08E92075" w:rsidRPr="01B86E0C">
        <w:rPr>
          <w:rFonts w:eastAsiaTheme="majorEastAsia"/>
          <w:sz w:val="28"/>
          <w:szCs w:val="28"/>
        </w:rPr>
        <w:t xml:space="preserve">the function of the </w:t>
      </w:r>
      <w:r w:rsidR="3CA63BED" w:rsidRPr="01B86E0C">
        <w:rPr>
          <w:rFonts w:eastAsiaTheme="majorEastAsia"/>
          <w:sz w:val="28"/>
          <w:szCs w:val="28"/>
        </w:rPr>
        <w:t>C-</w:t>
      </w:r>
      <w:r w:rsidR="08E92075" w:rsidRPr="01B86E0C">
        <w:rPr>
          <w:rFonts w:eastAsiaTheme="majorEastAsia"/>
          <w:sz w:val="28"/>
          <w:szCs w:val="28"/>
        </w:rPr>
        <w:t>RIS has been achieved by an appropriate alternative mechanism.</w:t>
      </w:r>
    </w:p>
    <w:p w14:paraId="4FCA3474" w14:textId="77777777" w:rsidR="00CD1F9B" w:rsidRDefault="00CD1F9B">
      <w:pPr>
        <w:spacing w:after="200"/>
        <w:rPr>
          <w:rFonts w:eastAsiaTheme="majorEastAsia"/>
          <w:sz w:val="28"/>
          <w:szCs w:val="28"/>
        </w:rPr>
      </w:pPr>
      <w:r>
        <w:rPr>
          <w:rFonts w:eastAsiaTheme="majorEastAsia"/>
          <w:sz w:val="28"/>
          <w:szCs w:val="28"/>
        </w:rPr>
        <w:br w:type="page"/>
      </w:r>
    </w:p>
    <w:sdt>
      <w:sdtPr>
        <w:rPr>
          <w:rFonts w:asciiTheme="minorHAnsi" w:eastAsiaTheme="minorEastAsia" w:hAnsiTheme="minorHAnsi" w:cstheme="minorBidi"/>
          <w:color w:val="auto"/>
          <w:sz w:val="22"/>
          <w:szCs w:val="21"/>
        </w:rPr>
        <w:id w:val="698173659"/>
        <w:docPartObj>
          <w:docPartGallery w:val="Table of Contents"/>
          <w:docPartUnique/>
        </w:docPartObj>
      </w:sdtPr>
      <w:sdtEndPr/>
      <w:sdtContent>
        <w:p w14:paraId="77109E21" w14:textId="705A64A1" w:rsidR="00117A77" w:rsidRDefault="00117A77">
          <w:pPr>
            <w:pStyle w:val="TOCHeading"/>
          </w:pPr>
          <w:r>
            <w:t>Contents</w:t>
          </w:r>
        </w:p>
        <w:p w14:paraId="0774D726" w14:textId="3AB59A1A" w:rsidR="00050A99" w:rsidRPr="00A60EDE" w:rsidRDefault="00050A99" w:rsidP="2C667E85">
          <w:pPr>
            <w:pStyle w:val="TOC1"/>
            <w:tabs>
              <w:tab w:val="right" w:leader="dot" w:pos="9960"/>
            </w:tabs>
            <w:rPr>
              <w:rStyle w:val="Hyperlink"/>
              <w:noProof/>
              <w:lang w:eastAsia="en-AU"/>
            </w:rPr>
          </w:pPr>
          <w:r>
            <w:fldChar w:fldCharType="begin"/>
          </w:r>
          <w:r w:rsidR="6C86F938">
            <w:instrText>TOC \o "1-3" \z \u \h</w:instrText>
          </w:r>
          <w:r>
            <w:fldChar w:fldCharType="separate"/>
          </w:r>
          <w:hyperlink w:anchor="_Toc1242124770">
            <w:r w:rsidR="2C667E85" w:rsidRPr="2C667E85">
              <w:rPr>
                <w:rStyle w:val="Hyperlink"/>
              </w:rPr>
              <w:t>Compliance with the Commonwealth-State IA requirements 2018-19 to 2024-25</w:t>
            </w:r>
            <w:r w:rsidR="6C86F938">
              <w:tab/>
            </w:r>
            <w:r w:rsidR="6C86F938">
              <w:fldChar w:fldCharType="begin"/>
            </w:r>
            <w:r w:rsidR="6C86F938">
              <w:instrText>PAGEREF _Toc1242124770 \h</w:instrText>
            </w:r>
            <w:r w:rsidR="6C86F938">
              <w:fldChar w:fldCharType="separate"/>
            </w:r>
            <w:r w:rsidR="2C667E85" w:rsidRPr="2C667E85">
              <w:rPr>
                <w:rStyle w:val="Hyperlink"/>
              </w:rPr>
              <w:t>2</w:t>
            </w:r>
            <w:r w:rsidR="6C86F938">
              <w:fldChar w:fldCharType="end"/>
            </w:r>
          </w:hyperlink>
        </w:p>
        <w:p w14:paraId="286E8095" w14:textId="378EFE5C" w:rsidR="00050A99" w:rsidRPr="00A60EDE" w:rsidRDefault="00214925" w:rsidP="2C667E85">
          <w:pPr>
            <w:pStyle w:val="TOC1"/>
            <w:tabs>
              <w:tab w:val="right" w:leader="dot" w:pos="9960"/>
            </w:tabs>
            <w:rPr>
              <w:rStyle w:val="Hyperlink"/>
              <w:noProof/>
              <w:lang w:eastAsia="en-AU"/>
            </w:rPr>
          </w:pPr>
          <w:hyperlink w:anchor="_Toc1042872935">
            <w:r w:rsidR="2C667E85" w:rsidRPr="2C667E85">
              <w:rPr>
                <w:rStyle w:val="Hyperlink"/>
              </w:rPr>
              <w:t>Detailed information on RISs prepared for decision in 202425</w:t>
            </w:r>
            <w:r w:rsidR="00050A99">
              <w:tab/>
            </w:r>
            <w:r w:rsidR="00050A99">
              <w:fldChar w:fldCharType="begin"/>
            </w:r>
            <w:r w:rsidR="00050A99">
              <w:instrText>PAGEREF _Toc1042872935 \h</w:instrText>
            </w:r>
            <w:r w:rsidR="00050A99">
              <w:fldChar w:fldCharType="separate"/>
            </w:r>
            <w:r w:rsidR="2C667E85" w:rsidRPr="2C667E85">
              <w:rPr>
                <w:rStyle w:val="Hyperlink"/>
              </w:rPr>
              <w:t>3</w:t>
            </w:r>
            <w:r w:rsidR="00050A99">
              <w:fldChar w:fldCharType="end"/>
            </w:r>
          </w:hyperlink>
        </w:p>
        <w:p w14:paraId="32479B50" w14:textId="4B966C8F" w:rsidR="00050A99" w:rsidRPr="00A60EDE" w:rsidRDefault="00214925" w:rsidP="2C667E85">
          <w:pPr>
            <w:pStyle w:val="TOC2"/>
            <w:tabs>
              <w:tab w:val="clear" w:pos="9968"/>
              <w:tab w:val="right" w:leader="dot" w:pos="9960"/>
            </w:tabs>
            <w:rPr>
              <w:rStyle w:val="Hyperlink"/>
              <w:noProof/>
              <w:lang w:eastAsia="en-AU"/>
            </w:rPr>
          </w:pPr>
          <w:hyperlink w:anchor="_Toc245259161">
            <w:r w:rsidR="2C667E85" w:rsidRPr="2C667E85">
              <w:rPr>
                <w:rStyle w:val="Hyperlink"/>
              </w:rPr>
              <w:t>Australian Health Practitioner Regulation Agency, Nursing and Midwifery Board of Australia</w:t>
            </w:r>
            <w:r w:rsidR="00050A99">
              <w:tab/>
            </w:r>
            <w:r w:rsidR="00050A99">
              <w:fldChar w:fldCharType="begin"/>
            </w:r>
            <w:r w:rsidR="00050A99">
              <w:instrText>PAGEREF _Toc245259161 \h</w:instrText>
            </w:r>
            <w:r w:rsidR="00050A99">
              <w:fldChar w:fldCharType="separate"/>
            </w:r>
            <w:r w:rsidR="2C667E85" w:rsidRPr="2C667E85">
              <w:rPr>
                <w:rStyle w:val="Hyperlink"/>
              </w:rPr>
              <w:t>3</w:t>
            </w:r>
            <w:r w:rsidR="00050A99">
              <w:fldChar w:fldCharType="end"/>
            </w:r>
          </w:hyperlink>
        </w:p>
        <w:p w14:paraId="001E14F9" w14:textId="4CBD3048" w:rsidR="00050A99" w:rsidRPr="00A60EDE" w:rsidRDefault="00214925" w:rsidP="2C667E85">
          <w:pPr>
            <w:pStyle w:val="TOC3"/>
            <w:tabs>
              <w:tab w:val="clear" w:pos="9968"/>
              <w:tab w:val="right" w:leader="dot" w:pos="9960"/>
            </w:tabs>
            <w:rPr>
              <w:rStyle w:val="Hyperlink"/>
              <w:noProof/>
              <w:lang w:eastAsia="en-AU"/>
            </w:rPr>
          </w:pPr>
          <w:hyperlink w:anchor="_Toc1122673221">
            <w:r w:rsidR="2C667E85" w:rsidRPr="2C667E85">
              <w:rPr>
                <w:rStyle w:val="Hyperlink"/>
              </w:rPr>
              <w:t>Expanded Role for Registered Nurses to Improve Access to Healthcare</w:t>
            </w:r>
            <w:r w:rsidR="00050A99">
              <w:tab/>
            </w:r>
            <w:r w:rsidR="00050A99">
              <w:fldChar w:fldCharType="begin"/>
            </w:r>
            <w:r w:rsidR="00050A99">
              <w:instrText>PAGEREF _Toc1122673221 \h</w:instrText>
            </w:r>
            <w:r w:rsidR="00050A99">
              <w:fldChar w:fldCharType="separate"/>
            </w:r>
            <w:r w:rsidR="2C667E85" w:rsidRPr="2C667E85">
              <w:rPr>
                <w:rStyle w:val="Hyperlink"/>
              </w:rPr>
              <w:t>3</w:t>
            </w:r>
            <w:r w:rsidR="00050A99">
              <w:fldChar w:fldCharType="end"/>
            </w:r>
          </w:hyperlink>
        </w:p>
        <w:p w14:paraId="1D173DD2" w14:textId="4F0E88D9" w:rsidR="00050A99" w:rsidRPr="00A60EDE" w:rsidRDefault="00214925" w:rsidP="2C667E85">
          <w:pPr>
            <w:pStyle w:val="TOC2"/>
            <w:tabs>
              <w:tab w:val="clear" w:pos="9968"/>
              <w:tab w:val="right" w:leader="dot" w:pos="9960"/>
            </w:tabs>
            <w:rPr>
              <w:rStyle w:val="Hyperlink"/>
              <w:noProof/>
              <w:lang w:eastAsia="en-AU"/>
            </w:rPr>
          </w:pPr>
          <w:hyperlink w:anchor="_Toc155083891">
            <w:r w:rsidR="2C667E85" w:rsidRPr="2C667E85">
              <w:rPr>
                <w:rStyle w:val="Hyperlink"/>
              </w:rPr>
              <w:t>Department of the Treasury</w:t>
            </w:r>
            <w:r w:rsidR="00050A99">
              <w:tab/>
            </w:r>
            <w:r w:rsidR="00050A99">
              <w:fldChar w:fldCharType="begin"/>
            </w:r>
            <w:r w:rsidR="00050A99">
              <w:instrText>PAGEREF _Toc155083891 \h</w:instrText>
            </w:r>
            <w:r w:rsidR="00050A99">
              <w:fldChar w:fldCharType="separate"/>
            </w:r>
            <w:r w:rsidR="2C667E85" w:rsidRPr="2C667E85">
              <w:rPr>
                <w:rStyle w:val="Hyperlink"/>
              </w:rPr>
              <w:t>5</w:t>
            </w:r>
            <w:r w:rsidR="00050A99">
              <w:fldChar w:fldCharType="end"/>
            </w:r>
          </w:hyperlink>
        </w:p>
        <w:p w14:paraId="1FAB5EF5" w14:textId="75E5B030" w:rsidR="00050A99" w:rsidRDefault="00214925" w:rsidP="2C667E85">
          <w:pPr>
            <w:pStyle w:val="TOC3"/>
            <w:tabs>
              <w:tab w:val="clear" w:pos="9968"/>
              <w:tab w:val="right" w:leader="dot" w:pos="9960"/>
            </w:tabs>
            <w:rPr>
              <w:rStyle w:val="Hyperlink"/>
              <w:noProof/>
              <w:lang w:eastAsia="en-AU"/>
            </w:rPr>
          </w:pPr>
          <w:hyperlink w:anchor="_Toc1099789641">
            <w:r w:rsidR="2C667E85" w:rsidRPr="2C667E85">
              <w:rPr>
                <w:rStyle w:val="Hyperlink"/>
              </w:rPr>
              <w:t>Regulation of Safety Standards and Information Standards</w:t>
            </w:r>
            <w:r w:rsidR="00050A99">
              <w:tab/>
            </w:r>
            <w:r w:rsidR="00050A99">
              <w:fldChar w:fldCharType="begin"/>
            </w:r>
            <w:r w:rsidR="00050A99">
              <w:instrText>PAGEREF _Toc1099789641 \h</w:instrText>
            </w:r>
            <w:r w:rsidR="00050A99">
              <w:fldChar w:fldCharType="separate"/>
            </w:r>
            <w:r w:rsidR="2C667E85" w:rsidRPr="2C667E85">
              <w:rPr>
                <w:rStyle w:val="Hyperlink"/>
              </w:rPr>
              <w:t>5</w:t>
            </w:r>
            <w:r w:rsidR="00050A99">
              <w:fldChar w:fldCharType="end"/>
            </w:r>
          </w:hyperlink>
        </w:p>
        <w:p w14:paraId="0C66B1AD" w14:textId="4AFE0970" w:rsidR="00050A99" w:rsidRDefault="00214925" w:rsidP="2C667E85">
          <w:pPr>
            <w:pStyle w:val="TOC1"/>
            <w:tabs>
              <w:tab w:val="right" w:leader="dot" w:pos="9960"/>
            </w:tabs>
            <w:rPr>
              <w:rStyle w:val="Hyperlink"/>
              <w:noProof/>
              <w:lang w:eastAsia="en-AU"/>
            </w:rPr>
          </w:pPr>
          <w:hyperlink w:anchor="_Toc1168867267">
            <w:r w:rsidR="2C667E85" w:rsidRPr="2C667E85">
              <w:rPr>
                <w:rStyle w:val="Hyperlink"/>
              </w:rPr>
              <w:t>RISs prepared for consultation in 2024-25</w:t>
            </w:r>
            <w:r w:rsidR="00050A99">
              <w:tab/>
            </w:r>
            <w:r w:rsidR="00050A99">
              <w:fldChar w:fldCharType="begin"/>
            </w:r>
            <w:r w:rsidR="00050A99">
              <w:instrText>PAGEREF _Toc1168867267 \h</w:instrText>
            </w:r>
            <w:r w:rsidR="00050A99">
              <w:fldChar w:fldCharType="separate"/>
            </w:r>
            <w:r w:rsidR="2C667E85" w:rsidRPr="2C667E85">
              <w:rPr>
                <w:rStyle w:val="Hyperlink"/>
              </w:rPr>
              <w:t>6</w:t>
            </w:r>
            <w:r w:rsidR="00050A99">
              <w:fldChar w:fldCharType="end"/>
            </w:r>
          </w:hyperlink>
        </w:p>
        <w:p w14:paraId="5ABAF710" w14:textId="3E4FF042" w:rsidR="00050A99" w:rsidRPr="00A60EDE" w:rsidRDefault="00214925" w:rsidP="2C667E85">
          <w:pPr>
            <w:pStyle w:val="TOC2"/>
            <w:tabs>
              <w:tab w:val="clear" w:pos="9968"/>
              <w:tab w:val="right" w:leader="dot" w:pos="9960"/>
            </w:tabs>
            <w:rPr>
              <w:rStyle w:val="Hyperlink"/>
              <w:noProof/>
              <w:lang w:eastAsia="en-AU"/>
            </w:rPr>
          </w:pPr>
          <w:hyperlink w:anchor="_Toc104936865">
            <w:r w:rsidR="2C667E85" w:rsidRPr="2C667E85">
              <w:rPr>
                <w:rStyle w:val="Hyperlink"/>
              </w:rPr>
              <w:t>Decision-making body: Australian Energy Market Commission</w:t>
            </w:r>
            <w:r w:rsidR="00050A99">
              <w:tab/>
            </w:r>
            <w:r w:rsidR="00050A99">
              <w:fldChar w:fldCharType="begin"/>
            </w:r>
            <w:r w:rsidR="00050A99">
              <w:instrText>PAGEREF _Toc104936865 \h</w:instrText>
            </w:r>
            <w:r w:rsidR="00050A99">
              <w:fldChar w:fldCharType="separate"/>
            </w:r>
            <w:r w:rsidR="2C667E85" w:rsidRPr="2C667E85">
              <w:rPr>
                <w:rStyle w:val="Hyperlink"/>
              </w:rPr>
              <w:t>6</w:t>
            </w:r>
            <w:r w:rsidR="00050A99">
              <w:fldChar w:fldCharType="end"/>
            </w:r>
          </w:hyperlink>
        </w:p>
        <w:p w14:paraId="51A50A03" w14:textId="67ED0F62" w:rsidR="00050A99" w:rsidRPr="00A60EDE" w:rsidRDefault="00214925" w:rsidP="2C667E85">
          <w:pPr>
            <w:pStyle w:val="TOC3"/>
            <w:tabs>
              <w:tab w:val="clear" w:pos="9968"/>
              <w:tab w:val="right" w:leader="dot" w:pos="9960"/>
            </w:tabs>
            <w:rPr>
              <w:rStyle w:val="Hyperlink"/>
              <w:noProof/>
              <w:lang w:eastAsia="en-AU"/>
            </w:rPr>
          </w:pPr>
          <w:hyperlink w:anchor="_Toc966454874">
            <w:r w:rsidR="2C667E85" w:rsidRPr="2C667E85">
              <w:rPr>
                <w:rStyle w:val="Hyperlink"/>
              </w:rPr>
              <w:t>Consultation Regulation Impact Statement – Draft Rule Determination – National Electricity Amendment – Integrating price-responsive resources in the National Electricity Market (NEM)</w:t>
            </w:r>
            <w:r w:rsidR="00050A99">
              <w:tab/>
            </w:r>
            <w:r w:rsidR="00050A99">
              <w:fldChar w:fldCharType="begin"/>
            </w:r>
            <w:r w:rsidR="00050A99">
              <w:instrText>PAGEREF _Toc966454874 \h</w:instrText>
            </w:r>
            <w:r w:rsidR="00050A99">
              <w:fldChar w:fldCharType="separate"/>
            </w:r>
            <w:r w:rsidR="2C667E85" w:rsidRPr="2C667E85">
              <w:rPr>
                <w:rStyle w:val="Hyperlink"/>
              </w:rPr>
              <w:t>6</w:t>
            </w:r>
            <w:r w:rsidR="00050A99">
              <w:fldChar w:fldCharType="end"/>
            </w:r>
          </w:hyperlink>
        </w:p>
        <w:p w14:paraId="437DEFD4" w14:textId="72715324" w:rsidR="00050A99" w:rsidRPr="00A60EDE" w:rsidRDefault="00214925" w:rsidP="2C667E85">
          <w:pPr>
            <w:pStyle w:val="TOC2"/>
            <w:tabs>
              <w:tab w:val="clear" w:pos="9968"/>
              <w:tab w:val="right" w:leader="dot" w:pos="9960"/>
            </w:tabs>
            <w:rPr>
              <w:rStyle w:val="Hyperlink"/>
              <w:noProof/>
              <w:lang w:eastAsia="en-AU"/>
            </w:rPr>
          </w:pPr>
          <w:hyperlink w:anchor="_Toc1805348944">
            <w:r w:rsidR="2C667E85" w:rsidRPr="2C667E85">
              <w:rPr>
                <w:rStyle w:val="Hyperlink"/>
              </w:rPr>
              <w:t>Decision-making body: Department of Health and Aged Care</w:t>
            </w:r>
            <w:r w:rsidR="00050A99">
              <w:tab/>
            </w:r>
            <w:r w:rsidR="00050A99">
              <w:fldChar w:fldCharType="begin"/>
            </w:r>
            <w:r w:rsidR="00050A99">
              <w:instrText>PAGEREF _Toc1805348944 \h</w:instrText>
            </w:r>
            <w:r w:rsidR="00050A99">
              <w:fldChar w:fldCharType="separate"/>
            </w:r>
            <w:r w:rsidR="2C667E85" w:rsidRPr="2C667E85">
              <w:rPr>
                <w:rStyle w:val="Hyperlink"/>
              </w:rPr>
              <w:t>6</w:t>
            </w:r>
            <w:r w:rsidR="00050A99">
              <w:fldChar w:fldCharType="end"/>
            </w:r>
          </w:hyperlink>
        </w:p>
        <w:p w14:paraId="51667095" w14:textId="13DE2E7A" w:rsidR="00050A99" w:rsidRPr="00A60EDE" w:rsidRDefault="00214925" w:rsidP="2C667E85">
          <w:pPr>
            <w:pStyle w:val="TOC3"/>
            <w:tabs>
              <w:tab w:val="clear" w:pos="9968"/>
              <w:tab w:val="right" w:leader="dot" w:pos="9960"/>
            </w:tabs>
            <w:rPr>
              <w:rStyle w:val="Hyperlink"/>
              <w:noProof/>
              <w:lang w:eastAsia="en-AU"/>
            </w:rPr>
          </w:pPr>
          <w:hyperlink w:anchor="_Toc508717512">
            <w:r w:rsidR="2C667E85" w:rsidRPr="2C667E85">
              <w:rPr>
                <w:rStyle w:val="Hyperlink"/>
              </w:rPr>
              <w:t>Improving commercial foods for infants and young children</w:t>
            </w:r>
            <w:r w:rsidR="00050A99">
              <w:tab/>
            </w:r>
            <w:r w:rsidR="00050A99">
              <w:fldChar w:fldCharType="begin"/>
            </w:r>
            <w:r w:rsidR="00050A99">
              <w:instrText>PAGEREF _Toc508717512 \h</w:instrText>
            </w:r>
            <w:r w:rsidR="00050A99">
              <w:fldChar w:fldCharType="separate"/>
            </w:r>
            <w:r w:rsidR="2C667E85" w:rsidRPr="2C667E85">
              <w:rPr>
                <w:rStyle w:val="Hyperlink"/>
              </w:rPr>
              <w:t>6</w:t>
            </w:r>
            <w:r w:rsidR="00050A99">
              <w:fldChar w:fldCharType="end"/>
            </w:r>
          </w:hyperlink>
        </w:p>
        <w:p w14:paraId="61F9D26D" w14:textId="31119144" w:rsidR="00050A99" w:rsidRPr="00A60EDE" w:rsidRDefault="00214925" w:rsidP="2C667E85">
          <w:pPr>
            <w:pStyle w:val="TOC3"/>
            <w:tabs>
              <w:tab w:val="clear" w:pos="9968"/>
              <w:tab w:val="right" w:leader="dot" w:pos="9960"/>
            </w:tabs>
            <w:rPr>
              <w:rStyle w:val="Hyperlink"/>
              <w:noProof/>
              <w:lang w:eastAsia="en-AU"/>
            </w:rPr>
          </w:pPr>
          <w:hyperlink w:anchor="_Toc527274259">
            <w:r w:rsidR="2C667E85" w:rsidRPr="2C667E85">
              <w:rPr>
                <w:rStyle w:val="Hyperlink"/>
              </w:rPr>
              <w:t>Health Checks for Late Career Doctors' Registration Standard</w:t>
            </w:r>
            <w:r w:rsidR="00050A99">
              <w:tab/>
            </w:r>
            <w:r w:rsidR="00050A99">
              <w:fldChar w:fldCharType="begin"/>
            </w:r>
            <w:r w:rsidR="00050A99">
              <w:instrText>PAGEREF _Toc527274259 \h</w:instrText>
            </w:r>
            <w:r w:rsidR="00050A99">
              <w:fldChar w:fldCharType="separate"/>
            </w:r>
            <w:r w:rsidR="2C667E85" w:rsidRPr="2C667E85">
              <w:rPr>
                <w:rStyle w:val="Hyperlink"/>
              </w:rPr>
              <w:t>7</w:t>
            </w:r>
            <w:r w:rsidR="00050A99">
              <w:fldChar w:fldCharType="end"/>
            </w:r>
          </w:hyperlink>
        </w:p>
        <w:p w14:paraId="480A98AE" w14:textId="00EC7857" w:rsidR="00050A99" w:rsidRPr="00A60EDE" w:rsidRDefault="00214925" w:rsidP="2C667E85">
          <w:pPr>
            <w:pStyle w:val="TOC2"/>
            <w:tabs>
              <w:tab w:val="clear" w:pos="9968"/>
              <w:tab w:val="right" w:leader="dot" w:pos="9960"/>
            </w:tabs>
            <w:rPr>
              <w:rStyle w:val="Hyperlink"/>
              <w:noProof/>
              <w:lang w:eastAsia="en-AU"/>
            </w:rPr>
          </w:pPr>
          <w:hyperlink w:anchor="_Toc1205682650">
            <w:r w:rsidR="2C667E85" w:rsidRPr="2C667E85">
              <w:rPr>
                <w:rStyle w:val="Hyperlink"/>
              </w:rPr>
              <w:t>Decision-making body: National Transport Commission</w:t>
            </w:r>
            <w:r w:rsidR="00050A99">
              <w:tab/>
            </w:r>
            <w:r w:rsidR="00050A99">
              <w:fldChar w:fldCharType="begin"/>
            </w:r>
            <w:r w:rsidR="00050A99">
              <w:instrText>PAGEREF _Toc1205682650 \h</w:instrText>
            </w:r>
            <w:r w:rsidR="00050A99">
              <w:fldChar w:fldCharType="separate"/>
            </w:r>
            <w:r w:rsidR="2C667E85" w:rsidRPr="2C667E85">
              <w:rPr>
                <w:rStyle w:val="Hyperlink"/>
              </w:rPr>
              <w:t>8</w:t>
            </w:r>
            <w:r w:rsidR="00050A99">
              <w:fldChar w:fldCharType="end"/>
            </w:r>
          </w:hyperlink>
        </w:p>
        <w:p w14:paraId="5990396E" w14:textId="3491CF06" w:rsidR="00050A99" w:rsidRPr="00A60EDE" w:rsidRDefault="00214925" w:rsidP="2C667E85">
          <w:pPr>
            <w:pStyle w:val="TOC3"/>
            <w:tabs>
              <w:tab w:val="clear" w:pos="9968"/>
              <w:tab w:val="right" w:leader="dot" w:pos="9960"/>
            </w:tabs>
            <w:rPr>
              <w:rStyle w:val="Hyperlink"/>
              <w:noProof/>
              <w:lang w:eastAsia="en-AU"/>
            </w:rPr>
          </w:pPr>
          <w:hyperlink w:anchor="_Toc1672976668">
            <w:r w:rsidR="2C667E85" w:rsidRPr="2C667E85">
              <w:rPr>
                <w:rStyle w:val="Hyperlink"/>
              </w:rPr>
              <w:t>Draft Code for the Land Transport of Dangerous Goods</w:t>
            </w:r>
            <w:r w:rsidR="00050A99">
              <w:tab/>
            </w:r>
            <w:r w:rsidR="00050A99">
              <w:fldChar w:fldCharType="begin"/>
            </w:r>
            <w:r w:rsidR="00050A99">
              <w:instrText>PAGEREF _Toc1672976668 \h</w:instrText>
            </w:r>
            <w:r w:rsidR="00050A99">
              <w:fldChar w:fldCharType="separate"/>
            </w:r>
            <w:r w:rsidR="2C667E85" w:rsidRPr="2C667E85">
              <w:rPr>
                <w:rStyle w:val="Hyperlink"/>
              </w:rPr>
              <w:t>8</w:t>
            </w:r>
            <w:r w:rsidR="00050A99">
              <w:fldChar w:fldCharType="end"/>
            </w:r>
          </w:hyperlink>
          <w:r w:rsidR="00050A99">
            <w:fldChar w:fldCharType="end"/>
          </w:r>
        </w:p>
      </w:sdtContent>
    </w:sdt>
    <w:p w14:paraId="2F4110AA" w14:textId="2386EB38" w:rsidR="6C86F938" w:rsidRDefault="6C86F938" w:rsidP="00363BF8">
      <w:pPr>
        <w:pStyle w:val="TOC3"/>
        <w:rPr>
          <w:rStyle w:val="Hyperlink"/>
        </w:rPr>
      </w:pPr>
    </w:p>
    <w:p w14:paraId="056D7047" w14:textId="5A11E73F" w:rsidR="3CA6AEA2" w:rsidRDefault="3CA6AEA2">
      <w:r>
        <w:br w:type="page"/>
      </w:r>
    </w:p>
    <w:p w14:paraId="1B3F248A" w14:textId="6B53295B" w:rsidR="00774646" w:rsidRDefault="009E2262" w:rsidP="00CA4B93">
      <w:pPr>
        <w:pStyle w:val="Style1"/>
        <w:outlineLvl w:val="0"/>
      </w:pPr>
      <w:bookmarkStart w:id="0" w:name="_Toc187758869"/>
      <w:bookmarkStart w:id="1" w:name="_Toc1242124770"/>
      <w:r>
        <w:lastRenderedPageBreak/>
        <w:t xml:space="preserve">Compliance with the Commonwealth-State </w:t>
      </w:r>
      <w:r w:rsidR="00997E86">
        <w:t>IA</w:t>
      </w:r>
      <w:r>
        <w:t xml:space="preserve"> requirements 201</w:t>
      </w:r>
      <w:r w:rsidR="007F6D79">
        <w:t>8</w:t>
      </w:r>
      <w:r>
        <w:t>-1</w:t>
      </w:r>
      <w:r w:rsidR="007F6D79">
        <w:t>9</w:t>
      </w:r>
      <w:r>
        <w:t xml:space="preserve"> to 20</w:t>
      </w:r>
      <w:r w:rsidR="003B3EE8">
        <w:t>24</w:t>
      </w:r>
      <w:r>
        <w:t>-2</w:t>
      </w:r>
      <w:r w:rsidR="003B3EE8">
        <w:t>5</w:t>
      </w:r>
      <w:bookmarkEnd w:id="0"/>
      <w:bookmarkEnd w:id="1"/>
    </w:p>
    <w:p w14:paraId="3B915E52" w14:textId="456203F0" w:rsidR="000743FF" w:rsidRDefault="000743FF" w:rsidP="000743FF">
      <w:pPr>
        <w:pStyle w:val="Caption"/>
      </w:pPr>
      <w:r>
        <w:t xml:space="preserve">Figure </w:t>
      </w:r>
      <w:r>
        <w:fldChar w:fldCharType="begin"/>
      </w:r>
      <w:r>
        <w:instrText>SEQ Figure \* ARABIC</w:instrText>
      </w:r>
      <w:r>
        <w:fldChar w:fldCharType="separate"/>
      </w:r>
      <w:r w:rsidR="004A38E3">
        <w:rPr>
          <w:noProof/>
        </w:rPr>
        <w:t>1</w:t>
      </w:r>
      <w:r>
        <w:fldChar w:fldCharType="end"/>
      </w:r>
      <w:r>
        <w:t xml:space="preserve">. </w:t>
      </w:r>
      <w:r w:rsidRPr="00373AB0">
        <w:t>Compliance with the Commonwealth-State IA requirements</w:t>
      </w:r>
    </w:p>
    <w:tbl>
      <w:tblPr>
        <w:tblStyle w:val="ListTable4-Accent1"/>
        <w:tblW w:w="4997"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Figure 1. Compliance with the Commonwealth-State IA requirements 2016-17 to 2022-23"/>
        <w:tblDescription w:val="Figure 1. Compliance with the Commonwealth-State IA requirements 2016-17 to 2022-23"/>
      </w:tblPr>
      <w:tblGrid>
        <w:gridCol w:w="1568"/>
        <w:gridCol w:w="1265"/>
        <w:gridCol w:w="1174"/>
        <w:gridCol w:w="1215"/>
        <w:gridCol w:w="1172"/>
        <w:gridCol w:w="1138"/>
        <w:gridCol w:w="1215"/>
        <w:gridCol w:w="1215"/>
      </w:tblGrid>
      <w:tr w:rsidR="00534E9C" w14:paraId="2578D244" w14:textId="5E1E61AD" w:rsidTr="00214925">
        <w:trPr>
          <w:cnfStyle w:val="100000000000" w:firstRow="1" w:lastRow="0" w:firstColumn="0" w:lastColumn="0" w:oddVBand="0" w:evenVBand="0" w:oddHBand="0" w:evenHBand="0" w:firstRowFirstColumn="0" w:firstRowLastColumn="0" w:lastRowFirstColumn="0" w:lastRowLastColumn="0"/>
          <w:trHeight w:val="300"/>
          <w:tblHeader/>
        </w:trPr>
        <w:tc>
          <w:tcPr>
            <w:tcW w:w="787" w:type="pct"/>
          </w:tcPr>
          <w:p w14:paraId="5D25ED4F" w14:textId="093A5785" w:rsidR="00534E9C" w:rsidRPr="000B03B3" w:rsidRDefault="00534E9C" w:rsidP="00414B2F">
            <w:pPr>
              <w:pStyle w:val="TBLHeading"/>
            </w:pPr>
            <w:r>
              <w:t>Compliancy stage</w:t>
            </w:r>
          </w:p>
        </w:tc>
        <w:tc>
          <w:tcPr>
            <w:tcW w:w="635" w:type="pct"/>
          </w:tcPr>
          <w:p w14:paraId="130DE617" w14:textId="095C6950" w:rsidR="00534E9C" w:rsidRPr="000B03B3" w:rsidRDefault="00534E9C" w:rsidP="00414B2F">
            <w:pPr>
              <w:pStyle w:val="TBLHeading"/>
            </w:pPr>
            <w:r>
              <w:t>2018-19 Ratio</w:t>
            </w:r>
          </w:p>
        </w:tc>
        <w:tc>
          <w:tcPr>
            <w:tcW w:w="589" w:type="pct"/>
          </w:tcPr>
          <w:p w14:paraId="28344492" w14:textId="495541E2" w:rsidR="00534E9C" w:rsidRPr="0061448F" w:rsidRDefault="00534E9C" w:rsidP="00414B2F">
            <w:pPr>
              <w:pStyle w:val="TBLHeading"/>
            </w:pPr>
            <w:r>
              <w:t>2019-20 Ratio</w:t>
            </w:r>
          </w:p>
        </w:tc>
        <w:tc>
          <w:tcPr>
            <w:tcW w:w="610" w:type="pct"/>
          </w:tcPr>
          <w:p w14:paraId="7E4CE5F2" w14:textId="29D91383" w:rsidR="00534E9C" w:rsidRPr="0061448F" w:rsidRDefault="00534E9C" w:rsidP="00414B2F">
            <w:pPr>
              <w:pStyle w:val="TBLHeading"/>
            </w:pPr>
            <w:r>
              <w:t>2020-21 Ratio</w:t>
            </w:r>
          </w:p>
        </w:tc>
        <w:tc>
          <w:tcPr>
            <w:tcW w:w="588" w:type="pct"/>
          </w:tcPr>
          <w:p w14:paraId="167FD1A6" w14:textId="02089CFC" w:rsidR="00534E9C" w:rsidRPr="0061448F" w:rsidRDefault="00534E9C" w:rsidP="00414B2F">
            <w:pPr>
              <w:pStyle w:val="TBLHeading"/>
            </w:pPr>
            <w:r>
              <w:t>2021-22 Ratio</w:t>
            </w:r>
          </w:p>
        </w:tc>
        <w:tc>
          <w:tcPr>
            <w:tcW w:w="571" w:type="pct"/>
          </w:tcPr>
          <w:p w14:paraId="175D4E65" w14:textId="48627554" w:rsidR="00534E9C" w:rsidRPr="0061448F" w:rsidRDefault="00534E9C" w:rsidP="00414B2F">
            <w:pPr>
              <w:pStyle w:val="TBLHeading"/>
            </w:pPr>
            <w:r>
              <w:t>2022-23</w:t>
            </w:r>
            <w:r w:rsidR="001379DC">
              <w:br/>
            </w:r>
            <w:r>
              <w:t>Ratio</w:t>
            </w:r>
          </w:p>
        </w:tc>
        <w:tc>
          <w:tcPr>
            <w:tcW w:w="610" w:type="pct"/>
          </w:tcPr>
          <w:p w14:paraId="111B4365" w14:textId="07E3230A" w:rsidR="00534E9C" w:rsidRPr="0061448F" w:rsidRDefault="00534E9C" w:rsidP="00414B2F">
            <w:pPr>
              <w:pStyle w:val="TBLHeading"/>
            </w:pPr>
            <w:r>
              <w:t>2023-24</w:t>
            </w:r>
            <w:r w:rsidR="001379DC">
              <w:br/>
            </w:r>
            <w:r>
              <w:t>Ratio</w:t>
            </w:r>
          </w:p>
        </w:tc>
        <w:tc>
          <w:tcPr>
            <w:tcW w:w="610" w:type="pct"/>
          </w:tcPr>
          <w:p w14:paraId="4E95FF57" w14:textId="2A6EE294" w:rsidR="00534E9C" w:rsidRPr="0061448F" w:rsidRDefault="00534E9C" w:rsidP="00414B2F">
            <w:pPr>
              <w:pStyle w:val="TBLHeading"/>
            </w:pPr>
            <w:r>
              <w:t>2024-</w:t>
            </w:r>
            <w:r w:rsidR="001224D2">
              <w:t>2</w:t>
            </w:r>
            <w:r>
              <w:t>5 Ratio</w:t>
            </w:r>
            <w:r w:rsidR="1EC592EA">
              <w:t xml:space="preserve"> (as of </w:t>
            </w:r>
            <w:r w:rsidR="004A38E3">
              <w:t>31 December</w:t>
            </w:r>
            <w:r w:rsidR="00222DF6">
              <w:t xml:space="preserve"> 2024</w:t>
            </w:r>
            <w:r w:rsidR="1EC592EA">
              <w:t>)</w:t>
            </w:r>
          </w:p>
        </w:tc>
      </w:tr>
      <w:tr w:rsidR="00534E9C" w14:paraId="75BDC441" w14:textId="1CC2A25B" w:rsidTr="00214925">
        <w:trPr>
          <w:trHeight w:val="300"/>
        </w:trPr>
        <w:tc>
          <w:tcPr>
            <w:tcW w:w="787" w:type="pct"/>
          </w:tcPr>
          <w:p w14:paraId="2727311A" w14:textId="38E9FC65" w:rsidR="00534E9C" w:rsidRPr="00FC3389" w:rsidRDefault="00534E9C" w:rsidP="00EC344D">
            <w:pPr>
              <w:pStyle w:val="TBLText"/>
            </w:pPr>
            <w:r>
              <w:t>C-RIS compliant at consultation</w:t>
            </w:r>
          </w:p>
        </w:tc>
        <w:tc>
          <w:tcPr>
            <w:tcW w:w="635" w:type="pct"/>
          </w:tcPr>
          <w:p w14:paraId="25938757" w14:textId="2714788C" w:rsidR="00534E9C" w:rsidRPr="00FC3389" w:rsidRDefault="00534E9C" w:rsidP="00EC344D">
            <w:pPr>
              <w:pStyle w:val="TBLText"/>
            </w:pPr>
            <w:r>
              <w:t>15/15</w:t>
            </w:r>
          </w:p>
        </w:tc>
        <w:tc>
          <w:tcPr>
            <w:tcW w:w="589" w:type="pct"/>
          </w:tcPr>
          <w:p w14:paraId="6E8F4A67" w14:textId="1816A018" w:rsidR="00534E9C" w:rsidRPr="00FC3389" w:rsidRDefault="00534E9C" w:rsidP="00EC344D">
            <w:pPr>
              <w:pStyle w:val="TBLText"/>
            </w:pPr>
            <w:r>
              <w:t>24/25</w:t>
            </w:r>
          </w:p>
        </w:tc>
        <w:tc>
          <w:tcPr>
            <w:tcW w:w="610" w:type="pct"/>
          </w:tcPr>
          <w:p w14:paraId="7B63AF17" w14:textId="11DF39F4" w:rsidR="00534E9C" w:rsidRPr="00FC3389" w:rsidRDefault="00534E9C" w:rsidP="00EC344D">
            <w:pPr>
              <w:pStyle w:val="TBLText"/>
            </w:pPr>
            <w:r>
              <w:t>13/14</w:t>
            </w:r>
          </w:p>
        </w:tc>
        <w:tc>
          <w:tcPr>
            <w:tcW w:w="588" w:type="pct"/>
          </w:tcPr>
          <w:p w14:paraId="6857551C" w14:textId="26B5627E" w:rsidR="00534E9C" w:rsidRPr="00F83753" w:rsidRDefault="00534E9C" w:rsidP="00EC344D">
            <w:pPr>
              <w:pStyle w:val="TBLText"/>
            </w:pPr>
            <w:r>
              <w:t>14/14</w:t>
            </w:r>
          </w:p>
        </w:tc>
        <w:tc>
          <w:tcPr>
            <w:tcW w:w="571" w:type="pct"/>
            <w:shd w:val="clear" w:color="auto" w:fill="auto"/>
          </w:tcPr>
          <w:p w14:paraId="4C6FDA32" w14:textId="5752D01B" w:rsidR="00534E9C" w:rsidRPr="00C610F5" w:rsidRDefault="25B56185" w:rsidP="2A18A6F8">
            <w:pPr>
              <w:pStyle w:val="TBLText"/>
            </w:pPr>
            <w:r>
              <w:t>15</w:t>
            </w:r>
            <w:r w:rsidR="61C1B9F4">
              <w:t>/1</w:t>
            </w:r>
            <w:r w:rsidR="002732D9">
              <w:t>5</w:t>
            </w:r>
          </w:p>
        </w:tc>
        <w:tc>
          <w:tcPr>
            <w:tcW w:w="610" w:type="pct"/>
          </w:tcPr>
          <w:p w14:paraId="36DA3C4B" w14:textId="38E235DA" w:rsidR="00534E9C" w:rsidRPr="007E635D" w:rsidRDefault="49FFC7BD" w:rsidP="00EC344D">
            <w:pPr>
              <w:pStyle w:val="TBLText"/>
              <w:rPr>
                <w:highlight w:val="yellow"/>
              </w:rPr>
            </w:pPr>
            <w:r>
              <w:t>8/8</w:t>
            </w:r>
          </w:p>
        </w:tc>
        <w:tc>
          <w:tcPr>
            <w:tcW w:w="610" w:type="pct"/>
          </w:tcPr>
          <w:p w14:paraId="71DB35ED" w14:textId="773D9026" w:rsidR="00534E9C" w:rsidRPr="00C610F5" w:rsidRDefault="51A5D0DB" w:rsidP="00534E9C">
            <w:pPr>
              <w:pStyle w:val="TBLText"/>
            </w:pPr>
            <w:r>
              <w:t>4/4</w:t>
            </w:r>
          </w:p>
        </w:tc>
      </w:tr>
      <w:tr w:rsidR="00534E9C" w14:paraId="231882C4" w14:textId="27C7849F" w:rsidTr="00214925">
        <w:trPr>
          <w:trHeight w:val="300"/>
        </w:trPr>
        <w:tc>
          <w:tcPr>
            <w:tcW w:w="787" w:type="pct"/>
          </w:tcPr>
          <w:p w14:paraId="0C1EDF89" w14:textId="324FE014" w:rsidR="00534E9C" w:rsidRPr="00FC3389" w:rsidRDefault="00534E9C" w:rsidP="00EC344D">
            <w:pPr>
              <w:pStyle w:val="TBLText"/>
            </w:pPr>
            <w:r>
              <w:t>D-RIS compliant at decision</w:t>
            </w:r>
          </w:p>
        </w:tc>
        <w:tc>
          <w:tcPr>
            <w:tcW w:w="635" w:type="pct"/>
          </w:tcPr>
          <w:p w14:paraId="1772503B" w14:textId="75523B43" w:rsidR="00534E9C" w:rsidRPr="00FC3389" w:rsidRDefault="00534E9C" w:rsidP="00EC344D">
            <w:pPr>
              <w:pStyle w:val="TBLText"/>
            </w:pPr>
            <w:r>
              <w:t>15/15</w:t>
            </w:r>
          </w:p>
        </w:tc>
        <w:tc>
          <w:tcPr>
            <w:tcW w:w="589" w:type="pct"/>
          </w:tcPr>
          <w:p w14:paraId="2480351A" w14:textId="51D0C8FB" w:rsidR="00534E9C" w:rsidRPr="00FC3389" w:rsidRDefault="00534E9C" w:rsidP="00EC344D">
            <w:pPr>
              <w:pStyle w:val="TBLText"/>
            </w:pPr>
            <w:r>
              <w:t>23/25</w:t>
            </w:r>
          </w:p>
        </w:tc>
        <w:tc>
          <w:tcPr>
            <w:tcW w:w="610" w:type="pct"/>
          </w:tcPr>
          <w:p w14:paraId="41CE61B1" w14:textId="057CA25E" w:rsidR="00534E9C" w:rsidRDefault="00534E9C" w:rsidP="00EC344D">
            <w:pPr>
              <w:pStyle w:val="TBLText"/>
            </w:pPr>
            <w:r>
              <w:t>13/14</w:t>
            </w:r>
          </w:p>
        </w:tc>
        <w:tc>
          <w:tcPr>
            <w:tcW w:w="588" w:type="pct"/>
          </w:tcPr>
          <w:p w14:paraId="36BD7178" w14:textId="7F9DBD7B" w:rsidR="00534E9C" w:rsidRPr="00F83753" w:rsidRDefault="00534E9C" w:rsidP="00EC344D">
            <w:pPr>
              <w:pStyle w:val="TBLText"/>
            </w:pPr>
            <w:r>
              <w:t>14/14</w:t>
            </w:r>
          </w:p>
        </w:tc>
        <w:tc>
          <w:tcPr>
            <w:tcW w:w="571" w:type="pct"/>
            <w:shd w:val="clear" w:color="auto" w:fill="auto"/>
          </w:tcPr>
          <w:p w14:paraId="2D678187" w14:textId="6E12B4FF" w:rsidR="00534E9C" w:rsidRPr="00C610F5" w:rsidRDefault="00534E9C" w:rsidP="25306E06">
            <w:pPr>
              <w:pStyle w:val="TBLText"/>
              <w:rPr>
                <w:vertAlign w:val="superscript"/>
              </w:rPr>
            </w:pPr>
            <w:r>
              <w:t>14/14</w:t>
            </w:r>
            <w:r w:rsidR="63887CFE" w:rsidRPr="2A18A6F8">
              <w:rPr>
                <w:vertAlign w:val="superscript"/>
              </w:rPr>
              <w:t>a</w:t>
            </w:r>
          </w:p>
        </w:tc>
        <w:tc>
          <w:tcPr>
            <w:tcW w:w="610" w:type="pct"/>
          </w:tcPr>
          <w:p w14:paraId="2A201127" w14:textId="723394FA" w:rsidR="00534E9C" w:rsidRPr="00C610F5" w:rsidRDefault="00534E9C" w:rsidP="222D1B3D">
            <w:pPr>
              <w:pStyle w:val="TBLText"/>
              <w:rPr>
                <w:vertAlign w:val="superscript"/>
              </w:rPr>
            </w:pPr>
            <w:r>
              <w:t>7/7</w:t>
            </w:r>
            <w:r w:rsidR="68F5EBA7" w:rsidRPr="2A18A6F8">
              <w:rPr>
                <w:vertAlign w:val="superscript"/>
              </w:rPr>
              <w:t>a</w:t>
            </w:r>
          </w:p>
        </w:tc>
        <w:tc>
          <w:tcPr>
            <w:tcW w:w="610" w:type="pct"/>
          </w:tcPr>
          <w:p w14:paraId="2C378AF9" w14:textId="7FF90DFB" w:rsidR="00534E9C" w:rsidRDefault="005C4178" w:rsidP="2A18A6F8">
            <w:pPr>
              <w:pStyle w:val="TBLText"/>
              <w:rPr>
                <w:vertAlign w:val="superscript"/>
              </w:rPr>
            </w:pPr>
            <w:r>
              <w:t>2/2</w:t>
            </w:r>
          </w:p>
        </w:tc>
      </w:tr>
      <w:tr w:rsidR="00534E9C" w14:paraId="059808B0" w14:textId="2F6B1660" w:rsidTr="00214925">
        <w:trPr>
          <w:trHeight w:val="300"/>
        </w:trPr>
        <w:tc>
          <w:tcPr>
            <w:tcW w:w="787" w:type="pct"/>
          </w:tcPr>
          <w:p w14:paraId="7E5D67A6" w14:textId="558232FA" w:rsidR="00534E9C" w:rsidRPr="00FC3389" w:rsidRDefault="00534E9C" w:rsidP="00BD0592">
            <w:pPr>
              <w:pStyle w:val="TBLText"/>
            </w:pPr>
            <w:r>
              <w:t>Of D-RIS provided</w:t>
            </w:r>
            <w:r w:rsidR="002D1E81">
              <w:t>:</w:t>
            </w:r>
            <w:r>
              <w:t xml:space="preserve"> </w:t>
            </w:r>
          </w:p>
        </w:tc>
        <w:tc>
          <w:tcPr>
            <w:tcW w:w="635" w:type="pct"/>
          </w:tcPr>
          <w:p w14:paraId="605E5253" w14:textId="365E0DE3" w:rsidR="00534E9C" w:rsidRPr="00FC3389" w:rsidRDefault="00534E9C" w:rsidP="00245E1C">
            <w:pPr>
              <w:pStyle w:val="TBLText"/>
            </w:pPr>
            <w:r>
              <w:t>100%</w:t>
            </w:r>
            <w:r w:rsidR="002D1E81">
              <w:t xml:space="preserve"> had both a compliant </w:t>
            </w:r>
            <w:r>
              <w:br/>
            </w:r>
            <w:r w:rsidR="002D1E81">
              <w:t>C</w:t>
            </w:r>
            <w:r w:rsidR="3257C787">
              <w:t>-</w:t>
            </w:r>
            <w:r w:rsidR="002D1E81">
              <w:t>RIS (or exemption)</w:t>
            </w:r>
            <w:r w:rsidR="45934EF1" w:rsidRPr="14E3DBEF">
              <w:rPr>
                <w:vertAlign w:val="superscript"/>
              </w:rPr>
              <w:t>b</w:t>
            </w:r>
            <w:r w:rsidR="002D1E81">
              <w:t xml:space="preserve"> and D</w:t>
            </w:r>
            <w:r w:rsidR="3C347F95">
              <w:t>-</w:t>
            </w:r>
            <w:r w:rsidR="002D1E81">
              <w:t xml:space="preserve">RIS </w:t>
            </w:r>
          </w:p>
        </w:tc>
        <w:tc>
          <w:tcPr>
            <w:tcW w:w="589" w:type="pct"/>
          </w:tcPr>
          <w:p w14:paraId="30A833BD" w14:textId="565F851E" w:rsidR="00534E9C" w:rsidRPr="00FC3389" w:rsidRDefault="00534E9C" w:rsidP="00BE5C4C">
            <w:pPr>
              <w:pStyle w:val="TBLText"/>
            </w:pPr>
            <w:r>
              <w:t xml:space="preserve">96% </w:t>
            </w:r>
            <w:r w:rsidR="002D1E81">
              <w:t xml:space="preserve">had a compliant </w:t>
            </w:r>
            <w:r>
              <w:br/>
            </w:r>
            <w:r w:rsidR="002D1E81">
              <w:t>C</w:t>
            </w:r>
            <w:r w:rsidR="5B3448B6">
              <w:t>-</w:t>
            </w:r>
            <w:r w:rsidR="002D1E81">
              <w:t>RIS (or exemption)</w:t>
            </w:r>
            <w:r w:rsidR="54930807" w:rsidRPr="14E3DBEF">
              <w:rPr>
                <w:vertAlign w:val="superscript"/>
              </w:rPr>
              <w:t>b</w:t>
            </w:r>
            <w:r w:rsidR="002D1E81">
              <w:t xml:space="preserve"> and </w:t>
            </w:r>
            <w:r>
              <w:t xml:space="preserve">92% </w:t>
            </w:r>
            <w:r w:rsidR="002D1E81">
              <w:t xml:space="preserve">a compliant </w:t>
            </w:r>
            <w:r>
              <w:br/>
              <w:t>D</w:t>
            </w:r>
            <w:r w:rsidR="46BD4253">
              <w:t>-</w:t>
            </w:r>
            <w:r>
              <w:t>RIS</w:t>
            </w:r>
          </w:p>
        </w:tc>
        <w:tc>
          <w:tcPr>
            <w:tcW w:w="610" w:type="pct"/>
          </w:tcPr>
          <w:p w14:paraId="00B670D2" w14:textId="08917F25" w:rsidR="00534E9C" w:rsidRPr="00FC3389" w:rsidRDefault="00534E9C" w:rsidP="00EC344D">
            <w:pPr>
              <w:pStyle w:val="TBLText"/>
            </w:pPr>
            <w:r>
              <w:t>93%</w:t>
            </w:r>
            <w:r w:rsidR="002D1E81">
              <w:t xml:space="preserve"> had both a compliant C</w:t>
            </w:r>
            <w:r w:rsidR="55C19FF8">
              <w:t>-</w:t>
            </w:r>
            <w:r w:rsidR="587FE498">
              <w:t>RIS (or exemption)</w:t>
            </w:r>
            <w:r w:rsidR="6B46F5B5" w:rsidRPr="14E3DBEF">
              <w:rPr>
                <w:vertAlign w:val="superscript"/>
              </w:rPr>
              <w:t>b</w:t>
            </w:r>
            <w:r w:rsidR="587FE498">
              <w:t xml:space="preserve"> and D</w:t>
            </w:r>
            <w:r w:rsidR="0A8ABA18">
              <w:t>-</w:t>
            </w:r>
            <w:r w:rsidR="002D1E81">
              <w:t>RIS</w:t>
            </w:r>
          </w:p>
        </w:tc>
        <w:tc>
          <w:tcPr>
            <w:tcW w:w="588" w:type="pct"/>
          </w:tcPr>
          <w:p w14:paraId="5618DBCF" w14:textId="25A03778" w:rsidR="00534E9C" w:rsidRPr="0049043B" w:rsidRDefault="00534E9C" w:rsidP="00BD0592">
            <w:pPr>
              <w:pStyle w:val="TBLText"/>
            </w:pPr>
            <w:r>
              <w:t>100%</w:t>
            </w:r>
            <w:r w:rsidR="002D1E81">
              <w:t xml:space="preserve"> had</w:t>
            </w:r>
            <w:r w:rsidR="310BF32B">
              <w:t xml:space="preserve"> </w:t>
            </w:r>
            <w:r w:rsidR="002D1E81">
              <w:t xml:space="preserve">both a compliant </w:t>
            </w:r>
            <w:r>
              <w:br/>
            </w:r>
            <w:r w:rsidR="002D1E81">
              <w:t>C</w:t>
            </w:r>
            <w:r w:rsidR="773B7DCC">
              <w:t>-</w:t>
            </w:r>
            <w:r w:rsidR="587FE498">
              <w:t>RIS (or exemption)</w:t>
            </w:r>
            <w:r w:rsidR="6B46F5B5" w:rsidRPr="129B09F3">
              <w:rPr>
                <w:vertAlign w:val="superscript"/>
              </w:rPr>
              <w:t>b</w:t>
            </w:r>
            <w:r w:rsidR="587FE498">
              <w:t xml:space="preserve"> and D</w:t>
            </w:r>
            <w:r w:rsidR="708A1354">
              <w:t>-</w:t>
            </w:r>
            <w:r w:rsidR="002D1E81">
              <w:t>RIS</w:t>
            </w:r>
          </w:p>
        </w:tc>
        <w:tc>
          <w:tcPr>
            <w:tcW w:w="571" w:type="pct"/>
            <w:shd w:val="clear" w:color="auto" w:fill="auto"/>
          </w:tcPr>
          <w:p w14:paraId="581FA6B7" w14:textId="1BD43E60" w:rsidR="00534E9C" w:rsidRPr="006F0FA8" w:rsidRDefault="00534E9C" w:rsidP="00EC344D">
            <w:pPr>
              <w:pStyle w:val="TBLText"/>
            </w:pPr>
            <w:r>
              <w:t>100%</w:t>
            </w:r>
            <w:r w:rsidR="002D1E81">
              <w:t xml:space="preserve"> had both a compliant </w:t>
            </w:r>
            <w:r>
              <w:br/>
            </w:r>
            <w:r w:rsidR="587FE498">
              <w:t>C</w:t>
            </w:r>
            <w:r w:rsidR="04AA9472">
              <w:t>-</w:t>
            </w:r>
            <w:r w:rsidR="002D1E81">
              <w:t>RIS (or exemption)</w:t>
            </w:r>
            <w:r w:rsidR="6D60DA36" w:rsidRPr="129B09F3">
              <w:rPr>
                <w:vertAlign w:val="superscript"/>
              </w:rPr>
              <w:t>b</w:t>
            </w:r>
            <w:r w:rsidR="002D1E81">
              <w:t xml:space="preserve"> and D</w:t>
            </w:r>
            <w:r w:rsidR="31C21D58">
              <w:t>-</w:t>
            </w:r>
            <w:r w:rsidR="002D1E81">
              <w:t>RIS</w:t>
            </w:r>
          </w:p>
        </w:tc>
        <w:tc>
          <w:tcPr>
            <w:tcW w:w="610" w:type="pct"/>
          </w:tcPr>
          <w:p w14:paraId="5B0D24E4" w14:textId="1FDD6520" w:rsidR="00534E9C" w:rsidRPr="007E635D" w:rsidRDefault="00534E9C" w:rsidP="002D1E81">
            <w:pPr>
              <w:pStyle w:val="TBLText"/>
            </w:pPr>
            <w:r>
              <w:t>100%</w:t>
            </w:r>
            <w:r w:rsidR="002D1E81">
              <w:t xml:space="preserve"> had both a compliant </w:t>
            </w:r>
            <w:r>
              <w:br/>
            </w:r>
            <w:r w:rsidR="002D1E81">
              <w:t>C</w:t>
            </w:r>
            <w:r w:rsidR="218DC4D0">
              <w:t>-</w:t>
            </w:r>
            <w:r w:rsidR="002D1E81">
              <w:t>RIS (or exemption)</w:t>
            </w:r>
            <w:r w:rsidR="6D60DA36" w:rsidRPr="129B09F3">
              <w:rPr>
                <w:vertAlign w:val="superscript"/>
              </w:rPr>
              <w:t>b</w:t>
            </w:r>
            <w:r w:rsidR="002D1E81">
              <w:t xml:space="preserve"> and D</w:t>
            </w:r>
            <w:r w:rsidR="6886C127">
              <w:t>-</w:t>
            </w:r>
            <w:r w:rsidR="002D1E81">
              <w:t xml:space="preserve">RIS </w:t>
            </w:r>
          </w:p>
        </w:tc>
        <w:tc>
          <w:tcPr>
            <w:tcW w:w="610" w:type="pct"/>
          </w:tcPr>
          <w:p w14:paraId="3A4621FD" w14:textId="75838139" w:rsidR="00534E9C" w:rsidRDefault="005C4178" w:rsidP="2A18A6F8">
            <w:pPr>
              <w:pStyle w:val="TBLText"/>
              <w:rPr>
                <w:vertAlign w:val="superscript"/>
              </w:rPr>
            </w:pPr>
            <w:r>
              <w:t xml:space="preserve">100% had both a compliant </w:t>
            </w:r>
            <w:r>
              <w:br/>
              <w:t>C-RIS (or exemption)</w:t>
            </w:r>
            <w:r w:rsidR="0D2C7A26" w:rsidRPr="2A18A6F8">
              <w:rPr>
                <w:vertAlign w:val="superscript"/>
              </w:rPr>
              <w:t xml:space="preserve"> b</w:t>
            </w:r>
            <w:r>
              <w:t xml:space="preserve"> and D-RIS</w:t>
            </w:r>
          </w:p>
        </w:tc>
      </w:tr>
    </w:tbl>
    <w:p w14:paraId="7181F2BD" w14:textId="2135FD67" w:rsidR="48F9AB20" w:rsidDel="005C4178" w:rsidRDefault="4F072E90" w:rsidP="5506AC91">
      <w:pPr>
        <w:pStyle w:val="TBLFootnore"/>
      </w:pPr>
      <w:r>
        <w:t xml:space="preserve">a </w:t>
      </w:r>
      <w:r w:rsidR="0CC04517">
        <w:t xml:space="preserve"> </w:t>
      </w:r>
      <w:r w:rsidR="78612F4D">
        <w:t>F</w:t>
      </w:r>
      <w:r w:rsidR="27F6ED6F">
        <w:t xml:space="preserve">ollowing changes to the </w:t>
      </w:r>
      <w:r w:rsidR="27F6ED6F" w:rsidRPr="2C667E85">
        <w:rPr>
          <w:i/>
          <w:iCs/>
        </w:rPr>
        <w:t>Regulatory Impact Analysis Guide for Ministers’ Meetings and National Standard Setting Bodies</w:t>
      </w:r>
      <w:r w:rsidR="27F6ED6F">
        <w:t xml:space="preserve"> in June 2023</w:t>
      </w:r>
      <w:r w:rsidR="21EBA908">
        <w:t>, the OIA is not required to formally assess</w:t>
      </w:r>
      <w:r w:rsidR="00752E1D">
        <w:t xml:space="preserve"> a</w:t>
      </w:r>
      <w:r w:rsidR="21EBA908">
        <w:t xml:space="preserve"> RIS</w:t>
      </w:r>
      <w:r w:rsidR="3B30A856">
        <w:t xml:space="preserve"> unless requested by the decision-making body</w:t>
      </w:r>
      <w:r w:rsidR="21EBA908">
        <w:t xml:space="preserve">. </w:t>
      </w:r>
      <w:r w:rsidR="009957E4">
        <w:t xml:space="preserve">As a result, </w:t>
      </w:r>
      <w:r w:rsidR="64420011">
        <w:t xml:space="preserve">some </w:t>
      </w:r>
      <w:r w:rsidR="79944542">
        <w:t xml:space="preserve">proposals may have a </w:t>
      </w:r>
      <w:r w:rsidR="64420011">
        <w:t xml:space="preserve">C-RISs </w:t>
      </w:r>
      <w:r w:rsidR="68A8E17B">
        <w:t xml:space="preserve">formally assessed by OIA </w:t>
      </w:r>
      <w:r w:rsidR="0D0DC4A4">
        <w:t xml:space="preserve">but not </w:t>
      </w:r>
      <w:r w:rsidR="009957E4">
        <w:t>the D-RIS formally assessed.</w:t>
      </w:r>
      <w:r w:rsidR="64420011">
        <w:t xml:space="preserve"> </w:t>
      </w:r>
      <w:r w:rsidR="6E31DBF8">
        <w:t>These proposals</w:t>
      </w:r>
      <w:r w:rsidR="64420011">
        <w:t xml:space="preserve"> </w:t>
      </w:r>
      <w:r w:rsidR="23AA4C1D">
        <w:t>include</w:t>
      </w:r>
      <w:r w:rsidR="00752E1D">
        <w:t xml:space="preserve"> the D-RIS for</w:t>
      </w:r>
      <w:r w:rsidR="00160B40">
        <w:t>:</w:t>
      </w:r>
      <w:r w:rsidR="64420011">
        <w:t xml:space="preserve"> </w:t>
      </w:r>
      <w:r w:rsidR="7C6D9BD9" w:rsidRPr="2C667E85">
        <w:rPr>
          <w:i/>
          <w:iCs/>
        </w:rPr>
        <w:t>Improving security frameworks for the energy transition: National Electricity Amendment (Operational Security Mechanism) Rule ERC0290</w:t>
      </w:r>
      <w:r w:rsidR="2C9DA9A0" w:rsidRPr="2C667E85">
        <w:rPr>
          <w:i/>
          <w:iCs/>
        </w:rPr>
        <w:t>,</w:t>
      </w:r>
      <w:r w:rsidR="7111D822" w:rsidRPr="2C667E85">
        <w:rPr>
          <w:i/>
          <w:iCs/>
        </w:rPr>
        <w:t xml:space="preserve"> Accelerating Smart Meter Deployment</w:t>
      </w:r>
      <w:r w:rsidR="007A3B3A" w:rsidRPr="2C667E85">
        <w:rPr>
          <w:i/>
          <w:iCs/>
        </w:rPr>
        <w:t xml:space="preserve">; </w:t>
      </w:r>
      <w:r w:rsidR="08DAEDA6">
        <w:t xml:space="preserve">and </w:t>
      </w:r>
      <w:r w:rsidR="08DAEDA6" w:rsidRPr="2C667E85">
        <w:rPr>
          <w:i/>
          <w:iCs/>
        </w:rPr>
        <w:t>National Electricity Amendment –</w:t>
      </w:r>
      <w:r w:rsidR="625EA78D" w:rsidRPr="2C667E85">
        <w:rPr>
          <w:i/>
          <w:iCs/>
        </w:rPr>
        <w:t xml:space="preserve"> </w:t>
      </w:r>
      <w:r w:rsidR="08DAEDA6" w:rsidRPr="2C667E85">
        <w:rPr>
          <w:i/>
          <w:iCs/>
        </w:rPr>
        <w:t>Integrating price-responsive resources in the National Electricity Market (NEM)</w:t>
      </w:r>
      <w:r w:rsidR="08DAEDA6">
        <w:t>.</w:t>
      </w:r>
    </w:p>
    <w:p w14:paraId="4608DEF7" w14:textId="2B3CD8A3" w:rsidR="000872C2" w:rsidRDefault="31CAACF3" w:rsidP="00D06A40">
      <w:pPr>
        <w:pStyle w:val="TBLFootnore"/>
      </w:pPr>
      <w:r>
        <w:t>b</w:t>
      </w:r>
      <w:r w:rsidR="005D0C72">
        <w:t xml:space="preserve"> The OIA grants exemptions to the preparation of a C-RIS if the function of the C-RIS has been achieved by an appropriate alternative mechanism as outlined in the </w:t>
      </w:r>
      <w:r w:rsidR="005D0C72" w:rsidRPr="14E3DBEF">
        <w:rPr>
          <w:i/>
          <w:iCs/>
        </w:rPr>
        <w:t>Regulatory Impact Analysis Guide for Ministers’ Meetings and National Standard Setting Bodies</w:t>
      </w:r>
      <w:r w:rsidR="005D0C72">
        <w:t>.</w:t>
      </w:r>
    </w:p>
    <w:p w14:paraId="2C1DE47B" w14:textId="69F16F0F" w:rsidR="00C37227" w:rsidRDefault="00C37227" w:rsidP="00C610F5">
      <w:pPr>
        <w:pStyle w:val="Heading1"/>
      </w:pPr>
      <w:bookmarkStart w:id="2" w:name="_Toc459800538"/>
      <w:bookmarkStart w:id="3" w:name="_Toc98330774"/>
      <w:bookmarkStart w:id="4" w:name="_Toc187758870"/>
      <w:bookmarkStart w:id="5" w:name="_Toc1042872935"/>
      <w:r w:rsidRPr="00C610F5">
        <w:t>Detailed information</w:t>
      </w:r>
      <w:bookmarkEnd w:id="2"/>
      <w:r w:rsidRPr="00522AAF">
        <w:t xml:space="preserve"> on </w:t>
      </w:r>
      <w:r w:rsidR="003458D4">
        <w:t>R</w:t>
      </w:r>
      <w:r w:rsidR="00997E86" w:rsidRPr="00522AAF">
        <w:t>I</w:t>
      </w:r>
      <w:r w:rsidR="000872C2">
        <w:t>S</w:t>
      </w:r>
      <w:r w:rsidRPr="00522AAF">
        <w:t>s prepared for decision in 202</w:t>
      </w:r>
      <w:r w:rsidR="00EC344D">
        <w:t>4</w:t>
      </w:r>
      <w:r w:rsidR="00F230E5">
        <w:noBreakHyphen/>
      </w:r>
      <w:r w:rsidRPr="00522AAF">
        <w:t>2</w:t>
      </w:r>
      <w:bookmarkEnd w:id="3"/>
      <w:r w:rsidR="00EC344D">
        <w:t>5</w:t>
      </w:r>
      <w:bookmarkEnd w:id="4"/>
      <w:bookmarkEnd w:id="5"/>
    </w:p>
    <w:p w14:paraId="3E223972" w14:textId="26513BAA" w:rsidR="00EC344D" w:rsidRDefault="005C4178" w:rsidP="00DB7717">
      <w:r>
        <w:t>The following D-RISs have been finalised in 2024-25</w:t>
      </w:r>
      <w:r w:rsidR="00EC344D">
        <w:t>.</w:t>
      </w:r>
    </w:p>
    <w:p w14:paraId="7CCC5BA7" w14:textId="497B7AD8" w:rsidR="005C4178" w:rsidRDefault="005C4178" w:rsidP="005C4178">
      <w:pPr>
        <w:pStyle w:val="Heading2"/>
      </w:pPr>
      <w:bookmarkStart w:id="6" w:name="_Toc187758871"/>
      <w:bookmarkStart w:id="7" w:name="_Toc245259161"/>
      <w:r>
        <w:t>Australian Health Practitioner Regulation Agency, Nursing and Midwifery Board of Australia</w:t>
      </w:r>
      <w:bookmarkEnd w:id="6"/>
      <w:bookmarkEnd w:id="7"/>
    </w:p>
    <w:p w14:paraId="46E51259" w14:textId="55B37560" w:rsidR="005C4178" w:rsidRPr="00B30E0D" w:rsidRDefault="005C4178" w:rsidP="005C4178">
      <w:pPr>
        <w:pStyle w:val="Heading3"/>
      </w:pPr>
      <w:bookmarkStart w:id="8" w:name="_Toc187758872"/>
      <w:bookmarkStart w:id="9" w:name="_Toc1122673221"/>
      <w:r>
        <w:t>Expanded Role for Registered Nurses to Improve Access to Healthcare</w:t>
      </w:r>
      <w:bookmarkEnd w:id="8"/>
      <w:bookmarkEnd w:id="9"/>
    </w:p>
    <w:p w14:paraId="5CFDC3C3" w14:textId="367D8643" w:rsidR="005C4178" w:rsidRPr="00774646" w:rsidRDefault="005C4178" w:rsidP="00ED4562">
      <w:pPr>
        <w:pStyle w:val="Caption"/>
      </w:pPr>
      <w:r>
        <w:t xml:space="preserve">Figure 2. Australian Health Practitioner Regulation Agency, Nursing and Midwifery Board of Australia </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5C4178" w14:paraId="320313C4" w14:textId="77777777" w:rsidTr="2C667E85">
        <w:trPr>
          <w:cnfStyle w:val="100000000000" w:firstRow="1" w:lastRow="0" w:firstColumn="0" w:lastColumn="0" w:oddVBand="0" w:evenVBand="0" w:oddHBand="0" w:evenHBand="0" w:firstRowFirstColumn="0" w:firstRowLastColumn="0" w:lastRowFirstColumn="0" w:lastRowLastColumn="0"/>
          <w:trHeight w:val="300"/>
          <w:tblHeader/>
        </w:trPr>
        <w:tc>
          <w:tcPr>
            <w:tcW w:w="1250" w:type="pct"/>
            <w:tcBorders>
              <w:top w:val="none" w:sz="0" w:space="0" w:color="auto"/>
              <w:left w:val="none" w:sz="0" w:space="0" w:color="auto"/>
              <w:bottom w:val="none" w:sz="0" w:space="0" w:color="auto"/>
            </w:tcBorders>
            <w:vAlign w:val="center"/>
          </w:tcPr>
          <w:p w14:paraId="0E4BEB1B" w14:textId="0CB6D517" w:rsidR="005C4178" w:rsidRPr="006E170D" w:rsidRDefault="3C6C1E2F" w:rsidP="00414B2F">
            <w:pPr>
              <w:pStyle w:val="TBLHeading"/>
            </w:pPr>
            <w:r>
              <w:t xml:space="preserve">Announcement </w:t>
            </w:r>
            <w:r w:rsidR="005C4178">
              <w:t>Date</w:t>
            </w:r>
          </w:p>
        </w:tc>
        <w:tc>
          <w:tcPr>
            <w:tcW w:w="1250" w:type="pct"/>
            <w:tcBorders>
              <w:top w:val="none" w:sz="0" w:space="0" w:color="auto"/>
              <w:bottom w:val="none" w:sz="0" w:space="0" w:color="auto"/>
            </w:tcBorders>
            <w:vAlign w:val="center"/>
          </w:tcPr>
          <w:p w14:paraId="1187276E" w14:textId="77777777" w:rsidR="005C4178" w:rsidRPr="006E170D" w:rsidRDefault="005C4178" w:rsidP="00414B2F">
            <w:pPr>
              <w:pStyle w:val="TBLHeading"/>
            </w:pPr>
            <w:r>
              <w:t>Compliant at consultation</w:t>
            </w:r>
          </w:p>
        </w:tc>
        <w:tc>
          <w:tcPr>
            <w:tcW w:w="1250" w:type="pct"/>
            <w:tcBorders>
              <w:top w:val="none" w:sz="0" w:space="0" w:color="auto"/>
              <w:bottom w:val="none" w:sz="0" w:space="0" w:color="auto"/>
            </w:tcBorders>
            <w:vAlign w:val="center"/>
          </w:tcPr>
          <w:p w14:paraId="0900586B" w14:textId="77777777" w:rsidR="005C4178" w:rsidRPr="006E170D" w:rsidRDefault="005C4178" w:rsidP="00414B2F">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6D4CAFD9" w14:textId="77777777" w:rsidR="005C4178" w:rsidRPr="006E170D" w:rsidRDefault="005C4178" w:rsidP="00414B2F">
            <w:pPr>
              <w:pStyle w:val="TBLHeading"/>
            </w:pPr>
            <w:r>
              <w:t>Final RIA published</w:t>
            </w:r>
          </w:p>
        </w:tc>
      </w:tr>
      <w:tr w:rsidR="005C4178" w14:paraId="7D7D7A46" w14:textId="77777777" w:rsidTr="2C667E85">
        <w:trPr>
          <w:trHeight w:val="300"/>
        </w:trPr>
        <w:tc>
          <w:tcPr>
            <w:tcW w:w="1250" w:type="pct"/>
            <w:vAlign w:val="center"/>
          </w:tcPr>
          <w:p w14:paraId="3B1A0A77" w14:textId="37C82870" w:rsidR="005C4178" w:rsidRPr="00EB4283" w:rsidRDefault="005C4178">
            <w:pPr>
              <w:pStyle w:val="TBLText"/>
            </w:pPr>
            <w:r>
              <w:t>11 December 2024</w:t>
            </w:r>
          </w:p>
        </w:tc>
        <w:tc>
          <w:tcPr>
            <w:tcW w:w="1250" w:type="pct"/>
            <w:vAlign w:val="center"/>
          </w:tcPr>
          <w:p w14:paraId="71103CE9" w14:textId="77777777" w:rsidR="005C4178" w:rsidRPr="00EB4283" w:rsidRDefault="005C4178" w:rsidP="00307986">
            <w:pPr>
              <w:pStyle w:val="TBLText"/>
            </w:pPr>
            <w:r>
              <w:t>Yes</w:t>
            </w:r>
          </w:p>
        </w:tc>
        <w:tc>
          <w:tcPr>
            <w:tcW w:w="1250" w:type="pct"/>
            <w:vAlign w:val="center"/>
          </w:tcPr>
          <w:p w14:paraId="16FDB401" w14:textId="77777777" w:rsidR="005C4178" w:rsidRPr="00EB4283" w:rsidRDefault="005C4178" w:rsidP="00307986">
            <w:pPr>
              <w:pStyle w:val="TBLText"/>
            </w:pPr>
            <w:r>
              <w:t>Yes</w:t>
            </w:r>
          </w:p>
        </w:tc>
        <w:tc>
          <w:tcPr>
            <w:tcW w:w="1250" w:type="pct"/>
            <w:vAlign w:val="center"/>
          </w:tcPr>
          <w:p w14:paraId="1DEF397F" w14:textId="2C2FCC7F" w:rsidR="005C4178" w:rsidRPr="00EB4283" w:rsidRDefault="005C4178">
            <w:pPr>
              <w:pStyle w:val="TBLText"/>
            </w:pPr>
            <w:r>
              <w:t>19 December 2024</w:t>
            </w:r>
          </w:p>
        </w:tc>
      </w:tr>
    </w:tbl>
    <w:p w14:paraId="057C047B" w14:textId="0326461C" w:rsidR="005C4178" w:rsidRDefault="005C4178" w:rsidP="005C4178">
      <w:pPr>
        <w:spacing w:before="240"/>
      </w:pPr>
      <w:r>
        <w:t xml:space="preserve">Some Australians currently do not have timely access to medicines or medicines related services. People living in rural and remote areas encounter higher rates of injury, hospitalisation and death in comparison to people living in major cities due in part to poorer access to primary healthcare services. The health system is </w:t>
      </w:r>
      <w:r>
        <w:lastRenderedPageBreak/>
        <w:t>being placed under increasing stress due to the ageing population and the ongoing effects of the pandemic, which further prevents timely and equitable access to medicines or medicine</w:t>
      </w:r>
      <w:r w:rsidR="004A38E3">
        <w:t>-</w:t>
      </w:r>
      <w:r>
        <w:t xml:space="preserve">related services. </w:t>
      </w:r>
    </w:p>
    <w:p w14:paraId="7F5B7D1C" w14:textId="5DF8687D" w:rsidR="005C4178" w:rsidRDefault="005C4178" w:rsidP="005C4178">
      <w:pPr>
        <w:spacing w:before="240"/>
      </w:pPr>
      <w:r>
        <w:t xml:space="preserve">Registered Nurses (RNs) working in health services have reported limitations in their current scope of practice, impacting timeliness of care and the overall quality of care and outcomes for patients. The 2022 </w:t>
      </w:r>
      <w:r w:rsidRPr="2C667E85">
        <w:rPr>
          <w:i/>
          <w:iCs/>
        </w:rPr>
        <w:t>Strengthening Medicare Taskforce Report</w:t>
      </w:r>
      <w:r>
        <w:t xml:space="preserve"> recommended removing barriers to health professionals working to their full scope of practice. The Productivity Commission in its 2005 report </w:t>
      </w:r>
      <w:r w:rsidRPr="2C667E85">
        <w:rPr>
          <w:i/>
          <w:iCs/>
        </w:rPr>
        <w:t>Australia’s Health Workforce</w:t>
      </w:r>
      <w:r>
        <w:t xml:space="preserve"> and 2010 </w:t>
      </w:r>
      <w:r w:rsidRPr="2C667E85">
        <w:rPr>
          <w:i/>
          <w:iCs/>
        </w:rPr>
        <w:t>Final Report of the National Health Workforce Planning and Research Collaboration</w:t>
      </w:r>
      <w:r>
        <w:t xml:space="preserve"> have highlighted the need to increase the number of prescribers to maintain access to medicines, including by expanding the scope of practice of RNs. </w:t>
      </w:r>
    </w:p>
    <w:p w14:paraId="5A1C095E" w14:textId="4563513C" w:rsidR="005C4178" w:rsidRDefault="005C4178" w:rsidP="005C4178">
      <w:pPr>
        <w:spacing w:before="240"/>
      </w:pPr>
      <w:r>
        <w:t xml:space="preserve">The Australian Government has committed to addressing the inequity of access to health care through a range of strategies, including the </w:t>
      </w:r>
      <w:r w:rsidRPr="2C667E85">
        <w:rPr>
          <w:i/>
          <w:iCs/>
        </w:rPr>
        <w:t>Rural Health Strategy</w:t>
      </w:r>
      <w:r>
        <w:t xml:space="preserve"> and the </w:t>
      </w:r>
      <w:r w:rsidRPr="2C667E85">
        <w:rPr>
          <w:i/>
          <w:iCs/>
        </w:rPr>
        <w:t>Primary Health Care 10-year plan</w:t>
      </w:r>
      <w:r>
        <w:t xml:space="preserve">. There is an opportunity for RNs to expand and work to their full scope of practice to improve access to health care and health outcomes for patients. </w:t>
      </w:r>
    </w:p>
    <w:p w14:paraId="215C2EB3" w14:textId="76D476F3" w:rsidR="005C4178" w:rsidRDefault="005C4178" w:rsidP="005C4178">
      <w:pPr>
        <w:spacing w:before="240"/>
      </w:pPr>
      <w:r>
        <w:t xml:space="preserve">The D-RIS considers options to allow appropriately trained and supported RNs to prescribe medicines across healthcare settings, with the goal of reducing the pressure on Australia’s healthcare system and increasing timely access to patient care and medicines. </w:t>
      </w:r>
    </w:p>
    <w:p w14:paraId="68784B30" w14:textId="04ACC318" w:rsidR="005C4178" w:rsidRDefault="005C4178" w:rsidP="005C4178">
      <w:pPr>
        <w:spacing w:before="240"/>
      </w:pPr>
      <w:r>
        <w:t xml:space="preserve">The D-RIS was prepared by the Nursing and Midwifery Board of Australia (NMBA) and considered four options. </w:t>
      </w:r>
    </w:p>
    <w:p w14:paraId="11218E3C" w14:textId="77777777" w:rsidR="005C4178" w:rsidRDefault="005C4178" w:rsidP="4AE1BD25">
      <w:pPr>
        <w:pStyle w:val="ListParagraph"/>
        <w:numPr>
          <w:ilvl w:val="0"/>
          <w:numId w:val="29"/>
        </w:numPr>
        <w:spacing w:before="240"/>
      </w:pPr>
      <w:r w:rsidRPr="4AE1BD25">
        <w:t xml:space="preserve">Option 1: Make no changes to the current prescribing arrangements for RNs (Status Quo). </w:t>
      </w:r>
    </w:p>
    <w:p w14:paraId="3C0889D7" w14:textId="77777777" w:rsidR="005C4178" w:rsidRDefault="005C4178" w:rsidP="4AE1BD25">
      <w:pPr>
        <w:pStyle w:val="ListParagraph"/>
        <w:numPr>
          <w:ilvl w:val="0"/>
          <w:numId w:val="29"/>
        </w:numPr>
        <w:spacing w:before="240"/>
      </w:pPr>
      <w:r w:rsidRPr="4AE1BD25">
        <w:t xml:space="preserve">Option 2: Expand the scope of practice of RNs to prescribe Schedule 2, 3, 4 and 8 medicines as a designated RN prescriber under supervision, in accordance with governance frameworks and prescribing arrangements. This option would require the NMBA to bring forward a new Registration Standard for Health Ministers to approve. This option allows suitably educated, qualified and authorised RNs to prescribe the above mentioned scheduled medicines. </w:t>
      </w:r>
    </w:p>
    <w:p w14:paraId="1204F651" w14:textId="77777777" w:rsidR="005C4178" w:rsidRDefault="005C4178" w:rsidP="4AE1BD25">
      <w:pPr>
        <w:pStyle w:val="ListParagraph"/>
        <w:numPr>
          <w:ilvl w:val="0"/>
          <w:numId w:val="29"/>
        </w:numPr>
        <w:spacing w:before="240"/>
      </w:pPr>
      <w:r w:rsidRPr="4AE1BD25">
        <w:t xml:space="preserve">Option 2a: Expand the scope of practice of RNs to prescribe Scheduled 2, 3 and 4 medicines only. This option would not allow RNs to prescribe Schedule 8 medicines but would otherwise include all the requirements described in Option 2. </w:t>
      </w:r>
    </w:p>
    <w:p w14:paraId="7282D838" w14:textId="02B9ADC1" w:rsidR="005C4178" w:rsidRDefault="005C4178" w:rsidP="009C1EB5">
      <w:pPr>
        <w:pStyle w:val="ListParagraph"/>
        <w:numPr>
          <w:ilvl w:val="0"/>
          <w:numId w:val="29"/>
        </w:numPr>
        <w:spacing w:before="240"/>
      </w:pPr>
      <w:r>
        <w:t xml:space="preserve">Option 2b: Expand the scope of practice of RNs to prescribe Schedule 2, 3, 4, and 8 medicines, but exclude RNs working in private practice or as sole practitioners.  </w:t>
      </w:r>
    </w:p>
    <w:p w14:paraId="69F22CDC" w14:textId="44B7B036" w:rsidR="005C4178" w:rsidRPr="005C4178" w:rsidRDefault="005C4178" w:rsidP="008B23DC">
      <w:pPr>
        <w:spacing w:before="240"/>
      </w:pPr>
      <w:r>
        <w:t xml:space="preserve">The D-RIS identified Option 2 as the preferred option, being the most supported option by respondents to the </w:t>
      </w:r>
      <w:hyperlink r:id="rId12" w:history="1">
        <w:r w:rsidRPr="2C667E85">
          <w:rPr>
            <w:rStyle w:val="Hyperlink"/>
          </w:rPr>
          <w:t>C-RIS</w:t>
        </w:r>
      </w:hyperlink>
      <w:r>
        <w:t xml:space="preserve">. As outlined in the D-RIS, analysis of scenarios and costing models of care demonstrated that using a designated RN prescriber could decrease pressure points in hospitals, assist with ageing population and chronic disease treatment and have far reaching advantages for patients in rural and remote areas who are disadvantaged through health underservice.  </w:t>
      </w:r>
    </w:p>
    <w:p w14:paraId="7A75A0EB" w14:textId="5A151A49" w:rsidR="00F037AE" w:rsidRDefault="00F037AE" w:rsidP="00F037AE">
      <w:pPr>
        <w:pStyle w:val="Heading2"/>
      </w:pPr>
      <w:bookmarkStart w:id="10" w:name="_Toc187758873"/>
      <w:bookmarkStart w:id="11" w:name="_Toc155083891"/>
      <w:r>
        <w:lastRenderedPageBreak/>
        <w:t>Department of the Treasury</w:t>
      </w:r>
      <w:bookmarkEnd w:id="10"/>
      <w:bookmarkEnd w:id="11"/>
    </w:p>
    <w:p w14:paraId="0DAB431F" w14:textId="3EDF369F" w:rsidR="00F037AE" w:rsidRPr="00B30E0D" w:rsidRDefault="00F037AE" w:rsidP="00F037AE">
      <w:pPr>
        <w:pStyle w:val="Heading3"/>
      </w:pPr>
      <w:bookmarkStart w:id="12" w:name="_Toc187758874"/>
      <w:bookmarkStart w:id="13" w:name="_Toc1099789641"/>
      <w:r>
        <w:t>Regulation of Safety Standards and Information Standards</w:t>
      </w:r>
      <w:bookmarkEnd w:id="12"/>
      <w:bookmarkEnd w:id="13"/>
    </w:p>
    <w:p w14:paraId="7E3AB787" w14:textId="64E34132" w:rsidR="00F037AE" w:rsidRPr="00774646" w:rsidRDefault="00F037AE" w:rsidP="00F037AE">
      <w:pPr>
        <w:pStyle w:val="Caption"/>
      </w:pPr>
      <w:r>
        <w:t>Figure 3. Department of the Treasury</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037AE" w14:paraId="325941A7" w14:textId="77777777" w:rsidTr="00214925">
        <w:trPr>
          <w:cnfStyle w:val="100000000000" w:firstRow="1" w:lastRow="0" w:firstColumn="0" w:lastColumn="0" w:oddVBand="0" w:evenVBand="0" w:oddHBand="0" w:evenHBand="0" w:firstRowFirstColumn="0" w:firstRowLastColumn="0" w:lastRowFirstColumn="0" w:lastRowLastColumn="0"/>
          <w:trHeight w:val="300"/>
          <w:tblHeader/>
        </w:trPr>
        <w:tc>
          <w:tcPr>
            <w:tcW w:w="1250" w:type="pct"/>
            <w:tcBorders>
              <w:top w:val="none" w:sz="0" w:space="0" w:color="auto"/>
              <w:left w:val="none" w:sz="0" w:space="0" w:color="auto"/>
              <w:bottom w:val="none" w:sz="0" w:space="0" w:color="auto"/>
            </w:tcBorders>
          </w:tcPr>
          <w:p w14:paraId="2D9FA9E2" w14:textId="5D67D681" w:rsidR="00F037AE" w:rsidRPr="006E170D" w:rsidRDefault="00E38EEF" w:rsidP="00414B2F">
            <w:pPr>
              <w:pStyle w:val="TBLHeading"/>
            </w:pPr>
            <w:bookmarkStart w:id="14" w:name="_GoBack" w:colFirst="0" w:colLast="3"/>
            <w:r>
              <w:t xml:space="preserve">Announcement </w:t>
            </w:r>
            <w:r w:rsidR="00F037AE">
              <w:t>Date</w:t>
            </w:r>
          </w:p>
        </w:tc>
        <w:tc>
          <w:tcPr>
            <w:tcW w:w="1250" w:type="pct"/>
            <w:tcBorders>
              <w:top w:val="none" w:sz="0" w:space="0" w:color="auto"/>
              <w:bottom w:val="none" w:sz="0" w:space="0" w:color="auto"/>
            </w:tcBorders>
          </w:tcPr>
          <w:p w14:paraId="6145160C" w14:textId="77777777" w:rsidR="00F037AE" w:rsidRPr="006E170D" w:rsidRDefault="00F037AE" w:rsidP="00414B2F">
            <w:pPr>
              <w:pStyle w:val="TBLHeading"/>
            </w:pPr>
            <w:r>
              <w:t>Compliant at consultation</w:t>
            </w:r>
          </w:p>
        </w:tc>
        <w:tc>
          <w:tcPr>
            <w:tcW w:w="1250" w:type="pct"/>
            <w:tcBorders>
              <w:top w:val="none" w:sz="0" w:space="0" w:color="auto"/>
              <w:bottom w:val="none" w:sz="0" w:space="0" w:color="auto"/>
            </w:tcBorders>
          </w:tcPr>
          <w:p w14:paraId="326BA71F" w14:textId="77777777" w:rsidR="00F037AE" w:rsidRPr="006E170D" w:rsidRDefault="00F037AE" w:rsidP="00414B2F">
            <w:pPr>
              <w:pStyle w:val="TBLHeading"/>
            </w:pPr>
            <w:r>
              <w:t>Compliant at decision</w:t>
            </w:r>
          </w:p>
        </w:tc>
        <w:tc>
          <w:tcPr>
            <w:tcW w:w="1250" w:type="pct"/>
            <w:tcBorders>
              <w:top w:val="none" w:sz="0" w:space="0" w:color="auto"/>
              <w:bottom w:val="none" w:sz="0" w:space="0" w:color="auto"/>
              <w:right w:val="none" w:sz="0" w:space="0" w:color="auto"/>
            </w:tcBorders>
          </w:tcPr>
          <w:p w14:paraId="66F72527" w14:textId="77777777" w:rsidR="00F037AE" w:rsidRPr="006E170D" w:rsidRDefault="00F037AE" w:rsidP="00414B2F">
            <w:pPr>
              <w:pStyle w:val="TBLHeading"/>
            </w:pPr>
            <w:r>
              <w:t>Final RIA published</w:t>
            </w:r>
          </w:p>
        </w:tc>
      </w:tr>
      <w:bookmarkEnd w:id="14"/>
      <w:tr w:rsidR="00F037AE" w14:paraId="6853BA97" w14:textId="77777777" w:rsidTr="2C667E85">
        <w:trPr>
          <w:trHeight w:val="300"/>
        </w:trPr>
        <w:tc>
          <w:tcPr>
            <w:tcW w:w="1250" w:type="pct"/>
            <w:vAlign w:val="center"/>
          </w:tcPr>
          <w:p w14:paraId="25388082" w14:textId="561D339F" w:rsidR="00F037AE" w:rsidRPr="00EB4283" w:rsidRDefault="00F037AE">
            <w:pPr>
              <w:pStyle w:val="TBLText"/>
            </w:pPr>
            <w:r>
              <w:t>28 November 2024</w:t>
            </w:r>
          </w:p>
        </w:tc>
        <w:tc>
          <w:tcPr>
            <w:tcW w:w="1250" w:type="pct"/>
            <w:vAlign w:val="center"/>
          </w:tcPr>
          <w:p w14:paraId="03A6B0BB" w14:textId="77777777" w:rsidR="00F037AE" w:rsidRPr="00EB4283" w:rsidRDefault="00F037AE" w:rsidP="00307986">
            <w:pPr>
              <w:pStyle w:val="TBLText"/>
            </w:pPr>
            <w:r>
              <w:t>Yes</w:t>
            </w:r>
          </w:p>
        </w:tc>
        <w:tc>
          <w:tcPr>
            <w:tcW w:w="1250" w:type="pct"/>
            <w:vAlign w:val="center"/>
          </w:tcPr>
          <w:p w14:paraId="2CD69D92" w14:textId="77777777" w:rsidR="00F037AE" w:rsidRPr="00EB4283" w:rsidRDefault="00F037AE" w:rsidP="00307986">
            <w:pPr>
              <w:pStyle w:val="TBLText"/>
            </w:pPr>
            <w:r>
              <w:t>Yes</w:t>
            </w:r>
          </w:p>
        </w:tc>
        <w:tc>
          <w:tcPr>
            <w:tcW w:w="1250" w:type="pct"/>
            <w:vAlign w:val="center"/>
          </w:tcPr>
          <w:p w14:paraId="4067C740" w14:textId="3B8A8CAA" w:rsidR="00F037AE" w:rsidRPr="00EB4283" w:rsidRDefault="00F037AE">
            <w:pPr>
              <w:pStyle w:val="TBLText"/>
            </w:pPr>
            <w:r>
              <w:t>8 Janurary 2025</w:t>
            </w:r>
          </w:p>
        </w:tc>
      </w:tr>
    </w:tbl>
    <w:p w14:paraId="58C9C848" w14:textId="623253BA" w:rsidR="00F037AE" w:rsidRPr="004A38E3" w:rsidRDefault="00F037AE" w:rsidP="00F8123D">
      <w:pPr>
        <w:spacing w:before="240"/>
      </w:pPr>
      <w:r w:rsidRPr="2C667E85">
        <w:t>Businesses have indicated that complex layers of regulation and a product safety framework that is slow to respond to changing international consumer markets can contribute to unnecessary costs and confusion about their obligations when supplying goods that are regulated by mandatory Australian standards under the Australian Consumer Law (ACL). The most common problems that have arisen through consultation include:</w:t>
      </w:r>
    </w:p>
    <w:p w14:paraId="50154CE5" w14:textId="77777777" w:rsidR="00F037AE" w:rsidRPr="00F8123D" w:rsidRDefault="00F037AE" w:rsidP="2C667E85">
      <w:pPr>
        <w:pStyle w:val="ListParagraph"/>
        <w:numPr>
          <w:ilvl w:val="0"/>
          <w:numId w:val="34"/>
        </w:numPr>
      </w:pPr>
      <w:r w:rsidRPr="2C667E85">
        <w:t>increased compliance costs for business and barriers to trade through duplicative testing and compliance measures where a product has been manufactured to the requirements of an equivalent overseas standard</w:t>
      </w:r>
    </w:p>
    <w:p w14:paraId="493671C7" w14:textId="0C57B191" w:rsidR="00F037AE" w:rsidRPr="004A38E3" w:rsidRDefault="00F037AE" w:rsidP="2C667E85">
      <w:pPr>
        <w:pStyle w:val="ListParagraph"/>
        <w:numPr>
          <w:ilvl w:val="0"/>
          <w:numId w:val="34"/>
        </w:numPr>
      </w:pPr>
      <w:r w:rsidRPr="2C667E85">
        <w:t>inefficient capturing of updates to voluntary Australian and overseas standards recognised under Australian law, which has prevented businesses from quickly moving to the latest manufacturing processes, therefore slowing the supply of safer and cheaper products to market.</w:t>
      </w:r>
    </w:p>
    <w:p w14:paraId="48B7B203" w14:textId="28C4FA1D" w:rsidR="00F037AE" w:rsidRPr="004A38E3" w:rsidRDefault="00F037AE" w:rsidP="2C667E85">
      <w:r w:rsidRPr="2C667E85">
        <w:t>A </w:t>
      </w:r>
      <w:hyperlink r:id="rId13" w:history="1">
        <w:r w:rsidRPr="2C667E85">
          <w:rPr>
            <w:rStyle w:val="Hyperlink"/>
            <w:b/>
            <w:bCs/>
            <w:color w:val="014463"/>
          </w:rPr>
          <w:t>C-RIS</w:t>
        </w:r>
      </w:hyperlink>
      <w:r w:rsidRPr="2C667E85">
        <w:t xml:space="preserve"> was released on 1 December 2021 and considered a broad range of policy options. Informed by that consultation, the </w:t>
      </w:r>
      <w:r w:rsidR="00AD6C29" w:rsidRPr="2C667E85">
        <w:t>D-</w:t>
      </w:r>
      <w:r w:rsidRPr="2C667E85">
        <w:t>RIS presented the following options for decision:</w:t>
      </w:r>
    </w:p>
    <w:p w14:paraId="4A350B4F" w14:textId="77777777" w:rsidR="00F037AE" w:rsidRPr="00F61399" w:rsidRDefault="00F037AE" w:rsidP="2C667E85">
      <w:pPr>
        <w:pStyle w:val="ListParagraph"/>
        <w:numPr>
          <w:ilvl w:val="0"/>
          <w:numId w:val="33"/>
        </w:numPr>
      </w:pPr>
      <w:r w:rsidRPr="2C667E85">
        <w:t>Option 1 – Status quo</w:t>
      </w:r>
    </w:p>
    <w:p w14:paraId="6FFFB6F4" w14:textId="3E6F5D76" w:rsidR="00F037AE" w:rsidRPr="00F61399" w:rsidRDefault="00F037AE" w:rsidP="2C667E85">
      <w:pPr>
        <w:pStyle w:val="ListParagraph"/>
        <w:numPr>
          <w:ilvl w:val="0"/>
          <w:numId w:val="33"/>
        </w:numPr>
      </w:pPr>
      <w:r w:rsidRPr="2C667E85">
        <w:t>Option 2(a) – Prescribing a list of overseas standards</w:t>
      </w:r>
      <w:r w:rsidR="004A38E3" w:rsidRPr="2C667E85">
        <w:t>-</w:t>
      </w:r>
      <w:r w:rsidRPr="2C667E85">
        <w:t>making associations</w:t>
      </w:r>
    </w:p>
    <w:p w14:paraId="401AA600" w14:textId="77777777" w:rsidR="00F037AE" w:rsidRPr="00F61399" w:rsidRDefault="00F037AE" w:rsidP="2C667E85">
      <w:pPr>
        <w:pStyle w:val="ListParagraph"/>
        <w:numPr>
          <w:ilvl w:val="0"/>
          <w:numId w:val="33"/>
        </w:numPr>
      </w:pPr>
      <w:r w:rsidRPr="2C667E85">
        <w:t>Option 2(b) – Using a principles-based approach for declaring overseas standards</w:t>
      </w:r>
    </w:p>
    <w:p w14:paraId="595F357A" w14:textId="77777777" w:rsidR="00F037AE" w:rsidRPr="00F61399" w:rsidRDefault="00F037AE" w:rsidP="2C667E85">
      <w:pPr>
        <w:pStyle w:val="ListParagraph"/>
        <w:numPr>
          <w:ilvl w:val="0"/>
          <w:numId w:val="33"/>
        </w:numPr>
      </w:pPr>
      <w:r w:rsidRPr="2C667E85">
        <w:t>Option 3(a) – Allowing updated standards to apply from time-to-time</w:t>
      </w:r>
    </w:p>
    <w:p w14:paraId="34935D3E" w14:textId="12216ADC" w:rsidR="00F037AE" w:rsidRPr="00F61399" w:rsidRDefault="00F037AE" w:rsidP="2C667E85">
      <w:pPr>
        <w:pStyle w:val="ListParagraph"/>
        <w:numPr>
          <w:ilvl w:val="0"/>
          <w:numId w:val="33"/>
        </w:numPr>
      </w:pPr>
      <w:r w:rsidRPr="2C667E85">
        <w:t>Option 3(b) – Safe harbour provision</w:t>
      </w:r>
      <w:r w:rsidR="007C1765" w:rsidRPr="2C667E85">
        <w:t>.</w:t>
      </w:r>
    </w:p>
    <w:p w14:paraId="146CD7C9" w14:textId="64D5DC13" w:rsidR="00F037AE" w:rsidRPr="004A38E3" w:rsidRDefault="00F037AE" w:rsidP="2C667E85">
      <w:r w:rsidRPr="2C667E85">
        <w:t xml:space="preserve">The </w:t>
      </w:r>
      <w:r w:rsidR="00AD6C29" w:rsidRPr="2C667E85">
        <w:t>D-RIS</w:t>
      </w:r>
      <w:r w:rsidRPr="2C667E85">
        <w:t> recommended a three</w:t>
      </w:r>
      <w:r w:rsidR="004A38E3" w:rsidRPr="2C667E85">
        <w:t>-</w:t>
      </w:r>
      <w:r w:rsidRPr="2C667E85">
        <w:t>pronged policy approach. Implement:</w:t>
      </w:r>
    </w:p>
    <w:p w14:paraId="2E9EFFB4" w14:textId="77777777" w:rsidR="00F037AE" w:rsidRPr="00F61399" w:rsidRDefault="00F037AE" w:rsidP="2C667E85">
      <w:pPr>
        <w:pStyle w:val="ListParagraph"/>
        <w:numPr>
          <w:ilvl w:val="0"/>
          <w:numId w:val="35"/>
        </w:numPr>
      </w:pPr>
      <w:r w:rsidRPr="2C667E85">
        <w:t>a variation of Option 2:</w:t>
      </w:r>
    </w:p>
    <w:p w14:paraId="24C47362" w14:textId="1D658C6E" w:rsidR="00F037AE" w:rsidRPr="00F61399" w:rsidRDefault="00F037AE" w:rsidP="2C667E85">
      <w:pPr>
        <w:pStyle w:val="ListParagraph"/>
        <w:numPr>
          <w:ilvl w:val="1"/>
          <w:numId w:val="35"/>
        </w:numPr>
      </w:pPr>
      <w:r w:rsidRPr="2C667E85">
        <w:t>Amend sections 105 and 135 of the ACL to allow the Commonwealth Minster to declare standards from any Australian or overseas standards</w:t>
      </w:r>
      <w:r w:rsidR="004A38E3" w:rsidRPr="2C667E85">
        <w:t>-</w:t>
      </w:r>
      <w:r w:rsidRPr="2C667E85">
        <w:t>making association.</w:t>
      </w:r>
    </w:p>
    <w:p w14:paraId="1F8B4C06" w14:textId="1C4DC578" w:rsidR="00F037AE" w:rsidRPr="00F61399" w:rsidRDefault="00F037AE" w:rsidP="2C667E85">
      <w:pPr>
        <w:pStyle w:val="ListParagraph"/>
        <w:numPr>
          <w:ilvl w:val="1"/>
          <w:numId w:val="35"/>
        </w:numPr>
      </w:pPr>
      <w:r w:rsidRPr="2C667E85">
        <w:t>Remove the need to prescribe and subsequently maintain, a specific list of standards</w:t>
      </w:r>
      <w:r w:rsidR="004A38E3" w:rsidRPr="2C667E85">
        <w:t>-</w:t>
      </w:r>
      <w:r w:rsidRPr="2C667E85">
        <w:t>making associations (Option 2a) in the regulations, including Standards Australia.</w:t>
      </w:r>
    </w:p>
    <w:p w14:paraId="3DF0385A" w14:textId="77777777" w:rsidR="00F037AE" w:rsidRPr="00F61399" w:rsidRDefault="00F037AE" w:rsidP="2C667E85">
      <w:pPr>
        <w:pStyle w:val="ListParagraph"/>
        <w:numPr>
          <w:ilvl w:val="1"/>
          <w:numId w:val="35"/>
        </w:numPr>
      </w:pPr>
      <w:r w:rsidRPr="2C667E85">
        <w:t xml:space="preserve">The list of identified principles (Option 2b) would not be drafted into legislation, rather the Australian Competition &amp; Consumer Commission (ACCC) would maintain administrative responsibility for the mandatory standards framework under the ACL. In providing advice to the Minister, the ACCC would consider any matters relevant to it, including whether an </w:t>
      </w:r>
      <w:r w:rsidRPr="2C667E85">
        <w:lastRenderedPageBreak/>
        <w:t>overseas standard provides a suitable level of safety, before making a recommendation to the Minister to declare an Australian or overseas standard as a mandatory standard.</w:t>
      </w:r>
    </w:p>
    <w:p w14:paraId="43AEBB0C" w14:textId="77777777" w:rsidR="00F037AE" w:rsidRPr="00F61399" w:rsidRDefault="00F037AE" w:rsidP="2C667E85">
      <w:pPr>
        <w:pStyle w:val="ListParagraph"/>
        <w:numPr>
          <w:ilvl w:val="0"/>
          <w:numId w:val="35"/>
        </w:numPr>
      </w:pPr>
      <w:r w:rsidRPr="2C667E85">
        <w:t>time-to-time update provision under Option 3(a).</w:t>
      </w:r>
    </w:p>
    <w:p w14:paraId="5C29E21E" w14:textId="6FB4E61B" w:rsidR="00F037AE" w:rsidRPr="00C777D7" w:rsidRDefault="00F037AE" w:rsidP="2C667E85">
      <w:pPr>
        <w:pStyle w:val="ListParagraph"/>
        <w:numPr>
          <w:ilvl w:val="0"/>
          <w:numId w:val="35"/>
        </w:numPr>
      </w:pPr>
      <w:r w:rsidRPr="2C667E85">
        <w:t>amendments to section 108 of the ACL.</w:t>
      </w:r>
    </w:p>
    <w:p w14:paraId="7B73B685" w14:textId="2D9AFFA7" w:rsidR="00D03322" w:rsidRDefault="000872C2" w:rsidP="00D03322">
      <w:pPr>
        <w:pStyle w:val="Heading1"/>
      </w:pPr>
      <w:bookmarkStart w:id="15" w:name="_Toc98330801"/>
      <w:bookmarkStart w:id="16" w:name="_Toc187758875"/>
      <w:bookmarkStart w:id="17" w:name="_Toc1168867267"/>
      <w:r>
        <w:t>RIS</w:t>
      </w:r>
      <w:r w:rsidR="00D03322">
        <w:t>s prepared for consultation in 202</w:t>
      </w:r>
      <w:r w:rsidR="00EC344D">
        <w:t>4</w:t>
      </w:r>
      <w:r w:rsidR="00D03322">
        <w:t>-2</w:t>
      </w:r>
      <w:bookmarkEnd w:id="15"/>
      <w:r w:rsidR="00EC344D">
        <w:t>5</w:t>
      </w:r>
      <w:bookmarkEnd w:id="16"/>
      <w:bookmarkEnd w:id="17"/>
    </w:p>
    <w:p w14:paraId="212E0E9E" w14:textId="5C798196" w:rsidR="00D03322" w:rsidRDefault="00D03322" w:rsidP="00D03322">
      <w:bookmarkStart w:id="18" w:name="_Toc432587379"/>
      <w:bookmarkStart w:id="19" w:name="_Toc432175595"/>
      <w:bookmarkStart w:id="20" w:name="_Toc428440455"/>
      <w:bookmarkStart w:id="21" w:name="_Toc428440028"/>
      <w:bookmarkStart w:id="22" w:name="_Toc424049626"/>
      <w:bookmarkStart w:id="23" w:name="_Toc419707558"/>
      <w:bookmarkStart w:id="24" w:name="_Toc473715465"/>
      <w:bookmarkStart w:id="25" w:name="_Toc459800321"/>
      <w:bookmarkStart w:id="26" w:name="_Toc451264807"/>
      <w:bookmarkStart w:id="27" w:name="_Toc451264240"/>
      <w:bookmarkStart w:id="28" w:name="_Toc451168646"/>
      <w:bookmarkStart w:id="29" w:name="_Toc447532697"/>
      <w:bookmarkStart w:id="30" w:name="_Toc446318438"/>
      <w:bookmarkStart w:id="31" w:name="_Toc445974404"/>
      <w:bookmarkStart w:id="32" w:name="_Toc445974143"/>
      <w:bookmarkStart w:id="33" w:name="_Toc445973445"/>
      <w:bookmarkStart w:id="34" w:name="_Toc440639816"/>
      <w:bookmarkStart w:id="35" w:name="_Toc438539631"/>
      <w:r>
        <w:t xml:space="preserve">The following </w:t>
      </w:r>
      <w:r w:rsidR="00F2608F">
        <w:t>C-RISs</w:t>
      </w:r>
      <w:r>
        <w:t xml:space="preserve"> have been published </w:t>
      </w:r>
      <w:bookmarkEnd w:id="18"/>
      <w:bookmarkEnd w:id="19"/>
      <w:bookmarkEnd w:id="20"/>
      <w:bookmarkEnd w:id="21"/>
      <w:bookmarkEnd w:id="22"/>
      <w:bookmarkEnd w:id="23"/>
      <w:r>
        <w:t>for consultation in 202</w:t>
      </w:r>
      <w:r w:rsidR="00EC344D">
        <w:t>4</w:t>
      </w:r>
      <w:r>
        <w:t>-2</w:t>
      </w:r>
      <w:bookmarkEnd w:id="24"/>
      <w:bookmarkEnd w:id="25"/>
      <w:bookmarkEnd w:id="26"/>
      <w:bookmarkEnd w:id="27"/>
      <w:bookmarkEnd w:id="28"/>
      <w:bookmarkEnd w:id="29"/>
      <w:bookmarkEnd w:id="30"/>
      <w:bookmarkEnd w:id="31"/>
      <w:bookmarkEnd w:id="32"/>
      <w:bookmarkEnd w:id="33"/>
      <w:bookmarkEnd w:id="34"/>
      <w:bookmarkEnd w:id="35"/>
      <w:r w:rsidR="00EC344D">
        <w:t>5</w:t>
      </w:r>
      <w:r>
        <w:t>.</w:t>
      </w:r>
    </w:p>
    <w:p w14:paraId="557B6EFD" w14:textId="2EBD85D9" w:rsidR="00FC4BF1" w:rsidRPr="00E67617" w:rsidRDefault="00FC4BF1" w:rsidP="00FC4BF1">
      <w:pPr>
        <w:pStyle w:val="Heading2"/>
      </w:pPr>
      <w:bookmarkStart w:id="36" w:name="_Toc187758876"/>
      <w:bookmarkStart w:id="37" w:name="_Toc104936865"/>
      <w:r>
        <w:t>Decision-making body: Australian Energy Market Commission</w:t>
      </w:r>
      <w:bookmarkEnd w:id="36"/>
      <w:bookmarkEnd w:id="37"/>
    </w:p>
    <w:p w14:paraId="325415E9" w14:textId="5606B017" w:rsidR="00BD0592" w:rsidRPr="00BD0592" w:rsidRDefault="00BD0592" w:rsidP="00BD0592">
      <w:pPr>
        <w:pStyle w:val="Heading3"/>
      </w:pPr>
      <w:bookmarkStart w:id="38" w:name="_Toc187758877"/>
      <w:bookmarkStart w:id="39" w:name="_Toc966454874"/>
      <w:r>
        <w:t xml:space="preserve">Consultation Regulation Impact Statement – </w:t>
      </w:r>
      <w:r w:rsidR="00EC344D">
        <w:t>Draft Rule Determination – National Electricity Amendment –</w:t>
      </w:r>
      <w:r>
        <w:t xml:space="preserve"> </w:t>
      </w:r>
      <w:r w:rsidR="00EC344D">
        <w:t>Integrating price-responsive resources in the National Electricity Market (NEM)</w:t>
      </w:r>
      <w:bookmarkEnd w:id="38"/>
      <w:bookmarkEnd w:id="39"/>
    </w:p>
    <w:p w14:paraId="4B87BE22" w14:textId="77777777" w:rsidR="00EC344D" w:rsidRPr="00EC344D" w:rsidRDefault="00EC344D" w:rsidP="00EC344D">
      <w:r>
        <w:t>Closing date: 12 September 2024</w:t>
      </w:r>
    </w:p>
    <w:p w14:paraId="3195FE30" w14:textId="77777777" w:rsidR="00EC344D" w:rsidRDefault="00EC344D" w:rsidP="00EC344D">
      <w:r>
        <w:t xml:space="preserve">Aggregated Consumer Energy Resources (CERs), such as independent small electricity resources solar panels and small scale batteries in virtual power plants, are not currently integrated into the spot market for the NEM. These energy resources are not currently scheduled through the market dispatch process therefore may not be able to influence market price signals.  </w:t>
      </w:r>
    </w:p>
    <w:p w14:paraId="62453720" w14:textId="77777777" w:rsidR="00EC344D" w:rsidRDefault="00EC344D" w:rsidP="00EC344D">
      <w:r>
        <w:t xml:space="preserve">Additionally, energy security and reliability services could be provided more efficiently if these resources were appropriately considered when determining how much energy demand needs to be met, how to meet this demand, and the spot price. </w:t>
      </w:r>
    </w:p>
    <w:p w14:paraId="2774109C" w14:textId="6A7703A3" w:rsidR="00EC344D" w:rsidRDefault="00EC344D" w:rsidP="00FC4BF1">
      <w:r>
        <w:t xml:space="preserve">This </w:t>
      </w:r>
      <w:r w:rsidRPr="00EC344D">
        <w:t>C</w:t>
      </w:r>
      <w:r>
        <w:t>-RIS</w:t>
      </w:r>
      <w:r w:rsidRPr="00EC344D">
        <w:t xml:space="preserve"> will consult on a proposal to establish a ‘dispatch’ framework which allows aggregated CERs to be scheduled and dispatched into t</w:t>
      </w:r>
      <w:r>
        <w:t>he NEM</w:t>
      </w:r>
      <w:r w:rsidRPr="00EC344D">
        <w:t>, in aggregations or individually. The proposal also includes an incentive scheme and monitoring framework.</w:t>
      </w:r>
    </w:p>
    <w:p w14:paraId="0E63B98A" w14:textId="2F294D98" w:rsidR="00B84E33" w:rsidRPr="009C4D60" w:rsidRDefault="00B84E33" w:rsidP="009C4D60">
      <w:pPr>
        <w:pStyle w:val="Heading2"/>
      </w:pPr>
      <w:bookmarkStart w:id="40" w:name="_Toc187758878"/>
      <w:bookmarkStart w:id="41" w:name="_Toc1805348944"/>
      <w:r>
        <w:t xml:space="preserve">Decision-making body: </w:t>
      </w:r>
      <w:r w:rsidR="00901B8C">
        <w:t>Department of Health and Aged Care</w:t>
      </w:r>
      <w:bookmarkEnd w:id="40"/>
      <w:bookmarkEnd w:id="41"/>
    </w:p>
    <w:p w14:paraId="134B93BB" w14:textId="492B7656" w:rsidR="00EC344D" w:rsidRDefault="00EC344D" w:rsidP="00DB7717">
      <w:pPr>
        <w:pStyle w:val="Heading3"/>
        <w:rPr>
          <w:shd w:val="clear" w:color="auto" w:fill="FFFFFF"/>
        </w:rPr>
      </w:pPr>
      <w:bookmarkStart w:id="42" w:name="_Toc187758879"/>
      <w:bookmarkStart w:id="43" w:name="_Toc508717512"/>
      <w:r w:rsidRPr="00EC344D">
        <w:rPr>
          <w:shd w:val="clear" w:color="auto" w:fill="FFFFFF"/>
        </w:rPr>
        <w:t>Improving commercial foods for infants and young children</w:t>
      </w:r>
      <w:bookmarkEnd w:id="42"/>
      <w:bookmarkEnd w:id="43"/>
    </w:p>
    <w:p w14:paraId="23678C8C" w14:textId="311F1381" w:rsidR="00EC344D" w:rsidRDefault="00EC344D">
      <w:r>
        <w:t>Closing date: 13 September 2024</w:t>
      </w:r>
    </w:p>
    <w:p w14:paraId="00A8039E" w14:textId="539C916B" w:rsidR="00EC344D" w:rsidRDefault="00EC344D" w:rsidP="00EC344D">
      <w:r>
        <w:t xml:space="preserve">The nutritional quality of foods for infants and young children is critical as they have high nutrient requirements (relative to their energy needs) to support growth and development. Consumption of commercial foods for infants and young children is common, as parents see these as convenient, economical, and healthy options. </w:t>
      </w:r>
    </w:p>
    <w:p w14:paraId="103C175B" w14:textId="62C75E3A" w:rsidR="00EC344D" w:rsidRDefault="00EC344D" w:rsidP="00EC344D">
      <w:r>
        <w:t xml:space="preserve">Recent years have seen a significant growth in the market for commercial foods aimed at infants and young children, particularly high energy, low nutrient snack foods. Analysis of products on the market that are targeted for infants and young children found improvements could be made to benefit the dietary intakes of infant and young children consuming these commercial foods. Many of the foods on the market are sweet, </w:t>
      </w:r>
      <w:r>
        <w:lastRenderedPageBreak/>
        <w:t>fruit based, high in sodium, and do not provide key nutrients for this population group. In addition, the texture of many infant foods doesn’t support developmental progression in feeding. Reviews also identified that labelling does not always support carers to make informed choices, with product names not reflecting the predominant ingredients of the product.</w:t>
      </w:r>
    </w:p>
    <w:p w14:paraId="4408C1F6" w14:textId="0884FF6E" w:rsidR="00EC344D" w:rsidRDefault="00EC344D" w:rsidP="00EC344D">
      <w:r>
        <w:t>The objective of this work is to improve the composition, labelling and texture of commercial foods for infants and young children to better align infant and young child diets with Australian and New Zealand infant and toddler feeding guidelines.</w:t>
      </w:r>
    </w:p>
    <w:p w14:paraId="49EA5BD1" w14:textId="58B3680F" w:rsidR="00EC344D" w:rsidRDefault="00EC344D" w:rsidP="00EC344D">
      <w:r>
        <w:t>The C</w:t>
      </w:r>
      <w:r w:rsidR="00DB0ADE">
        <w:t>-</w:t>
      </w:r>
      <w:r>
        <w:t>RIS canvasses the options: maintaining the status quo; non-regulatory approaches; and regulatory approaches. The options are not mutually exclusive and more than one option could be pursued.</w:t>
      </w:r>
    </w:p>
    <w:p w14:paraId="2512A7E1" w14:textId="3CAD1D21" w:rsidR="00245E1C" w:rsidRDefault="00245E1C" w:rsidP="00245E1C">
      <w:r>
        <w:t xml:space="preserve">Option 1 – Status Quo. Current regulations include requirements and restrictions for the composition and labelling of some categories of commercial foods for infants, with fewer requirements for the range of foods aimed at young children. Regulations do not cover texture of commercial foods for infants and young children. </w:t>
      </w:r>
    </w:p>
    <w:p w14:paraId="5BE56DE6" w14:textId="5ED71142" w:rsidR="00245E1C" w:rsidRDefault="00245E1C" w:rsidP="00245E1C">
      <w:r>
        <w:t xml:space="preserve">Option 2 - Non-regulatory approaches. This option could include establishing guidance to support industry to voluntarily improve the composition and labelling of foods for infants and young children, such as by developing voluntary codes, resources, and guidance for industry. This may also include expanding existing reformulation programs in Australia and New Zealand to include commercial foods for infants and young children. </w:t>
      </w:r>
    </w:p>
    <w:p w14:paraId="75ABE315" w14:textId="3B5C676D" w:rsidR="00245E1C" w:rsidRDefault="00245E1C" w:rsidP="00245E1C">
      <w:r>
        <w:t>Option 3 - Regulatory approaches. Under this option, Government could review, develop and/or enhance compositional and labelling regulations for commercial foods for infants and young children. Under a regulatory approach, all relevant food products would be required to adhere to the requirements on labelling and composition, therefore increasing the reach and impact of improvements to foods for infants and young children. This option achieves consistent adoption of the regulations and a level playing field because it is not dependent on industry voluntarily changing their products.</w:t>
      </w:r>
    </w:p>
    <w:p w14:paraId="44DD5345" w14:textId="0A2DECBC" w:rsidR="00EC344D" w:rsidRDefault="00EC344D" w:rsidP="57D8E03B">
      <w:pPr>
        <w:pStyle w:val="Heading3"/>
      </w:pPr>
      <w:bookmarkStart w:id="44" w:name="_Toc187758880"/>
      <w:bookmarkStart w:id="45" w:name="_Toc527274259"/>
      <w:r>
        <w:t>Health Checks for Late Career Doctors' Registration Standard</w:t>
      </w:r>
      <w:bookmarkEnd w:id="44"/>
      <w:bookmarkEnd w:id="45"/>
    </w:p>
    <w:p w14:paraId="1EDF9435" w14:textId="5C7BDC9C" w:rsidR="00EC344D" w:rsidRDefault="00EC344D">
      <w:r>
        <w:t>Closing date: 4 October 2024</w:t>
      </w:r>
    </w:p>
    <w:p w14:paraId="16CB387F" w14:textId="337DE455" w:rsidR="00EC344D" w:rsidRDefault="00EC344D">
      <w:r w:rsidRPr="00EC344D">
        <w:t>Health issues tend to increase as individuals age, which can be particularly problematic for medical practitioners if they have undiagnosed health issues that negatively affect their performance and increase risk to patients. Current regulatory measures are failing to detect some late career practitioners with health issues, with consequent increased risk of patient harm and increased risk of regulatory action by the Medical Board of Australia at the end of a long career.</w:t>
      </w:r>
    </w:p>
    <w:p w14:paraId="5A4AB5AF" w14:textId="76EA59FD" w:rsidR="00EC344D" w:rsidRDefault="00EC344D" w:rsidP="00EC344D">
      <w:r>
        <w:t>The Medical Board of Australia, AHPRA, proposes that late career doctors (aged 70 and older) have regular health checks to support their health and wellbeing and to prevent patient harm.</w:t>
      </w:r>
    </w:p>
    <w:p w14:paraId="5FF04F92" w14:textId="2D282979" w:rsidR="00EC344D" w:rsidRDefault="00EC344D" w:rsidP="00EC344D">
      <w:r>
        <w:t>The C</w:t>
      </w:r>
      <w:r w:rsidR="00DB0ADE">
        <w:t>-</w:t>
      </w:r>
      <w:r>
        <w:t>RIS was prepared by Medical Board of Australia, AHPRA, and is considering the following options:</w:t>
      </w:r>
    </w:p>
    <w:p w14:paraId="212977C5" w14:textId="77777777" w:rsidR="00EC344D" w:rsidRDefault="00EC344D" w:rsidP="00DB7717">
      <w:pPr>
        <w:pStyle w:val="ListParagraph"/>
        <w:numPr>
          <w:ilvl w:val="0"/>
          <w:numId w:val="26"/>
        </w:numPr>
      </w:pPr>
      <w:r>
        <w:lastRenderedPageBreak/>
        <w:t xml:space="preserve">Option 1 – Rely on existing guidance (Status quo) </w:t>
      </w:r>
    </w:p>
    <w:p w14:paraId="4EE49157" w14:textId="668BFF3D" w:rsidR="00EC344D" w:rsidRDefault="00EC344D" w:rsidP="00DB7717">
      <w:pPr>
        <w:pStyle w:val="ListParagraph"/>
        <w:numPr>
          <w:ilvl w:val="0"/>
          <w:numId w:val="26"/>
        </w:numPr>
      </w:pPr>
      <w:r>
        <w:t>Option 2 – Require a detailed health assessment of the ‘fitness to practise’ of doctors aged 70 years and older. Detailed health assessments would be undertaken by a specialist occupational environmental physician, and would include an independent clinical assessment of the current and future capacity of the doctor to practise in their particular area of medicine</w:t>
      </w:r>
    </w:p>
    <w:p w14:paraId="7FAD57AF" w14:textId="31A8891A" w:rsidR="00EC344D" w:rsidRPr="00801B45" w:rsidRDefault="00EC344D" w:rsidP="00DB7717">
      <w:pPr>
        <w:pStyle w:val="ListParagraph"/>
        <w:numPr>
          <w:ilvl w:val="0"/>
          <w:numId w:val="26"/>
        </w:numPr>
      </w:pPr>
      <w:r>
        <w:t>Option 3 – Require general health checks for late career doctors aged 70 years and older. A general health check for doctors would provide information about the doctor’s health that could lead to discussions with the health concern/s on their practice.</w:t>
      </w:r>
    </w:p>
    <w:p w14:paraId="796991C8" w14:textId="1BF2DC04" w:rsidR="00336BBB" w:rsidRDefault="00336BBB" w:rsidP="00E531EB">
      <w:pPr>
        <w:pStyle w:val="Heading2"/>
      </w:pPr>
      <w:bookmarkStart w:id="46" w:name="_Toc187758881"/>
      <w:bookmarkStart w:id="47" w:name="_Toc1205682650"/>
      <w:r>
        <w:t>Decision-making body: National Transport Commission</w:t>
      </w:r>
      <w:bookmarkEnd w:id="46"/>
      <w:bookmarkEnd w:id="47"/>
    </w:p>
    <w:p w14:paraId="7B23ACDA" w14:textId="23E813CB" w:rsidR="00DB0ADE" w:rsidRDefault="00DB0ADE" w:rsidP="00DB7717">
      <w:pPr>
        <w:pStyle w:val="Heading3"/>
        <w:rPr>
          <w:shd w:val="clear" w:color="auto" w:fill="FFFFFF"/>
        </w:rPr>
      </w:pPr>
      <w:bookmarkStart w:id="48" w:name="_Toc187758882"/>
      <w:bookmarkStart w:id="49" w:name="_Toc1672976668"/>
      <w:r w:rsidRPr="00DB0ADE">
        <w:rPr>
          <w:shd w:val="clear" w:color="auto" w:fill="FFFFFF"/>
        </w:rPr>
        <w:t>Draft Code for the Land Transport of Dangerous Goods</w:t>
      </w:r>
      <w:bookmarkEnd w:id="48"/>
      <w:bookmarkEnd w:id="49"/>
    </w:p>
    <w:p w14:paraId="703F40DD" w14:textId="3FAFFA6A" w:rsidR="00DB0ADE" w:rsidRDefault="00DB0ADE" w:rsidP="00DB7717">
      <w:r>
        <w:t>Closing date: 10 December 2024</w:t>
      </w:r>
    </w:p>
    <w:p w14:paraId="30F683A1" w14:textId="0864320F" w:rsidR="00DB0ADE" w:rsidRDefault="00DB0ADE" w:rsidP="00DB0ADE">
      <w:r>
        <w:t>The National Transport Commission (NTC) is progressing the first comprehensive update of the Australian Dangerous Goods Code (the Code) since 2007. Since then, many parts of the Code have become outdated and no longer align with modern industry practices or technologies.</w:t>
      </w:r>
    </w:p>
    <w:p w14:paraId="5D2685A7" w14:textId="0AD54AE0" w:rsidR="00DB0ADE" w:rsidRDefault="00DB0ADE" w:rsidP="00DB7717">
      <w:r>
        <w:t>This update aims to address gaps in the Code’s safety requirements, ensure closer alignment with international standards and produce a more streamlined and clear Code, making it easier for businesses to follow the rules. Updating the Code will ensure the requirements for transporting dangerous good keep Australia’s transport system safe, efficient and easier to maintain.</w:t>
      </w:r>
    </w:p>
    <w:p w14:paraId="33A62EF2" w14:textId="7D21A611" w:rsidR="00DB0ADE" w:rsidRPr="00DB7717" w:rsidRDefault="00DB0ADE" w:rsidP="00DB7717">
      <w:r>
        <w:t>This C-RIS</w:t>
      </w:r>
      <w:r w:rsidRPr="00DB0ADE">
        <w:t xml:space="preserve"> seeks feedback on the draft Code and to obtain additional evidence on the costs and benefits of proposed changes to the Code. This feedback will inform the government policy development around the best approach to regulate the movement of dangerous goods by rail and road.</w:t>
      </w:r>
    </w:p>
    <w:p w14:paraId="2379CED2" w14:textId="6D35DEDA" w:rsidR="002B1D31" w:rsidRPr="002B1D31" w:rsidRDefault="002B1D31" w:rsidP="00506955">
      <w:pPr>
        <w:rPr>
          <w:shd w:val="clear" w:color="auto" w:fill="FFFFFF"/>
        </w:rPr>
      </w:pPr>
    </w:p>
    <w:sectPr w:rsidR="002B1D31" w:rsidRPr="002B1D31" w:rsidSect="00F70524">
      <w:headerReference w:type="even" r:id="rId14"/>
      <w:headerReference w:type="default" r:id="rId15"/>
      <w:footerReference w:type="even" r:id="rId16"/>
      <w:footerReference w:type="default" r:id="rId17"/>
      <w:headerReference w:type="first" r:id="rId18"/>
      <w:footerReference w:type="first" r:id="rId19"/>
      <w:pgSz w:w="11906" w:h="16838"/>
      <w:pgMar w:top="1701" w:right="964" w:bottom="1701" w:left="964" w:header="993"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56B596" w16cex:dateUtc="2024-10-29T23:58:07.336Z"/>
  <w16cex:commentExtensible w16cex:durableId="50B756AD" w16cex:dateUtc="2024-10-30T00:48:50.838Z"/>
  <w16cex:commentExtensible w16cex:durableId="6B41A478" w16cex:dateUtc="2024-10-30T00:50:05.003Z"/>
</w16cex:commentsExtensible>
</file>

<file path=word/commentsIds.xml><?xml version="1.0" encoding="utf-8"?>
<w16cid:commentsIds xmlns:mc="http://schemas.openxmlformats.org/markup-compatibility/2006" xmlns:w16cid="http://schemas.microsoft.com/office/word/2016/wordml/cid" mc:Ignorable="w16cid">
  <w16cid:commentId w16cid:paraId="6E69F8CA" w16cid:durableId="2F054ADA"/>
  <w16cid:commentId w16cid:paraId="5B88DEEC" w16cid:durableId="1446C532"/>
  <w16cid:commentId w16cid:paraId="527057EF" w16cid:durableId="048CC281"/>
  <w16cid:commentId w16cid:paraId="28B632AF" w16cid:durableId="3F2C0662"/>
  <w16cid:commentId w16cid:paraId="423D9A9F" w16cid:durableId="3D86C794"/>
  <w16cid:commentId w16cid:paraId="35C14912" w16cid:durableId="706224B2"/>
  <w16cid:commentId w16cid:paraId="0DC4BCAF" w16cid:durableId="36473B74"/>
  <w16cid:commentId w16cid:paraId="457FEDD8" w16cid:durableId="1C65DE6C"/>
  <w16cid:commentId w16cid:paraId="563170FC" w16cid:durableId="3CDD211F"/>
  <w16cid:commentId w16cid:paraId="5889DC8B" w16cid:durableId="6B673C40"/>
  <w16cid:commentId w16cid:paraId="107257CD" w16cid:durableId="27D7C61B"/>
  <w16cid:commentId w16cid:paraId="7774FD88" w16cid:durableId="48623074"/>
  <w16cid:commentId w16cid:paraId="68B7C702" w16cid:durableId="48C53DE2"/>
  <w16cid:commentId w16cid:paraId="535EEB5B" w16cid:durableId="6820387B"/>
  <w16cid:commentId w16cid:paraId="20C2429B" w16cid:durableId="057D16BC"/>
  <w16cid:commentId w16cid:paraId="0881DBEE" w16cid:durableId="0A59B97F"/>
  <w16cid:commentId w16cid:paraId="07CE76F2" w16cid:durableId="02879F01"/>
  <w16cid:commentId w16cid:paraId="1B4CE598" w16cid:durableId="4A964D8C"/>
  <w16cid:commentId w16cid:paraId="0CC2CF2E" w16cid:durableId="56BAE198"/>
  <w16cid:commentId w16cid:paraId="2BDE67CA" w16cid:durableId="52A3FAE7"/>
  <w16cid:commentId w16cid:paraId="5AA263FF" w16cid:durableId="19DF807E"/>
  <w16cid:commentId w16cid:paraId="7FCE464F" w16cid:durableId="28E843A3"/>
  <w16cid:commentId w16cid:paraId="4EEC3C2B" w16cid:durableId="68B58458"/>
  <w16cid:commentId w16cid:paraId="3E9E4CBB" w16cid:durableId="49E40A85"/>
  <w16cid:commentId w16cid:paraId="1CA50967" w16cid:durableId="60015D50"/>
  <w16cid:commentId w16cid:paraId="79CC0C2B" w16cid:durableId="1B8FAD92"/>
  <w16cid:commentId w16cid:paraId="15FB0F48" w16cid:durableId="1B1BCF0E"/>
  <w16cid:commentId w16cid:paraId="062DF733" w16cid:durableId="768E2A67"/>
  <w16cid:commentId w16cid:paraId="294A9486" w16cid:durableId="7BA673EA"/>
  <w16cid:commentId w16cid:paraId="48D7D3EE" w16cid:durableId="6C56B596"/>
  <w16cid:commentId w16cid:paraId="196EEB91" w16cid:durableId="50B756AD"/>
  <w16cid:commentId w16cid:paraId="12A2A8D1" w16cid:durableId="6B41A478"/>
  <w16cid:commentId w16cid:paraId="13912878" w16cid:durableId="112367B8"/>
  <w16cid:commentId w16cid:paraId="67761A26" w16cid:durableId="6F211EB4"/>
  <w16cid:commentId w16cid:paraId="7085E120" w16cid:durableId="32B52198"/>
  <w16cid:commentId w16cid:paraId="0E1F84A8" w16cid:durableId="309606AB"/>
  <w16cid:commentId w16cid:paraId="041FE7DF" w16cid:durableId="6768174E"/>
  <w16cid:commentId w16cid:paraId="0B066B20" w16cid:durableId="018010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D945" w14:textId="77777777" w:rsidR="00A84568" w:rsidRDefault="00A84568" w:rsidP="00F957C6">
      <w:pPr>
        <w:spacing w:after="0" w:line="240" w:lineRule="auto"/>
      </w:pPr>
      <w:r>
        <w:separator/>
      </w:r>
    </w:p>
  </w:endnote>
  <w:endnote w:type="continuationSeparator" w:id="0">
    <w:p w14:paraId="10B27BD6" w14:textId="77777777" w:rsidR="00A84568" w:rsidRDefault="00A84568"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4E16" w14:textId="77777777" w:rsidR="00074A94" w:rsidRDefault="0007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E678" w14:textId="77777777" w:rsidR="00EC344D" w:rsidRPr="00285CAF" w:rsidRDefault="00EC344D" w:rsidP="00D10635">
    <w:pPr>
      <w:jc w:val="center"/>
    </w:pPr>
  </w:p>
  <w:p w14:paraId="65943CB1" w14:textId="421066D2" w:rsidR="00EC344D" w:rsidRPr="008046D4" w:rsidRDefault="00EC344D" w:rsidP="00D10635">
    <w:pPr>
      <w:pStyle w:val="Header"/>
      <w:rPr>
        <w:rFonts w:ascii="Segoe UI" w:hAnsi="Segoe UI" w:cs="Segoe UI"/>
        <w:color w:val="7F7F7F" w:themeColor="text1" w:themeTint="80"/>
        <w:sz w:val="18"/>
      </w:rPr>
    </w:pPr>
    <w:r>
      <w:rPr>
        <w:color w:val="7F7F7F" w:themeColor="text1" w:themeTint="80"/>
        <w:sz w:val="18"/>
        <w:szCs w:val="18"/>
      </w:rPr>
      <w:t>PM&amp;C | OIA | Commonwealth-St</w:t>
    </w:r>
    <w:r w:rsidR="008037BC">
      <w:rPr>
        <w:color w:val="7F7F7F" w:themeColor="text1" w:themeTint="80"/>
        <w:sz w:val="18"/>
        <w:szCs w:val="18"/>
      </w:rPr>
      <w:t>ate Impact Analysis status, 2024-25</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214925">
      <w:rPr>
        <w:rFonts w:ascii="Segoe UI" w:hAnsi="Segoe UI" w:cs="Segoe UI"/>
        <w:noProof/>
        <w:color w:val="7F7F7F" w:themeColor="text1" w:themeTint="80"/>
        <w:sz w:val="18"/>
      </w:rPr>
      <w:t>8</w:t>
    </w:r>
    <w:r w:rsidRPr="008046D4">
      <w:rPr>
        <w:rFonts w:ascii="Segoe UI" w:hAnsi="Segoe UI" w:cs="Segoe UI"/>
        <w:noProof/>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3614" w14:textId="77777777" w:rsidR="00074A94" w:rsidRDefault="0007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70748" w14:textId="77777777" w:rsidR="00A84568" w:rsidRDefault="00A84568" w:rsidP="00F957C6">
      <w:pPr>
        <w:spacing w:after="0" w:line="240" w:lineRule="auto"/>
      </w:pPr>
      <w:r>
        <w:separator/>
      </w:r>
    </w:p>
  </w:footnote>
  <w:footnote w:type="continuationSeparator" w:id="0">
    <w:p w14:paraId="096F6E97" w14:textId="77777777" w:rsidR="00A84568" w:rsidRDefault="00A84568"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2A03" w14:textId="77777777" w:rsidR="00074A94" w:rsidRDefault="00074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6FA7" w14:textId="495C0C2E" w:rsidR="00EC344D" w:rsidRPr="00D10635" w:rsidRDefault="00EC344D" w:rsidP="00D10635">
    <w:pPr>
      <w:jc w:val="center"/>
    </w:pPr>
    <w:r>
      <w:rPr>
        <w:noProof/>
        <w:lang w:eastAsia="en-AU"/>
      </w:rPr>
      <mc:AlternateContent>
        <mc:Choice Requires="wps">
          <w:drawing>
            <wp:anchor distT="0" distB="0" distL="114300" distR="114300" simplePos="0" relativeHeight="251677696" behindDoc="1" locked="0" layoutInCell="1" allowOverlap="1" wp14:anchorId="55AFF57D" wp14:editId="6B4C27E3">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FA12579">
            <v:line id="Straight Connector 4"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00]" strokeweight=".5pt" from="498.8pt,54.45pt" to="546.7pt,54.45pt" w14:anchorId="13A6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B88E" w14:textId="4814E2AE" w:rsidR="00EC344D" w:rsidRDefault="00EC344D" w:rsidP="00F70524">
    <w:pPr>
      <w:pStyle w:val="Header"/>
    </w:pPr>
    <w:r>
      <w:rPr>
        <w:noProof/>
        <w:lang w:eastAsia="en-AU"/>
      </w:rPr>
      <w:drawing>
        <wp:anchor distT="0" distB="0" distL="114300" distR="114300" simplePos="0" relativeHeight="251684864" behindDoc="0" locked="0" layoutInCell="1" allowOverlap="1" wp14:anchorId="64490360" wp14:editId="2D8CDC5A">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0" locked="0" layoutInCell="1" allowOverlap="1" wp14:anchorId="6CA3D380" wp14:editId="29FBA748">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D9BF8E1">
            <v:line id="Straight Connector 108" style="position:absolute;z-index:-25164083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0A35B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v:stroke joinstyle="miter"/>
              <w10:wrap anchory="page"/>
            </v:line>
          </w:pict>
        </mc:Fallback>
      </mc:AlternateContent>
    </w:r>
  </w:p>
</w:hdr>
</file>

<file path=word/intelligence2.xml><?xml version="1.0" encoding="utf-8"?>
<int2:intelligence xmlns:int2="http://schemas.microsoft.com/office/intelligence/2020/intelligence">
  <int2:observations>
    <int2:bookmark int2:bookmarkName="_Int_kjzFpDoL" int2:invalidationBookmarkName="" int2:hashCode="WnZTP6IPvFw6Ut" int2:id="6xl968E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238"/>
    <w:multiLevelType w:val="hybridMultilevel"/>
    <w:tmpl w:val="7CF8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811CC"/>
    <w:multiLevelType w:val="hybridMultilevel"/>
    <w:tmpl w:val="E034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C7D34"/>
    <w:multiLevelType w:val="multilevel"/>
    <w:tmpl w:val="FA2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08B514B"/>
    <w:multiLevelType w:val="multilevel"/>
    <w:tmpl w:val="E76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8" w15:restartNumberingAfterBreak="0">
    <w:nsid w:val="14484BBD"/>
    <w:multiLevelType w:val="hybridMultilevel"/>
    <w:tmpl w:val="B4163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E3711D"/>
    <w:multiLevelType w:val="multilevel"/>
    <w:tmpl w:val="48F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15C47"/>
    <w:multiLevelType w:val="multilevel"/>
    <w:tmpl w:val="C1C2D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33BBA"/>
    <w:multiLevelType w:val="hybridMultilevel"/>
    <w:tmpl w:val="CD002DC0"/>
    <w:lvl w:ilvl="0" w:tplc="6346DE90">
      <w:start w:val="1"/>
      <w:numFmt w:val="decimal"/>
      <w:pStyle w:val="Figure"/>
      <w:suff w:val="space"/>
      <w:lvlText w:val="Figure %1."/>
      <w:lvlJc w:val="left"/>
      <w:pPr>
        <w:ind w:left="5235"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147" w:hanging="360"/>
      </w:pPr>
    </w:lvl>
    <w:lvl w:ilvl="2" w:tplc="0C09001B" w:tentative="1">
      <w:start w:val="1"/>
      <w:numFmt w:val="lowerRoman"/>
      <w:lvlText w:val="%3."/>
      <w:lvlJc w:val="right"/>
      <w:pPr>
        <w:ind w:left="1867" w:hanging="180"/>
      </w:pPr>
    </w:lvl>
    <w:lvl w:ilvl="3" w:tplc="0C09000F" w:tentative="1">
      <w:start w:val="1"/>
      <w:numFmt w:val="decimal"/>
      <w:lvlText w:val="%4."/>
      <w:lvlJc w:val="left"/>
      <w:pPr>
        <w:ind w:left="2587" w:hanging="360"/>
      </w:pPr>
    </w:lvl>
    <w:lvl w:ilvl="4" w:tplc="0C090019" w:tentative="1">
      <w:start w:val="1"/>
      <w:numFmt w:val="lowerLetter"/>
      <w:lvlText w:val="%5."/>
      <w:lvlJc w:val="left"/>
      <w:pPr>
        <w:ind w:left="3307" w:hanging="360"/>
      </w:pPr>
    </w:lvl>
    <w:lvl w:ilvl="5" w:tplc="0C09001B" w:tentative="1">
      <w:start w:val="1"/>
      <w:numFmt w:val="lowerRoman"/>
      <w:lvlText w:val="%6."/>
      <w:lvlJc w:val="right"/>
      <w:pPr>
        <w:ind w:left="4027" w:hanging="180"/>
      </w:pPr>
    </w:lvl>
    <w:lvl w:ilvl="6" w:tplc="0C09000F" w:tentative="1">
      <w:start w:val="1"/>
      <w:numFmt w:val="decimal"/>
      <w:lvlText w:val="%7."/>
      <w:lvlJc w:val="left"/>
      <w:pPr>
        <w:ind w:left="4747" w:hanging="360"/>
      </w:pPr>
    </w:lvl>
    <w:lvl w:ilvl="7" w:tplc="0C090019" w:tentative="1">
      <w:start w:val="1"/>
      <w:numFmt w:val="lowerLetter"/>
      <w:lvlText w:val="%8."/>
      <w:lvlJc w:val="left"/>
      <w:pPr>
        <w:ind w:left="5467" w:hanging="360"/>
      </w:pPr>
    </w:lvl>
    <w:lvl w:ilvl="8" w:tplc="0C09001B" w:tentative="1">
      <w:start w:val="1"/>
      <w:numFmt w:val="lowerRoman"/>
      <w:lvlText w:val="%9."/>
      <w:lvlJc w:val="right"/>
      <w:pPr>
        <w:ind w:left="6187" w:hanging="180"/>
      </w:pPr>
    </w:lvl>
  </w:abstractNum>
  <w:abstractNum w:abstractNumId="12"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3635743"/>
    <w:multiLevelType w:val="hybridMultilevel"/>
    <w:tmpl w:val="F966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C38A5"/>
    <w:multiLevelType w:val="multilevel"/>
    <w:tmpl w:val="9B0A5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2A7B6DC7"/>
    <w:multiLevelType w:val="multilevel"/>
    <w:tmpl w:val="7B2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45335"/>
    <w:multiLevelType w:val="hybridMultilevel"/>
    <w:tmpl w:val="E106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E02A1E"/>
    <w:multiLevelType w:val="multilevel"/>
    <w:tmpl w:val="F85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41A3D"/>
    <w:multiLevelType w:val="hybridMultilevel"/>
    <w:tmpl w:val="84727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C0A7F"/>
    <w:multiLevelType w:val="multilevel"/>
    <w:tmpl w:val="C83AE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8301C7"/>
    <w:multiLevelType w:val="hybridMultilevel"/>
    <w:tmpl w:val="B6E4E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40185A"/>
    <w:multiLevelType w:val="multilevel"/>
    <w:tmpl w:val="DF5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7650F"/>
    <w:multiLevelType w:val="multilevel"/>
    <w:tmpl w:val="648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950E4"/>
    <w:multiLevelType w:val="hybridMultilevel"/>
    <w:tmpl w:val="03263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37D36"/>
    <w:multiLevelType w:val="multilevel"/>
    <w:tmpl w:val="B08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D36C0B"/>
    <w:multiLevelType w:val="hybridMultilevel"/>
    <w:tmpl w:val="76C8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24164E"/>
    <w:multiLevelType w:val="hybridMultilevel"/>
    <w:tmpl w:val="B6F2E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7E5E32"/>
    <w:multiLevelType w:val="hybridMultilevel"/>
    <w:tmpl w:val="CE2C2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0" w15:restartNumberingAfterBreak="0">
    <w:nsid w:val="4B5F429E"/>
    <w:multiLevelType w:val="hybridMultilevel"/>
    <w:tmpl w:val="F4B21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7B47ED"/>
    <w:multiLevelType w:val="hybridMultilevel"/>
    <w:tmpl w:val="13E46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EA5400"/>
    <w:multiLevelType w:val="multilevel"/>
    <w:tmpl w:val="947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32"/>
  </w:num>
  <w:num w:numId="4">
    <w:abstractNumId w:val="15"/>
  </w:num>
  <w:num w:numId="5">
    <w:abstractNumId w:val="34"/>
  </w:num>
  <w:num w:numId="6">
    <w:abstractNumId w:val="11"/>
  </w:num>
  <w:num w:numId="7">
    <w:abstractNumId w:val="29"/>
  </w:num>
  <w:num w:numId="8">
    <w:abstractNumId w:val="7"/>
  </w:num>
  <w:num w:numId="9">
    <w:abstractNumId w:val="12"/>
  </w:num>
  <w:num w:numId="10">
    <w:abstractNumId w:val="5"/>
  </w:num>
  <w:num w:numId="11">
    <w:abstractNumId w:val="27"/>
  </w:num>
  <w:num w:numId="12">
    <w:abstractNumId w:val="17"/>
  </w:num>
  <w:num w:numId="13">
    <w:abstractNumId w:val="30"/>
  </w:num>
  <w:num w:numId="14">
    <w:abstractNumId w:val="6"/>
  </w:num>
  <w:num w:numId="15">
    <w:abstractNumId w:val="18"/>
  </w:num>
  <w:num w:numId="16">
    <w:abstractNumId w:val="9"/>
  </w:num>
  <w:num w:numId="17">
    <w:abstractNumId w:val="16"/>
  </w:num>
  <w:num w:numId="18">
    <w:abstractNumId w:val="4"/>
  </w:num>
  <w:num w:numId="19">
    <w:abstractNumId w:val="20"/>
  </w:num>
  <w:num w:numId="20">
    <w:abstractNumId w:val="23"/>
  </w:num>
  <w:num w:numId="21">
    <w:abstractNumId w:val="28"/>
  </w:num>
  <w:num w:numId="22">
    <w:abstractNumId w:val="22"/>
  </w:num>
  <w:num w:numId="23">
    <w:abstractNumId w:val="1"/>
  </w:num>
  <w:num w:numId="24">
    <w:abstractNumId w:val="26"/>
  </w:num>
  <w:num w:numId="25">
    <w:abstractNumId w:val="21"/>
  </w:num>
  <w:num w:numId="26">
    <w:abstractNumId w:val="31"/>
  </w:num>
  <w:num w:numId="27">
    <w:abstractNumId w:val="8"/>
  </w:num>
  <w:num w:numId="28">
    <w:abstractNumId w:val="10"/>
  </w:num>
  <w:num w:numId="29">
    <w:abstractNumId w:val="19"/>
  </w:num>
  <w:num w:numId="30">
    <w:abstractNumId w:val="33"/>
  </w:num>
  <w:num w:numId="31">
    <w:abstractNumId w:val="25"/>
  </w:num>
  <w:num w:numId="32">
    <w:abstractNumId w:val="14"/>
  </w:num>
  <w:num w:numId="33">
    <w:abstractNumId w:val="0"/>
  </w:num>
  <w:num w:numId="34">
    <w:abstractNumId w:val="13"/>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5119"/>
    <w:rsid w:val="00027038"/>
    <w:rsid w:val="00031006"/>
    <w:rsid w:val="0003154E"/>
    <w:rsid w:val="0003201F"/>
    <w:rsid w:val="00033CCB"/>
    <w:rsid w:val="000344E4"/>
    <w:rsid w:val="00037513"/>
    <w:rsid w:val="00040E5F"/>
    <w:rsid w:val="00044BAF"/>
    <w:rsid w:val="00050A99"/>
    <w:rsid w:val="00053ACB"/>
    <w:rsid w:val="0006428E"/>
    <w:rsid w:val="00066040"/>
    <w:rsid w:val="0006627F"/>
    <w:rsid w:val="000743FF"/>
    <w:rsid w:val="00074A94"/>
    <w:rsid w:val="00081051"/>
    <w:rsid w:val="00083D73"/>
    <w:rsid w:val="00083F3B"/>
    <w:rsid w:val="000863EB"/>
    <w:rsid w:val="000872C2"/>
    <w:rsid w:val="00091009"/>
    <w:rsid w:val="00092F54"/>
    <w:rsid w:val="00097683"/>
    <w:rsid w:val="000A4249"/>
    <w:rsid w:val="000B03B3"/>
    <w:rsid w:val="000B0F43"/>
    <w:rsid w:val="000B1AB4"/>
    <w:rsid w:val="000B3417"/>
    <w:rsid w:val="000B3EFC"/>
    <w:rsid w:val="000B6E1D"/>
    <w:rsid w:val="000C03C8"/>
    <w:rsid w:val="000C2867"/>
    <w:rsid w:val="000C4D3C"/>
    <w:rsid w:val="000C6311"/>
    <w:rsid w:val="000C6DEA"/>
    <w:rsid w:val="000C741C"/>
    <w:rsid w:val="000D4750"/>
    <w:rsid w:val="000D724C"/>
    <w:rsid w:val="000D749D"/>
    <w:rsid w:val="000E1C70"/>
    <w:rsid w:val="000E6BD7"/>
    <w:rsid w:val="000F08D0"/>
    <w:rsid w:val="000F3253"/>
    <w:rsid w:val="00101262"/>
    <w:rsid w:val="00102061"/>
    <w:rsid w:val="001051FD"/>
    <w:rsid w:val="0011375F"/>
    <w:rsid w:val="00117A77"/>
    <w:rsid w:val="001224D2"/>
    <w:rsid w:val="001309FC"/>
    <w:rsid w:val="001379DC"/>
    <w:rsid w:val="00142AAE"/>
    <w:rsid w:val="0014489D"/>
    <w:rsid w:val="0014602E"/>
    <w:rsid w:val="00150D33"/>
    <w:rsid w:val="00157FC1"/>
    <w:rsid w:val="00160B40"/>
    <w:rsid w:val="00164420"/>
    <w:rsid w:val="001748D6"/>
    <w:rsid w:val="00187292"/>
    <w:rsid w:val="00187650"/>
    <w:rsid w:val="001A510B"/>
    <w:rsid w:val="001A711C"/>
    <w:rsid w:val="001B1E35"/>
    <w:rsid w:val="001B2107"/>
    <w:rsid w:val="001C0765"/>
    <w:rsid w:val="001C31F8"/>
    <w:rsid w:val="001C62C7"/>
    <w:rsid w:val="001D676A"/>
    <w:rsid w:val="001E417F"/>
    <w:rsid w:val="001F1563"/>
    <w:rsid w:val="001F70D3"/>
    <w:rsid w:val="002010AE"/>
    <w:rsid w:val="00213F27"/>
    <w:rsid w:val="00214925"/>
    <w:rsid w:val="00220DDA"/>
    <w:rsid w:val="00222DF6"/>
    <w:rsid w:val="002248A8"/>
    <w:rsid w:val="00227A72"/>
    <w:rsid w:val="00227DB5"/>
    <w:rsid w:val="002300D4"/>
    <w:rsid w:val="0023233A"/>
    <w:rsid w:val="00233B83"/>
    <w:rsid w:val="00234885"/>
    <w:rsid w:val="00240B62"/>
    <w:rsid w:val="00245E1C"/>
    <w:rsid w:val="00246C68"/>
    <w:rsid w:val="00260701"/>
    <w:rsid w:val="00266CCC"/>
    <w:rsid w:val="002732D9"/>
    <w:rsid w:val="00274D42"/>
    <w:rsid w:val="00280B26"/>
    <w:rsid w:val="002835D5"/>
    <w:rsid w:val="00285CAF"/>
    <w:rsid w:val="0029127B"/>
    <w:rsid w:val="00291C75"/>
    <w:rsid w:val="00292B90"/>
    <w:rsid w:val="002A3781"/>
    <w:rsid w:val="002A6343"/>
    <w:rsid w:val="002B1D31"/>
    <w:rsid w:val="002B51A5"/>
    <w:rsid w:val="002B63C1"/>
    <w:rsid w:val="002B661A"/>
    <w:rsid w:val="002C1077"/>
    <w:rsid w:val="002C5FA4"/>
    <w:rsid w:val="002C7A05"/>
    <w:rsid w:val="002D03E8"/>
    <w:rsid w:val="002D1E81"/>
    <w:rsid w:val="002D6B3D"/>
    <w:rsid w:val="00303C55"/>
    <w:rsid w:val="00305D2B"/>
    <w:rsid w:val="00311C2D"/>
    <w:rsid w:val="003248F9"/>
    <w:rsid w:val="00324DA2"/>
    <w:rsid w:val="00336BBB"/>
    <w:rsid w:val="00340732"/>
    <w:rsid w:val="003431EE"/>
    <w:rsid w:val="00344F5E"/>
    <w:rsid w:val="00344FC1"/>
    <w:rsid w:val="003458D4"/>
    <w:rsid w:val="00353E5E"/>
    <w:rsid w:val="00356F57"/>
    <w:rsid w:val="003628AD"/>
    <w:rsid w:val="00363BF8"/>
    <w:rsid w:val="00367F70"/>
    <w:rsid w:val="003701EA"/>
    <w:rsid w:val="00374D2A"/>
    <w:rsid w:val="00376FE6"/>
    <w:rsid w:val="003805C5"/>
    <w:rsid w:val="00385BD5"/>
    <w:rsid w:val="00387079"/>
    <w:rsid w:val="00390814"/>
    <w:rsid w:val="003B0BCF"/>
    <w:rsid w:val="003B3EE8"/>
    <w:rsid w:val="003D1021"/>
    <w:rsid w:val="003D1C9B"/>
    <w:rsid w:val="003D4B0F"/>
    <w:rsid w:val="003D641A"/>
    <w:rsid w:val="003D676D"/>
    <w:rsid w:val="003D78F9"/>
    <w:rsid w:val="003F0B36"/>
    <w:rsid w:val="003F23E9"/>
    <w:rsid w:val="003F520D"/>
    <w:rsid w:val="00406A08"/>
    <w:rsid w:val="0041124A"/>
    <w:rsid w:val="004124A1"/>
    <w:rsid w:val="00412D8F"/>
    <w:rsid w:val="00414B2F"/>
    <w:rsid w:val="00417F84"/>
    <w:rsid w:val="0042044D"/>
    <w:rsid w:val="00430DCC"/>
    <w:rsid w:val="004454A9"/>
    <w:rsid w:val="00446B79"/>
    <w:rsid w:val="00447700"/>
    <w:rsid w:val="00474198"/>
    <w:rsid w:val="004857AE"/>
    <w:rsid w:val="0048732D"/>
    <w:rsid w:val="0049043B"/>
    <w:rsid w:val="0049107F"/>
    <w:rsid w:val="004A107D"/>
    <w:rsid w:val="004A38E3"/>
    <w:rsid w:val="004B2C90"/>
    <w:rsid w:val="004B4136"/>
    <w:rsid w:val="004B4AF9"/>
    <w:rsid w:val="004C17DE"/>
    <w:rsid w:val="004C5D63"/>
    <w:rsid w:val="004C7435"/>
    <w:rsid w:val="004D35D7"/>
    <w:rsid w:val="004E638C"/>
    <w:rsid w:val="004F10E0"/>
    <w:rsid w:val="004F4C4F"/>
    <w:rsid w:val="004F74B0"/>
    <w:rsid w:val="0050309D"/>
    <w:rsid w:val="00504665"/>
    <w:rsid w:val="00506955"/>
    <w:rsid w:val="005226B9"/>
    <w:rsid w:val="00522AAF"/>
    <w:rsid w:val="00523AE1"/>
    <w:rsid w:val="00530A9C"/>
    <w:rsid w:val="00534E9C"/>
    <w:rsid w:val="005365B4"/>
    <w:rsid w:val="00540ECC"/>
    <w:rsid w:val="005538E5"/>
    <w:rsid w:val="005556F4"/>
    <w:rsid w:val="005613DE"/>
    <w:rsid w:val="005633EC"/>
    <w:rsid w:val="00564BA8"/>
    <w:rsid w:val="00571310"/>
    <w:rsid w:val="00577FF0"/>
    <w:rsid w:val="005811E2"/>
    <w:rsid w:val="0058600C"/>
    <w:rsid w:val="00586562"/>
    <w:rsid w:val="005911BA"/>
    <w:rsid w:val="00591288"/>
    <w:rsid w:val="005917FD"/>
    <w:rsid w:val="005A4AA1"/>
    <w:rsid w:val="005B7A02"/>
    <w:rsid w:val="005C0F15"/>
    <w:rsid w:val="005C15C2"/>
    <w:rsid w:val="005C4178"/>
    <w:rsid w:val="005D0C72"/>
    <w:rsid w:val="005D4124"/>
    <w:rsid w:val="005D4706"/>
    <w:rsid w:val="005E71DB"/>
    <w:rsid w:val="005F4B91"/>
    <w:rsid w:val="006013CA"/>
    <w:rsid w:val="0060282F"/>
    <w:rsid w:val="00605B9A"/>
    <w:rsid w:val="0061448F"/>
    <w:rsid w:val="00616EEE"/>
    <w:rsid w:val="006200EB"/>
    <w:rsid w:val="00621EA3"/>
    <w:rsid w:val="00621FE9"/>
    <w:rsid w:val="0063453C"/>
    <w:rsid w:val="00635560"/>
    <w:rsid w:val="006378C2"/>
    <w:rsid w:val="00640234"/>
    <w:rsid w:val="006412DF"/>
    <w:rsid w:val="00642E39"/>
    <w:rsid w:val="0064343A"/>
    <w:rsid w:val="00650518"/>
    <w:rsid w:val="0065261A"/>
    <w:rsid w:val="00657DB3"/>
    <w:rsid w:val="00664058"/>
    <w:rsid w:val="00677218"/>
    <w:rsid w:val="006823A0"/>
    <w:rsid w:val="00686E04"/>
    <w:rsid w:val="006A008F"/>
    <w:rsid w:val="006A5AA6"/>
    <w:rsid w:val="006B2E6C"/>
    <w:rsid w:val="006C2B06"/>
    <w:rsid w:val="006C3E64"/>
    <w:rsid w:val="006D0A55"/>
    <w:rsid w:val="006D15EC"/>
    <w:rsid w:val="006D70A1"/>
    <w:rsid w:val="006E170D"/>
    <w:rsid w:val="006E54E1"/>
    <w:rsid w:val="006E6C73"/>
    <w:rsid w:val="006E7694"/>
    <w:rsid w:val="006F0FA8"/>
    <w:rsid w:val="006F3BE4"/>
    <w:rsid w:val="006F4478"/>
    <w:rsid w:val="00701BA1"/>
    <w:rsid w:val="00705CB7"/>
    <w:rsid w:val="007146E4"/>
    <w:rsid w:val="0071548B"/>
    <w:rsid w:val="00716410"/>
    <w:rsid w:val="007204A9"/>
    <w:rsid w:val="007230BA"/>
    <w:rsid w:val="007244E6"/>
    <w:rsid w:val="00730887"/>
    <w:rsid w:val="00731174"/>
    <w:rsid w:val="00733564"/>
    <w:rsid w:val="007365B7"/>
    <w:rsid w:val="00740DE8"/>
    <w:rsid w:val="007421B1"/>
    <w:rsid w:val="007450D5"/>
    <w:rsid w:val="00750063"/>
    <w:rsid w:val="00752E1D"/>
    <w:rsid w:val="00755827"/>
    <w:rsid w:val="00756929"/>
    <w:rsid w:val="00762E91"/>
    <w:rsid w:val="0076518B"/>
    <w:rsid w:val="00767DBB"/>
    <w:rsid w:val="00770E21"/>
    <w:rsid w:val="00774646"/>
    <w:rsid w:val="00781695"/>
    <w:rsid w:val="00782B97"/>
    <w:rsid w:val="00791FA1"/>
    <w:rsid w:val="0079466E"/>
    <w:rsid w:val="007A02A7"/>
    <w:rsid w:val="007A3B3A"/>
    <w:rsid w:val="007C0935"/>
    <w:rsid w:val="007C1765"/>
    <w:rsid w:val="007D4271"/>
    <w:rsid w:val="007D7A80"/>
    <w:rsid w:val="007E395D"/>
    <w:rsid w:val="007E635D"/>
    <w:rsid w:val="007F2DB5"/>
    <w:rsid w:val="007F6D79"/>
    <w:rsid w:val="00801B45"/>
    <w:rsid w:val="008037BC"/>
    <w:rsid w:val="008046D4"/>
    <w:rsid w:val="008145A2"/>
    <w:rsid w:val="00820FC5"/>
    <w:rsid w:val="00825A3D"/>
    <w:rsid w:val="00827821"/>
    <w:rsid w:val="0082797C"/>
    <w:rsid w:val="00833792"/>
    <w:rsid w:val="008444B3"/>
    <w:rsid w:val="008517C7"/>
    <w:rsid w:val="00854D92"/>
    <w:rsid w:val="00856056"/>
    <w:rsid w:val="00871890"/>
    <w:rsid w:val="00873FF4"/>
    <w:rsid w:val="0089203F"/>
    <w:rsid w:val="008A0614"/>
    <w:rsid w:val="008B04C5"/>
    <w:rsid w:val="008B0E97"/>
    <w:rsid w:val="008B23DC"/>
    <w:rsid w:val="008B4479"/>
    <w:rsid w:val="008B51D3"/>
    <w:rsid w:val="008B6342"/>
    <w:rsid w:val="008C0F10"/>
    <w:rsid w:val="008C47A1"/>
    <w:rsid w:val="008C738F"/>
    <w:rsid w:val="008D0128"/>
    <w:rsid w:val="008D564A"/>
    <w:rsid w:val="008D6B9E"/>
    <w:rsid w:val="008D704F"/>
    <w:rsid w:val="008D7C34"/>
    <w:rsid w:val="008E1024"/>
    <w:rsid w:val="008E1679"/>
    <w:rsid w:val="00901B8C"/>
    <w:rsid w:val="00911B4B"/>
    <w:rsid w:val="00913ED0"/>
    <w:rsid w:val="00914BFF"/>
    <w:rsid w:val="00927650"/>
    <w:rsid w:val="00941B81"/>
    <w:rsid w:val="00942CB6"/>
    <w:rsid w:val="00942CE9"/>
    <w:rsid w:val="00950908"/>
    <w:rsid w:val="00950DBC"/>
    <w:rsid w:val="009534B9"/>
    <w:rsid w:val="00954FF2"/>
    <w:rsid w:val="0095683F"/>
    <w:rsid w:val="00957275"/>
    <w:rsid w:val="00962EE8"/>
    <w:rsid w:val="00964556"/>
    <w:rsid w:val="00965393"/>
    <w:rsid w:val="0097624A"/>
    <w:rsid w:val="00976EE9"/>
    <w:rsid w:val="009829D9"/>
    <w:rsid w:val="00983E65"/>
    <w:rsid w:val="00986AA5"/>
    <w:rsid w:val="00990A99"/>
    <w:rsid w:val="00992B5D"/>
    <w:rsid w:val="00992E6A"/>
    <w:rsid w:val="009957E4"/>
    <w:rsid w:val="00997E86"/>
    <w:rsid w:val="009A6D9C"/>
    <w:rsid w:val="009B0695"/>
    <w:rsid w:val="009B2D26"/>
    <w:rsid w:val="009B3FDC"/>
    <w:rsid w:val="009B6F2E"/>
    <w:rsid w:val="009C1EB5"/>
    <w:rsid w:val="009C4D60"/>
    <w:rsid w:val="009C60F6"/>
    <w:rsid w:val="009C6AD4"/>
    <w:rsid w:val="009C7730"/>
    <w:rsid w:val="009D088F"/>
    <w:rsid w:val="009E2261"/>
    <w:rsid w:val="009E2262"/>
    <w:rsid w:val="009F0889"/>
    <w:rsid w:val="009F36E5"/>
    <w:rsid w:val="009F5B3A"/>
    <w:rsid w:val="00A008E6"/>
    <w:rsid w:val="00A032C3"/>
    <w:rsid w:val="00A05565"/>
    <w:rsid w:val="00A069C1"/>
    <w:rsid w:val="00A06FB9"/>
    <w:rsid w:val="00A12C83"/>
    <w:rsid w:val="00A15121"/>
    <w:rsid w:val="00A239D5"/>
    <w:rsid w:val="00A2530F"/>
    <w:rsid w:val="00A32DDC"/>
    <w:rsid w:val="00A52809"/>
    <w:rsid w:val="00A60EDE"/>
    <w:rsid w:val="00A6124E"/>
    <w:rsid w:val="00A67C7E"/>
    <w:rsid w:val="00A738B8"/>
    <w:rsid w:val="00A84568"/>
    <w:rsid w:val="00A91881"/>
    <w:rsid w:val="00A9427A"/>
    <w:rsid w:val="00A94949"/>
    <w:rsid w:val="00A96867"/>
    <w:rsid w:val="00AA34EB"/>
    <w:rsid w:val="00AA705F"/>
    <w:rsid w:val="00AA7E07"/>
    <w:rsid w:val="00AB0FAB"/>
    <w:rsid w:val="00AB4685"/>
    <w:rsid w:val="00AB7AEB"/>
    <w:rsid w:val="00AC4357"/>
    <w:rsid w:val="00AC78FB"/>
    <w:rsid w:val="00AD438D"/>
    <w:rsid w:val="00AD53E9"/>
    <w:rsid w:val="00AD6C29"/>
    <w:rsid w:val="00AD7805"/>
    <w:rsid w:val="00AE69AF"/>
    <w:rsid w:val="00AF0A5C"/>
    <w:rsid w:val="00B02489"/>
    <w:rsid w:val="00B05528"/>
    <w:rsid w:val="00B05DC9"/>
    <w:rsid w:val="00B11452"/>
    <w:rsid w:val="00B14A9E"/>
    <w:rsid w:val="00B15442"/>
    <w:rsid w:val="00B30E0D"/>
    <w:rsid w:val="00B32284"/>
    <w:rsid w:val="00B40070"/>
    <w:rsid w:val="00B517D7"/>
    <w:rsid w:val="00B51CCA"/>
    <w:rsid w:val="00B5620D"/>
    <w:rsid w:val="00B60743"/>
    <w:rsid w:val="00B62E0D"/>
    <w:rsid w:val="00B6596F"/>
    <w:rsid w:val="00B74622"/>
    <w:rsid w:val="00B81632"/>
    <w:rsid w:val="00B84E33"/>
    <w:rsid w:val="00B94294"/>
    <w:rsid w:val="00B96B23"/>
    <w:rsid w:val="00BA6239"/>
    <w:rsid w:val="00BB2C4C"/>
    <w:rsid w:val="00BB2F06"/>
    <w:rsid w:val="00BB36B0"/>
    <w:rsid w:val="00BB42E6"/>
    <w:rsid w:val="00BB5CDA"/>
    <w:rsid w:val="00BB673C"/>
    <w:rsid w:val="00BC062E"/>
    <w:rsid w:val="00BC47A3"/>
    <w:rsid w:val="00BC4BE8"/>
    <w:rsid w:val="00BC6CFF"/>
    <w:rsid w:val="00BD0592"/>
    <w:rsid w:val="00BD57F5"/>
    <w:rsid w:val="00BD6FC4"/>
    <w:rsid w:val="00BE01FD"/>
    <w:rsid w:val="00BE3975"/>
    <w:rsid w:val="00BE48A4"/>
    <w:rsid w:val="00BE56F0"/>
    <w:rsid w:val="00BE5C4C"/>
    <w:rsid w:val="00C01BDB"/>
    <w:rsid w:val="00C05CA2"/>
    <w:rsid w:val="00C24097"/>
    <w:rsid w:val="00C25D8D"/>
    <w:rsid w:val="00C323B8"/>
    <w:rsid w:val="00C364C7"/>
    <w:rsid w:val="00C37227"/>
    <w:rsid w:val="00C41FA6"/>
    <w:rsid w:val="00C46B30"/>
    <w:rsid w:val="00C47620"/>
    <w:rsid w:val="00C53754"/>
    <w:rsid w:val="00C54D1F"/>
    <w:rsid w:val="00C56D7F"/>
    <w:rsid w:val="00C578D2"/>
    <w:rsid w:val="00C610F5"/>
    <w:rsid w:val="00C622F1"/>
    <w:rsid w:val="00C65B0A"/>
    <w:rsid w:val="00C67637"/>
    <w:rsid w:val="00C777D7"/>
    <w:rsid w:val="00C77CD1"/>
    <w:rsid w:val="00CA4B93"/>
    <w:rsid w:val="00CB10FD"/>
    <w:rsid w:val="00CB50DA"/>
    <w:rsid w:val="00CC2282"/>
    <w:rsid w:val="00CC6110"/>
    <w:rsid w:val="00CD1F9B"/>
    <w:rsid w:val="00CD32D9"/>
    <w:rsid w:val="00CD5A98"/>
    <w:rsid w:val="00CE3A4F"/>
    <w:rsid w:val="00CE543B"/>
    <w:rsid w:val="00CE5503"/>
    <w:rsid w:val="00D02BF2"/>
    <w:rsid w:val="00D02C9C"/>
    <w:rsid w:val="00D03322"/>
    <w:rsid w:val="00D03799"/>
    <w:rsid w:val="00D040B3"/>
    <w:rsid w:val="00D04E61"/>
    <w:rsid w:val="00D06A40"/>
    <w:rsid w:val="00D10635"/>
    <w:rsid w:val="00D12602"/>
    <w:rsid w:val="00D21D80"/>
    <w:rsid w:val="00D3178B"/>
    <w:rsid w:val="00D33703"/>
    <w:rsid w:val="00D4F884"/>
    <w:rsid w:val="00D525B8"/>
    <w:rsid w:val="00D56CFA"/>
    <w:rsid w:val="00D6034E"/>
    <w:rsid w:val="00D61B09"/>
    <w:rsid w:val="00D71BE3"/>
    <w:rsid w:val="00D72637"/>
    <w:rsid w:val="00D9666D"/>
    <w:rsid w:val="00DA18A2"/>
    <w:rsid w:val="00DA3031"/>
    <w:rsid w:val="00DA7EE2"/>
    <w:rsid w:val="00DB0ADE"/>
    <w:rsid w:val="00DB2D94"/>
    <w:rsid w:val="00DB44DC"/>
    <w:rsid w:val="00DB7717"/>
    <w:rsid w:val="00DC000A"/>
    <w:rsid w:val="00DC0C9E"/>
    <w:rsid w:val="00DD01AA"/>
    <w:rsid w:val="00DD4CCF"/>
    <w:rsid w:val="00DE31FE"/>
    <w:rsid w:val="00DE58B2"/>
    <w:rsid w:val="00DF1908"/>
    <w:rsid w:val="00DF2F8D"/>
    <w:rsid w:val="00E07B08"/>
    <w:rsid w:val="00E15B53"/>
    <w:rsid w:val="00E224F4"/>
    <w:rsid w:val="00E228DA"/>
    <w:rsid w:val="00E2753F"/>
    <w:rsid w:val="00E38EEF"/>
    <w:rsid w:val="00E41905"/>
    <w:rsid w:val="00E4681C"/>
    <w:rsid w:val="00E50766"/>
    <w:rsid w:val="00E51FA5"/>
    <w:rsid w:val="00E531EB"/>
    <w:rsid w:val="00E6524D"/>
    <w:rsid w:val="00E671BD"/>
    <w:rsid w:val="00E67617"/>
    <w:rsid w:val="00E700DD"/>
    <w:rsid w:val="00E73E81"/>
    <w:rsid w:val="00E779D1"/>
    <w:rsid w:val="00E84F06"/>
    <w:rsid w:val="00E92551"/>
    <w:rsid w:val="00E933F8"/>
    <w:rsid w:val="00E94C4C"/>
    <w:rsid w:val="00EA083E"/>
    <w:rsid w:val="00EA0B42"/>
    <w:rsid w:val="00EA1573"/>
    <w:rsid w:val="00EB2762"/>
    <w:rsid w:val="00EB4283"/>
    <w:rsid w:val="00EC344D"/>
    <w:rsid w:val="00EC7F44"/>
    <w:rsid w:val="00ED0697"/>
    <w:rsid w:val="00ED21A7"/>
    <w:rsid w:val="00ED4562"/>
    <w:rsid w:val="00EE726C"/>
    <w:rsid w:val="00EF118A"/>
    <w:rsid w:val="00EF11D2"/>
    <w:rsid w:val="00EF5660"/>
    <w:rsid w:val="00EF6E14"/>
    <w:rsid w:val="00F02A10"/>
    <w:rsid w:val="00F03073"/>
    <w:rsid w:val="00F037AE"/>
    <w:rsid w:val="00F03918"/>
    <w:rsid w:val="00F06A34"/>
    <w:rsid w:val="00F102A0"/>
    <w:rsid w:val="00F21C86"/>
    <w:rsid w:val="00F230E5"/>
    <w:rsid w:val="00F24C1D"/>
    <w:rsid w:val="00F2608F"/>
    <w:rsid w:val="00F326FB"/>
    <w:rsid w:val="00F36BC2"/>
    <w:rsid w:val="00F41CF3"/>
    <w:rsid w:val="00F428AD"/>
    <w:rsid w:val="00F45554"/>
    <w:rsid w:val="00F4614A"/>
    <w:rsid w:val="00F47011"/>
    <w:rsid w:val="00F515B9"/>
    <w:rsid w:val="00F610EC"/>
    <w:rsid w:val="00F61399"/>
    <w:rsid w:val="00F658CC"/>
    <w:rsid w:val="00F70524"/>
    <w:rsid w:val="00F8123D"/>
    <w:rsid w:val="00F83753"/>
    <w:rsid w:val="00F83EB5"/>
    <w:rsid w:val="00F85E37"/>
    <w:rsid w:val="00F86527"/>
    <w:rsid w:val="00F913B4"/>
    <w:rsid w:val="00F94032"/>
    <w:rsid w:val="00F957C6"/>
    <w:rsid w:val="00FB12D2"/>
    <w:rsid w:val="00FB1D68"/>
    <w:rsid w:val="00FB3CF0"/>
    <w:rsid w:val="00FC01E6"/>
    <w:rsid w:val="00FC3389"/>
    <w:rsid w:val="00FC4BF1"/>
    <w:rsid w:val="00FD2573"/>
    <w:rsid w:val="00FD2C22"/>
    <w:rsid w:val="00FE0B84"/>
    <w:rsid w:val="00FE2C7F"/>
    <w:rsid w:val="00FF06AC"/>
    <w:rsid w:val="00FF44DE"/>
    <w:rsid w:val="00FF4E68"/>
    <w:rsid w:val="011729BC"/>
    <w:rsid w:val="01B86E0C"/>
    <w:rsid w:val="01C68DAC"/>
    <w:rsid w:val="02F09D0D"/>
    <w:rsid w:val="03C8CA46"/>
    <w:rsid w:val="04AA9472"/>
    <w:rsid w:val="053B0EE9"/>
    <w:rsid w:val="0575BACB"/>
    <w:rsid w:val="06F04C20"/>
    <w:rsid w:val="07D9ED1B"/>
    <w:rsid w:val="07E51D53"/>
    <w:rsid w:val="07F2B6B7"/>
    <w:rsid w:val="081A55F2"/>
    <w:rsid w:val="08DAEDA6"/>
    <w:rsid w:val="08E92075"/>
    <w:rsid w:val="0952BFBB"/>
    <w:rsid w:val="0952E05E"/>
    <w:rsid w:val="09E9D649"/>
    <w:rsid w:val="0A222B92"/>
    <w:rsid w:val="0A635DC1"/>
    <w:rsid w:val="0A8ABA18"/>
    <w:rsid w:val="0CC04517"/>
    <w:rsid w:val="0D0DC4A4"/>
    <w:rsid w:val="0D2C7A26"/>
    <w:rsid w:val="0D4B00F0"/>
    <w:rsid w:val="0D6C735C"/>
    <w:rsid w:val="0E1C35DB"/>
    <w:rsid w:val="0E5880F6"/>
    <w:rsid w:val="0EEAC6E0"/>
    <w:rsid w:val="10D44628"/>
    <w:rsid w:val="1176C00E"/>
    <w:rsid w:val="129B09F3"/>
    <w:rsid w:val="12A30BA3"/>
    <w:rsid w:val="12D6B72A"/>
    <w:rsid w:val="142BEEFB"/>
    <w:rsid w:val="148ECCD5"/>
    <w:rsid w:val="14A1DF55"/>
    <w:rsid w:val="14DCAC63"/>
    <w:rsid w:val="14E3DBEF"/>
    <w:rsid w:val="15048045"/>
    <w:rsid w:val="156E4657"/>
    <w:rsid w:val="158CB8AA"/>
    <w:rsid w:val="15EB17EC"/>
    <w:rsid w:val="1601F256"/>
    <w:rsid w:val="1653BFA5"/>
    <w:rsid w:val="1715AD19"/>
    <w:rsid w:val="184F7F59"/>
    <w:rsid w:val="1903F508"/>
    <w:rsid w:val="1C144F2C"/>
    <w:rsid w:val="1C14F1BB"/>
    <w:rsid w:val="1CD15133"/>
    <w:rsid w:val="1DB42D51"/>
    <w:rsid w:val="1EC592EA"/>
    <w:rsid w:val="1F4AC9A8"/>
    <w:rsid w:val="213708B9"/>
    <w:rsid w:val="218DC4D0"/>
    <w:rsid w:val="21AB8EED"/>
    <w:rsid w:val="21D373A5"/>
    <w:rsid w:val="21EBA908"/>
    <w:rsid w:val="222D1B3D"/>
    <w:rsid w:val="226C3EFB"/>
    <w:rsid w:val="23602A48"/>
    <w:rsid w:val="23AA4C1D"/>
    <w:rsid w:val="23F05687"/>
    <w:rsid w:val="2407031A"/>
    <w:rsid w:val="245F9ECC"/>
    <w:rsid w:val="24F7D19A"/>
    <w:rsid w:val="2514880C"/>
    <w:rsid w:val="25306E06"/>
    <w:rsid w:val="258ACD44"/>
    <w:rsid w:val="25B56185"/>
    <w:rsid w:val="26525C07"/>
    <w:rsid w:val="26C3C5F6"/>
    <w:rsid w:val="27F6ED6F"/>
    <w:rsid w:val="2A18A6F8"/>
    <w:rsid w:val="2A27587E"/>
    <w:rsid w:val="2A48D7F1"/>
    <w:rsid w:val="2AE95BB7"/>
    <w:rsid w:val="2C09FA2D"/>
    <w:rsid w:val="2C667E85"/>
    <w:rsid w:val="2C9DA9A0"/>
    <w:rsid w:val="2CD62C2C"/>
    <w:rsid w:val="2D88E618"/>
    <w:rsid w:val="2EDEEB9F"/>
    <w:rsid w:val="307DB0FE"/>
    <w:rsid w:val="30A75B9B"/>
    <w:rsid w:val="310BF32B"/>
    <w:rsid w:val="316FC2E3"/>
    <w:rsid w:val="31C21D58"/>
    <w:rsid w:val="31CAACF3"/>
    <w:rsid w:val="3257C787"/>
    <w:rsid w:val="3334D679"/>
    <w:rsid w:val="33B603DA"/>
    <w:rsid w:val="34EC85F7"/>
    <w:rsid w:val="3639E243"/>
    <w:rsid w:val="373C7A97"/>
    <w:rsid w:val="384623DA"/>
    <w:rsid w:val="39358119"/>
    <w:rsid w:val="39C736BF"/>
    <w:rsid w:val="39CABD15"/>
    <w:rsid w:val="39CE231A"/>
    <w:rsid w:val="3B30A856"/>
    <w:rsid w:val="3C347F95"/>
    <w:rsid w:val="3C6C1E2F"/>
    <w:rsid w:val="3C7E412D"/>
    <w:rsid w:val="3CA63BED"/>
    <w:rsid w:val="3CA6AEA2"/>
    <w:rsid w:val="3ED120B7"/>
    <w:rsid w:val="40281E3E"/>
    <w:rsid w:val="40338065"/>
    <w:rsid w:val="413D8056"/>
    <w:rsid w:val="4158875D"/>
    <w:rsid w:val="41E4EBEE"/>
    <w:rsid w:val="4206C31D"/>
    <w:rsid w:val="4239FA8E"/>
    <w:rsid w:val="432CF29F"/>
    <w:rsid w:val="4340049E"/>
    <w:rsid w:val="445811E6"/>
    <w:rsid w:val="44C87002"/>
    <w:rsid w:val="44C9FDDD"/>
    <w:rsid w:val="45934EF1"/>
    <w:rsid w:val="45E638FD"/>
    <w:rsid w:val="461CBADB"/>
    <w:rsid w:val="464E3329"/>
    <w:rsid w:val="46BD4253"/>
    <w:rsid w:val="47BFD2E1"/>
    <w:rsid w:val="47E3BCB1"/>
    <w:rsid w:val="47F160B9"/>
    <w:rsid w:val="485CF3DF"/>
    <w:rsid w:val="48E51357"/>
    <w:rsid w:val="48F9AB20"/>
    <w:rsid w:val="49315C22"/>
    <w:rsid w:val="499CFE62"/>
    <w:rsid w:val="499ECE19"/>
    <w:rsid w:val="49FFC7BD"/>
    <w:rsid w:val="4AB26EEE"/>
    <w:rsid w:val="4AE1BD25"/>
    <w:rsid w:val="4BAAEDBD"/>
    <w:rsid w:val="4C75C89F"/>
    <w:rsid w:val="4CC7D0FA"/>
    <w:rsid w:val="4CD8FA8B"/>
    <w:rsid w:val="4CE6C731"/>
    <w:rsid w:val="4D4399CE"/>
    <w:rsid w:val="4D6A2211"/>
    <w:rsid w:val="4D8E6EFB"/>
    <w:rsid w:val="4E4CAD8C"/>
    <w:rsid w:val="4E76BEB4"/>
    <w:rsid w:val="4F072E90"/>
    <w:rsid w:val="5137E266"/>
    <w:rsid w:val="513C6D8F"/>
    <w:rsid w:val="51A5D0DB"/>
    <w:rsid w:val="51F5F5E9"/>
    <w:rsid w:val="52A7C980"/>
    <w:rsid w:val="5306338A"/>
    <w:rsid w:val="5377808E"/>
    <w:rsid w:val="53A6ED35"/>
    <w:rsid w:val="53B30D93"/>
    <w:rsid w:val="54930807"/>
    <w:rsid w:val="54F21FDB"/>
    <w:rsid w:val="5506AC91"/>
    <w:rsid w:val="55C19FF8"/>
    <w:rsid w:val="55D43116"/>
    <w:rsid w:val="56F6CA70"/>
    <w:rsid w:val="57073D7B"/>
    <w:rsid w:val="57D8E03B"/>
    <w:rsid w:val="57F17A5B"/>
    <w:rsid w:val="57F861BE"/>
    <w:rsid w:val="587FE498"/>
    <w:rsid w:val="5B2B5C6A"/>
    <w:rsid w:val="5B3448B6"/>
    <w:rsid w:val="5B6F2E56"/>
    <w:rsid w:val="5C5CAF9E"/>
    <w:rsid w:val="5C7940EB"/>
    <w:rsid w:val="5D4EAAAC"/>
    <w:rsid w:val="5EE9541B"/>
    <w:rsid w:val="5F1615B0"/>
    <w:rsid w:val="5F305314"/>
    <w:rsid w:val="5FBB3634"/>
    <w:rsid w:val="5FF0C233"/>
    <w:rsid w:val="6015844F"/>
    <w:rsid w:val="60FBAB72"/>
    <w:rsid w:val="6157B66A"/>
    <w:rsid w:val="6190E42F"/>
    <w:rsid w:val="61A8C133"/>
    <w:rsid w:val="61C1B9F4"/>
    <w:rsid w:val="61CFC90F"/>
    <w:rsid w:val="61D4E8C9"/>
    <w:rsid w:val="624791DF"/>
    <w:rsid w:val="625EA78D"/>
    <w:rsid w:val="631934CA"/>
    <w:rsid w:val="63887CFE"/>
    <w:rsid w:val="63BE54CA"/>
    <w:rsid w:val="64420011"/>
    <w:rsid w:val="648789E1"/>
    <w:rsid w:val="6523B3E0"/>
    <w:rsid w:val="65345DC7"/>
    <w:rsid w:val="6550DC0F"/>
    <w:rsid w:val="65B58143"/>
    <w:rsid w:val="65D0FC8B"/>
    <w:rsid w:val="663B484D"/>
    <w:rsid w:val="6760BF70"/>
    <w:rsid w:val="68332644"/>
    <w:rsid w:val="6886C127"/>
    <w:rsid w:val="68A8E17B"/>
    <w:rsid w:val="68F5EBA7"/>
    <w:rsid w:val="690DDB78"/>
    <w:rsid w:val="696684C5"/>
    <w:rsid w:val="6A4C2F76"/>
    <w:rsid w:val="6A559942"/>
    <w:rsid w:val="6A60B8EC"/>
    <w:rsid w:val="6AB70DEA"/>
    <w:rsid w:val="6B39B669"/>
    <w:rsid w:val="6B46F5B5"/>
    <w:rsid w:val="6B84876B"/>
    <w:rsid w:val="6B8B83DD"/>
    <w:rsid w:val="6C86F938"/>
    <w:rsid w:val="6CAE6E63"/>
    <w:rsid w:val="6D60DA36"/>
    <w:rsid w:val="6DF541C1"/>
    <w:rsid w:val="6E31DBF8"/>
    <w:rsid w:val="6E35AA15"/>
    <w:rsid w:val="6E87CEF8"/>
    <w:rsid w:val="6EE35ABD"/>
    <w:rsid w:val="6EF70A62"/>
    <w:rsid w:val="6F1DD511"/>
    <w:rsid w:val="6F37BDB7"/>
    <w:rsid w:val="6F6CF593"/>
    <w:rsid w:val="708A1354"/>
    <w:rsid w:val="7111D822"/>
    <w:rsid w:val="729847A7"/>
    <w:rsid w:val="72B62C06"/>
    <w:rsid w:val="7410EA71"/>
    <w:rsid w:val="751DF6D4"/>
    <w:rsid w:val="753DDD01"/>
    <w:rsid w:val="7566BC20"/>
    <w:rsid w:val="758D040F"/>
    <w:rsid w:val="75D0BE2C"/>
    <w:rsid w:val="7681B0B9"/>
    <w:rsid w:val="7688CF86"/>
    <w:rsid w:val="773B7DCC"/>
    <w:rsid w:val="77D7FDDA"/>
    <w:rsid w:val="78612F4D"/>
    <w:rsid w:val="786F1FD4"/>
    <w:rsid w:val="79944542"/>
    <w:rsid w:val="79FF49DE"/>
    <w:rsid w:val="7BBE40FC"/>
    <w:rsid w:val="7C6D9BD9"/>
    <w:rsid w:val="7CF5990E"/>
    <w:rsid w:val="7DB8729B"/>
    <w:rsid w:val="7DE20EFD"/>
    <w:rsid w:val="7E03D246"/>
    <w:rsid w:val="7EA32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AF4215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0743FF"/>
    <w:pPr>
      <w:spacing w:line="240" w:lineRule="auto"/>
    </w:pPr>
    <w:rPr>
      <w:rFonts w:ascii="Segoe UI" w:hAnsi="Segoe UI"/>
      <w:bCs/>
      <w:color w:val="3266AB"/>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autoRedefine/>
    <w:uiPriority w:val="2"/>
    <w:qFormat/>
    <w:rsid w:val="00DE58B2"/>
    <w:pPr>
      <w:numPr>
        <w:numId w:val="6"/>
      </w:numPr>
      <w:spacing w:before="240"/>
      <w:ind w:left="567"/>
    </w:pPr>
    <w:rPr>
      <w:rFonts w:asciiTheme="majorHAnsi" w:eastAsiaTheme="majorEastAsia" w:hAnsiTheme="majorHAnsi" w:cstheme="majorBidi"/>
      <w:noProof/>
      <w:color w:val="3266AB"/>
      <w:sz w:val="32"/>
      <w:szCs w:val="28"/>
    </w:rPr>
  </w:style>
  <w:style w:type="paragraph" w:customStyle="1" w:styleId="TBLHeading">
    <w:name w:val="TBL Heading"/>
    <w:basedOn w:val="Normal"/>
    <w:autoRedefine/>
    <w:uiPriority w:val="11"/>
    <w:qFormat/>
    <w:rsid w:val="00414B2F"/>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4"/>
      </w:numPr>
      <w:ind w:left="568" w:hanging="284"/>
    </w:pPr>
  </w:style>
  <w:style w:type="paragraph" w:customStyle="1" w:styleId="BulletedList-Level2">
    <w:name w:val="Bulleted List - Level 2"/>
    <w:basedOn w:val="BulletedList-Level1"/>
    <w:uiPriority w:val="1"/>
    <w:qFormat/>
    <w:rsid w:val="00962EE8"/>
    <w:pPr>
      <w:numPr>
        <w:numId w:val="9"/>
      </w:numPr>
    </w:pPr>
  </w:style>
  <w:style w:type="paragraph" w:customStyle="1" w:styleId="BulletedList-Level3">
    <w:name w:val="Bulleted List - Level 3"/>
    <w:basedOn w:val="ListParagraph"/>
    <w:uiPriority w:val="1"/>
    <w:qFormat/>
    <w:rsid w:val="00962EE8"/>
    <w:pPr>
      <w:numPr>
        <w:numId w:val="10"/>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A60EDE"/>
    <w:pPr>
      <w:tabs>
        <w:tab w:val="right" w:leader="dot" w:pos="9968"/>
      </w:tabs>
      <w:spacing w:after="100"/>
      <w:ind w:left="220"/>
    </w:pPr>
  </w:style>
  <w:style w:type="paragraph" w:styleId="TOC3">
    <w:name w:val="toc 3"/>
    <w:basedOn w:val="Normal"/>
    <w:next w:val="Normal"/>
    <w:autoRedefine/>
    <w:uiPriority w:val="39"/>
    <w:unhideWhenUsed/>
    <w:rsid w:val="00363BF8"/>
    <w:pPr>
      <w:tabs>
        <w:tab w:val="right" w:leader="dot" w:pos="9968"/>
      </w:tabs>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semiHidden/>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customStyle="1" w:styleId="CommentTextChar">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customStyle="1" w:styleId="CommentSubjectChar">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customStyle="1" w:styleId="Style1">
    <w:name w:val="Style1"/>
    <w:basedOn w:val="Heading2"/>
    <w:link w:val="Style1Char"/>
    <w:qFormat/>
    <w:rsid w:val="00CA4B93"/>
    <w:rPr>
      <w:noProof/>
    </w:rPr>
  </w:style>
  <w:style w:type="character" w:customStyle="1" w:styleId="Style1Char">
    <w:name w:val="Style1 Char"/>
    <w:basedOn w:val="Heading2Char"/>
    <w:link w:val="Style1"/>
    <w:rsid w:val="00CA4B93"/>
    <w:rPr>
      <w:rFonts w:asciiTheme="majorHAnsi" w:eastAsiaTheme="majorEastAsia" w:hAnsiTheme="majorHAnsi" w:cstheme="majorBidi"/>
      <w:noProof/>
      <w:color w:val="1B375C" w:themeColor="accent1"/>
      <w:sz w:val="32"/>
      <w:szCs w:val="28"/>
    </w:rPr>
  </w:style>
  <w:style w:type="paragraph" w:customStyle="1" w:styleId="TBLFootnore">
    <w:name w:val="TBL Footnore"/>
    <w:basedOn w:val="Normal"/>
    <w:link w:val="TBLFootnoreChar"/>
    <w:qFormat/>
    <w:rsid w:val="00B11452"/>
    <w:pPr>
      <w:spacing w:line="240" w:lineRule="auto"/>
      <w:contextualSpacing/>
    </w:pPr>
    <w:rPr>
      <w:sz w:val="14"/>
      <w:szCs w:val="14"/>
    </w:rPr>
  </w:style>
  <w:style w:type="character" w:customStyle="1" w:styleId="TBLFootnoreChar">
    <w:name w:val="TBL Footnore Char"/>
    <w:basedOn w:val="DefaultParagraphFont"/>
    <w:link w:val="TBLFootnore"/>
    <w:rsid w:val="00B11452"/>
    <w:rPr>
      <w:sz w:val="14"/>
      <w:szCs w:val="14"/>
    </w:rPr>
  </w:style>
  <w:style w:type="character" w:styleId="FollowedHyperlink">
    <w:name w:val="FollowedHyperlink"/>
    <w:basedOn w:val="DefaultParagraphFont"/>
    <w:uiPriority w:val="99"/>
    <w:semiHidden/>
    <w:unhideWhenUsed/>
    <w:rsid w:val="000B3EFC"/>
    <w:rPr>
      <w:color w:val="3266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729">
      <w:bodyDiv w:val="1"/>
      <w:marLeft w:val="0"/>
      <w:marRight w:val="0"/>
      <w:marTop w:val="0"/>
      <w:marBottom w:val="0"/>
      <w:divBdr>
        <w:top w:val="none" w:sz="0" w:space="0" w:color="auto"/>
        <w:left w:val="none" w:sz="0" w:space="0" w:color="auto"/>
        <w:bottom w:val="none" w:sz="0" w:space="0" w:color="auto"/>
        <w:right w:val="none" w:sz="0" w:space="0" w:color="auto"/>
      </w:divBdr>
    </w:div>
    <w:div w:id="119760991">
      <w:bodyDiv w:val="1"/>
      <w:marLeft w:val="0"/>
      <w:marRight w:val="0"/>
      <w:marTop w:val="0"/>
      <w:marBottom w:val="0"/>
      <w:divBdr>
        <w:top w:val="none" w:sz="0" w:space="0" w:color="auto"/>
        <w:left w:val="none" w:sz="0" w:space="0" w:color="auto"/>
        <w:bottom w:val="none" w:sz="0" w:space="0" w:color="auto"/>
        <w:right w:val="none" w:sz="0" w:space="0" w:color="auto"/>
      </w:divBdr>
    </w:div>
    <w:div w:id="165370394">
      <w:bodyDiv w:val="1"/>
      <w:marLeft w:val="0"/>
      <w:marRight w:val="0"/>
      <w:marTop w:val="0"/>
      <w:marBottom w:val="0"/>
      <w:divBdr>
        <w:top w:val="none" w:sz="0" w:space="0" w:color="auto"/>
        <w:left w:val="none" w:sz="0" w:space="0" w:color="auto"/>
        <w:bottom w:val="none" w:sz="0" w:space="0" w:color="auto"/>
        <w:right w:val="none" w:sz="0" w:space="0" w:color="auto"/>
      </w:divBdr>
    </w:div>
    <w:div w:id="183638766">
      <w:bodyDiv w:val="1"/>
      <w:marLeft w:val="0"/>
      <w:marRight w:val="0"/>
      <w:marTop w:val="0"/>
      <w:marBottom w:val="0"/>
      <w:divBdr>
        <w:top w:val="none" w:sz="0" w:space="0" w:color="auto"/>
        <w:left w:val="none" w:sz="0" w:space="0" w:color="auto"/>
        <w:bottom w:val="none" w:sz="0" w:space="0" w:color="auto"/>
        <w:right w:val="none" w:sz="0" w:space="0" w:color="auto"/>
      </w:divBdr>
    </w:div>
    <w:div w:id="222179888">
      <w:bodyDiv w:val="1"/>
      <w:marLeft w:val="0"/>
      <w:marRight w:val="0"/>
      <w:marTop w:val="0"/>
      <w:marBottom w:val="0"/>
      <w:divBdr>
        <w:top w:val="none" w:sz="0" w:space="0" w:color="auto"/>
        <w:left w:val="none" w:sz="0" w:space="0" w:color="auto"/>
        <w:bottom w:val="none" w:sz="0" w:space="0" w:color="auto"/>
        <w:right w:val="none" w:sz="0" w:space="0" w:color="auto"/>
      </w:divBdr>
    </w:div>
    <w:div w:id="278611909">
      <w:bodyDiv w:val="1"/>
      <w:marLeft w:val="0"/>
      <w:marRight w:val="0"/>
      <w:marTop w:val="0"/>
      <w:marBottom w:val="0"/>
      <w:divBdr>
        <w:top w:val="none" w:sz="0" w:space="0" w:color="auto"/>
        <w:left w:val="none" w:sz="0" w:space="0" w:color="auto"/>
        <w:bottom w:val="none" w:sz="0" w:space="0" w:color="auto"/>
        <w:right w:val="none" w:sz="0" w:space="0" w:color="auto"/>
      </w:divBdr>
    </w:div>
    <w:div w:id="406806389">
      <w:bodyDiv w:val="1"/>
      <w:marLeft w:val="0"/>
      <w:marRight w:val="0"/>
      <w:marTop w:val="0"/>
      <w:marBottom w:val="0"/>
      <w:divBdr>
        <w:top w:val="none" w:sz="0" w:space="0" w:color="auto"/>
        <w:left w:val="none" w:sz="0" w:space="0" w:color="auto"/>
        <w:bottom w:val="none" w:sz="0" w:space="0" w:color="auto"/>
        <w:right w:val="none" w:sz="0" w:space="0" w:color="auto"/>
      </w:divBdr>
    </w:div>
    <w:div w:id="459298640">
      <w:bodyDiv w:val="1"/>
      <w:marLeft w:val="0"/>
      <w:marRight w:val="0"/>
      <w:marTop w:val="0"/>
      <w:marBottom w:val="0"/>
      <w:divBdr>
        <w:top w:val="none" w:sz="0" w:space="0" w:color="auto"/>
        <w:left w:val="none" w:sz="0" w:space="0" w:color="auto"/>
        <w:bottom w:val="none" w:sz="0" w:space="0" w:color="auto"/>
        <w:right w:val="none" w:sz="0" w:space="0" w:color="auto"/>
      </w:divBdr>
    </w:div>
    <w:div w:id="479661499">
      <w:bodyDiv w:val="1"/>
      <w:marLeft w:val="0"/>
      <w:marRight w:val="0"/>
      <w:marTop w:val="0"/>
      <w:marBottom w:val="0"/>
      <w:divBdr>
        <w:top w:val="none" w:sz="0" w:space="0" w:color="auto"/>
        <w:left w:val="none" w:sz="0" w:space="0" w:color="auto"/>
        <w:bottom w:val="none" w:sz="0" w:space="0" w:color="auto"/>
        <w:right w:val="none" w:sz="0" w:space="0" w:color="auto"/>
      </w:divBdr>
    </w:div>
    <w:div w:id="496651325">
      <w:bodyDiv w:val="1"/>
      <w:marLeft w:val="0"/>
      <w:marRight w:val="0"/>
      <w:marTop w:val="0"/>
      <w:marBottom w:val="0"/>
      <w:divBdr>
        <w:top w:val="none" w:sz="0" w:space="0" w:color="auto"/>
        <w:left w:val="none" w:sz="0" w:space="0" w:color="auto"/>
        <w:bottom w:val="none" w:sz="0" w:space="0" w:color="auto"/>
        <w:right w:val="none" w:sz="0" w:space="0" w:color="auto"/>
      </w:divBdr>
    </w:div>
    <w:div w:id="545994589">
      <w:bodyDiv w:val="1"/>
      <w:marLeft w:val="0"/>
      <w:marRight w:val="0"/>
      <w:marTop w:val="0"/>
      <w:marBottom w:val="0"/>
      <w:divBdr>
        <w:top w:val="none" w:sz="0" w:space="0" w:color="auto"/>
        <w:left w:val="none" w:sz="0" w:space="0" w:color="auto"/>
        <w:bottom w:val="none" w:sz="0" w:space="0" w:color="auto"/>
        <w:right w:val="none" w:sz="0" w:space="0" w:color="auto"/>
      </w:divBdr>
    </w:div>
    <w:div w:id="571089807">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687482619">
      <w:bodyDiv w:val="1"/>
      <w:marLeft w:val="0"/>
      <w:marRight w:val="0"/>
      <w:marTop w:val="0"/>
      <w:marBottom w:val="0"/>
      <w:divBdr>
        <w:top w:val="none" w:sz="0" w:space="0" w:color="auto"/>
        <w:left w:val="none" w:sz="0" w:space="0" w:color="auto"/>
        <w:bottom w:val="none" w:sz="0" w:space="0" w:color="auto"/>
        <w:right w:val="none" w:sz="0" w:space="0" w:color="auto"/>
      </w:divBdr>
      <w:divsChild>
        <w:div w:id="601841504">
          <w:marLeft w:val="0"/>
          <w:marRight w:val="0"/>
          <w:marTop w:val="0"/>
          <w:marBottom w:val="0"/>
          <w:divBdr>
            <w:top w:val="none" w:sz="0" w:space="0" w:color="auto"/>
            <w:left w:val="none" w:sz="0" w:space="0" w:color="auto"/>
            <w:bottom w:val="none" w:sz="0" w:space="0" w:color="auto"/>
            <w:right w:val="none" w:sz="0" w:space="0" w:color="auto"/>
          </w:divBdr>
          <w:divsChild>
            <w:div w:id="173303190">
              <w:marLeft w:val="0"/>
              <w:marRight w:val="0"/>
              <w:marTop w:val="0"/>
              <w:marBottom w:val="0"/>
              <w:divBdr>
                <w:top w:val="none" w:sz="0" w:space="0" w:color="auto"/>
                <w:left w:val="none" w:sz="0" w:space="0" w:color="auto"/>
                <w:bottom w:val="none" w:sz="0" w:space="0" w:color="auto"/>
                <w:right w:val="none" w:sz="0" w:space="0" w:color="auto"/>
              </w:divBdr>
            </w:div>
            <w:div w:id="1374311897">
              <w:marLeft w:val="0"/>
              <w:marRight w:val="0"/>
              <w:marTop w:val="0"/>
              <w:marBottom w:val="0"/>
              <w:divBdr>
                <w:top w:val="none" w:sz="0" w:space="0" w:color="auto"/>
                <w:left w:val="none" w:sz="0" w:space="0" w:color="auto"/>
                <w:bottom w:val="none" w:sz="0" w:space="0" w:color="auto"/>
                <w:right w:val="none" w:sz="0" w:space="0" w:color="auto"/>
              </w:divBdr>
            </w:div>
            <w:div w:id="1093353154">
              <w:marLeft w:val="0"/>
              <w:marRight w:val="0"/>
              <w:marTop w:val="0"/>
              <w:marBottom w:val="0"/>
              <w:divBdr>
                <w:top w:val="none" w:sz="0" w:space="0" w:color="auto"/>
                <w:left w:val="none" w:sz="0" w:space="0" w:color="auto"/>
                <w:bottom w:val="none" w:sz="0" w:space="0" w:color="auto"/>
                <w:right w:val="none" w:sz="0" w:space="0" w:color="auto"/>
              </w:divBdr>
            </w:div>
          </w:divsChild>
        </w:div>
        <w:div w:id="999116561">
          <w:marLeft w:val="0"/>
          <w:marRight w:val="0"/>
          <w:marTop w:val="0"/>
          <w:marBottom w:val="0"/>
          <w:divBdr>
            <w:top w:val="none" w:sz="0" w:space="0" w:color="auto"/>
            <w:left w:val="none" w:sz="0" w:space="0" w:color="auto"/>
            <w:bottom w:val="none" w:sz="0" w:space="0" w:color="auto"/>
            <w:right w:val="none" w:sz="0" w:space="0" w:color="auto"/>
          </w:divBdr>
          <w:divsChild>
            <w:div w:id="1822967150">
              <w:marLeft w:val="-75"/>
              <w:marRight w:val="0"/>
              <w:marTop w:val="30"/>
              <w:marBottom w:val="30"/>
              <w:divBdr>
                <w:top w:val="none" w:sz="0" w:space="0" w:color="auto"/>
                <w:left w:val="none" w:sz="0" w:space="0" w:color="auto"/>
                <w:bottom w:val="none" w:sz="0" w:space="0" w:color="auto"/>
                <w:right w:val="none" w:sz="0" w:space="0" w:color="auto"/>
              </w:divBdr>
              <w:divsChild>
                <w:div w:id="1782139687">
                  <w:marLeft w:val="0"/>
                  <w:marRight w:val="0"/>
                  <w:marTop w:val="0"/>
                  <w:marBottom w:val="0"/>
                  <w:divBdr>
                    <w:top w:val="none" w:sz="0" w:space="0" w:color="auto"/>
                    <w:left w:val="none" w:sz="0" w:space="0" w:color="auto"/>
                    <w:bottom w:val="none" w:sz="0" w:space="0" w:color="auto"/>
                    <w:right w:val="none" w:sz="0" w:space="0" w:color="auto"/>
                  </w:divBdr>
                  <w:divsChild>
                    <w:div w:id="4794443">
                      <w:marLeft w:val="0"/>
                      <w:marRight w:val="0"/>
                      <w:marTop w:val="0"/>
                      <w:marBottom w:val="0"/>
                      <w:divBdr>
                        <w:top w:val="none" w:sz="0" w:space="0" w:color="auto"/>
                        <w:left w:val="none" w:sz="0" w:space="0" w:color="auto"/>
                        <w:bottom w:val="none" w:sz="0" w:space="0" w:color="auto"/>
                        <w:right w:val="none" w:sz="0" w:space="0" w:color="auto"/>
                      </w:divBdr>
                    </w:div>
                  </w:divsChild>
                </w:div>
                <w:div w:id="527450289">
                  <w:marLeft w:val="0"/>
                  <w:marRight w:val="0"/>
                  <w:marTop w:val="0"/>
                  <w:marBottom w:val="0"/>
                  <w:divBdr>
                    <w:top w:val="none" w:sz="0" w:space="0" w:color="auto"/>
                    <w:left w:val="none" w:sz="0" w:space="0" w:color="auto"/>
                    <w:bottom w:val="none" w:sz="0" w:space="0" w:color="auto"/>
                    <w:right w:val="none" w:sz="0" w:space="0" w:color="auto"/>
                  </w:divBdr>
                  <w:divsChild>
                    <w:div w:id="808715355">
                      <w:marLeft w:val="0"/>
                      <w:marRight w:val="0"/>
                      <w:marTop w:val="0"/>
                      <w:marBottom w:val="0"/>
                      <w:divBdr>
                        <w:top w:val="none" w:sz="0" w:space="0" w:color="auto"/>
                        <w:left w:val="none" w:sz="0" w:space="0" w:color="auto"/>
                        <w:bottom w:val="none" w:sz="0" w:space="0" w:color="auto"/>
                        <w:right w:val="none" w:sz="0" w:space="0" w:color="auto"/>
                      </w:divBdr>
                    </w:div>
                  </w:divsChild>
                </w:div>
                <w:div w:id="2004896768">
                  <w:marLeft w:val="0"/>
                  <w:marRight w:val="0"/>
                  <w:marTop w:val="0"/>
                  <w:marBottom w:val="0"/>
                  <w:divBdr>
                    <w:top w:val="none" w:sz="0" w:space="0" w:color="auto"/>
                    <w:left w:val="none" w:sz="0" w:space="0" w:color="auto"/>
                    <w:bottom w:val="none" w:sz="0" w:space="0" w:color="auto"/>
                    <w:right w:val="none" w:sz="0" w:space="0" w:color="auto"/>
                  </w:divBdr>
                  <w:divsChild>
                    <w:div w:id="1522402627">
                      <w:marLeft w:val="0"/>
                      <w:marRight w:val="0"/>
                      <w:marTop w:val="0"/>
                      <w:marBottom w:val="0"/>
                      <w:divBdr>
                        <w:top w:val="none" w:sz="0" w:space="0" w:color="auto"/>
                        <w:left w:val="none" w:sz="0" w:space="0" w:color="auto"/>
                        <w:bottom w:val="none" w:sz="0" w:space="0" w:color="auto"/>
                        <w:right w:val="none" w:sz="0" w:space="0" w:color="auto"/>
                      </w:divBdr>
                    </w:div>
                  </w:divsChild>
                </w:div>
                <w:div w:id="1146165190">
                  <w:marLeft w:val="0"/>
                  <w:marRight w:val="0"/>
                  <w:marTop w:val="0"/>
                  <w:marBottom w:val="0"/>
                  <w:divBdr>
                    <w:top w:val="none" w:sz="0" w:space="0" w:color="auto"/>
                    <w:left w:val="none" w:sz="0" w:space="0" w:color="auto"/>
                    <w:bottom w:val="none" w:sz="0" w:space="0" w:color="auto"/>
                    <w:right w:val="none" w:sz="0" w:space="0" w:color="auto"/>
                  </w:divBdr>
                  <w:divsChild>
                    <w:div w:id="821040078">
                      <w:marLeft w:val="0"/>
                      <w:marRight w:val="0"/>
                      <w:marTop w:val="0"/>
                      <w:marBottom w:val="0"/>
                      <w:divBdr>
                        <w:top w:val="none" w:sz="0" w:space="0" w:color="auto"/>
                        <w:left w:val="none" w:sz="0" w:space="0" w:color="auto"/>
                        <w:bottom w:val="none" w:sz="0" w:space="0" w:color="auto"/>
                        <w:right w:val="none" w:sz="0" w:space="0" w:color="auto"/>
                      </w:divBdr>
                    </w:div>
                  </w:divsChild>
                </w:div>
                <w:div w:id="1434210451">
                  <w:marLeft w:val="0"/>
                  <w:marRight w:val="0"/>
                  <w:marTop w:val="0"/>
                  <w:marBottom w:val="0"/>
                  <w:divBdr>
                    <w:top w:val="none" w:sz="0" w:space="0" w:color="auto"/>
                    <w:left w:val="none" w:sz="0" w:space="0" w:color="auto"/>
                    <w:bottom w:val="none" w:sz="0" w:space="0" w:color="auto"/>
                    <w:right w:val="none" w:sz="0" w:space="0" w:color="auto"/>
                  </w:divBdr>
                  <w:divsChild>
                    <w:div w:id="482967476">
                      <w:marLeft w:val="0"/>
                      <w:marRight w:val="0"/>
                      <w:marTop w:val="0"/>
                      <w:marBottom w:val="0"/>
                      <w:divBdr>
                        <w:top w:val="none" w:sz="0" w:space="0" w:color="auto"/>
                        <w:left w:val="none" w:sz="0" w:space="0" w:color="auto"/>
                        <w:bottom w:val="none" w:sz="0" w:space="0" w:color="auto"/>
                        <w:right w:val="none" w:sz="0" w:space="0" w:color="auto"/>
                      </w:divBdr>
                    </w:div>
                  </w:divsChild>
                </w:div>
                <w:div w:id="1763136068">
                  <w:marLeft w:val="0"/>
                  <w:marRight w:val="0"/>
                  <w:marTop w:val="0"/>
                  <w:marBottom w:val="0"/>
                  <w:divBdr>
                    <w:top w:val="none" w:sz="0" w:space="0" w:color="auto"/>
                    <w:left w:val="none" w:sz="0" w:space="0" w:color="auto"/>
                    <w:bottom w:val="none" w:sz="0" w:space="0" w:color="auto"/>
                    <w:right w:val="none" w:sz="0" w:space="0" w:color="auto"/>
                  </w:divBdr>
                  <w:divsChild>
                    <w:div w:id="1250117910">
                      <w:marLeft w:val="0"/>
                      <w:marRight w:val="0"/>
                      <w:marTop w:val="0"/>
                      <w:marBottom w:val="0"/>
                      <w:divBdr>
                        <w:top w:val="none" w:sz="0" w:space="0" w:color="auto"/>
                        <w:left w:val="none" w:sz="0" w:space="0" w:color="auto"/>
                        <w:bottom w:val="none" w:sz="0" w:space="0" w:color="auto"/>
                        <w:right w:val="none" w:sz="0" w:space="0" w:color="auto"/>
                      </w:divBdr>
                    </w:div>
                  </w:divsChild>
                </w:div>
                <w:div w:id="370114149">
                  <w:marLeft w:val="0"/>
                  <w:marRight w:val="0"/>
                  <w:marTop w:val="0"/>
                  <w:marBottom w:val="0"/>
                  <w:divBdr>
                    <w:top w:val="none" w:sz="0" w:space="0" w:color="auto"/>
                    <w:left w:val="none" w:sz="0" w:space="0" w:color="auto"/>
                    <w:bottom w:val="none" w:sz="0" w:space="0" w:color="auto"/>
                    <w:right w:val="none" w:sz="0" w:space="0" w:color="auto"/>
                  </w:divBdr>
                  <w:divsChild>
                    <w:div w:id="626787132">
                      <w:marLeft w:val="0"/>
                      <w:marRight w:val="0"/>
                      <w:marTop w:val="0"/>
                      <w:marBottom w:val="0"/>
                      <w:divBdr>
                        <w:top w:val="none" w:sz="0" w:space="0" w:color="auto"/>
                        <w:left w:val="none" w:sz="0" w:space="0" w:color="auto"/>
                        <w:bottom w:val="none" w:sz="0" w:space="0" w:color="auto"/>
                        <w:right w:val="none" w:sz="0" w:space="0" w:color="auto"/>
                      </w:divBdr>
                    </w:div>
                  </w:divsChild>
                </w:div>
                <w:div w:id="701637838">
                  <w:marLeft w:val="0"/>
                  <w:marRight w:val="0"/>
                  <w:marTop w:val="0"/>
                  <w:marBottom w:val="0"/>
                  <w:divBdr>
                    <w:top w:val="none" w:sz="0" w:space="0" w:color="auto"/>
                    <w:left w:val="none" w:sz="0" w:space="0" w:color="auto"/>
                    <w:bottom w:val="none" w:sz="0" w:space="0" w:color="auto"/>
                    <w:right w:val="none" w:sz="0" w:space="0" w:color="auto"/>
                  </w:divBdr>
                  <w:divsChild>
                    <w:div w:id="5802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6132">
          <w:marLeft w:val="0"/>
          <w:marRight w:val="0"/>
          <w:marTop w:val="0"/>
          <w:marBottom w:val="0"/>
          <w:divBdr>
            <w:top w:val="none" w:sz="0" w:space="0" w:color="auto"/>
            <w:left w:val="none" w:sz="0" w:space="0" w:color="auto"/>
            <w:bottom w:val="none" w:sz="0" w:space="0" w:color="auto"/>
            <w:right w:val="none" w:sz="0" w:space="0" w:color="auto"/>
          </w:divBdr>
        </w:div>
        <w:div w:id="371393087">
          <w:marLeft w:val="0"/>
          <w:marRight w:val="0"/>
          <w:marTop w:val="0"/>
          <w:marBottom w:val="0"/>
          <w:divBdr>
            <w:top w:val="none" w:sz="0" w:space="0" w:color="auto"/>
            <w:left w:val="none" w:sz="0" w:space="0" w:color="auto"/>
            <w:bottom w:val="none" w:sz="0" w:space="0" w:color="auto"/>
            <w:right w:val="none" w:sz="0" w:space="0" w:color="auto"/>
          </w:divBdr>
        </w:div>
      </w:divsChild>
    </w:div>
    <w:div w:id="717437332">
      <w:bodyDiv w:val="1"/>
      <w:marLeft w:val="0"/>
      <w:marRight w:val="0"/>
      <w:marTop w:val="0"/>
      <w:marBottom w:val="0"/>
      <w:divBdr>
        <w:top w:val="none" w:sz="0" w:space="0" w:color="auto"/>
        <w:left w:val="none" w:sz="0" w:space="0" w:color="auto"/>
        <w:bottom w:val="none" w:sz="0" w:space="0" w:color="auto"/>
        <w:right w:val="none" w:sz="0" w:space="0" w:color="auto"/>
      </w:divBdr>
    </w:div>
    <w:div w:id="735275190">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787548095">
      <w:bodyDiv w:val="1"/>
      <w:marLeft w:val="0"/>
      <w:marRight w:val="0"/>
      <w:marTop w:val="0"/>
      <w:marBottom w:val="0"/>
      <w:divBdr>
        <w:top w:val="none" w:sz="0" w:space="0" w:color="auto"/>
        <w:left w:val="none" w:sz="0" w:space="0" w:color="auto"/>
        <w:bottom w:val="none" w:sz="0" w:space="0" w:color="auto"/>
        <w:right w:val="none" w:sz="0" w:space="0" w:color="auto"/>
      </w:divBdr>
    </w:div>
    <w:div w:id="952640193">
      <w:bodyDiv w:val="1"/>
      <w:marLeft w:val="0"/>
      <w:marRight w:val="0"/>
      <w:marTop w:val="0"/>
      <w:marBottom w:val="0"/>
      <w:divBdr>
        <w:top w:val="none" w:sz="0" w:space="0" w:color="auto"/>
        <w:left w:val="none" w:sz="0" w:space="0" w:color="auto"/>
        <w:bottom w:val="none" w:sz="0" w:space="0" w:color="auto"/>
        <w:right w:val="none" w:sz="0" w:space="0" w:color="auto"/>
      </w:divBdr>
    </w:div>
    <w:div w:id="963196511">
      <w:bodyDiv w:val="1"/>
      <w:marLeft w:val="0"/>
      <w:marRight w:val="0"/>
      <w:marTop w:val="0"/>
      <w:marBottom w:val="0"/>
      <w:divBdr>
        <w:top w:val="none" w:sz="0" w:space="0" w:color="auto"/>
        <w:left w:val="none" w:sz="0" w:space="0" w:color="auto"/>
        <w:bottom w:val="none" w:sz="0" w:space="0" w:color="auto"/>
        <w:right w:val="none" w:sz="0" w:space="0" w:color="auto"/>
      </w:divBdr>
    </w:div>
    <w:div w:id="1100950260">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156217129">
      <w:bodyDiv w:val="1"/>
      <w:marLeft w:val="0"/>
      <w:marRight w:val="0"/>
      <w:marTop w:val="0"/>
      <w:marBottom w:val="0"/>
      <w:divBdr>
        <w:top w:val="none" w:sz="0" w:space="0" w:color="auto"/>
        <w:left w:val="none" w:sz="0" w:space="0" w:color="auto"/>
        <w:bottom w:val="none" w:sz="0" w:space="0" w:color="auto"/>
        <w:right w:val="none" w:sz="0" w:space="0" w:color="auto"/>
      </w:divBdr>
    </w:div>
    <w:div w:id="1192457225">
      <w:bodyDiv w:val="1"/>
      <w:marLeft w:val="0"/>
      <w:marRight w:val="0"/>
      <w:marTop w:val="0"/>
      <w:marBottom w:val="0"/>
      <w:divBdr>
        <w:top w:val="none" w:sz="0" w:space="0" w:color="auto"/>
        <w:left w:val="none" w:sz="0" w:space="0" w:color="auto"/>
        <w:bottom w:val="none" w:sz="0" w:space="0" w:color="auto"/>
        <w:right w:val="none" w:sz="0" w:space="0" w:color="auto"/>
      </w:divBdr>
    </w:div>
    <w:div w:id="1195457005">
      <w:bodyDiv w:val="1"/>
      <w:marLeft w:val="0"/>
      <w:marRight w:val="0"/>
      <w:marTop w:val="0"/>
      <w:marBottom w:val="0"/>
      <w:divBdr>
        <w:top w:val="none" w:sz="0" w:space="0" w:color="auto"/>
        <w:left w:val="none" w:sz="0" w:space="0" w:color="auto"/>
        <w:bottom w:val="none" w:sz="0" w:space="0" w:color="auto"/>
        <w:right w:val="none" w:sz="0" w:space="0" w:color="auto"/>
      </w:divBdr>
    </w:div>
    <w:div w:id="1245069254">
      <w:bodyDiv w:val="1"/>
      <w:marLeft w:val="0"/>
      <w:marRight w:val="0"/>
      <w:marTop w:val="0"/>
      <w:marBottom w:val="0"/>
      <w:divBdr>
        <w:top w:val="none" w:sz="0" w:space="0" w:color="auto"/>
        <w:left w:val="none" w:sz="0" w:space="0" w:color="auto"/>
        <w:bottom w:val="none" w:sz="0" w:space="0" w:color="auto"/>
        <w:right w:val="none" w:sz="0" w:space="0" w:color="auto"/>
      </w:divBdr>
    </w:div>
    <w:div w:id="1260989300">
      <w:bodyDiv w:val="1"/>
      <w:marLeft w:val="0"/>
      <w:marRight w:val="0"/>
      <w:marTop w:val="0"/>
      <w:marBottom w:val="0"/>
      <w:divBdr>
        <w:top w:val="none" w:sz="0" w:space="0" w:color="auto"/>
        <w:left w:val="none" w:sz="0" w:space="0" w:color="auto"/>
        <w:bottom w:val="none" w:sz="0" w:space="0" w:color="auto"/>
        <w:right w:val="none" w:sz="0" w:space="0" w:color="auto"/>
      </w:divBdr>
    </w:div>
    <w:div w:id="1272126316">
      <w:bodyDiv w:val="1"/>
      <w:marLeft w:val="0"/>
      <w:marRight w:val="0"/>
      <w:marTop w:val="0"/>
      <w:marBottom w:val="0"/>
      <w:divBdr>
        <w:top w:val="none" w:sz="0" w:space="0" w:color="auto"/>
        <w:left w:val="none" w:sz="0" w:space="0" w:color="auto"/>
        <w:bottom w:val="none" w:sz="0" w:space="0" w:color="auto"/>
        <w:right w:val="none" w:sz="0" w:space="0" w:color="auto"/>
      </w:divBdr>
    </w:div>
    <w:div w:id="1302616971">
      <w:bodyDiv w:val="1"/>
      <w:marLeft w:val="0"/>
      <w:marRight w:val="0"/>
      <w:marTop w:val="0"/>
      <w:marBottom w:val="0"/>
      <w:divBdr>
        <w:top w:val="none" w:sz="0" w:space="0" w:color="auto"/>
        <w:left w:val="none" w:sz="0" w:space="0" w:color="auto"/>
        <w:bottom w:val="none" w:sz="0" w:space="0" w:color="auto"/>
        <w:right w:val="none" w:sz="0" w:space="0" w:color="auto"/>
      </w:divBdr>
    </w:div>
    <w:div w:id="1308508208">
      <w:bodyDiv w:val="1"/>
      <w:marLeft w:val="0"/>
      <w:marRight w:val="0"/>
      <w:marTop w:val="0"/>
      <w:marBottom w:val="0"/>
      <w:divBdr>
        <w:top w:val="none" w:sz="0" w:space="0" w:color="auto"/>
        <w:left w:val="none" w:sz="0" w:space="0" w:color="auto"/>
        <w:bottom w:val="none" w:sz="0" w:space="0" w:color="auto"/>
        <w:right w:val="none" w:sz="0" w:space="0" w:color="auto"/>
      </w:divBdr>
    </w:div>
    <w:div w:id="1331102725">
      <w:bodyDiv w:val="1"/>
      <w:marLeft w:val="0"/>
      <w:marRight w:val="0"/>
      <w:marTop w:val="0"/>
      <w:marBottom w:val="0"/>
      <w:divBdr>
        <w:top w:val="none" w:sz="0" w:space="0" w:color="auto"/>
        <w:left w:val="none" w:sz="0" w:space="0" w:color="auto"/>
        <w:bottom w:val="none" w:sz="0" w:space="0" w:color="auto"/>
        <w:right w:val="none" w:sz="0" w:space="0" w:color="auto"/>
      </w:divBdr>
    </w:div>
    <w:div w:id="1337078901">
      <w:bodyDiv w:val="1"/>
      <w:marLeft w:val="0"/>
      <w:marRight w:val="0"/>
      <w:marTop w:val="0"/>
      <w:marBottom w:val="0"/>
      <w:divBdr>
        <w:top w:val="none" w:sz="0" w:space="0" w:color="auto"/>
        <w:left w:val="none" w:sz="0" w:space="0" w:color="auto"/>
        <w:bottom w:val="none" w:sz="0" w:space="0" w:color="auto"/>
        <w:right w:val="none" w:sz="0" w:space="0" w:color="auto"/>
      </w:divBdr>
    </w:div>
    <w:div w:id="1373462251">
      <w:bodyDiv w:val="1"/>
      <w:marLeft w:val="0"/>
      <w:marRight w:val="0"/>
      <w:marTop w:val="0"/>
      <w:marBottom w:val="0"/>
      <w:divBdr>
        <w:top w:val="none" w:sz="0" w:space="0" w:color="auto"/>
        <w:left w:val="none" w:sz="0" w:space="0" w:color="auto"/>
        <w:bottom w:val="none" w:sz="0" w:space="0" w:color="auto"/>
        <w:right w:val="none" w:sz="0" w:space="0" w:color="auto"/>
      </w:divBdr>
    </w:div>
    <w:div w:id="1389110925">
      <w:bodyDiv w:val="1"/>
      <w:marLeft w:val="0"/>
      <w:marRight w:val="0"/>
      <w:marTop w:val="0"/>
      <w:marBottom w:val="0"/>
      <w:divBdr>
        <w:top w:val="none" w:sz="0" w:space="0" w:color="auto"/>
        <w:left w:val="none" w:sz="0" w:space="0" w:color="auto"/>
        <w:bottom w:val="none" w:sz="0" w:space="0" w:color="auto"/>
        <w:right w:val="none" w:sz="0" w:space="0" w:color="auto"/>
      </w:divBdr>
    </w:div>
    <w:div w:id="1394767683">
      <w:bodyDiv w:val="1"/>
      <w:marLeft w:val="0"/>
      <w:marRight w:val="0"/>
      <w:marTop w:val="0"/>
      <w:marBottom w:val="0"/>
      <w:divBdr>
        <w:top w:val="none" w:sz="0" w:space="0" w:color="auto"/>
        <w:left w:val="none" w:sz="0" w:space="0" w:color="auto"/>
        <w:bottom w:val="none" w:sz="0" w:space="0" w:color="auto"/>
        <w:right w:val="none" w:sz="0" w:space="0" w:color="auto"/>
      </w:divBdr>
    </w:div>
    <w:div w:id="1476995659">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07410027">
      <w:bodyDiv w:val="1"/>
      <w:marLeft w:val="0"/>
      <w:marRight w:val="0"/>
      <w:marTop w:val="0"/>
      <w:marBottom w:val="0"/>
      <w:divBdr>
        <w:top w:val="none" w:sz="0" w:space="0" w:color="auto"/>
        <w:left w:val="none" w:sz="0" w:space="0" w:color="auto"/>
        <w:bottom w:val="none" w:sz="0" w:space="0" w:color="auto"/>
        <w:right w:val="none" w:sz="0" w:space="0" w:color="auto"/>
      </w:divBdr>
      <w:divsChild>
        <w:div w:id="1798452650">
          <w:marLeft w:val="0"/>
          <w:marRight w:val="0"/>
          <w:marTop w:val="0"/>
          <w:marBottom w:val="0"/>
          <w:divBdr>
            <w:top w:val="none" w:sz="0" w:space="0" w:color="auto"/>
            <w:left w:val="none" w:sz="0" w:space="0" w:color="auto"/>
            <w:bottom w:val="none" w:sz="0" w:space="0" w:color="auto"/>
            <w:right w:val="none" w:sz="0" w:space="0" w:color="auto"/>
          </w:divBdr>
          <w:divsChild>
            <w:div w:id="480469655">
              <w:marLeft w:val="0"/>
              <w:marRight w:val="0"/>
              <w:marTop w:val="0"/>
              <w:marBottom w:val="0"/>
              <w:divBdr>
                <w:top w:val="none" w:sz="0" w:space="0" w:color="auto"/>
                <w:left w:val="none" w:sz="0" w:space="0" w:color="auto"/>
                <w:bottom w:val="none" w:sz="0" w:space="0" w:color="auto"/>
                <w:right w:val="none" w:sz="0" w:space="0" w:color="auto"/>
              </w:divBdr>
            </w:div>
            <w:div w:id="1496610023">
              <w:marLeft w:val="0"/>
              <w:marRight w:val="0"/>
              <w:marTop w:val="0"/>
              <w:marBottom w:val="0"/>
              <w:divBdr>
                <w:top w:val="none" w:sz="0" w:space="0" w:color="auto"/>
                <w:left w:val="none" w:sz="0" w:space="0" w:color="auto"/>
                <w:bottom w:val="none" w:sz="0" w:space="0" w:color="auto"/>
                <w:right w:val="none" w:sz="0" w:space="0" w:color="auto"/>
              </w:divBdr>
            </w:div>
            <w:div w:id="2132941665">
              <w:marLeft w:val="0"/>
              <w:marRight w:val="0"/>
              <w:marTop w:val="0"/>
              <w:marBottom w:val="0"/>
              <w:divBdr>
                <w:top w:val="none" w:sz="0" w:space="0" w:color="auto"/>
                <w:left w:val="none" w:sz="0" w:space="0" w:color="auto"/>
                <w:bottom w:val="none" w:sz="0" w:space="0" w:color="auto"/>
                <w:right w:val="none" w:sz="0" w:space="0" w:color="auto"/>
              </w:divBdr>
            </w:div>
          </w:divsChild>
        </w:div>
        <w:div w:id="962812920">
          <w:marLeft w:val="0"/>
          <w:marRight w:val="0"/>
          <w:marTop w:val="0"/>
          <w:marBottom w:val="0"/>
          <w:divBdr>
            <w:top w:val="none" w:sz="0" w:space="0" w:color="auto"/>
            <w:left w:val="none" w:sz="0" w:space="0" w:color="auto"/>
            <w:bottom w:val="none" w:sz="0" w:space="0" w:color="auto"/>
            <w:right w:val="none" w:sz="0" w:space="0" w:color="auto"/>
          </w:divBdr>
          <w:divsChild>
            <w:div w:id="1631210623">
              <w:marLeft w:val="-75"/>
              <w:marRight w:val="0"/>
              <w:marTop w:val="30"/>
              <w:marBottom w:val="30"/>
              <w:divBdr>
                <w:top w:val="none" w:sz="0" w:space="0" w:color="auto"/>
                <w:left w:val="none" w:sz="0" w:space="0" w:color="auto"/>
                <w:bottom w:val="none" w:sz="0" w:space="0" w:color="auto"/>
                <w:right w:val="none" w:sz="0" w:space="0" w:color="auto"/>
              </w:divBdr>
              <w:divsChild>
                <w:div w:id="1835343107">
                  <w:marLeft w:val="0"/>
                  <w:marRight w:val="0"/>
                  <w:marTop w:val="0"/>
                  <w:marBottom w:val="0"/>
                  <w:divBdr>
                    <w:top w:val="none" w:sz="0" w:space="0" w:color="auto"/>
                    <w:left w:val="none" w:sz="0" w:space="0" w:color="auto"/>
                    <w:bottom w:val="none" w:sz="0" w:space="0" w:color="auto"/>
                    <w:right w:val="none" w:sz="0" w:space="0" w:color="auto"/>
                  </w:divBdr>
                  <w:divsChild>
                    <w:div w:id="1349798510">
                      <w:marLeft w:val="0"/>
                      <w:marRight w:val="0"/>
                      <w:marTop w:val="0"/>
                      <w:marBottom w:val="0"/>
                      <w:divBdr>
                        <w:top w:val="none" w:sz="0" w:space="0" w:color="auto"/>
                        <w:left w:val="none" w:sz="0" w:space="0" w:color="auto"/>
                        <w:bottom w:val="none" w:sz="0" w:space="0" w:color="auto"/>
                        <w:right w:val="none" w:sz="0" w:space="0" w:color="auto"/>
                      </w:divBdr>
                    </w:div>
                  </w:divsChild>
                </w:div>
                <w:div w:id="1643732661">
                  <w:marLeft w:val="0"/>
                  <w:marRight w:val="0"/>
                  <w:marTop w:val="0"/>
                  <w:marBottom w:val="0"/>
                  <w:divBdr>
                    <w:top w:val="none" w:sz="0" w:space="0" w:color="auto"/>
                    <w:left w:val="none" w:sz="0" w:space="0" w:color="auto"/>
                    <w:bottom w:val="none" w:sz="0" w:space="0" w:color="auto"/>
                    <w:right w:val="none" w:sz="0" w:space="0" w:color="auto"/>
                  </w:divBdr>
                  <w:divsChild>
                    <w:div w:id="266892345">
                      <w:marLeft w:val="0"/>
                      <w:marRight w:val="0"/>
                      <w:marTop w:val="0"/>
                      <w:marBottom w:val="0"/>
                      <w:divBdr>
                        <w:top w:val="none" w:sz="0" w:space="0" w:color="auto"/>
                        <w:left w:val="none" w:sz="0" w:space="0" w:color="auto"/>
                        <w:bottom w:val="none" w:sz="0" w:space="0" w:color="auto"/>
                        <w:right w:val="none" w:sz="0" w:space="0" w:color="auto"/>
                      </w:divBdr>
                    </w:div>
                  </w:divsChild>
                </w:div>
                <w:div w:id="625311462">
                  <w:marLeft w:val="0"/>
                  <w:marRight w:val="0"/>
                  <w:marTop w:val="0"/>
                  <w:marBottom w:val="0"/>
                  <w:divBdr>
                    <w:top w:val="none" w:sz="0" w:space="0" w:color="auto"/>
                    <w:left w:val="none" w:sz="0" w:space="0" w:color="auto"/>
                    <w:bottom w:val="none" w:sz="0" w:space="0" w:color="auto"/>
                    <w:right w:val="none" w:sz="0" w:space="0" w:color="auto"/>
                  </w:divBdr>
                  <w:divsChild>
                    <w:div w:id="1932742028">
                      <w:marLeft w:val="0"/>
                      <w:marRight w:val="0"/>
                      <w:marTop w:val="0"/>
                      <w:marBottom w:val="0"/>
                      <w:divBdr>
                        <w:top w:val="none" w:sz="0" w:space="0" w:color="auto"/>
                        <w:left w:val="none" w:sz="0" w:space="0" w:color="auto"/>
                        <w:bottom w:val="none" w:sz="0" w:space="0" w:color="auto"/>
                        <w:right w:val="none" w:sz="0" w:space="0" w:color="auto"/>
                      </w:divBdr>
                    </w:div>
                  </w:divsChild>
                </w:div>
                <w:div w:id="152723622">
                  <w:marLeft w:val="0"/>
                  <w:marRight w:val="0"/>
                  <w:marTop w:val="0"/>
                  <w:marBottom w:val="0"/>
                  <w:divBdr>
                    <w:top w:val="none" w:sz="0" w:space="0" w:color="auto"/>
                    <w:left w:val="none" w:sz="0" w:space="0" w:color="auto"/>
                    <w:bottom w:val="none" w:sz="0" w:space="0" w:color="auto"/>
                    <w:right w:val="none" w:sz="0" w:space="0" w:color="auto"/>
                  </w:divBdr>
                  <w:divsChild>
                    <w:div w:id="1657564555">
                      <w:marLeft w:val="0"/>
                      <w:marRight w:val="0"/>
                      <w:marTop w:val="0"/>
                      <w:marBottom w:val="0"/>
                      <w:divBdr>
                        <w:top w:val="none" w:sz="0" w:space="0" w:color="auto"/>
                        <w:left w:val="none" w:sz="0" w:space="0" w:color="auto"/>
                        <w:bottom w:val="none" w:sz="0" w:space="0" w:color="auto"/>
                        <w:right w:val="none" w:sz="0" w:space="0" w:color="auto"/>
                      </w:divBdr>
                    </w:div>
                  </w:divsChild>
                </w:div>
                <w:div w:id="211887004">
                  <w:marLeft w:val="0"/>
                  <w:marRight w:val="0"/>
                  <w:marTop w:val="0"/>
                  <w:marBottom w:val="0"/>
                  <w:divBdr>
                    <w:top w:val="none" w:sz="0" w:space="0" w:color="auto"/>
                    <w:left w:val="none" w:sz="0" w:space="0" w:color="auto"/>
                    <w:bottom w:val="none" w:sz="0" w:space="0" w:color="auto"/>
                    <w:right w:val="none" w:sz="0" w:space="0" w:color="auto"/>
                  </w:divBdr>
                  <w:divsChild>
                    <w:div w:id="1966963674">
                      <w:marLeft w:val="0"/>
                      <w:marRight w:val="0"/>
                      <w:marTop w:val="0"/>
                      <w:marBottom w:val="0"/>
                      <w:divBdr>
                        <w:top w:val="none" w:sz="0" w:space="0" w:color="auto"/>
                        <w:left w:val="none" w:sz="0" w:space="0" w:color="auto"/>
                        <w:bottom w:val="none" w:sz="0" w:space="0" w:color="auto"/>
                        <w:right w:val="none" w:sz="0" w:space="0" w:color="auto"/>
                      </w:divBdr>
                    </w:div>
                  </w:divsChild>
                </w:div>
                <w:div w:id="1903371924">
                  <w:marLeft w:val="0"/>
                  <w:marRight w:val="0"/>
                  <w:marTop w:val="0"/>
                  <w:marBottom w:val="0"/>
                  <w:divBdr>
                    <w:top w:val="none" w:sz="0" w:space="0" w:color="auto"/>
                    <w:left w:val="none" w:sz="0" w:space="0" w:color="auto"/>
                    <w:bottom w:val="none" w:sz="0" w:space="0" w:color="auto"/>
                    <w:right w:val="none" w:sz="0" w:space="0" w:color="auto"/>
                  </w:divBdr>
                  <w:divsChild>
                    <w:div w:id="858810188">
                      <w:marLeft w:val="0"/>
                      <w:marRight w:val="0"/>
                      <w:marTop w:val="0"/>
                      <w:marBottom w:val="0"/>
                      <w:divBdr>
                        <w:top w:val="none" w:sz="0" w:space="0" w:color="auto"/>
                        <w:left w:val="none" w:sz="0" w:space="0" w:color="auto"/>
                        <w:bottom w:val="none" w:sz="0" w:space="0" w:color="auto"/>
                        <w:right w:val="none" w:sz="0" w:space="0" w:color="auto"/>
                      </w:divBdr>
                    </w:div>
                  </w:divsChild>
                </w:div>
                <w:div w:id="1592734184">
                  <w:marLeft w:val="0"/>
                  <w:marRight w:val="0"/>
                  <w:marTop w:val="0"/>
                  <w:marBottom w:val="0"/>
                  <w:divBdr>
                    <w:top w:val="none" w:sz="0" w:space="0" w:color="auto"/>
                    <w:left w:val="none" w:sz="0" w:space="0" w:color="auto"/>
                    <w:bottom w:val="none" w:sz="0" w:space="0" w:color="auto"/>
                    <w:right w:val="none" w:sz="0" w:space="0" w:color="auto"/>
                  </w:divBdr>
                  <w:divsChild>
                    <w:div w:id="125466568">
                      <w:marLeft w:val="0"/>
                      <w:marRight w:val="0"/>
                      <w:marTop w:val="0"/>
                      <w:marBottom w:val="0"/>
                      <w:divBdr>
                        <w:top w:val="none" w:sz="0" w:space="0" w:color="auto"/>
                        <w:left w:val="none" w:sz="0" w:space="0" w:color="auto"/>
                        <w:bottom w:val="none" w:sz="0" w:space="0" w:color="auto"/>
                        <w:right w:val="none" w:sz="0" w:space="0" w:color="auto"/>
                      </w:divBdr>
                    </w:div>
                  </w:divsChild>
                </w:div>
                <w:div w:id="351031341">
                  <w:marLeft w:val="0"/>
                  <w:marRight w:val="0"/>
                  <w:marTop w:val="0"/>
                  <w:marBottom w:val="0"/>
                  <w:divBdr>
                    <w:top w:val="none" w:sz="0" w:space="0" w:color="auto"/>
                    <w:left w:val="none" w:sz="0" w:space="0" w:color="auto"/>
                    <w:bottom w:val="none" w:sz="0" w:space="0" w:color="auto"/>
                    <w:right w:val="none" w:sz="0" w:space="0" w:color="auto"/>
                  </w:divBdr>
                  <w:divsChild>
                    <w:div w:id="993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3976">
          <w:marLeft w:val="0"/>
          <w:marRight w:val="0"/>
          <w:marTop w:val="0"/>
          <w:marBottom w:val="0"/>
          <w:divBdr>
            <w:top w:val="none" w:sz="0" w:space="0" w:color="auto"/>
            <w:left w:val="none" w:sz="0" w:space="0" w:color="auto"/>
            <w:bottom w:val="none" w:sz="0" w:space="0" w:color="auto"/>
            <w:right w:val="none" w:sz="0" w:space="0" w:color="auto"/>
          </w:divBdr>
        </w:div>
        <w:div w:id="819810796">
          <w:marLeft w:val="0"/>
          <w:marRight w:val="0"/>
          <w:marTop w:val="0"/>
          <w:marBottom w:val="0"/>
          <w:divBdr>
            <w:top w:val="none" w:sz="0" w:space="0" w:color="auto"/>
            <w:left w:val="none" w:sz="0" w:space="0" w:color="auto"/>
            <w:bottom w:val="none" w:sz="0" w:space="0" w:color="auto"/>
            <w:right w:val="none" w:sz="0" w:space="0" w:color="auto"/>
          </w:divBdr>
        </w:div>
      </w:divsChild>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718233840">
      <w:bodyDiv w:val="1"/>
      <w:marLeft w:val="0"/>
      <w:marRight w:val="0"/>
      <w:marTop w:val="0"/>
      <w:marBottom w:val="0"/>
      <w:divBdr>
        <w:top w:val="none" w:sz="0" w:space="0" w:color="auto"/>
        <w:left w:val="none" w:sz="0" w:space="0" w:color="auto"/>
        <w:bottom w:val="none" w:sz="0" w:space="0" w:color="auto"/>
        <w:right w:val="none" w:sz="0" w:space="0" w:color="auto"/>
      </w:divBdr>
    </w:div>
    <w:div w:id="1745757732">
      <w:bodyDiv w:val="1"/>
      <w:marLeft w:val="0"/>
      <w:marRight w:val="0"/>
      <w:marTop w:val="0"/>
      <w:marBottom w:val="0"/>
      <w:divBdr>
        <w:top w:val="none" w:sz="0" w:space="0" w:color="auto"/>
        <w:left w:val="none" w:sz="0" w:space="0" w:color="auto"/>
        <w:bottom w:val="none" w:sz="0" w:space="0" w:color="auto"/>
        <w:right w:val="none" w:sz="0" w:space="0" w:color="auto"/>
      </w:divBdr>
    </w:div>
    <w:div w:id="1758361103">
      <w:bodyDiv w:val="1"/>
      <w:marLeft w:val="0"/>
      <w:marRight w:val="0"/>
      <w:marTop w:val="0"/>
      <w:marBottom w:val="0"/>
      <w:divBdr>
        <w:top w:val="none" w:sz="0" w:space="0" w:color="auto"/>
        <w:left w:val="none" w:sz="0" w:space="0" w:color="auto"/>
        <w:bottom w:val="none" w:sz="0" w:space="0" w:color="auto"/>
        <w:right w:val="none" w:sz="0" w:space="0" w:color="auto"/>
      </w:divBdr>
    </w:div>
    <w:div w:id="1762293481">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809319122">
      <w:bodyDiv w:val="1"/>
      <w:marLeft w:val="0"/>
      <w:marRight w:val="0"/>
      <w:marTop w:val="0"/>
      <w:marBottom w:val="0"/>
      <w:divBdr>
        <w:top w:val="none" w:sz="0" w:space="0" w:color="auto"/>
        <w:left w:val="none" w:sz="0" w:space="0" w:color="auto"/>
        <w:bottom w:val="none" w:sz="0" w:space="0" w:color="auto"/>
        <w:right w:val="none" w:sz="0" w:space="0" w:color="auto"/>
      </w:divBdr>
    </w:div>
    <w:div w:id="1814177505">
      <w:bodyDiv w:val="1"/>
      <w:marLeft w:val="0"/>
      <w:marRight w:val="0"/>
      <w:marTop w:val="0"/>
      <w:marBottom w:val="0"/>
      <w:divBdr>
        <w:top w:val="none" w:sz="0" w:space="0" w:color="auto"/>
        <w:left w:val="none" w:sz="0" w:space="0" w:color="auto"/>
        <w:bottom w:val="none" w:sz="0" w:space="0" w:color="auto"/>
        <w:right w:val="none" w:sz="0" w:space="0" w:color="auto"/>
      </w:divBdr>
    </w:div>
    <w:div w:id="1814180360">
      <w:bodyDiv w:val="1"/>
      <w:marLeft w:val="0"/>
      <w:marRight w:val="0"/>
      <w:marTop w:val="0"/>
      <w:marBottom w:val="0"/>
      <w:divBdr>
        <w:top w:val="none" w:sz="0" w:space="0" w:color="auto"/>
        <w:left w:val="none" w:sz="0" w:space="0" w:color="auto"/>
        <w:bottom w:val="none" w:sz="0" w:space="0" w:color="auto"/>
        <w:right w:val="none" w:sz="0" w:space="0" w:color="auto"/>
      </w:divBdr>
    </w:div>
    <w:div w:id="1816556844">
      <w:bodyDiv w:val="1"/>
      <w:marLeft w:val="0"/>
      <w:marRight w:val="0"/>
      <w:marTop w:val="0"/>
      <w:marBottom w:val="0"/>
      <w:divBdr>
        <w:top w:val="none" w:sz="0" w:space="0" w:color="auto"/>
        <w:left w:val="none" w:sz="0" w:space="0" w:color="auto"/>
        <w:bottom w:val="none" w:sz="0" w:space="0" w:color="auto"/>
        <w:right w:val="none" w:sz="0" w:space="0" w:color="auto"/>
      </w:divBdr>
    </w:div>
    <w:div w:id="1839496281">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57783901">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1029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published-impact-analyses-and-reports/proposed-australian-consumer-law-acl-changes-product-safe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ia.pmc.gov.au/published-impact-analyses-and-reports/endorsement-scheduled-medicines-designated-registered-nur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b1710b2edec146a0" Type="http://schemas.microsoft.com/office/2020/10/relationships/intelligence" Target="intelligence2.xml"/><Relationship Id="Raaa5a615327041a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22d333be71b04557"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PMCdoc-213507164-61124</_dlc_DocId>
    <_dlc_DocIdUrl xmlns="d0dfa800-9ef0-44cb-8a12-633e29de1e0b">
      <Url>https://pmc01.sharepoint.com/sites/pmc-ms-cb/_layouts/15/DocIdRedir.aspx?ID=PMCdoc-213507164-61124</Url>
      <Description>PMCdoc-213507164-61124</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FEB2-ACCF-4222-9227-EAA2B0F21518}">
  <ds:schemaRefs>
    <ds:schemaRef ds:uri="http://schemas.microsoft.com/office/2006/metadata/properties"/>
    <ds:schemaRef ds:uri="http://schemas.microsoft.com/sharepoint/v3"/>
    <ds:schemaRef ds:uri="d0dfa800-9ef0-44cb-8a12-633e29de1e0b"/>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ce530a30-1469-477c-a42f-e412a5d2cfe7"/>
    <ds:schemaRef ds:uri="e771ab56-0c5d-40e7-b080-2686d2b89623"/>
    <ds:schemaRef ds:uri="http://www.w3.org/XML/1998/namespace"/>
  </ds:schemaRefs>
</ds:datastoreItem>
</file>

<file path=customXml/itemProps2.xml><?xml version="1.0" encoding="utf-8"?>
<ds:datastoreItem xmlns:ds="http://schemas.openxmlformats.org/officeDocument/2006/customXml" ds:itemID="{E3E7F099-4EC3-40B6-92BA-07BFB75AD009}">
  <ds:schemaRefs>
    <ds:schemaRef ds:uri="http://schemas.microsoft.com/sharepoint/v3/contenttype/forms"/>
  </ds:schemaRefs>
</ds:datastoreItem>
</file>

<file path=customXml/itemProps3.xml><?xml version="1.0" encoding="utf-8"?>
<ds:datastoreItem xmlns:ds="http://schemas.openxmlformats.org/officeDocument/2006/customXml" ds:itemID="{459FE45D-76CF-4AC8-A26E-FC6F78DD1DFD}">
  <ds:schemaRefs>
    <ds:schemaRef ds:uri="http://schemas.microsoft.com/sharepoint/events"/>
  </ds:schemaRefs>
</ds:datastoreItem>
</file>

<file path=customXml/itemProps4.xml><?xml version="1.0" encoding="utf-8"?>
<ds:datastoreItem xmlns:ds="http://schemas.openxmlformats.org/officeDocument/2006/customXml" ds:itemID="{917905C4-4AC5-4623-B709-867557A42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827103-F822-436C-A136-54ED0359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Commonwealth-State Regulation Impact Statement status, 2024-25</vt:lpstr>
    </vt:vector>
  </TitlesOfParts>
  <Manager/>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Regulation Impact Statement status, 2024-25</dc:title>
  <dc:subject/>
  <dc:creator/>
  <cp:keywords/>
  <dc:description/>
  <cp:lastModifiedBy/>
  <cp:revision>26</cp:revision>
  <dcterms:created xsi:type="dcterms:W3CDTF">2024-10-31T02:02:00Z</dcterms:created>
  <dcterms:modified xsi:type="dcterms:W3CDTF">2025-02-03T23:28:00Z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ecurityClassification">
    <vt:lpwstr>4;#OFFICIAL|9e0ec9cb-4e7f-4d4a-bd32-1ee7525c6d87</vt:lpwstr>
  </property>
  <property fmtid="{D5CDD505-2E9C-101B-9397-08002B2CF9AE}" pid="4" name="_dlc_DocIdItemGuid">
    <vt:lpwstr>beb6f1eb-4abe-4d47-b600-2d3357691cde</vt:lpwstr>
  </property>
  <property fmtid="{D5CDD505-2E9C-101B-9397-08002B2CF9AE}" pid="5" name="TaxKeyword">
    <vt:lpwstr/>
  </property>
  <property fmtid="{D5CDD505-2E9C-101B-9397-08002B2CF9AE}" pid="6" name="InformationMarker">
    <vt:lpwstr/>
  </property>
  <property fmtid="{D5CDD505-2E9C-101B-9397-08002B2CF9AE}" pid="7" name="MediaServiceImageTags">
    <vt:lpwstr/>
  </property>
</Properties>
</file>