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EC" w:rsidRDefault="00AA12EC" w:rsidP="00AA12EC">
      <w:bookmarkStart w:id="0" w:name="_Toc96326909"/>
    </w:p>
    <w:p w:rsidR="00A62EF3" w:rsidRDefault="004902D1" w:rsidP="00AA12EC">
      <w:pPr>
        <w:pStyle w:val="Title"/>
        <w:tabs>
          <w:tab w:val="left" w:pos="7938"/>
        </w:tabs>
      </w:pPr>
      <w:bookmarkStart w:id="1" w:name="_GoBack"/>
      <w:r>
        <w:t>Australian Government Impact Analysis Preliminary Assessment Form</w:t>
      </w:r>
    </w:p>
    <w:bookmarkEnd w:id="1"/>
    <w:p w:rsidR="00A62EF3" w:rsidRDefault="00FC7DCE" w:rsidP="00A62EF3">
      <w:pPr>
        <w:pStyle w:val="Subtitle"/>
      </w:pPr>
      <w:r>
        <w:t>January 2025</w:t>
      </w:r>
    </w:p>
    <w:bookmarkEnd w:id="0"/>
    <w:p w:rsidR="001224FC" w:rsidRPr="001224FC" w:rsidRDefault="00A973BF" w:rsidP="0072021D">
      <w:r w:rsidRPr="006878AB">
        <w:t xml:space="preserve">Further information can be found in our </w:t>
      </w:r>
      <w:hyperlink r:id="rId8" w:history="1">
        <w:hyperlink r:id="rId9" w:history="1">
          <w:r w:rsidRPr="00B16F2C">
            <w:rPr>
              <w:rStyle w:val="Hyperlink"/>
              <w:bCs/>
              <w:color w:val="auto"/>
            </w:rPr>
            <w:t>What to include in the Impact Analysis Preliminary Assessment Form</w:t>
          </w:r>
        </w:hyperlink>
      </w:hyperlink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24FC" w:rsidRPr="00292EAD" w:rsidTr="0083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:rsidR="001224FC" w:rsidRPr="00830A97" w:rsidRDefault="001224FC" w:rsidP="00830A97">
            <w:pPr>
              <w:pStyle w:val="TBLHeading"/>
            </w:pPr>
            <w:r w:rsidRPr="00161E5C">
              <w:t>Overview</w:t>
            </w:r>
          </w:p>
        </w:tc>
      </w:tr>
      <w:tr w:rsidR="001224FC" w:rsidRPr="00292EAD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Name of department/agency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:rsidTr="001224FC">
        <w:tc>
          <w:tcPr>
            <w:tcW w:w="9628" w:type="dxa"/>
          </w:tcPr>
          <w:p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Name of proposal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667175" w:rsidRPr="00292EAD" w:rsidTr="00720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tcW w:w="9628" w:type="dxa"/>
          </w:tcPr>
          <w:p w:rsidR="00161E5C" w:rsidRDefault="00667175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Type of proposal:</w:t>
            </w:r>
            <w:r w:rsidR="0088677E" w:rsidRPr="00161E5C">
              <w:rPr>
                <w:sz w:val="20"/>
                <w:szCs w:val="20"/>
              </w:rPr>
              <w:t xml:space="preserve">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</w:t>
            </w:r>
            <w:r w:rsidR="00341D97" w:rsidRPr="00161E5C">
              <w:rPr>
                <w:sz w:val="20"/>
                <w:szCs w:val="20"/>
              </w:rPr>
              <w:t xml:space="preserve">Budget </w:t>
            </w:r>
            <w:r w:rsidR="00161E5C">
              <w:rPr>
                <w:sz w:val="20"/>
                <w:szCs w:val="20"/>
              </w:rPr>
              <w:t xml:space="preserve">or MYEFO </w:t>
            </w:r>
            <w:r w:rsidR="00341D97" w:rsidRPr="00161E5C">
              <w:rPr>
                <w:sz w:val="20"/>
                <w:szCs w:val="20"/>
              </w:rPr>
              <w:t>Proposal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Treaties/Conventions 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Legislation</w:t>
            </w:r>
            <w:r w:rsidR="00341D97" w:rsidRPr="00161E5C">
              <w:rPr>
                <w:sz w:val="20"/>
                <w:szCs w:val="20"/>
              </w:rPr>
              <w:t>/Regulation Amendment or Proposal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</w:t>
            </w:r>
            <w:proofErr w:type="spellStart"/>
            <w:r w:rsidRPr="00161E5C">
              <w:rPr>
                <w:sz w:val="20"/>
                <w:szCs w:val="20"/>
              </w:rPr>
              <w:t>Sunsetting</w:t>
            </w:r>
            <w:proofErr w:type="spellEnd"/>
            <w:r w:rsidRPr="00161E5C">
              <w:rPr>
                <w:sz w:val="20"/>
                <w:szCs w:val="20"/>
              </w:rPr>
              <w:t xml:space="preserve"> Instruments 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Standards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Industry Codes 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Grant Funding  </w:t>
            </w:r>
          </w:p>
          <w:p w:rsid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Funding (non-grant)  </w:t>
            </w:r>
          </w:p>
          <w:p w:rsidR="00667175" w:rsidRPr="00161E5C" w:rsidRDefault="0088677E" w:rsidP="00341D97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Other</w:t>
            </w:r>
            <w:r w:rsidR="0072021D">
              <w:rPr>
                <w:sz w:val="20"/>
                <w:szCs w:val="20"/>
              </w:rPr>
              <w:t xml:space="preserve"> (Specify) _______________________________________________</w:t>
            </w:r>
          </w:p>
        </w:tc>
      </w:tr>
      <w:tr w:rsidR="00667175" w:rsidRPr="00292EAD" w:rsidTr="001224FC">
        <w:tc>
          <w:tcPr>
            <w:tcW w:w="9628" w:type="dxa"/>
          </w:tcPr>
          <w:p w:rsidR="00667175" w:rsidRPr="00161E5C" w:rsidRDefault="00667175" w:rsidP="0072021D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Is this an election commitment?</w:t>
            </w:r>
            <w:r w:rsidR="0088677E" w:rsidRPr="00161E5C">
              <w:rPr>
                <w:sz w:val="20"/>
                <w:szCs w:val="20"/>
              </w:rPr>
              <w:t xml:space="preserve"> </w:t>
            </w:r>
            <w:r w:rsidR="0088677E" w:rsidRPr="00161E5C">
              <w:rPr>
                <w:sz w:val="20"/>
                <w:szCs w:val="20"/>
              </w:rPr>
              <w:t xml:space="preserve"> Yes </w:t>
            </w:r>
            <w:r w:rsidR="0072021D">
              <w:rPr>
                <w:sz w:val="20"/>
                <w:szCs w:val="20"/>
              </w:rPr>
              <w:t>(include link to commitment)</w:t>
            </w:r>
            <w:r w:rsidR="0088677E" w:rsidRPr="00161E5C">
              <w:rPr>
                <w:sz w:val="20"/>
                <w:szCs w:val="20"/>
              </w:rPr>
              <w:t xml:space="preserve"> </w:t>
            </w:r>
            <w:r w:rsidR="0088677E" w:rsidRPr="00161E5C">
              <w:rPr>
                <w:sz w:val="20"/>
                <w:szCs w:val="20"/>
              </w:rPr>
              <w:t> No</w:t>
            </w:r>
            <w:r w:rsidR="0072021D">
              <w:rPr>
                <w:sz w:val="20"/>
                <w:szCs w:val="20"/>
              </w:rPr>
              <w:t xml:space="preserve"> </w:t>
            </w:r>
          </w:p>
        </w:tc>
      </w:tr>
      <w:tr w:rsidR="00667175" w:rsidRPr="00292EAD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667175" w:rsidRPr="00161E5C" w:rsidRDefault="00667175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Key dates and timeline:</w:t>
            </w:r>
          </w:p>
        </w:tc>
      </w:tr>
      <w:tr w:rsidR="001224FC" w:rsidRPr="00292EAD" w:rsidTr="001224FC">
        <w:tc>
          <w:tcPr>
            <w:tcW w:w="9628" w:type="dxa"/>
          </w:tcPr>
          <w:p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Description of the problem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Outline of the objectives of government action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1224FC" w:rsidRPr="00292EAD" w:rsidTr="001224FC">
        <w:tc>
          <w:tcPr>
            <w:tcW w:w="9628" w:type="dxa"/>
          </w:tcPr>
          <w:p w:rsidR="001224FC" w:rsidRPr="00161E5C" w:rsidRDefault="001224FC" w:rsidP="007D48B0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Outline of the options available</w:t>
            </w:r>
            <w:r w:rsidR="00BD775F" w:rsidRPr="00161E5C">
              <w:rPr>
                <w:sz w:val="20"/>
                <w:szCs w:val="20"/>
              </w:rPr>
              <w:t>:</w:t>
            </w:r>
          </w:p>
        </w:tc>
      </w:tr>
      <w:tr w:rsidR="00A973BF" w:rsidRPr="00292EAD" w:rsidTr="0012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A973BF" w:rsidRPr="00161E5C" w:rsidRDefault="00A973BF" w:rsidP="00A973BF">
            <w:pPr>
              <w:pStyle w:val="TBLText"/>
              <w:rPr>
                <w:sz w:val="20"/>
                <w:szCs w:val="20"/>
              </w:rPr>
            </w:pPr>
            <w:r w:rsidRPr="7393FC72">
              <w:rPr>
                <w:sz w:val="20"/>
                <w:szCs w:val="20"/>
              </w:rPr>
              <w:t>Other elements of your proposal (including any consultation undertaken or proposed):</w:t>
            </w:r>
          </w:p>
        </w:tc>
      </w:tr>
      <w:tr w:rsidR="00A973BF" w:rsidRPr="00292EAD" w:rsidTr="001224FC">
        <w:tc>
          <w:tcPr>
            <w:tcW w:w="9628" w:type="dxa"/>
          </w:tcPr>
          <w:p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Who will the decision maker be? </w:t>
            </w:r>
          </w:p>
          <w:p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Minister/Secretary/CEO </w:t>
            </w:r>
          </w:p>
          <w:p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 Cabinet  </w:t>
            </w:r>
          </w:p>
          <w:p w:rsidR="00A973BF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Ministerial Forum/ Standard Setting Body</w:t>
            </w:r>
            <w:r>
              <w:rPr>
                <w:sz w:val="20"/>
                <w:szCs w:val="20"/>
              </w:rPr>
              <w:t xml:space="preserve"> (If yes, will the changes be implemented by States and Territories)</w:t>
            </w:r>
            <w:r w:rsidRPr="00161E5C">
              <w:rPr>
                <w:sz w:val="20"/>
                <w:szCs w:val="20"/>
              </w:rPr>
              <w:t xml:space="preserve">  </w:t>
            </w:r>
          </w:p>
          <w:p w:rsidR="00A973BF" w:rsidRPr="00161E5C" w:rsidRDefault="00A973BF" w:rsidP="00A973BF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 Other</w:t>
            </w:r>
          </w:p>
        </w:tc>
      </w:tr>
    </w:tbl>
    <w:p w:rsidR="00161E5C" w:rsidRDefault="00161E5C">
      <w:pPr>
        <w:rPr>
          <w:b/>
        </w:rPr>
      </w:pPr>
      <w:r>
        <w:rPr>
          <w:b/>
        </w:rPr>
        <w:br w:type="page"/>
      </w: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9D5" w:rsidRPr="00292EAD" w:rsidTr="00A91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:rsidR="003B69D5" w:rsidRPr="00161E5C" w:rsidRDefault="003B69D5" w:rsidP="00A91E73">
            <w:pPr>
              <w:pStyle w:val="TBLHeading"/>
            </w:pPr>
            <w:r>
              <w:lastRenderedPageBreak/>
              <w:t>Summary of impacts on Australians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 xml:space="preserve">What are the likely impacts of your proposal? </w:t>
            </w:r>
            <w:r w:rsidRPr="00BA4E8B">
              <w:rPr>
                <w:sz w:val="20"/>
                <w:szCs w:val="20"/>
              </w:rPr>
              <w:t xml:space="preserve">(It may be useful to consider impacts on Australian </w:t>
            </w:r>
            <w:r w:rsidRPr="006878AB">
              <w:rPr>
                <w:sz w:val="20"/>
                <w:szCs w:val="20"/>
              </w:rPr>
              <w:t>individuals</w:t>
            </w:r>
            <w:r w:rsidRPr="00BA4E8B">
              <w:rPr>
                <w:sz w:val="20"/>
                <w:szCs w:val="20"/>
              </w:rPr>
              <w:t>, businesses, and community organisations, and the depth and breadth of those impacts).</w:t>
            </w:r>
          </w:p>
        </w:tc>
      </w:tr>
      <w:tr w:rsidR="003B69D5" w:rsidRPr="00292EAD" w:rsidTr="00A91E73"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What is your assessment of the significance of the likely impacts of the proposal? Why?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 w:rsidRPr="00161E5C">
              <w:rPr>
                <w:sz w:val="20"/>
                <w:szCs w:val="20"/>
              </w:rPr>
              <w:t>How many entities will be affected?</w:t>
            </w:r>
          </w:p>
        </w:tc>
      </w:tr>
      <w:tr w:rsidR="003B69D5" w:rsidRPr="00292EAD" w:rsidTr="00A91E73">
        <w:trPr>
          <w:trHeight w:val="374"/>
        </w:trPr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contextualSpacing/>
              <w:rPr>
                <w:sz w:val="20"/>
                <w:szCs w:val="20"/>
              </w:rPr>
            </w:pPr>
            <w:r w:rsidRPr="606B1427">
              <w:rPr>
                <w:sz w:val="20"/>
                <w:szCs w:val="20"/>
              </w:rPr>
              <w:t>Have you consulted with stakeholders? If no, what are their likely views and what was the rationale for not having completed this consultation?</w:t>
            </w:r>
          </w:p>
        </w:tc>
      </w:tr>
    </w:tbl>
    <w:p w:rsidR="003B69D5" w:rsidRPr="00FC7DCE" w:rsidRDefault="003B69D5">
      <w:pPr>
        <w:rPr>
          <w:sz w:val="8"/>
        </w:rPr>
      </w:pP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9D5" w:rsidRPr="00292EAD" w:rsidTr="00A91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:rsidR="003B69D5" w:rsidRPr="00161E5C" w:rsidRDefault="003B69D5" w:rsidP="00A91E73">
            <w:pPr>
              <w:pStyle w:val="TBLHeading"/>
            </w:pPr>
            <w:r>
              <w:t>Distributional Impacts and Contacts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4545210F">
              <w:rPr>
                <w:b/>
                <w:bCs/>
                <w:sz w:val="20"/>
                <w:szCs w:val="20"/>
              </w:rPr>
              <w:t xml:space="preserve">Gendered Impacts </w:t>
            </w:r>
            <w:r w:rsidRPr="4545210F">
              <w:rPr>
                <w:sz w:val="20"/>
                <w:szCs w:val="20"/>
              </w:rPr>
              <w:t xml:space="preserve">- </w:t>
            </w:r>
            <w:r w:rsidRPr="00172DDB">
              <w:rPr>
                <w:sz w:val="20"/>
                <w:szCs w:val="20"/>
              </w:rPr>
              <w:t xml:space="preserve">All Cabinet Submissions and New Policy Proposals must include gender analysis. Please refer to </w:t>
            </w:r>
            <w:hyperlink r:id="rId10" w:history="1">
              <w:r w:rsidRPr="00B16F2C">
                <w:rPr>
                  <w:rStyle w:val="Hyperlink"/>
                  <w:rFonts w:ascii="Segoe UI Symbol" w:eastAsia="Segoe UI Symbol" w:hAnsi="Segoe UI Symbol" w:cs="Segoe UI Symbol"/>
                  <w:iCs/>
                  <w:szCs w:val="22"/>
                </w:rPr>
                <w:t>Including Gender: An APS Guide to Gender Analysis and Gender Impact Assessment</w:t>
              </w:r>
              <w:r w:rsidRPr="00B16F2C">
                <w:t>.</w:t>
              </w:r>
            </w:hyperlink>
          </w:p>
        </w:tc>
      </w:tr>
      <w:tr w:rsidR="00FC7DCE" w:rsidRPr="00292EAD" w:rsidTr="002B0857">
        <w:tc>
          <w:tcPr>
            <w:tcW w:w="9628" w:type="dxa"/>
          </w:tcPr>
          <w:p w:rsidR="00FC7DCE" w:rsidRDefault="00FC7DCE" w:rsidP="00B16F2C">
            <w:pPr>
              <w:pStyle w:val="TBLText"/>
              <w:tabs>
                <w:tab w:val="left" w:pos="864"/>
              </w:tabs>
              <w:rPr>
                <w:sz w:val="20"/>
                <w:szCs w:val="20"/>
              </w:rPr>
            </w:pPr>
            <w:r w:rsidRPr="00BA4E8B">
              <w:rPr>
                <w:b/>
                <w:sz w:val="20"/>
                <w:szCs w:val="20"/>
              </w:rPr>
              <w:t>Are the</w:t>
            </w:r>
            <w:r w:rsidRPr="006878AB">
              <w:rPr>
                <w:b/>
                <w:sz w:val="20"/>
                <w:szCs w:val="20"/>
              </w:rPr>
              <w:t>re</w:t>
            </w:r>
            <w:r w:rsidRPr="00BA4E8B">
              <w:rPr>
                <w:b/>
                <w:sz w:val="20"/>
                <w:szCs w:val="20"/>
              </w:rPr>
              <w:t xml:space="preserve"> likely to be disproportionate impacts on </w:t>
            </w:r>
            <w:r>
              <w:rPr>
                <w:b/>
                <w:sz w:val="20"/>
                <w:szCs w:val="20"/>
              </w:rPr>
              <w:t>the following groups,</w:t>
            </w:r>
            <w:r w:rsidRPr="00BA4E8B">
              <w:rPr>
                <w:b/>
                <w:sz w:val="20"/>
                <w:szCs w:val="20"/>
              </w:rPr>
              <w:t xml:space="preserve"> which may be of interest to the decision-maker</w:t>
            </w:r>
            <w:r>
              <w:rPr>
                <w:b/>
                <w:sz w:val="20"/>
                <w:szCs w:val="20"/>
              </w:rPr>
              <w:t xml:space="preserve">? Yes </w:t>
            </w:r>
            <w:r w:rsidRPr="00161E5C">
              <w:rPr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No </w:t>
            </w:r>
            <w:r w:rsidRPr="00161E5C">
              <w:rPr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Unsure </w:t>
            </w:r>
            <w:r w:rsidRPr="00161E5C">
              <w:rPr>
                <w:sz w:val="20"/>
                <w:szCs w:val="20"/>
              </w:rPr>
              <w:t></w:t>
            </w:r>
            <w:r>
              <w:rPr>
                <w:b/>
                <w:sz w:val="20"/>
                <w:szCs w:val="20"/>
              </w:rPr>
              <w:t xml:space="preserve"> If so, you may wish to make contact using the details below.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 w:rsidRPr="517590C8">
              <w:rPr>
                <w:b/>
                <w:bCs/>
                <w:sz w:val="20"/>
                <w:szCs w:val="20"/>
              </w:rPr>
              <w:t>Small Business Impacts</w:t>
            </w:r>
            <w:r w:rsidRPr="517590C8">
              <w:rPr>
                <w:sz w:val="20"/>
                <w:szCs w:val="20"/>
              </w:rPr>
              <w:t xml:space="preserve"> -</w:t>
            </w:r>
            <w:r w:rsidRPr="517590C8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Contact the Treasury to discuss small business impacts (</w:t>
            </w:r>
            <w:hyperlink r:id="rId11" w:history="1">
              <w:r w:rsidRPr="517590C8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smallbusinesspolicy@treasury.gov.au</w:t>
              </w:r>
            </w:hyperlink>
            <w:r w:rsidRPr="517590C8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). The </w:t>
            </w:r>
            <w:hyperlink r:id="rId12" w:history="1">
              <w:r w:rsidRPr="517590C8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Australian Small Business and Family Enterprise Ombudsman</w:t>
              </w:r>
            </w:hyperlink>
            <w:r w:rsidRPr="517590C8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(ASBFEO) is also a valuable source of information and data on small businesses</w:t>
            </w:r>
            <w:r w:rsidRPr="517590C8">
              <w:rPr>
                <w:rFonts w:ascii="Segoe UI Symbol" w:eastAsia="Segoe UI Symbol" w:hAnsi="Segoe UI Symbol" w:cs="Segoe UI Symbol"/>
                <w:sz w:val="22"/>
                <w:szCs w:val="22"/>
              </w:rPr>
              <w:t>.</w:t>
            </w:r>
          </w:p>
        </w:tc>
      </w:tr>
      <w:tr w:rsidR="003B69D5" w:rsidRPr="00292EAD" w:rsidTr="00A91E73"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 w:rsidRPr="517590C8">
              <w:rPr>
                <w:b/>
                <w:bCs/>
                <w:sz w:val="20"/>
                <w:szCs w:val="20"/>
              </w:rPr>
              <w:t>Impact on Importers and Exporters</w:t>
            </w:r>
            <w:r w:rsidRPr="517590C8">
              <w:rPr>
                <w:sz w:val="20"/>
                <w:szCs w:val="20"/>
              </w:rPr>
              <w:t xml:space="preserve"> - </w:t>
            </w:r>
            <w:r w:rsidRPr="2BC71244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Contact the Trade and Investment Law Branch at the Department of Foreign Affairs &amp; Trade (</w:t>
            </w:r>
            <w:hyperlink r:id="rId13" w:history="1">
              <w:r w:rsidRPr="2BC71244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trade.law@dfat.gov.au</w:t>
              </w:r>
            </w:hyperlink>
            <w:r w:rsidRPr="2BC71244">
              <w:rPr>
                <w:rFonts w:ascii="Segoe UI Symbol" w:eastAsia="Segoe UI Symbol" w:hAnsi="Segoe UI Symbol" w:cs="Segoe UI Symbol"/>
                <w:sz w:val="20"/>
                <w:szCs w:val="20"/>
              </w:rPr>
              <w:t>) or the Office of International Law within the Attorney-General’s Department (</w:t>
            </w:r>
            <w:hyperlink r:id="rId14" w:history="1">
              <w:r w:rsidRPr="2BC71244">
                <w:rPr>
                  <w:rStyle w:val="Hyperlink"/>
                  <w:rFonts w:ascii="Segoe UI Symbol" w:eastAsia="Segoe UI Symbol" w:hAnsi="Segoe UI Symbol" w:cs="Segoe UI Symbol"/>
                  <w:szCs w:val="20"/>
                </w:rPr>
                <w:t>ILHRDCoord@ag.gov.au</w:t>
              </w:r>
            </w:hyperlink>
            <w:r w:rsidRPr="2BC71244">
              <w:rPr>
                <w:rFonts w:ascii="Segoe UI Symbol" w:eastAsia="Segoe UI Symbol" w:hAnsi="Segoe UI Symbol" w:cs="Segoe UI Symbol"/>
                <w:sz w:val="20"/>
                <w:szCs w:val="20"/>
              </w:rPr>
              <w:t>) to understand how your proposed policy may interact with Australia’s trade and investment law obligations</w:t>
            </w:r>
            <w:r w:rsidRPr="517590C8">
              <w:rPr>
                <w:sz w:val="20"/>
                <w:szCs w:val="20"/>
              </w:rPr>
              <w:t>.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72021D" w:rsidRDefault="003B69D5" w:rsidP="00A91E73">
            <w:pPr>
              <w:pStyle w:val="TBLText"/>
              <w:rPr>
                <w:sz w:val="22"/>
                <w:szCs w:val="21"/>
              </w:rPr>
            </w:pPr>
            <w:r w:rsidRPr="00BA4E8B">
              <w:rPr>
                <w:b/>
                <w:sz w:val="20"/>
                <w:szCs w:val="20"/>
              </w:rPr>
              <w:t>Regional Impacts</w:t>
            </w:r>
            <w:r w:rsidRPr="00BA4E8B">
              <w:rPr>
                <w:sz w:val="20"/>
                <w:szCs w:val="20"/>
              </w:rPr>
              <w:t xml:space="preserve"> - Contact the Department of Infrastructure, Transport, Regional Development and the Arts to discuss regional Australia impacts (</w:t>
            </w:r>
            <w:hyperlink r:id="rId15" w:history="1">
              <w:r w:rsidRPr="00B16F2C">
                <w:rPr>
                  <w:rStyle w:val="Hyperlink"/>
                </w:rPr>
                <w:t>RAIS@infrastructure.gov.au</w:t>
              </w:r>
            </w:hyperlink>
            <w:r w:rsidRPr="00BA4E8B">
              <w:rPr>
                <w:sz w:val="20"/>
                <w:szCs w:val="20"/>
              </w:rPr>
              <w:t>)</w:t>
            </w:r>
          </w:p>
        </w:tc>
      </w:tr>
      <w:tr w:rsidR="003B69D5" w:rsidRPr="00292EAD" w:rsidTr="00A91E73">
        <w:tc>
          <w:tcPr>
            <w:tcW w:w="9628" w:type="dxa"/>
          </w:tcPr>
          <w:p w:rsidR="003B69D5" w:rsidRPr="00161E5C" w:rsidDel="00C91494" w:rsidRDefault="003B69D5" w:rsidP="00A91E73">
            <w:pPr>
              <w:pStyle w:val="TBLText"/>
              <w:rPr>
                <w:sz w:val="20"/>
                <w:szCs w:val="20"/>
              </w:rPr>
            </w:pPr>
            <w:r w:rsidRPr="00BA4E8B">
              <w:rPr>
                <w:b/>
                <w:sz w:val="20"/>
                <w:szCs w:val="20"/>
              </w:rPr>
              <w:t>First Nations Impacts</w:t>
            </w:r>
            <w:r w:rsidRPr="00BA4E8B">
              <w:rPr>
                <w:sz w:val="20"/>
                <w:szCs w:val="20"/>
              </w:rPr>
              <w:t xml:space="preserve"> - Contact the National Indigenous Australians Agency to discuss First Nations impacts (</w:t>
            </w:r>
            <w:hyperlink r:id="rId16" w:history="1">
              <w:r w:rsidRPr="00FC7DCE">
                <w:rPr>
                  <w:rStyle w:val="Hyperlink"/>
                  <w:rFonts w:asciiTheme="minorHAnsi" w:hAnsiTheme="minorHAnsi"/>
                  <w:szCs w:val="20"/>
                </w:rPr>
                <w:t>FirstNationsImpacts@niaa.gov.au</w:t>
              </w:r>
            </w:hyperlink>
            <w:r w:rsidRPr="00BA4E8B">
              <w:rPr>
                <w:sz w:val="20"/>
                <w:szCs w:val="20"/>
              </w:rPr>
              <w:t>)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 w:rsidRPr="6511D574">
              <w:rPr>
                <w:b/>
                <w:bCs/>
                <w:sz w:val="20"/>
                <w:szCs w:val="20"/>
              </w:rPr>
              <w:t>Net Zero Economy Transition Impacts</w:t>
            </w:r>
            <w:r w:rsidRPr="6511D574">
              <w:rPr>
                <w:sz w:val="20"/>
                <w:szCs w:val="20"/>
              </w:rPr>
              <w:t xml:space="preserve"> – Contact the Net Zero Economy Authority if there are likely to be impacts associated with the transition of the Australian economy to a net zero emissions economy</w:t>
            </w:r>
            <w:r w:rsidR="00FC7DCE">
              <w:rPr>
                <w:sz w:val="20"/>
                <w:szCs w:val="20"/>
              </w:rPr>
              <w:t xml:space="preserve"> </w:t>
            </w:r>
            <w:r w:rsidRPr="6511D574">
              <w:rPr>
                <w:sz w:val="20"/>
                <w:szCs w:val="20"/>
              </w:rPr>
              <w:t>(</w:t>
            </w:r>
            <w:hyperlink r:id="rId17">
              <w:r w:rsidRPr="00B16F2C">
                <w:rPr>
                  <w:rStyle w:val="Hyperlink"/>
                </w:rPr>
                <w:t>NZEA-Strategic-Policy@pmc.gov.au</w:t>
              </w:r>
            </w:hyperlink>
            <w:r w:rsidRPr="6511D574">
              <w:rPr>
                <w:sz w:val="20"/>
                <w:szCs w:val="20"/>
              </w:rPr>
              <w:t>)</w:t>
            </w:r>
          </w:p>
        </w:tc>
      </w:tr>
      <w:tr w:rsidR="003B69D5" w:rsidRPr="00292EAD" w:rsidTr="00A91E73">
        <w:tc>
          <w:tcPr>
            <w:tcW w:w="9628" w:type="dxa"/>
          </w:tcPr>
          <w:p w:rsidR="003B69D5" w:rsidRPr="00161E5C" w:rsidRDefault="003B69D5" w:rsidP="00A91E73">
            <w:pPr>
              <w:pStyle w:val="TBLText"/>
              <w:rPr>
                <w:sz w:val="20"/>
                <w:szCs w:val="20"/>
              </w:rPr>
            </w:pPr>
            <w:r w:rsidRPr="00BA4E8B">
              <w:rPr>
                <w:b/>
                <w:sz w:val="20"/>
                <w:szCs w:val="20"/>
              </w:rPr>
              <w:t xml:space="preserve">Disability Impacts </w:t>
            </w:r>
            <w:r w:rsidRPr="00BA4E8B">
              <w:rPr>
                <w:sz w:val="20"/>
                <w:szCs w:val="20"/>
              </w:rPr>
              <w:t xml:space="preserve">– Contact the Department of Social Services to understand Australian Government commitments under </w:t>
            </w:r>
            <w:r w:rsidRPr="00BA4E8B">
              <w:rPr>
                <w:i/>
                <w:iCs/>
                <w:sz w:val="20"/>
                <w:szCs w:val="20"/>
              </w:rPr>
              <w:t>Australia’s Disability Strategy 2021-2031</w:t>
            </w:r>
            <w:r w:rsidRPr="00BA4E8B">
              <w:rPr>
                <w:sz w:val="20"/>
                <w:szCs w:val="20"/>
              </w:rPr>
              <w:t xml:space="preserve"> (</w:t>
            </w:r>
            <w:hyperlink r:id="rId18" w:history="1">
              <w:r w:rsidRPr="00FC7DCE">
                <w:rPr>
                  <w:rStyle w:val="Hyperlink"/>
                  <w:rFonts w:asciiTheme="minorHAnsi" w:hAnsiTheme="minorHAnsi"/>
                  <w:szCs w:val="20"/>
                </w:rPr>
                <w:t>AustraliasDisabilityStrategyBranch@dss.gov.au</w:t>
              </w:r>
            </w:hyperlink>
            <w:r w:rsidRPr="00BA4E8B">
              <w:rPr>
                <w:sz w:val="20"/>
                <w:szCs w:val="20"/>
              </w:rPr>
              <w:t>)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Default="003B69D5" w:rsidP="00A91E73">
            <w:pPr>
              <w:pStyle w:val="TBLText"/>
              <w:rPr>
                <w:sz w:val="20"/>
                <w:szCs w:val="20"/>
              </w:rPr>
            </w:pPr>
            <w:r w:rsidRPr="2C80931D">
              <w:rPr>
                <w:b/>
                <w:bCs/>
                <w:sz w:val="20"/>
                <w:szCs w:val="20"/>
              </w:rPr>
              <w:t xml:space="preserve">Other Groups – </w:t>
            </w:r>
            <w:r w:rsidRPr="2C80931D">
              <w:rPr>
                <w:sz w:val="20"/>
                <w:szCs w:val="20"/>
              </w:rPr>
              <w:t xml:space="preserve">Other cohorts (not listed above), are likely to be disproportionately impacted. </w:t>
            </w:r>
          </w:p>
          <w:p w:rsidR="003B69D5" w:rsidRDefault="003B69D5" w:rsidP="00A91E73">
            <w:pPr>
              <w:pStyle w:val="TBLText"/>
              <w:rPr>
                <w:sz w:val="20"/>
                <w:szCs w:val="20"/>
              </w:rPr>
            </w:pPr>
            <w:r w:rsidRPr="2C80931D">
              <w:rPr>
                <w:sz w:val="20"/>
                <w:szCs w:val="20"/>
              </w:rPr>
              <w:t>Please list below:</w:t>
            </w:r>
          </w:p>
        </w:tc>
      </w:tr>
    </w:tbl>
    <w:p w:rsidR="003B69D5" w:rsidRPr="00FC7DCE" w:rsidRDefault="003B69D5">
      <w:pPr>
        <w:rPr>
          <w:sz w:val="8"/>
        </w:rPr>
      </w:pPr>
    </w:p>
    <w:tbl>
      <w:tblPr>
        <w:tblStyle w:val="Custom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9D5" w:rsidRPr="00292EAD" w:rsidTr="00A91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</w:tcPr>
          <w:p w:rsidR="003B69D5" w:rsidRPr="00161E5C" w:rsidRDefault="003B69D5" w:rsidP="00A91E73">
            <w:pPr>
              <w:pStyle w:val="TBLHeading"/>
            </w:pPr>
            <w:r w:rsidRPr="0072021D">
              <w:t>Contact information (Please enter your contact information below)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72021D" w:rsidRDefault="003B69D5" w:rsidP="00A91E73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Names:</w:t>
            </w:r>
          </w:p>
        </w:tc>
      </w:tr>
      <w:tr w:rsidR="003B69D5" w:rsidRPr="00292EAD" w:rsidTr="00A91E73">
        <w:tc>
          <w:tcPr>
            <w:tcW w:w="9628" w:type="dxa"/>
          </w:tcPr>
          <w:p w:rsidR="003B69D5" w:rsidRPr="0072021D" w:rsidRDefault="003B69D5" w:rsidP="00A91E73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Email and Phone:</w:t>
            </w:r>
          </w:p>
        </w:tc>
      </w:tr>
      <w:tr w:rsidR="003B69D5" w:rsidRPr="00292EAD" w:rsidTr="00A9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</w:tcPr>
          <w:p w:rsidR="003B69D5" w:rsidRPr="0072021D" w:rsidRDefault="003B69D5" w:rsidP="00A91E73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>Date</w:t>
            </w:r>
          </w:p>
        </w:tc>
      </w:tr>
      <w:tr w:rsidR="003B69D5" w:rsidRPr="00292EAD" w:rsidTr="00A91E73">
        <w:tc>
          <w:tcPr>
            <w:tcW w:w="9628" w:type="dxa"/>
          </w:tcPr>
          <w:p w:rsidR="003B69D5" w:rsidRPr="0072021D" w:rsidRDefault="003B69D5" w:rsidP="00A91E73">
            <w:pPr>
              <w:pStyle w:val="TBLText"/>
              <w:rPr>
                <w:sz w:val="20"/>
                <w:szCs w:val="20"/>
              </w:rPr>
            </w:pPr>
            <w:r w:rsidRPr="0072021D">
              <w:rPr>
                <w:sz w:val="20"/>
                <w:szCs w:val="20"/>
              </w:rPr>
              <w:t xml:space="preserve">Please forward the completed form to OIA at </w:t>
            </w:r>
            <w:hyperlink r:id="rId19" w:history="1">
              <w:r w:rsidRPr="00161E5C">
                <w:rPr>
                  <w:rStyle w:val="Hyperlink"/>
                  <w:szCs w:val="20"/>
                </w:rPr>
                <w:t>Helpdesk-OIA@pmc.gov.au</w:t>
              </w:r>
            </w:hyperlink>
            <w:r w:rsidRPr="0072021D">
              <w:rPr>
                <w:sz w:val="20"/>
                <w:szCs w:val="20"/>
              </w:rPr>
              <w:t xml:space="preserve"> or call (02) 6271 6270 to discuss your proposal with an OIA officer.</w:t>
            </w:r>
          </w:p>
        </w:tc>
      </w:tr>
    </w:tbl>
    <w:p w:rsidR="00A973BF" w:rsidRPr="001224FC" w:rsidRDefault="00A973BF" w:rsidP="00FC7DCE">
      <w:pPr>
        <w:spacing w:after="0"/>
      </w:pPr>
      <w:bookmarkStart w:id="2" w:name="Regulatoryimpacts"/>
      <w:bookmarkEnd w:id="2"/>
    </w:p>
    <w:sectPr w:rsidR="00A973BF" w:rsidRPr="001224FC" w:rsidSect="00D8326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5B" w:rsidRDefault="00243D5B" w:rsidP="00F957C6">
      <w:pPr>
        <w:spacing w:after="0" w:line="240" w:lineRule="auto"/>
      </w:pPr>
      <w:r>
        <w:separator/>
      </w:r>
    </w:p>
  </w:endnote>
  <w:endnote w:type="continuationSeparator" w:id="0">
    <w:p w:rsidR="00243D5B" w:rsidRDefault="00243D5B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40" w:rsidRDefault="00F87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852F35" w:rsidRDefault="00037513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>PM&amp;C |</w:t>
    </w:r>
    <w:r w:rsidR="00376FE6" w:rsidRPr="00852F35">
      <w:rPr>
        <w:color w:val="6E6E6E"/>
        <w:sz w:val="18"/>
        <w:szCs w:val="18"/>
      </w:rPr>
      <w:t xml:space="preserve"> </w:t>
    </w:r>
    <w:r w:rsidR="00161E5C">
      <w:rPr>
        <w:color w:val="6E6E6E"/>
        <w:sz w:val="18"/>
        <w:szCs w:val="18"/>
      </w:rPr>
      <w:t>Australian Government Impact Analysis Preliminary Assessment Form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C86D82">
      <w:rPr>
        <w:rFonts w:ascii="Segoe UI" w:hAnsi="Segoe UI" w:cs="Segoe UI"/>
        <w:noProof/>
        <w:color w:val="6E6E6E"/>
        <w:sz w:val="18"/>
      </w:rPr>
      <w:t>2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9" w:rsidRDefault="00464D89" w:rsidP="00464D89">
    <w:pPr>
      <w:pStyle w:val="Header"/>
      <w:jc w:val="center"/>
    </w:pPr>
  </w:p>
  <w:p w:rsidR="00464D89" w:rsidRPr="00BB1526" w:rsidRDefault="00830A97" w:rsidP="00BB1526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Office of Impact Analysis</w:t>
    </w:r>
    <w:r w:rsidR="00BB1526" w:rsidRPr="00852F35">
      <w:rPr>
        <w:color w:val="6E6E6E"/>
        <w:sz w:val="18"/>
        <w:szCs w:val="18"/>
      </w:rPr>
      <w:t xml:space="preserve"> | </w:t>
    </w:r>
    <w:r w:rsidR="00161E5C">
      <w:rPr>
        <w:color w:val="6E6E6E"/>
        <w:sz w:val="18"/>
        <w:szCs w:val="18"/>
      </w:rPr>
      <w:t>Australian Government Impact Analysis Preliminary Assessment Form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C86D82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5B" w:rsidRDefault="00243D5B" w:rsidP="00F957C6">
      <w:pPr>
        <w:spacing w:after="0" w:line="240" w:lineRule="auto"/>
      </w:pPr>
      <w:r>
        <w:separator/>
      </w:r>
    </w:p>
  </w:footnote>
  <w:footnote w:type="continuationSeparator" w:id="0">
    <w:p w:rsidR="00243D5B" w:rsidRDefault="00243D5B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40" w:rsidRDefault="00F87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40" w:rsidRDefault="00F87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03" w:rsidRDefault="00243D5B" w:rsidP="00E9516C">
    <w:pPr>
      <w:pStyle w:val="Header"/>
      <w:jc w:val="center"/>
      <w:rPr>
        <w:rStyle w:val="CLASSIFICATIONChar"/>
      </w:rPr>
    </w:pPr>
    <w:r>
      <w:rPr>
        <w:noProof/>
      </w:rPr>
      <w:pict w14:anchorId="21ADA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Australian Government, Department of the Prime Minister and Cabinet, Office of Impact Analysis" style="position:absolute;left:0;text-align:left;margin-left:-56.9pt;margin-top:-49.55pt;width:602pt;height:121.3pt;z-index:-251658752;mso-position-horizontal-relative:text;mso-position-vertical-relative:text;mso-width-relative:page;mso-height-relative:page">
          <v:imagedata r:id="rId1" o:title="Header"/>
        </v:shape>
      </w:pict>
    </w:r>
  </w:p>
  <w:p w:rsidR="00534803" w:rsidRDefault="00534803" w:rsidP="00E9516C">
    <w:pPr>
      <w:pStyle w:val="Header"/>
      <w:jc w:val="center"/>
      <w:rPr>
        <w:rStyle w:val="CLASSIFICATIONChar"/>
      </w:rPr>
    </w:pPr>
  </w:p>
  <w:p w:rsidR="00E9516C" w:rsidRDefault="00E9516C" w:rsidP="00E9516C">
    <w:pPr>
      <w:pStyle w:val="Header"/>
      <w:jc w:val="center"/>
      <w:rPr>
        <w:rStyle w:val="CLASSIFICATIONChar"/>
      </w:rPr>
    </w:pPr>
  </w:p>
  <w:p w:rsidR="00E9516C" w:rsidRDefault="00E9516C" w:rsidP="00E9516C">
    <w:pPr>
      <w:pStyle w:val="Header"/>
      <w:jc w:val="center"/>
      <w:rPr>
        <w:rStyle w:val="CLASSIFICATIONChar"/>
      </w:rPr>
    </w:pPr>
  </w:p>
  <w:p w:rsidR="00037513" w:rsidRPr="00E9516C" w:rsidRDefault="00037513" w:rsidP="00534803">
    <w:pPr>
      <w:pStyle w:val="CLASSIFIC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C1"/>
    <w:rsid w:val="00027038"/>
    <w:rsid w:val="0003154E"/>
    <w:rsid w:val="00037513"/>
    <w:rsid w:val="00050E86"/>
    <w:rsid w:val="0006627F"/>
    <w:rsid w:val="000B3417"/>
    <w:rsid w:val="000B6A28"/>
    <w:rsid w:val="000D749D"/>
    <w:rsid w:val="000F5F7A"/>
    <w:rsid w:val="00115264"/>
    <w:rsid w:val="00117A77"/>
    <w:rsid w:val="001224FC"/>
    <w:rsid w:val="001611BF"/>
    <w:rsid w:val="0016139C"/>
    <w:rsid w:val="00161E5C"/>
    <w:rsid w:val="0017436A"/>
    <w:rsid w:val="001954B4"/>
    <w:rsid w:val="001B2D56"/>
    <w:rsid w:val="001B3D4B"/>
    <w:rsid w:val="001C368E"/>
    <w:rsid w:val="00210B1A"/>
    <w:rsid w:val="00212443"/>
    <w:rsid w:val="00220DDA"/>
    <w:rsid w:val="00227DB5"/>
    <w:rsid w:val="0024095A"/>
    <w:rsid w:val="00242209"/>
    <w:rsid w:val="00243D5B"/>
    <w:rsid w:val="00266CCC"/>
    <w:rsid w:val="00274D42"/>
    <w:rsid w:val="00285CAF"/>
    <w:rsid w:val="00292BFC"/>
    <w:rsid w:val="00292EAD"/>
    <w:rsid w:val="002B661A"/>
    <w:rsid w:val="002C7A05"/>
    <w:rsid w:val="002D6B3D"/>
    <w:rsid w:val="002E2D97"/>
    <w:rsid w:val="002E5916"/>
    <w:rsid w:val="00303C55"/>
    <w:rsid w:val="00311892"/>
    <w:rsid w:val="00311C2D"/>
    <w:rsid w:val="00317030"/>
    <w:rsid w:val="00333C8F"/>
    <w:rsid w:val="00341D97"/>
    <w:rsid w:val="00353E5E"/>
    <w:rsid w:val="00361020"/>
    <w:rsid w:val="00370B8B"/>
    <w:rsid w:val="00374D2A"/>
    <w:rsid w:val="00376FE6"/>
    <w:rsid w:val="00385BD5"/>
    <w:rsid w:val="003B69D5"/>
    <w:rsid w:val="003C181D"/>
    <w:rsid w:val="003D676D"/>
    <w:rsid w:val="003F23E9"/>
    <w:rsid w:val="00432A78"/>
    <w:rsid w:val="00443F97"/>
    <w:rsid w:val="00446B02"/>
    <w:rsid w:val="00463460"/>
    <w:rsid w:val="00464D89"/>
    <w:rsid w:val="004902D1"/>
    <w:rsid w:val="00490B90"/>
    <w:rsid w:val="004B2C90"/>
    <w:rsid w:val="004B55C1"/>
    <w:rsid w:val="004C17DE"/>
    <w:rsid w:val="004C3F06"/>
    <w:rsid w:val="004D397F"/>
    <w:rsid w:val="004E5759"/>
    <w:rsid w:val="004F4C4F"/>
    <w:rsid w:val="005226B9"/>
    <w:rsid w:val="00534803"/>
    <w:rsid w:val="00551056"/>
    <w:rsid w:val="005575FF"/>
    <w:rsid w:val="00561FB9"/>
    <w:rsid w:val="00574619"/>
    <w:rsid w:val="00574A76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C99"/>
    <w:rsid w:val="00621EA3"/>
    <w:rsid w:val="00624893"/>
    <w:rsid w:val="00635B1B"/>
    <w:rsid w:val="00640234"/>
    <w:rsid w:val="0064343A"/>
    <w:rsid w:val="00664EF3"/>
    <w:rsid w:val="00665FB6"/>
    <w:rsid w:val="0066650A"/>
    <w:rsid w:val="00667175"/>
    <w:rsid w:val="00671F7E"/>
    <w:rsid w:val="006A008F"/>
    <w:rsid w:val="006A5AA6"/>
    <w:rsid w:val="006C298F"/>
    <w:rsid w:val="006E170D"/>
    <w:rsid w:val="006E698B"/>
    <w:rsid w:val="0071548B"/>
    <w:rsid w:val="0072021D"/>
    <w:rsid w:val="007203E4"/>
    <w:rsid w:val="007204A9"/>
    <w:rsid w:val="0074583A"/>
    <w:rsid w:val="00756929"/>
    <w:rsid w:val="00767DBB"/>
    <w:rsid w:val="00774646"/>
    <w:rsid w:val="00781695"/>
    <w:rsid w:val="007A02A7"/>
    <w:rsid w:val="007C0935"/>
    <w:rsid w:val="007C0E12"/>
    <w:rsid w:val="007D48B0"/>
    <w:rsid w:val="007F4E93"/>
    <w:rsid w:val="008046D4"/>
    <w:rsid w:val="00815583"/>
    <w:rsid w:val="00826C51"/>
    <w:rsid w:val="00830A97"/>
    <w:rsid w:val="00833792"/>
    <w:rsid w:val="00852F35"/>
    <w:rsid w:val="008533E0"/>
    <w:rsid w:val="00857363"/>
    <w:rsid w:val="008640C0"/>
    <w:rsid w:val="00880485"/>
    <w:rsid w:val="00883248"/>
    <w:rsid w:val="0088677E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42CB6"/>
    <w:rsid w:val="00942CE9"/>
    <w:rsid w:val="00954FF2"/>
    <w:rsid w:val="009615D2"/>
    <w:rsid w:val="00962EE8"/>
    <w:rsid w:val="00976EE9"/>
    <w:rsid w:val="00984376"/>
    <w:rsid w:val="009A6D9C"/>
    <w:rsid w:val="009B1811"/>
    <w:rsid w:val="009C60F6"/>
    <w:rsid w:val="009D1E27"/>
    <w:rsid w:val="009D278E"/>
    <w:rsid w:val="009D2DBC"/>
    <w:rsid w:val="009F0889"/>
    <w:rsid w:val="009F53B7"/>
    <w:rsid w:val="009F6A0F"/>
    <w:rsid w:val="00A008E6"/>
    <w:rsid w:val="00A1227B"/>
    <w:rsid w:val="00A12C83"/>
    <w:rsid w:val="00A62EF3"/>
    <w:rsid w:val="00A77F7A"/>
    <w:rsid w:val="00A918A7"/>
    <w:rsid w:val="00A973BF"/>
    <w:rsid w:val="00AA12EC"/>
    <w:rsid w:val="00AA705F"/>
    <w:rsid w:val="00AB0931"/>
    <w:rsid w:val="00AC2CDC"/>
    <w:rsid w:val="00AD7805"/>
    <w:rsid w:val="00B16F2C"/>
    <w:rsid w:val="00B56736"/>
    <w:rsid w:val="00B6596F"/>
    <w:rsid w:val="00B845F2"/>
    <w:rsid w:val="00B91E60"/>
    <w:rsid w:val="00BB1526"/>
    <w:rsid w:val="00BD171D"/>
    <w:rsid w:val="00BD57F5"/>
    <w:rsid w:val="00BD775F"/>
    <w:rsid w:val="00BE48A4"/>
    <w:rsid w:val="00BE56F0"/>
    <w:rsid w:val="00C12D35"/>
    <w:rsid w:val="00C33599"/>
    <w:rsid w:val="00C47620"/>
    <w:rsid w:val="00C55ECF"/>
    <w:rsid w:val="00C61D53"/>
    <w:rsid w:val="00C70947"/>
    <w:rsid w:val="00C86D82"/>
    <w:rsid w:val="00C91494"/>
    <w:rsid w:val="00CC6110"/>
    <w:rsid w:val="00CD2896"/>
    <w:rsid w:val="00D03799"/>
    <w:rsid w:val="00D04E61"/>
    <w:rsid w:val="00D10635"/>
    <w:rsid w:val="00D500C1"/>
    <w:rsid w:val="00D525B8"/>
    <w:rsid w:val="00D55354"/>
    <w:rsid w:val="00D71592"/>
    <w:rsid w:val="00D83264"/>
    <w:rsid w:val="00D8499D"/>
    <w:rsid w:val="00DA18A2"/>
    <w:rsid w:val="00DF2F8D"/>
    <w:rsid w:val="00E023DA"/>
    <w:rsid w:val="00E05FA4"/>
    <w:rsid w:val="00E224F4"/>
    <w:rsid w:val="00E2753F"/>
    <w:rsid w:val="00E467CA"/>
    <w:rsid w:val="00E84F06"/>
    <w:rsid w:val="00E92551"/>
    <w:rsid w:val="00E9516C"/>
    <w:rsid w:val="00EA558C"/>
    <w:rsid w:val="00ED0697"/>
    <w:rsid w:val="00EE5E8A"/>
    <w:rsid w:val="00F03073"/>
    <w:rsid w:val="00F05263"/>
    <w:rsid w:val="00F4464D"/>
    <w:rsid w:val="00F630E3"/>
    <w:rsid w:val="00F66078"/>
    <w:rsid w:val="00F8025E"/>
    <w:rsid w:val="00F86700"/>
    <w:rsid w:val="00F87240"/>
    <w:rsid w:val="00F87586"/>
    <w:rsid w:val="00F91A69"/>
    <w:rsid w:val="00F957C6"/>
    <w:rsid w:val="00FC7DCE"/>
    <w:rsid w:val="00FD20A5"/>
    <w:rsid w:val="00FD2C22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830A97"/>
    <w:pPr>
      <w:spacing w:after="0" w:line="240" w:lineRule="auto"/>
    </w:pPr>
    <w:rPr>
      <w:rFonts w:ascii="Segoe UI" w:hAnsi="Segoe UI" w:cs="Segoe UI"/>
      <w:color w:val="FFFFFF" w:themeColor="background1"/>
      <w:sz w:val="20"/>
      <w:szCs w:val="20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C7DCE"/>
    <w:rPr>
      <w:rFonts w:ascii="Segoe UI" w:hAnsi="Segoe UI"/>
      <w:color w:val="5E1919" w:themeColor="accent6" w:themeShade="80"/>
      <w:sz w:val="2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B55C1"/>
    <w:rPr>
      <w:color w:val="DE761C" w:themeColor="followedHyperlink"/>
      <w:u w:val="single"/>
    </w:rPr>
  </w:style>
  <w:style w:type="paragraph" w:customStyle="1" w:styleId="TableText">
    <w:name w:val="TableText"/>
    <w:basedOn w:val="Normal"/>
    <w:qFormat/>
    <w:rsid w:val="007D48B0"/>
    <w:pPr>
      <w:spacing w:before="120" w:after="120" w:line="240" w:lineRule="auto"/>
    </w:pPr>
    <w:rPr>
      <w:rFonts w:ascii="Century Gothic" w:eastAsiaTheme="majorEastAsia" w:hAnsi="Century Gothic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BD775F"/>
    <w:pPr>
      <w:spacing w:after="0" w:line="240" w:lineRule="auto"/>
    </w:pPr>
    <w:rPr>
      <w:rFonts w:eastAsiaTheme="minorHAnsi"/>
      <w:color w:val="314A63" w:themeColor="text1" w:themeTint="D9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775F"/>
    <w:rPr>
      <w:rFonts w:eastAsiaTheme="minorHAnsi"/>
      <w:color w:val="314A63" w:themeColor="text1" w:themeTint="D9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D775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5F"/>
    <w:pPr>
      <w:spacing w:after="120" w:line="240" w:lineRule="auto"/>
    </w:pPr>
    <w:rPr>
      <w:rFonts w:eastAsiaTheme="minorHAnsi"/>
      <w:color w:val="314A63" w:themeColor="text1" w:themeTint="D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5F"/>
    <w:rPr>
      <w:rFonts w:eastAsiaTheme="minorHAnsi"/>
      <w:color w:val="314A63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1B3D4B"/>
    <w:pPr>
      <w:spacing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97"/>
    <w:pPr>
      <w:spacing w:after="160"/>
    </w:pPr>
    <w:rPr>
      <w:rFonts w:eastAsiaTheme="minorEastAsia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97"/>
    <w:rPr>
      <w:rFonts w:eastAsiaTheme="minorHAnsi"/>
      <w:b/>
      <w:bCs/>
      <w:color w:val="314A63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a.pmc.gov.au/resources/forms-and-templates/australian-government-impact-analysis-preliminary-assessment-form" TargetMode="External"/><Relationship Id="rId13" Type="http://schemas.openxmlformats.org/officeDocument/2006/relationships/hyperlink" Target="mailto:trade.law@dfat.gov.au" TargetMode="External"/><Relationship Id="rId18" Type="http://schemas.openxmlformats.org/officeDocument/2006/relationships/hyperlink" Target="mailto:AustraliasDisabilityStrategyBranch@dss.gov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asbfeo.gov.au/" TargetMode="External"/><Relationship Id="rId17" Type="http://schemas.openxmlformats.org/officeDocument/2006/relationships/hyperlink" Target="mailto:NZEA-Strategic-Policy@pmc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FirstNationsImpacts@niaa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allbusinesspolicy@treasury.gov.a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RAIS@infrastructure.gov.a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pmc.gov.au/resources/including-gender-aps-guide-gender-analysis-and-gender-impact-assessment" TargetMode="External"/><Relationship Id="rId19" Type="http://schemas.openxmlformats.org/officeDocument/2006/relationships/hyperlink" Target="mailto:Helpdesk-OIA@pm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ia.pmc.gov.au/resources/forms-and-templates/australian-government-impact-analysis-preliminary-assessment-form" TargetMode="External"/><Relationship Id="rId14" Type="http://schemas.openxmlformats.org/officeDocument/2006/relationships/hyperlink" Target="mailto:ILHRDCoord@ag.gov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E048-D43E-44D3-BAC9-E3331BF6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2025-01-07T04:47:00Z</dcterms:created>
  <dcterms:modified xsi:type="dcterms:W3CDTF">2025-01-07T04:48:00Z</dcterms:modified>
  <cp:category/>
</cp:coreProperties>
</file>