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DC361" w14:textId="144D7D2B" w:rsidR="00E92551" w:rsidRPr="00F957C6" w:rsidRDefault="00EE0074" w:rsidP="5081F3C9">
      <w:pPr>
        <w:pStyle w:val="Title"/>
        <w:rPr>
          <w:highlight w:val="yellow"/>
        </w:rPr>
      </w:pPr>
      <w:bookmarkStart w:id="0" w:name="_GoBack"/>
      <w:r>
        <w:t xml:space="preserve">Australian Government Impact </w:t>
      </w:r>
      <w:r w:rsidR="006B4E20">
        <w:t xml:space="preserve">Analysis </w:t>
      </w:r>
      <w:r w:rsidR="00EF3670">
        <w:t>s</w:t>
      </w:r>
      <w:r>
        <w:t>tatus</w:t>
      </w:r>
      <w:r w:rsidR="00AC4EAA">
        <w:t>,</w:t>
      </w:r>
      <w:r>
        <w:t xml:space="preserve"> 20</w:t>
      </w:r>
      <w:r w:rsidR="224AFE55">
        <w:t>24</w:t>
      </w:r>
      <w:r>
        <w:t>-</w:t>
      </w:r>
      <w:r w:rsidR="1D2A1525">
        <w:t>25</w:t>
      </w:r>
    </w:p>
    <w:bookmarkEnd w:id="0"/>
    <w:p w14:paraId="79AD446A" w14:textId="471BDA6B" w:rsidR="00725547" w:rsidRDefault="02E3DBB9" w:rsidP="02E3DBB9">
      <w:pPr>
        <w:rPr>
          <w:rFonts w:eastAsia="Arial"/>
          <w:lang w:eastAsia="en-AU" w:bidi="en-AU"/>
        </w:rPr>
      </w:pPr>
      <w:r w:rsidRPr="02E3DBB9">
        <w:rPr>
          <w:rFonts w:eastAsia="Arial"/>
          <w:lang w:eastAsia="en-AU" w:bidi="en-AU"/>
        </w:rPr>
        <w:t>The Office of Impact Analysis (OIA) publishes Impact Analyses (IAs) – formerly known as Regulation Impact Statements (RISs) - on its website as soon as prac</w:t>
      </w:r>
      <w:r w:rsidR="00701D43">
        <w:rPr>
          <w:rFonts w:eastAsia="Arial"/>
          <w:lang w:eastAsia="en-AU" w:bidi="en-AU"/>
        </w:rPr>
        <w:t>ticable after the date of policy</w:t>
      </w:r>
      <w:r w:rsidRPr="02E3DBB9">
        <w:rPr>
          <w:rFonts w:eastAsia="Arial"/>
          <w:lang w:eastAsia="en-AU" w:bidi="en-AU"/>
        </w:rPr>
        <w:t xml:space="preserve"> announcements, in consultation with the relevant agency. </w:t>
      </w:r>
    </w:p>
    <w:p w14:paraId="5988B831" w14:textId="26853A2D" w:rsidR="00101566" w:rsidRPr="001664BA" w:rsidRDefault="00EE0074" w:rsidP="00CF1E1D">
      <w:pPr>
        <w:rPr>
          <w:rFonts w:eastAsia="Arial"/>
          <w:lang w:eastAsia="en-AU" w:bidi="en-AU"/>
        </w:rPr>
      </w:pPr>
      <w:r w:rsidRPr="48DE14CC">
        <w:rPr>
          <w:rFonts w:eastAsia="Arial"/>
          <w:lang w:eastAsia="en-AU" w:bidi="en-AU"/>
        </w:rPr>
        <w:t xml:space="preserve">This compliance report covers </w:t>
      </w:r>
      <w:r w:rsidR="006B3940" w:rsidRPr="48DE14CC">
        <w:rPr>
          <w:rFonts w:eastAsia="Arial"/>
          <w:lang w:eastAsia="en-AU" w:bidi="en-AU"/>
        </w:rPr>
        <w:t>IA</w:t>
      </w:r>
      <w:r w:rsidRPr="48DE14CC">
        <w:rPr>
          <w:rFonts w:eastAsia="Arial"/>
          <w:lang w:eastAsia="en-AU" w:bidi="en-AU"/>
        </w:rPr>
        <w:t xml:space="preserve">s uploaded to the </w:t>
      </w:r>
      <w:r w:rsidR="00F03E83" w:rsidRPr="48DE14CC">
        <w:rPr>
          <w:rFonts w:eastAsia="Arial"/>
          <w:lang w:eastAsia="en-AU" w:bidi="en-AU"/>
        </w:rPr>
        <w:t>O</w:t>
      </w:r>
      <w:r w:rsidR="006B3940" w:rsidRPr="48DE14CC">
        <w:rPr>
          <w:rFonts w:eastAsia="Arial"/>
          <w:lang w:eastAsia="en-AU" w:bidi="en-AU"/>
        </w:rPr>
        <w:t>IA</w:t>
      </w:r>
      <w:r w:rsidRPr="48DE14CC">
        <w:rPr>
          <w:rFonts w:eastAsia="Arial"/>
          <w:lang w:eastAsia="en-AU" w:bidi="en-AU"/>
        </w:rPr>
        <w:t xml:space="preserve"> website </w:t>
      </w:r>
      <w:r w:rsidRPr="001664BA">
        <w:rPr>
          <w:rFonts w:eastAsia="Arial"/>
          <w:lang w:eastAsia="en-AU" w:bidi="en-AU"/>
        </w:rPr>
        <w:t xml:space="preserve">in </w:t>
      </w:r>
      <w:r w:rsidR="00D3515C" w:rsidRPr="001664BA">
        <w:rPr>
          <w:rFonts w:eastAsia="Arial"/>
          <w:lang w:eastAsia="en-AU" w:bidi="en-AU"/>
        </w:rPr>
        <w:t>20</w:t>
      </w:r>
      <w:r w:rsidR="6D49FC47" w:rsidRPr="001664BA">
        <w:rPr>
          <w:rFonts w:eastAsia="Arial"/>
          <w:lang w:eastAsia="en-AU" w:bidi="en-AU"/>
        </w:rPr>
        <w:t>24</w:t>
      </w:r>
      <w:r w:rsidR="00D3515C" w:rsidRPr="001664BA">
        <w:rPr>
          <w:rFonts w:eastAsia="Arial"/>
          <w:lang w:eastAsia="en-AU" w:bidi="en-AU"/>
        </w:rPr>
        <w:t>-</w:t>
      </w:r>
      <w:r w:rsidR="1F85C81A" w:rsidRPr="001664BA">
        <w:rPr>
          <w:rFonts w:eastAsia="Arial"/>
          <w:lang w:eastAsia="en-AU" w:bidi="en-AU"/>
        </w:rPr>
        <w:t>25</w:t>
      </w:r>
      <w:r w:rsidRPr="001664BA">
        <w:rPr>
          <w:rFonts w:eastAsia="Arial"/>
          <w:lang w:eastAsia="en-AU" w:bidi="en-AU"/>
        </w:rPr>
        <w:t xml:space="preserve">. </w:t>
      </w:r>
      <w:r w:rsidR="006B3940" w:rsidRPr="001664BA">
        <w:rPr>
          <w:rFonts w:eastAsia="Arial"/>
          <w:lang w:eastAsia="en-AU" w:bidi="en-AU"/>
        </w:rPr>
        <w:t>IA</w:t>
      </w:r>
      <w:r w:rsidRPr="001664BA">
        <w:rPr>
          <w:rFonts w:eastAsia="Arial"/>
          <w:lang w:eastAsia="en-AU" w:bidi="en-AU"/>
        </w:rPr>
        <w:t xml:space="preserve"> compliance reports for previous years are </w:t>
      </w:r>
      <w:r w:rsidR="00F03E83" w:rsidRPr="001664BA">
        <w:rPr>
          <w:rFonts w:eastAsia="Arial"/>
          <w:lang w:eastAsia="en-AU" w:bidi="en-AU"/>
        </w:rPr>
        <w:t xml:space="preserve">also </w:t>
      </w:r>
      <w:r w:rsidRPr="001664BA">
        <w:rPr>
          <w:rFonts w:eastAsia="Arial"/>
          <w:lang w:eastAsia="en-AU" w:bidi="en-AU"/>
        </w:rPr>
        <w:t>available on the O</w:t>
      </w:r>
      <w:r w:rsidR="006B3940" w:rsidRPr="001664BA">
        <w:rPr>
          <w:rFonts w:eastAsia="Arial"/>
          <w:lang w:eastAsia="en-AU" w:bidi="en-AU"/>
        </w:rPr>
        <w:t>IA</w:t>
      </w:r>
      <w:r w:rsidRPr="001664BA">
        <w:rPr>
          <w:rFonts w:eastAsia="Arial"/>
          <w:lang w:eastAsia="en-AU" w:bidi="en-AU"/>
        </w:rPr>
        <w:t xml:space="preserve"> website. </w:t>
      </w:r>
    </w:p>
    <w:p w14:paraId="1604A7A9" w14:textId="135A8F1A" w:rsidR="00CF1E1D" w:rsidRPr="001664BA" w:rsidRDefault="00CF1E1D" w:rsidP="00CF1E1D">
      <w:pPr>
        <w:rPr>
          <w:rFonts w:eastAsia="Arial"/>
          <w:lang w:eastAsia="en-AU" w:bidi="en-AU"/>
        </w:rPr>
      </w:pPr>
      <w:r w:rsidRPr="001664BA">
        <w:t>Please note that all Department and Agency names in this report reflect t</w:t>
      </w:r>
      <w:r w:rsidR="006B3940" w:rsidRPr="001664BA">
        <w:t>heir name at the time the IA</w:t>
      </w:r>
      <w:r w:rsidR="006B4E20" w:rsidRPr="001664BA">
        <w:t xml:space="preserve"> </w:t>
      </w:r>
      <w:r w:rsidRPr="001664BA">
        <w:t>was published.</w:t>
      </w:r>
    </w:p>
    <w:p w14:paraId="6D98FF7C" w14:textId="620314D0" w:rsidR="00725547" w:rsidRPr="001664BA" w:rsidRDefault="53A03BB8" w:rsidP="00C141C1">
      <w:pPr>
        <w:rPr>
          <w:rFonts w:eastAsia="Arial"/>
          <w:lang w:eastAsia="en-AU" w:bidi="en-AU"/>
        </w:rPr>
      </w:pPr>
      <w:r w:rsidRPr="081E6A61">
        <w:rPr>
          <w:rFonts w:eastAsia="Arial"/>
          <w:lang w:eastAsia="en-AU" w:bidi="en-AU"/>
        </w:rPr>
        <w:t>U</w:t>
      </w:r>
      <w:r w:rsidR="2E54093F" w:rsidRPr="081E6A61">
        <w:rPr>
          <w:rFonts w:eastAsia="Arial"/>
          <w:lang w:eastAsia="en-AU" w:bidi="en-AU"/>
        </w:rPr>
        <w:t>nder the current settings, the O</w:t>
      </w:r>
      <w:r w:rsidR="72C5504E" w:rsidRPr="081E6A61">
        <w:rPr>
          <w:rFonts w:eastAsia="Arial"/>
          <w:lang w:eastAsia="en-AU" w:bidi="en-AU"/>
        </w:rPr>
        <w:t>IA</w:t>
      </w:r>
      <w:r w:rsidR="2E54093F" w:rsidRPr="081E6A61">
        <w:rPr>
          <w:rFonts w:eastAsia="Arial"/>
          <w:lang w:eastAsia="en-AU" w:bidi="en-AU"/>
        </w:rPr>
        <w:t xml:space="preserve"> publishes each </w:t>
      </w:r>
      <w:r w:rsidR="72C5504E" w:rsidRPr="081E6A61">
        <w:rPr>
          <w:rFonts w:eastAsia="Arial"/>
          <w:lang w:eastAsia="en-AU" w:bidi="en-AU"/>
        </w:rPr>
        <w:t>IA</w:t>
      </w:r>
      <w:r w:rsidR="10EE6620" w:rsidRPr="081E6A61">
        <w:rPr>
          <w:rFonts w:eastAsia="Arial"/>
          <w:lang w:eastAsia="en-AU" w:bidi="en-AU"/>
        </w:rPr>
        <w:t xml:space="preserve"> document</w:t>
      </w:r>
      <w:r w:rsidR="2E54093F" w:rsidRPr="081E6A61">
        <w:rPr>
          <w:rFonts w:eastAsia="Arial"/>
          <w:lang w:eastAsia="en-AU" w:bidi="en-AU"/>
        </w:rPr>
        <w:t xml:space="preserve">, the associated agency certification letter and the </w:t>
      </w:r>
      <w:r w:rsidR="72C5504E" w:rsidRPr="081E6A61">
        <w:rPr>
          <w:rFonts w:eastAsia="Arial"/>
          <w:lang w:eastAsia="en-AU" w:bidi="en-AU"/>
        </w:rPr>
        <w:t>OIA a</w:t>
      </w:r>
      <w:r w:rsidR="2E54093F" w:rsidRPr="081E6A61">
        <w:rPr>
          <w:rFonts w:eastAsia="Arial"/>
          <w:lang w:eastAsia="en-AU" w:bidi="en-AU"/>
        </w:rPr>
        <w:t>ssessment letter</w:t>
      </w:r>
      <w:r w:rsidR="6C2FB716" w:rsidRPr="081E6A61">
        <w:rPr>
          <w:rFonts w:eastAsia="Arial"/>
          <w:lang w:eastAsia="en-AU" w:bidi="en-AU"/>
        </w:rPr>
        <w:t xml:space="preserve"> on its website</w:t>
      </w:r>
      <w:r w:rsidR="2E54093F" w:rsidRPr="081E6A61">
        <w:rPr>
          <w:rFonts w:eastAsia="Arial"/>
          <w:lang w:eastAsia="en-AU" w:bidi="en-AU"/>
        </w:rPr>
        <w:t>. A</w:t>
      </w:r>
      <w:r w:rsidR="72C5504E" w:rsidRPr="081E6A61">
        <w:rPr>
          <w:rFonts w:eastAsia="Arial"/>
          <w:lang w:eastAsia="en-AU" w:bidi="en-AU"/>
        </w:rPr>
        <w:t>n</w:t>
      </w:r>
      <w:r w:rsidR="2E54093F" w:rsidRPr="081E6A61">
        <w:rPr>
          <w:rFonts w:eastAsia="Arial"/>
          <w:lang w:eastAsia="en-AU" w:bidi="en-AU"/>
        </w:rPr>
        <w:t xml:space="preserve"> </w:t>
      </w:r>
      <w:r w:rsidR="72C5504E" w:rsidRPr="081E6A61">
        <w:rPr>
          <w:rFonts w:eastAsia="Arial"/>
          <w:lang w:eastAsia="en-AU" w:bidi="en-AU"/>
        </w:rPr>
        <w:t>IA</w:t>
      </w:r>
      <w:r w:rsidR="2E54093F" w:rsidRPr="081E6A61">
        <w:rPr>
          <w:rFonts w:eastAsia="Arial"/>
          <w:lang w:eastAsia="en-AU" w:bidi="en-AU"/>
        </w:rPr>
        <w:t xml:space="preserve"> can evolve during the policy development process and can also be published for consultation at an early stage. The O</w:t>
      </w:r>
      <w:r w:rsidR="72C5504E" w:rsidRPr="081E6A61">
        <w:rPr>
          <w:rFonts w:eastAsia="Arial"/>
          <w:lang w:eastAsia="en-AU" w:bidi="en-AU"/>
        </w:rPr>
        <w:t>IA</w:t>
      </w:r>
      <w:r w:rsidR="2E54093F" w:rsidRPr="081E6A61">
        <w:rPr>
          <w:rFonts w:eastAsia="Arial"/>
          <w:lang w:eastAsia="en-AU" w:bidi="en-AU"/>
        </w:rPr>
        <w:t xml:space="preserve"> assesses </w:t>
      </w:r>
      <w:r w:rsidR="72C5504E" w:rsidRPr="081E6A61">
        <w:rPr>
          <w:rFonts w:eastAsia="Arial"/>
          <w:lang w:eastAsia="en-AU" w:bidi="en-AU"/>
        </w:rPr>
        <w:t>IA</w:t>
      </w:r>
      <w:r w:rsidR="2E54093F" w:rsidRPr="081E6A61">
        <w:rPr>
          <w:rFonts w:eastAsia="Arial"/>
          <w:lang w:eastAsia="en-AU" w:bidi="en-AU"/>
        </w:rPr>
        <w:t xml:space="preserve">s for compliance at the final decision point. </w:t>
      </w:r>
    </w:p>
    <w:p w14:paraId="6852DE18" w14:textId="740470ED" w:rsidR="00725547" w:rsidRPr="001573D5" w:rsidRDefault="4E0AC77D" w:rsidP="00C141C1">
      <w:pPr>
        <w:rPr>
          <w:rFonts w:eastAsia="Arial"/>
          <w:lang w:eastAsia="en-AU" w:bidi="en-AU"/>
        </w:rPr>
      </w:pPr>
      <w:r w:rsidRPr="03051D12">
        <w:rPr>
          <w:rFonts w:eastAsia="Arial"/>
          <w:lang w:eastAsia="en-AU" w:bidi="en-AU"/>
        </w:rPr>
        <w:t>In addition to a full IA</w:t>
      </w:r>
      <w:r w:rsidR="44533939" w:rsidRPr="03051D12">
        <w:rPr>
          <w:rFonts w:eastAsia="Arial"/>
          <w:lang w:eastAsia="en-AU" w:bidi="en-AU"/>
        </w:rPr>
        <w:t>,</w:t>
      </w:r>
      <w:r w:rsidR="1FD599F0" w:rsidRPr="03051D12">
        <w:rPr>
          <w:rFonts w:eastAsia="Arial"/>
          <w:lang w:eastAsia="en-AU" w:bidi="en-AU"/>
        </w:rPr>
        <w:t xml:space="preserve"> the </w:t>
      </w:r>
      <w:r w:rsidR="3B8F6146" w:rsidRPr="03051D12">
        <w:rPr>
          <w:rFonts w:eastAsia="Arial"/>
          <w:lang w:eastAsia="en-AU" w:bidi="en-AU"/>
        </w:rPr>
        <w:t>IA</w:t>
      </w:r>
      <w:r w:rsidR="1FD599F0" w:rsidRPr="03051D12">
        <w:rPr>
          <w:rFonts w:eastAsia="Arial"/>
          <w:lang w:eastAsia="en-AU" w:bidi="en-AU"/>
        </w:rPr>
        <w:t xml:space="preserve"> requirements </w:t>
      </w:r>
      <w:r w:rsidR="4872FE41" w:rsidRPr="03051D12">
        <w:rPr>
          <w:rFonts w:eastAsia="Arial"/>
          <w:lang w:eastAsia="en-AU" w:bidi="en-AU"/>
        </w:rPr>
        <w:t>can be</w:t>
      </w:r>
      <w:r w:rsidR="2B3A150E" w:rsidRPr="03051D12">
        <w:rPr>
          <w:rFonts w:eastAsia="Arial"/>
          <w:lang w:eastAsia="en-AU" w:bidi="en-AU"/>
        </w:rPr>
        <w:t xml:space="preserve"> </w:t>
      </w:r>
      <w:r w:rsidR="1FD599F0" w:rsidRPr="03051D12">
        <w:rPr>
          <w:rFonts w:eastAsia="Arial"/>
          <w:lang w:eastAsia="en-AU" w:bidi="en-AU"/>
        </w:rPr>
        <w:t xml:space="preserve">met by </w:t>
      </w:r>
      <w:r w:rsidR="6FE68E5C" w:rsidRPr="03051D12">
        <w:rPr>
          <w:rFonts w:eastAsia="Arial"/>
          <w:lang w:eastAsia="en-AU" w:bidi="en-AU"/>
        </w:rPr>
        <w:t xml:space="preserve">the relevant Department Deputy Secretary </w:t>
      </w:r>
      <w:r w:rsidR="1FD599F0" w:rsidRPr="03051D12">
        <w:rPr>
          <w:rFonts w:eastAsia="Arial"/>
          <w:lang w:eastAsia="en-AU" w:bidi="en-AU"/>
        </w:rPr>
        <w:t xml:space="preserve">certifying an </w:t>
      </w:r>
      <w:r w:rsidR="4BFFF7D3" w:rsidRPr="03051D12">
        <w:rPr>
          <w:rFonts w:eastAsia="Arial"/>
          <w:lang w:eastAsia="en-AU" w:bidi="en-AU"/>
        </w:rPr>
        <w:t>Impact Analysis equivalent (IAE)</w:t>
      </w:r>
      <w:r w:rsidR="1FD599F0" w:rsidRPr="03051D12">
        <w:rPr>
          <w:rFonts w:eastAsia="Arial"/>
          <w:lang w:eastAsia="en-AU" w:bidi="en-AU"/>
        </w:rPr>
        <w:t xml:space="preserve"> process. The O</w:t>
      </w:r>
      <w:r w:rsidR="3B8F6146" w:rsidRPr="03051D12">
        <w:rPr>
          <w:rFonts w:eastAsia="Arial"/>
          <w:lang w:eastAsia="en-AU" w:bidi="en-AU"/>
        </w:rPr>
        <w:t>IA</w:t>
      </w:r>
      <w:r w:rsidR="1FD599F0" w:rsidRPr="03051D12">
        <w:rPr>
          <w:rFonts w:eastAsia="Arial"/>
          <w:lang w:eastAsia="en-AU" w:bidi="en-AU"/>
        </w:rPr>
        <w:t xml:space="preserve"> does not assess these certifications for quality, only for relevance</w:t>
      </w:r>
      <w:r w:rsidR="7AACEC28" w:rsidRPr="03051D12">
        <w:rPr>
          <w:rFonts w:eastAsia="Arial"/>
          <w:lang w:eastAsia="en-AU" w:bidi="en-AU"/>
        </w:rPr>
        <w:t xml:space="preserve"> to the recommended options, and for the coverage of the seven IA questions</w:t>
      </w:r>
      <w:r w:rsidR="1FD599F0" w:rsidRPr="03051D12">
        <w:rPr>
          <w:rFonts w:eastAsia="Arial"/>
          <w:lang w:eastAsia="en-AU" w:bidi="en-AU"/>
        </w:rPr>
        <w:t xml:space="preserve">. </w:t>
      </w:r>
    </w:p>
    <w:p w14:paraId="26803BCD" w14:textId="77777777" w:rsidR="00586FEC" w:rsidRDefault="00586FEC" w:rsidP="00C141C1">
      <w:pPr>
        <w:sectPr w:rsidR="00586FEC" w:rsidSect="00C141C1">
          <w:headerReference w:type="even" r:id="rId12"/>
          <w:headerReference w:type="default" r:id="rId13"/>
          <w:footerReference w:type="even" r:id="rId14"/>
          <w:footerReference w:type="default" r:id="rId15"/>
          <w:headerReference w:type="first" r:id="rId16"/>
          <w:footerReference w:type="first" r:id="rId17"/>
          <w:pgSz w:w="11906" w:h="16838"/>
          <w:pgMar w:top="2835" w:right="964" w:bottom="1701" w:left="964" w:header="709" w:footer="709" w:gutter="0"/>
          <w:cols w:space="708"/>
          <w:docGrid w:linePitch="360"/>
        </w:sectPr>
      </w:pPr>
    </w:p>
    <w:sdt>
      <w:sdtPr>
        <w:rPr>
          <w:rFonts w:asciiTheme="minorHAnsi" w:eastAsiaTheme="minorEastAsia" w:hAnsiTheme="minorHAnsi" w:cstheme="minorBidi"/>
          <w:color w:val="auto"/>
          <w:sz w:val="22"/>
          <w:szCs w:val="22"/>
        </w:rPr>
        <w:id w:val="3357903"/>
        <w:docPartObj>
          <w:docPartGallery w:val="Table of Contents"/>
          <w:docPartUnique/>
        </w:docPartObj>
      </w:sdtPr>
      <w:sdtEndPr/>
      <w:sdtContent>
        <w:p w14:paraId="50C08E16" w14:textId="77777777" w:rsidR="00117A77" w:rsidRDefault="00117A77">
          <w:pPr>
            <w:pStyle w:val="TOCHeading"/>
          </w:pPr>
          <w:r>
            <w:t>Contents</w:t>
          </w:r>
        </w:p>
        <w:p w14:paraId="4D540437" w14:textId="414229CA" w:rsidR="008034A6" w:rsidRDefault="008E4734">
          <w:pPr>
            <w:pStyle w:val="TOC1"/>
            <w:tabs>
              <w:tab w:val="right" w:leader="dot" w:pos="9968"/>
            </w:tabs>
            <w:rPr>
              <w:noProof/>
              <w:szCs w:val="22"/>
              <w:lang w:eastAsia="en-AU"/>
            </w:rPr>
          </w:pPr>
          <w:r>
            <w:fldChar w:fldCharType="begin"/>
          </w:r>
          <w:r w:rsidR="006D5A7C">
            <w:instrText>TOC \o "1-3" \z \u \h</w:instrText>
          </w:r>
          <w:r>
            <w:fldChar w:fldCharType="separate"/>
          </w:r>
          <w:hyperlink w:anchor="_Toc181213869" w:history="1">
            <w:r w:rsidR="008034A6" w:rsidRPr="00030F23">
              <w:rPr>
                <w:rStyle w:val="Hyperlink"/>
                <w:noProof/>
              </w:rPr>
              <w:t>Summary of compliance</w:t>
            </w:r>
            <w:r w:rsidR="008034A6">
              <w:rPr>
                <w:noProof/>
                <w:webHidden/>
              </w:rPr>
              <w:tab/>
            </w:r>
            <w:r w:rsidR="008034A6">
              <w:rPr>
                <w:noProof/>
                <w:webHidden/>
              </w:rPr>
              <w:fldChar w:fldCharType="begin"/>
            </w:r>
            <w:r w:rsidR="008034A6">
              <w:rPr>
                <w:noProof/>
                <w:webHidden/>
              </w:rPr>
              <w:instrText xml:space="preserve"> PAGEREF _Toc181213869 \h </w:instrText>
            </w:r>
            <w:r w:rsidR="008034A6">
              <w:rPr>
                <w:noProof/>
                <w:webHidden/>
              </w:rPr>
            </w:r>
            <w:r w:rsidR="008034A6">
              <w:rPr>
                <w:noProof/>
                <w:webHidden/>
              </w:rPr>
              <w:fldChar w:fldCharType="separate"/>
            </w:r>
            <w:r w:rsidR="008034A6">
              <w:rPr>
                <w:noProof/>
                <w:webHidden/>
              </w:rPr>
              <w:t>4</w:t>
            </w:r>
            <w:r w:rsidR="008034A6">
              <w:rPr>
                <w:noProof/>
                <w:webHidden/>
              </w:rPr>
              <w:fldChar w:fldCharType="end"/>
            </w:r>
          </w:hyperlink>
        </w:p>
        <w:p w14:paraId="2B329FE7" w14:textId="128A97CF" w:rsidR="008034A6" w:rsidRDefault="00574AC5">
          <w:pPr>
            <w:pStyle w:val="TOC1"/>
            <w:tabs>
              <w:tab w:val="right" w:leader="dot" w:pos="9968"/>
            </w:tabs>
            <w:rPr>
              <w:noProof/>
              <w:szCs w:val="22"/>
              <w:lang w:eastAsia="en-AU"/>
            </w:rPr>
          </w:pPr>
          <w:hyperlink w:anchor="_Toc181213870" w:history="1">
            <w:r w:rsidR="008034A6" w:rsidRPr="00030F23">
              <w:rPr>
                <w:rStyle w:val="Hyperlink"/>
                <w:noProof/>
              </w:rPr>
              <w:t>Impact Analysis compliance summary by Department or Agency, 2024-25</w:t>
            </w:r>
            <w:r w:rsidR="008034A6">
              <w:rPr>
                <w:noProof/>
                <w:webHidden/>
              </w:rPr>
              <w:tab/>
            </w:r>
            <w:r w:rsidR="008034A6">
              <w:rPr>
                <w:noProof/>
                <w:webHidden/>
              </w:rPr>
              <w:fldChar w:fldCharType="begin"/>
            </w:r>
            <w:r w:rsidR="008034A6">
              <w:rPr>
                <w:noProof/>
                <w:webHidden/>
              </w:rPr>
              <w:instrText xml:space="preserve"> PAGEREF _Toc181213870 \h </w:instrText>
            </w:r>
            <w:r w:rsidR="008034A6">
              <w:rPr>
                <w:noProof/>
                <w:webHidden/>
              </w:rPr>
            </w:r>
            <w:r w:rsidR="008034A6">
              <w:rPr>
                <w:noProof/>
                <w:webHidden/>
              </w:rPr>
              <w:fldChar w:fldCharType="separate"/>
            </w:r>
            <w:r w:rsidR="008034A6">
              <w:rPr>
                <w:noProof/>
                <w:webHidden/>
              </w:rPr>
              <w:t>4</w:t>
            </w:r>
            <w:r w:rsidR="008034A6">
              <w:rPr>
                <w:noProof/>
                <w:webHidden/>
              </w:rPr>
              <w:fldChar w:fldCharType="end"/>
            </w:r>
          </w:hyperlink>
        </w:p>
        <w:p w14:paraId="502D264D" w14:textId="3AA9B245" w:rsidR="008034A6" w:rsidRDefault="00574AC5">
          <w:pPr>
            <w:pStyle w:val="TOC2"/>
            <w:tabs>
              <w:tab w:val="right" w:leader="dot" w:pos="9968"/>
            </w:tabs>
            <w:rPr>
              <w:noProof/>
              <w:szCs w:val="22"/>
              <w:lang w:eastAsia="en-AU"/>
            </w:rPr>
          </w:pPr>
          <w:hyperlink w:anchor="_Toc181213871" w:history="1">
            <w:r w:rsidR="008034A6" w:rsidRPr="00030F23">
              <w:rPr>
                <w:rStyle w:val="Hyperlink"/>
                <w:noProof/>
              </w:rPr>
              <w:t>Attorney-General’s Department</w:t>
            </w:r>
            <w:r w:rsidR="008034A6">
              <w:rPr>
                <w:noProof/>
                <w:webHidden/>
              </w:rPr>
              <w:tab/>
            </w:r>
            <w:r w:rsidR="008034A6">
              <w:rPr>
                <w:noProof/>
                <w:webHidden/>
              </w:rPr>
              <w:fldChar w:fldCharType="begin"/>
            </w:r>
            <w:r w:rsidR="008034A6">
              <w:rPr>
                <w:noProof/>
                <w:webHidden/>
              </w:rPr>
              <w:instrText xml:space="preserve"> PAGEREF _Toc181213871 \h </w:instrText>
            </w:r>
            <w:r w:rsidR="008034A6">
              <w:rPr>
                <w:noProof/>
                <w:webHidden/>
              </w:rPr>
            </w:r>
            <w:r w:rsidR="008034A6">
              <w:rPr>
                <w:noProof/>
                <w:webHidden/>
              </w:rPr>
              <w:fldChar w:fldCharType="separate"/>
            </w:r>
            <w:r w:rsidR="008034A6">
              <w:rPr>
                <w:noProof/>
                <w:webHidden/>
              </w:rPr>
              <w:t>4</w:t>
            </w:r>
            <w:r w:rsidR="008034A6">
              <w:rPr>
                <w:noProof/>
                <w:webHidden/>
              </w:rPr>
              <w:fldChar w:fldCharType="end"/>
            </w:r>
          </w:hyperlink>
        </w:p>
        <w:p w14:paraId="6F233974" w14:textId="79837D46" w:rsidR="008034A6" w:rsidRDefault="00574AC5">
          <w:pPr>
            <w:pStyle w:val="TOC2"/>
            <w:tabs>
              <w:tab w:val="right" w:leader="dot" w:pos="9968"/>
            </w:tabs>
            <w:rPr>
              <w:noProof/>
              <w:szCs w:val="22"/>
              <w:lang w:eastAsia="en-AU"/>
            </w:rPr>
          </w:pPr>
          <w:hyperlink w:anchor="_Toc181213872" w:history="1">
            <w:r w:rsidR="008034A6" w:rsidRPr="00030F23">
              <w:rPr>
                <w:rStyle w:val="Hyperlink"/>
                <w:noProof/>
              </w:rPr>
              <w:t>Australian Competition and Consumer Commission</w:t>
            </w:r>
            <w:r w:rsidR="008034A6">
              <w:rPr>
                <w:noProof/>
                <w:webHidden/>
              </w:rPr>
              <w:tab/>
            </w:r>
            <w:r w:rsidR="008034A6">
              <w:rPr>
                <w:noProof/>
                <w:webHidden/>
              </w:rPr>
              <w:fldChar w:fldCharType="begin"/>
            </w:r>
            <w:r w:rsidR="008034A6">
              <w:rPr>
                <w:noProof/>
                <w:webHidden/>
              </w:rPr>
              <w:instrText xml:space="preserve"> PAGEREF _Toc181213872 \h </w:instrText>
            </w:r>
            <w:r w:rsidR="008034A6">
              <w:rPr>
                <w:noProof/>
                <w:webHidden/>
              </w:rPr>
            </w:r>
            <w:r w:rsidR="008034A6">
              <w:rPr>
                <w:noProof/>
                <w:webHidden/>
              </w:rPr>
              <w:fldChar w:fldCharType="separate"/>
            </w:r>
            <w:r w:rsidR="008034A6">
              <w:rPr>
                <w:noProof/>
                <w:webHidden/>
              </w:rPr>
              <w:t>5</w:t>
            </w:r>
            <w:r w:rsidR="008034A6">
              <w:rPr>
                <w:noProof/>
                <w:webHidden/>
              </w:rPr>
              <w:fldChar w:fldCharType="end"/>
            </w:r>
          </w:hyperlink>
        </w:p>
        <w:p w14:paraId="355FFD0B" w14:textId="3087EA0C" w:rsidR="008034A6" w:rsidRDefault="00574AC5">
          <w:pPr>
            <w:pStyle w:val="TOC2"/>
            <w:tabs>
              <w:tab w:val="right" w:leader="dot" w:pos="9968"/>
            </w:tabs>
            <w:rPr>
              <w:noProof/>
              <w:szCs w:val="22"/>
              <w:lang w:eastAsia="en-AU"/>
            </w:rPr>
          </w:pPr>
          <w:hyperlink w:anchor="_Toc181213873" w:history="1">
            <w:r w:rsidR="008034A6" w:rsidRPr="00030F23">
              <w:rPr>
                <w:rStyle w:val="Hyperlink"/>
                <w:noProof/>
              </w:rPr>
              <w:t>Department of Climate Change, Energy, the Environment and Water</w:t>
            </w:r>
            <w:r w:rsidR="008034A6">
              <w:rPr>
                <w:noProof/>
                <w:webHidden/>
              </w:rPr>
              <w:tab/>
            </w:r>
            <w:r w:rsidR="008034A6">
              <w:rPr>
                <w:noProof/>
                <w:webHidden/>
              </w:rPr>
              <w:fldChar w:fldCharType="begin"/>
            </w:r>
            <w:r w:rsidR="008034A6">
              <w:rPr>
                <w:noProof/>
                <w:webHidden/>
              </w:rPr>
              <w:instrText xml:space="preserve"> PAGEREF _Toc181213873 \h </w:instrText>
            </w:r>
            <w:r w:rsidR="008034A6">
              <w:rPr>
                <w:noProof/>
                <w:webHidden/>
              </w:rPr>
            </w:r>
            <w:r w:rsidR="008034A6">
              <w:rPr>
                <w:noProof/>
                <w:webHidden/>
              </w:rPr>
              <w:fldChar w:fldCharType="separate"/>
            </w:r>
            <w:r w:rsidR="008034A6">
              <w:rPr>
                <w:noProof/>
                <w:webHidden/>
              </w:rPr>
              <w:t>5</w:t>
            </w:r>
            <w:r w:rsidR="008034A6">
              <w:rPr>
                <w:noProof/>
                <w:webHidden/>
              </w:rPr>
              <w:fldChar w:fldCharType="end"/>
            </w:r>
          </w:hyperlink>
        </w:p>
        <w:p w14:paraId="3E7B6A09" w14:textId="2A945D2F" w:rsidR="008034A6" w:rsidRDefault="00574AC5">
          <w:pPr>
            <w:pStyle w:val="TOC2"/>
            <w:tabs>
              <w:tab w:val="right" w:leader="dot" w:pos="9968"/>
            </w:tabs>
            <w:rPr>
              <w:noProof/>
              <w:szCs w:val="22"/>
              <w:lang w:eastAsia="en-AU"/>
            </w:rPr>
          </w:pPr>
          <w:hyperlink w:anchor="_Toc181213874" w:history="1">
            <w:r w:rsidR="008034A6" w:rsidRPr="00030F23">
              <w:rPr>
                <w:rStyle w:val="Hyperlink"/>
                <w:noProof/>
              </w:rPr>
              <w:t>Department of Health and Aged Care</w:t>
            </w:r>
            <w:r w:rsidR="008034A6">
              <w:rPr>
                <w:noProof/>
                <w:webHidden/>
              </w:rPr>
              <w:tab/>
            </w:r>
            <w:r w:rsidR="008034A6">
              <w:rPr>
                <w:noProof/>
                <w:webHidden/>
              </w:rPr>
              <w:fldChar w:fldCharType="begin"/>
            </w:r>
            <w:r w:rsidR="008034A6">
              <w:rPr>
                <w:noProof/>
                <w:webHidden/>
              </w:rPr>
              <w:instrText xml:space="preserve"> PAGEREF _Toc181213874 \h </w:instrText>
            </w:r>
            <w:r w:rsidR="008034A6">
              <w:rPr>
                <w:noProof/>
                <w:webHidden/>
              </w:rPr>
            </w:r>
            <w:r w:rsidR="008034A6">
              <w:rPr>
                <w:noProof/>
                <w:webHidden/>
              </w:rPr>
              <w:fldChar w:fldCharType="separate"/>
            </w:r>
            <w:r w:rsidR="008034A6">
              <w:rPr>
                <w:noProof/>
                <w:webHidden/>
              </w:rPr>
              <w:t>5</w:t>
            </w:r>
            <w:r w:rsidR="008034A6">
              <w:rPr>
                <w:noProof/>
                <w:webHidden/>
              </w:rPr>
              <w:fldChar w:fldCharType="end"/>
            </w:r>
          </w:hyperlink>
        </w:p>
        <w:p w14:paraId="1F9FA959" w14:textId="54DF471E" w:rsidR="008034A6" w:rsidRDefault="00574AC5">
          <w:pPr>
            <w:pStyle w:val="TOC2"/>
            <w:tabs>
              <w:tab w:val="right" w:leader="dot" w:pos="9968"/>
            </w:tabs>
            <w:rPr>
              <w:noProof/>
              <w:szCs w:val="22"/>
              <w:lang w:eastAsia="en-AU"/>
            </w:rPr>
          </w:pPr>
          <w:hyperlink w:anchor="_Toc181213875" w:history="1">
            <w:r w:rsidR="008034A6" w:rsidRPr="00030F23">
              <w:rPr>
                <w:rStyle w:val="Hyperlink"/>
                <w:noProof/>
              </w:rPr>
              <w:t>Department of Home Affairs</w:t>
            </w:r>
            <w:r w:rsidR="008034A6">
              <w:rPr>
                <w:noProof/>
                <w:webHidden/>
              </w:rPr>
              <w:tab/>
            </w:r>
            <w:r w:rsidR="008034A6">
              <w:rPr>
                <w:noProof/>
                <w:webHidden/>
              </w:rPr>
              <w:fldChar w:fldCharType="begin"/>
            </w:r>
            <w:r w:rsidR="008034A6">
              <w:rPr>
                <w:noProof/>
                <w:webHidden/>
              </w:rPr>
              <w:instrText xml:space="preserve"> PAGEREF _Toc181213875 \h </w:instrText>
            </w:r>
            <w:r w:rsidR="008034A6">
              <w:rPr>
                <w:noProof/>
                <w:webHidden/>
              </w:rPr>
            </w:r>
            <w:r w:rsidR="008034A6">
              <w:rPr>
                <w:noProof/>
                <w:webHidden/>
              </w:rPr>
              <w:fldChar w:fldCharType="separate"/>
            </w:r>
            <w:r w:rsidR="008034A6">
              <w:rPr>
                <w:noProof/>
                <w:webHidden/>
              </w:rPr>
              <w:t>6</w:t>
            </w:r>
            <w:r w:rsidR="008034A6">
              <w:rPr>
                <w:noProof/>
                <w:webHidden/>
              </w:rPr>
              <w:fldChar w:fldCharType="end"/>
            </w:r>
          </w:hyperlink>
        </w:p>
        <w:p w14:paraId="4B307926" w14:textId="30F0947A" w:rsidR="008034A6" w:rsidRDefault="00574AC5">
          <w:pPr>
            <w:pStyle w:val="TOC2"/>
            <w:tabs>
              <w:tab w:val="right" w:leader="dot" w:pos="9968"/>
            </w:tabs>
            <w:rPr>
              <w:noProof/>
              <w:szCs w:val="22"/>
              <w:lang w:eastAsia="en-AU"/>
            </w:rPr>
          </w:pPr>
          <w:hyperlink w:anchor="_Toc181213876" w:history="1">
            <w:r w:rsidR="008034A6" w:rsidRPr="00030F23">
              <w:rPr>
                <w:rStyle w:val="Hyperlink"/>
                <w:noProof/>
              </w:rPr>
              <w:t>Department of Infrastructure, Transport, Regional Development, Communications and the Arts</w:t>
            </w:r>
            <w:r w:rsidR="008034A6">
              <w:rPr>
                <w:noProof/>
                <w:webHidden/>
              </w:rPr>
              <w:tab/>
            </w:r>
            <w:r w:rsidR="008034A6">
              <w:rPr>
                <w:noProof/>
                <w:webHidden/>
              </w:rPr>
              <w:fldChar w:fldCharType="begin"/>
            </w:r>
            <w:r w:rsidR="008034A6">
              <w:rPr>
                <w:noProof/>
                <w:webHidden/>
              </w:rPr>
              <w:instrText xml:space="preserve"> PAGEREF _Toc181213876 \h </w:instrText>
            </w:r>
            <w:r w:rsidR="008034A6">
              <w:rPr>
                <w:noProof/>
                <w:webHidden/>
              </w:rPr>
            </w:r>
            <w:r w:rsidR="008034A6">
              <w:rPr>
                <w:noProof/>
                <w:webHidden/>
              </w:rPr>
              <w:fldChar w:fldCharType="separate"/>
            </w:r>
            <w:r w:rsidR="008034A6">
              <w:rPr>
                <w:noProof/>
                <w:webHidden/>
              </w:rPr>
              <w:t>6</w:t>
            </w:r>
            <w:r w:rsidR="008034A6">
              <w:rPr>
                <w:noProof/>
                <w:webHidden/>
              </w:rPr>
              <w:fldChar w:fldCharType="end"/>
            </w:r>
          </w:hyperlink>
        </w:p>
        <w:p w14:paraId="1DA47B07" w14:textId="07650E6A" w:rsidR="008034A6" w:rsidRDefault="00574AC5">
          <w:pPr>
            <w:pStyle w:val="TOC2"/>
            <w:tabs>
              <w:tab w:val="right" w:leader="dot" w:pos="9968"/>
            </w:tabs>
            <w:rPr>
              <w:noProof/>
              <w:szCs w:val="22"/>
              <w:lang w:eastAsia="en-AU"/>
            </w:rPr>
          </w:pPr>
          <w:hyperlink w:anchor="_Toc181213877" w:history="1">
            <w:r w:rsidR="008034A6" w:rsidRPr="00030F23">
              <w:rPr>
                <w:rStyle w:val="Hyperlink"/>
                <w:noProof/>
              </w:rPr>
              <w:t>Department of the Treasury</w:t>
            </w:r>
            <w:r w:rsidR="008034A6">
              <w:rPr>
                <w:noProof/>
                <w:webHidden/>
              </w:rPr>
              <w:tab/>
            </w:r>
            <w:r w:rsidR="008034A6">
              <w:rPr>
                <w:noProof/>
                <w:webHidden/>
              </w:rPr>
              <w:fldChar w:fldCharType="begin"/>
            </w:r>
            <w:r w:rsidR="008034A6">
              <w:rPr>
                <w:noProof/>
                <w:webHidden/>
              </w:rPr>
              <w:instrText xml:space="preserve"> PAGEREF _Toc181213877 \h </w:instrText>
            </w:r>
            <w:r w:rsidR="008034A6">
              <w:rPr>
                <w:noProof/>
                <w:webHidden/>
              </w:rPr>
            </w:r>
            <w:r w:rsidR="008034A6">
              <w:rPr>
                <w:noProof/>
                <w:webHidden/>
              </w:rPr>
              <w:fldChar w:fldCharType="separate"/>
            </w:r>
            <w:r w:rsidR="008034A6">
              <w:rPr>
                <w:noProof/>
                <w:webHidden/>
              </w:rPr>
              <w:t>6</w:t>
            </w:r>
            <w:r w:rsidR="008034A6">
              <w:rPr>
                <w:noProof/>
                <w:webHidden/>
              </w:rPr>
              <w:fldChar w:fldCharType="end"/>
            </w:r>
          </w:hyperlink>
        </w:p>
        <w:p w14:paraId="4A107550" w14:textId="546650E0" w:rsidR="008034A6" w:rsidRDefault="00574AC5">
          <w:pPr>
            <w:pStyle w:val="TOC2"/>
            <w:tabs>
              <w:tab w:val="right" w:leader="dot" w:pos="9968"/>
            </w:tabs>
            <w:rPr>
              <w:noProof/>
              <w:szCs w:val="22"/>
              <w:lang w:eastAsia="en-AU"/>
            </w:rPr>
          </w:pPr>
          <w:hyperlink w:anchor="_Toc181213878" w:history="1">
            <w:r w:rsidR="008034A6" w:rsidRPr="00030F23">
              <w:rPr>
                <w:rStyle w:val="Hyperlink"/>
                <w:noProof/>
              </w:rPr>
              <w:t>National Indigenous Australians Agency</w:t>
            </w:r>
            <w:r w:rsidR="008034A6">
              <w:rPr>
                <w:noProof/>
                <w:webHidden/>
              </w:rPr>
              <w:tab/>
            </w:r>
            <w:r w:rsidR="008034A6">
              <w:rPr>
                <w:noProof/>
                <w:webHidden/>
              </w:rPr>
              <w:fldChar w:fldCharType="begin"/>
            </w:r>
            <w:r w:rsidR="008034A6">
              <w:rPr>
                <w:noProof/>
                <w:webHidden/>
              </w:rPr>
              <w:instrText xml:space="preserve"> PAGEREF _Toc181213878 \h </w:instrText>
            </w:r>
            <w:r w:rsidR="008034A6">
              <w:rPr>
                <w:noProof/>
                <w:webHidden/>
              </w:rPr>
            </w:r>
            <w:r w:rsidR="008034A6">
              <w:rPr>
                <w:noProof/>
                <w:webHidden/>
              </w:rPr>
              <w:fldChar w:fldCharType="separate"/>
            </w:r>
            <w:r w:rsidR="008034A6">
              <w:rPr>
                <w:noProof/>
                <w:webHidden/>
              </w:rPr>
              <w:t>7</w:t>
            </w:r>
            <w:r w:rsidR="008034A6">
              <w:rPr>
                <w:noProof/>
                <w:webHidden/>
              </w:rPr>
              <w:fldChar w:fldCharType="end"/>
            </w:r>
          </w:hyperlink>
        </w:p>
        <w:p w14:paraId="7471599F" w14:textId="3D441C49" w:rsidR="008034A6" w:rsidRDefault="00574AC5">
          <w:pPr>
            <w:pStyle w:val="TOC1"/>
            <w:tabs>
              <w:tab w:val="right" w:leader="dot" w:pos="9968"/>
            </w:tabs>
            <w:rPr>
              <w:noProof/>
              <w:szCs w:val="22"/>
              <w:lang w:eastAsia="en-AU"/>
            </w:rPr>
          </w:pPr>
          <w:hyperlink w:anchor="_Toc181213879" w:history="1">
            <w:r w:rsidR="008034A6" w:rsidRPr="00030F23">
              <w:rPr>
                <w:rStyle w:val="Hyperlink"/>
                <w:noProof/>
              </w:rPr>
              <w:t>Detailed information on proposals requiring Impact Analysis, 2025-25</w:t>
            </w:r>
            <w:r w:rsidR="008034A6">
              <w:rPr>
                <w:noProof/>
                <w:webHidden/>
              </w:rPr>
              <w:tab/>
            </w:r>
            <w:r w:rsidR="008034A6">
              <w:rPr>
                <w:noProof/>
                <w:webHidden/>
              </w:rPr>
              <w:fldChar w:fldCharType="begin"/>
            </w:r>
            <w:r w:rsidR="008034A6">
              <w:rPr>
                <w:noProof/>
                <w:webHidden/>
              </w:rPr>
              <w:instrText xml:space="preserve"> PAGEREF _Toc181213879 \h </w:instrText>
            </w:r>
            <w:r w:rsidR="008034A6">
              <w:rPr>
                <w:noProof/>
                <w:webHidden/>
              </w:rPr>
            </w:r>
            <w:r w:rsidR="008034A6">
              <w:rPr>
                <w:noProof/>
                <w:webHidden/>
              </w:rPr>
              <w:fldChar w:fldCharType="separate"/>
            </w:r>
            <w:r w:rsidR="008034A6">
              <w:rPr>
                <w:noProof/>
                <w:webHidden/>
              </w:rPr>
              <w:t>8</w:t>
            </w:r>
            <w:r w:rsidR="008034A6">
              <w:rPr>
                <w:noProof/>
                <w:webHidden/>
              </w:rPr>
              <w:fldChar w:fldCharType="end"/>
            </w:r>
          </w:hyperlink>
        </w:p>
        <w:p w14:paraId="3B88279E" w14:textId="1BF0A51D" w:rsidR="008034A6" w:rsidRDefault="00574AC5">
          <w:pPr>
            <w:pStyle w:val="TOC2"/>
            <w:tabs>
              <w:tab w:val="right" w:leader="dot" w:pos="9968"/>
            </w:tabs>
            <w:rPr>
              <w:noProof/>
              <w:szCs w:val="22"/>
              <w:lang w:eastAsia="en-AU"/>
            </w:rPr>
          </w:pPr>
          <w:hyperlink w:anchor="_Toc181213880" w:history="1">
            <w:r w:rsidR="008034A6" w:rsidRPr="00030F23">
              <w:rPr>
                <w:rStyle w:val="Hyperlink"/>
                <w:noProof/>
              </w:rPr>
              <w:t>Attorney-General's Department</w:t>
            </w:r>
            <w:r w:rsidR="008034A6">
              <w:rPr>
                <w:noProof/>
                <w:webHidden/>
              </w:rPr>
              <w:tab/>
            </w:r>
            <w:r w:rsidR="008034A6">
              <w:rPr>
                <w:noProof/>
                <w:webHidden/>
              </w:rPr>
              <w:fldChar w:fldCharType="begin"/>
            </w:r>
            <w:r w:rsidR="008034A6">
              <w:rPr>
                <w:noProof/>
                <w:webHidden/>
              </w:rPr>
              <w:instrText xml:space="preserve"> PAGEREF _Toc181213880 \h </w:instrText>
            </w:r>
            <w:r w:rsidR="008034A6">
              <w:rPr>
                <w:noProof/>
                <w:webHidden/>
              </w:rPr>
            </w:r>
            <w:r w:rsidR="008034A6">
              <w:rPr>
                <w:noProof/>
                <w:webHidden/>
              </w:rPr>
              <w:fldChar w:fldCharType="separate"/>
            </w:r>
            <w:r w:rsidR="008034A6">
              <w:rPr>
                <w:noProof/>
                <w:webHidden/>
              </w:rPr>
              <w:t>8</w:t>
            </w:r>
            <w:r w:rsidR="008034A6">
              <w:rPr>
                <w:noProof/>
                <w:webHidden/>
              </w:rPr>
              <w:fldChar w:fldCharType="end"/>
            </w:r>
          </w:hyperlink>
        </w:p>
        <w:p w14:paraId="71649FCD" w14:textId="7E27447E" w:rsidR="008034A6" w:rsidRDefault="00574AC5">
          <w:pPr>
            <w:pStyle w:val="TOC3"/>
            <w:tabs>
              <w:tab w:val="right" w:leader="dot" w:pos="9968"/>
            </w:tabs>
            <w:rPr>
              <w:noProof/>
              <w:szCs w:val="22"/>
              <w:lang w:eastAsia="en-AU"/>
            </w:rPr>
          </w:pPr>
          <w:hyperlink w:anchor="_Toc181213881" w:history="1">
            <w:r w:rsidR="008034A6" w:rsidRPr="00030F23">
              <w:rPr>
                <w:rStyle w:val="Hyperlink"/>
                <w:noProof/>
              </w:rPr>
              <w:t>Anti-Money Laundering and Counter-Terrorism Financing Regime (AML-CTF) Reforms</w:t>
            </w:r>
            <w:r w:rsidR="008034A6">
              <w:rPr>
                <w:noProof/>
                <w:webHidden/>
              </w:rPr>
              <w:tab/>
            </w:r>
            <w:r w:rsidR="008034A6">
              <w:rPr>
                <w:noProof/>
                <w:webHidden/>
              </w:rPr>
              <w:fldChar w:fldCharType="begin"/>
            </w:r>
            <w:r w:rsidR="008034A6">
              <w:rPr>
                <w:noProof/>
                <w:webHidden/>
              </w:rPr>
              <w:instrText xml:space="preserve"> PAGEREF _Toc181213881 \h </w:instrText>
            </w:r>
            <w:r w:rsidR="008034A6">
              <w:rPr>
                <w:noProof/>
                <w:webHidden/>
              </w:rPr>
            </w:r>
            <w:r w:rsidR="008034A6">
              <w:rPr>
                <w:noProof/>
                <w:webHidden/>
              </w:rPr>
              <w:fldChar w:fldCharType="separate"/>
            </w:r>
            <w:r w:rsidR="008034A6">
              <w:rPr>
                <w:noProof/>
                <w:webHidden/>
              </w:rPr>
              <w:t>8</w:t>
            </w:r>
            <w:r w:rsidR="008034A6">
              <w:rPr>
                <w:noProof/>
                <w:webHidden/>
              </w:rPr>
              <w:fldChar w:fldCharType="end"/>
            </w:r>
          </w:hyperlink>
        </w:p>
        <w:p w14:paraId="3C537FA6" w14:textId="13163632" w:rsidR="008034A6" w:rsidRDefault="00574AC5">
          <w:pPr>
            <w:pStyle w:val="TOC2"/>
            <w:tabs>
              <w:tab w:val="right" w:leader="dot" w:pos="9968"/>
            </w:tabs>
            <w:rPr>
              <w:noProof/>
              <w:szCs w:val="22"/>
              <w:lang w:eastAsia="en-AU"/>
            </w:rPr>
          </w:pPr>
          <w:hyperlink w:anchor="_Toc181213882" w:history="1">
            <w:r w:rsidR="008034A6" w:rsidRPr="00030F23">
              <w:rPr>
                <w:rStyle w:val="Hyperlink"/>
                <w:noProof/>
              </w:rPr>
              <w:t>Australian Competition and Consumer Commission</w:t>
            </w:r>
            <w:r w:rsidR="008034A6">
              <w:rPr>
                <w:noProof/>
                <w:webHidden/>
              </w:rPr>
              <w:tab/>
            </w:r>
            <w:r w:rsidR="008034A6">
              <w:rPr>
                <w:noProof/>
                <w:webHidden/>
              </w:rPr>
              <w:fldChar w:fldCharType="begin"/>
            </w:r>
            <w:r w:rsidR="008034A6">
              <w:rPr>
                <w:noProof/>
                <w:webHidden/>
              </w:rPr>
              <w:instrText xml:space="preserve"> PAGEREF _Toc181213882 \h </w:instrText>
            </w:r>
            <w:r w:rsidR="008034A6">
              <w:rPr>
                <w:noProof/>
                <w:webHidden/>
              </w:rPr>
            </w:r>
            <w:r w:rsidR="008034A6">
              <w:rPr>
                <w:noProof/>
                <w:webHidden/>
              </w:rPr>
              <w:fldChar w:fldCharType="separate"/>
            </w:r>
            <w:r w:rsidR="008034A6">
              <w:rPr>
                <w:noProof/>
                <w:webHidden/>
              </w:rPr>
              <w:t>9</w:t>
            </w:r>
            <w:r w:rsidR="008034A6">
              <w:rPr>
                <w:noProof/>
                <w:webHidden/>
              </w:rPr>
              <w:fldChar w:fldCharType="end"/>
            </w:r>
          </w:hyperlink>
        </w:p>
        <w:p w14:paraId="6A54C6AA" w14:textId="3EAF0DCC" w:rsidR="008034A6" w:rsidRDefault="00574AC5">
          <w:pPr>
            <w:pStyle w:val="TOC2"/>
            <w:tabs>
              <w:tab w:val="right" w:leader="dot" w:pos="9968"/>
            </w:tabs>
            <w:rPr>
              <w:noProof/>
              <w:szCs w:val="22"/>
              <w:lang w:eastAsia="en-AU"/>
            </w:rPr>
          </w:pPr>
          <w:hyperlink w:anchor="_Toc181213883" w:history="1">
            <w:r w:rsidR="008034A6" w:rsidRPr="00030F23">
              <w:rPr>
                <w:rStyle w:val="Hyperlink"/>
                <w:noProof/>
              </w:rPr>
              <w:t>Department of Climate Change, Energy, the Environment and Water</w:t>
            </w:r>
            <w:r w:rsidR="008034A6">
              <w:rPr>
                <w:noProof/>
                <w:webHidden/>
              </w:rPr>
              <w:tab/>
            </w:r>
            <w:r w:rsidR="008034A6">
              <w:rPr>
                <w:noProof/>
                <w:webHidden/>
              </w:rPr>
              <w:fldChar w:fldCharType="begin"/>
            </w:r>
            <w:r w:rsidR="008034A6">
              <w:rPr>
                <w:noProof/>
                <w:webHidden/>
              </w:rPr>
              <w:instrText xml:space="preserve"> PAGEREF _Toc181213883 \h </w:instrText>
            </w:r>
            <w:r w:rsidR="008034A6">
              <w:rPr>
                <w:noProof/>
                <w:webHidden/>
              </w:rPr>
            </w:r>
            <w:r w:rsidR="008034A6">
              <w:rPr>
                <w:noProof/>
                <w:webHidden/>
              </w:rPr>
              <w:fldChar w:fldCharType="separate"/>
            </w:r>
            <w:r w:rsidR="008034A6">
              <w:rPr>
                <w:noProof/>
                <w:webHidden/>
              </w:rPr>
              <w:t>10</w:t>
            </w:r>
            <w:r w:rsidR="008034A6">
              <w:rPr>
                <w:noProof/>
                <w:webHidden/>
              </w:rPr>
              <w:fldChar w:fldCharType="end"/>
            </w:r>
          </w:hyperlink>
        </w:p>
        <w:p w14:paraId="51564CE9" w14:textId="4FC9DBA2" w:rsidR="008034A6" w:rsidRDefault="00574AC5">
          <w:pPr>
            <w:pStyle w:val="TOC3"/>
            <w:tabs>
              <w:tab w:val="right" w:leader="dot" w:pos="9968"/>
            </w:tabs>
            <w:rPr>
              <w:noProof/>
              <w:szCs w:val="22"/>
              <w:lang w:eastAsia="en-AU"/>
            </w:rPr>
          </w:pPr>
          <w:hyperlink w:anchor="_Toc181213884" w:history="1">
            <w:r w:rsidR="008034A6" w:rsidRPr="00030F23">
              <w:rPr>
                <w:rStyle w:val="Hyperlink"/>
                <w:noProof/>
              </w:rPr>
              <w:t>Implementing a Guarantee of Origin Scheme</w:t>
            </w:r>
            <w:r w:rsidR="008034A6">
              <w:rPr>
                <w:noProof/>
                <w:webHidden/>
              </w:rPr>
              <w:tab/>
            </w:r>
            <w:r w:rsidR="008034A6">
              <w:rPr>
                <w:noProof/>
                <w:webHidden/>
              </w:rPr>
              <w:fldChar w:fldCharType="begin"/>
            </w:r>
            <w:r w:rsidR="008034A6">
              <w:rPr>
                <w:noProof/>
                <w:webHidden/>
              </w:rPr>
              <w:instrText xml:space="preserve"> PAGEREF _Toc181213884 \h </w:instrText>
            </w:r>
            <w:r w:rsidR="008034A6">
              <w:rPr>
                <w:noProof/>
                <w:webHidden/>
              </w:rPr>
            </w:r>
            <w:r w:rsidR="008034A6">
              <w:rPr>
                <w:noProof/>
                <w:webHidden/>
              </w:rPr>
              <w:fldChar w:fldCharType="separate"/>
            </w:r>
            <w:r w:rsidR="008034A6">
              <w:rPr>
                <w:noProof/>
                <w:webHidden/>
              </w:rPr>
              <w:t>10</w:t>
            </w:r>
            <w:r w:rsidR="008034A6">
              <w:rPr>
                <w:noProof/>
                <w:webHidden/>
              </w:rPr>
              <w:fldChar w:fldCharType="end"/>
            </w:r>
          </w:hyperlink>
        </w:p>
        <w:p w14:paraId="76D168B9" w14:textId="53C25AA8" w:rsidR="008034A6" w:rsidRDefault="00574AC5">
          <w:pPr>
            <w:pStyle w:val="TOC2"/>
            <w:tabs>
              <w:tab w:val="right" w:leader="dot" w:pos="9968"/>
            </w:tabs>
            <w:rPr>
              <w:noProof/>
              <w:szCs w:val="22"/>
              <w:lang w:eastAsia="en-AU"/>
            </w:rPr>
          </w:pPr>
          <w:hyperlink w:anchor="_Toc181213885" w:history="1">
            <w:r w:rsidR="008034A6" w:rsidRPr="00030F23">
              <w:rPr>
                <w:rStyle w:val="Hyperlink"/>
                <w:noProof/>
              </w:rPr>
              <w:t>Department of Health and Aged Care</w:t>
            </w:r>
            <w:r w:rsidR="008034A6">
              <w:rPr>
                <w:noProof/>
                <w:webHidden/>
              </w:rPr>
              <w:tab/>
            </w:r>
            <w:r w:rsidR="008034A6">
              <w:rPr>
                <w:noProof/>
                <w:webHidden/>
              </w:rPr>
              <w:fldChar w:fldCharType="begin"/>
            </w:r>
            <w:r w:rsidR="008034A6">
              <w:rPr>
                <w:noProof/>
                <w:webHidden/>
              </w:rPr>
              <w:instrText xml:space="preserve"> PAGEREF _Toc181213885 \h </w:instrText>
            </w:r>
            <w:r w:rsidR="008034A6">
              <w:rPr>
                <w:noProof/>
                <w:webHidden/>
              </w:rPr>
            </w:r>
            <w:r w:rsidR="008034A6">
              <w:rPr>
                <w:noProof/>
                <w:webHidden/>
              </w:rPr>
              <w:fldChar w:fldCharType="separate"/>
            </w:r>
            <w:r w:rsidR="008034A6">
              <w:rPr>
                <w:noProof/>
                <w:webHidden/>
              </w:rPr>
              <w:t>11</w:t>
            </w:r>
            <w:r w:rsidR="008034A6">
              <w:rPr>
                <w:noProof/>
                <w:webHidden/>
              </w:rPr>
              <w:fldChar w:fldCharType="end"/>
            </w:r>
          </w:hyperlink>
        </w:p>
        <w:p w14:paraId="5AAB787E" w14:textId="697E24F0" w:rsidR="008034A6" w:rsidRDefault="00574AC5">
          <w:pPr>
            <w:pStyle w:val="TOC3"/>
            <w:tabs>
              <w:tab w:val="right" w:leader="dot" w:pos="9968"/>
            </w:tabs>
            <w:rPr>
              <w:noProof/>
              <w:szCs w:val="22"/>
              <w:lang w:eastAsia="en-AU"/>
            </w:rPr>
          </w:pPr>
          <w:hyperlink w:anchor="_Toc181213886" w:history="1">
            <w:r w:rsidR="008034A6" w:rsidRPr="00030F23">
              <w:rPr>
                <w:rStyle w:val="Hyperlink"/>
                <w:noProof/>
              </w:rPr>
              <w:t>Aged Care Bill 2024</w:t>
            </w:r>
            <w:r w:rsidR="008034A6">
              <w:rPr>
                <w:noProof/>
                <w:webHidden/>
              </w:rPr>
              <w:tab/>
            </w:r>
            <w:r w:rsidR="008034A6">
              <w:rPr>
                <w:noProof/>
                <w:webHidden/>
              </w:rPr>
              <w:fldChar w:fldCharType="begin"/>
            </w:r>
            <w:r w:rsidR="008034A6">
              <w:rPr>
                <w:noProof/>
                <w:webHidden/>
              </w:rPr>
              <w:instrText xml:space="preserve"> PAGEREF _Toc181213886 \h </w:instrText>
            </w:r>
            <w:r w:rsidR="008034A6">
              <w:rPr>
                <w:noProof/>
                <w:webHidden/>
              </w:rPr>
            </w:r>
            <w:r w:rsidR="008034A6">
              <w:rPr>
                <w:noProof/>
                <w:webHidden/>
              </w:rPr>
              <w:fldChar w:fldCharType="separate"/>
            </w:r>
            <w:r w:rsidR="008034A6">
              <w:rPr>
                <w:noProof/>
                <w:webHidden/>
              </w:rPr>
              <w:t>11</w:t>
            </w:r>
            <w:r w:rsidR="008034A6">
              <w:rPr>
                <w:noProof/>
                <w:webHidden/>
              </w:rPr>
              <w:fldChar w:fldCharType="end"/>
            </w:r>
          </w:hyperlink>
        </w:p>
        <w:p w14:paraId="7F3A5A34" w14:textId="11968199" w:rsidR="008034A6" w:rsidRDefault="00574AC5">
          <w:pPr>
            <w:pStyle w:val="TOC2"/>
            <w:tabs>
              <w:tab w:val="right" w:leader="dot" w:pos="9968"/>
            </w:tabs>
            <w:rPr>
              <w:noProof/>
              <w:szCs w:val="22"/>
              <w:lang w:eastAsia="en-AU"/>
            </w:rPr>
          </w:pPr>
          <w:hyperlink w:anchor="_Toc181213887" w:history="1">
            <w:r w:rsidR="008034A6" w:rsidRPr="00030F23">
              <w:rPr>
                <w:rStyle w:val="Hyperlink"/>
                <w:noProof/>
              </w:rPr>
              <w:t>Department of Home Affairs</w:t>
            </w:r>
            <w:r w:rsidR="008034A6">
              <w:rPr>
                <w:noProof/>
                <w:webHidden/>
              </w:rPr>
              <w:tab/>
            </w:r>
            <w:r w:rsidR="008034A6">
              <w:rPr>
                <w:noProof/>
                <w:webHidden/>
              </w:rPr>
              <w:fldChar w:fldCharType="begin"/>
            </w:r>
            <w:r w:rsidR="008034A6">
              <w:rPr>
                <w:noProof/>
                <w:webHidden/>
              </w:rPr>
              <w:instrText xml:space="preserve"> PAGEREF _Toc181213887 \h </w:instrText>
            </w:r>
            <w:r w:rsidR="008034A6">
              <w:rPr>
                <w:noProof/>
                <w:webHidden/>
              </w:rPr>
            </w:r>
            <w:r w:rsidR="008034A6">
              <w:rPr>
                <w:noProof/>
                <w:webHidden/>
              </w:rPr>
              <w:fldChar w:fldCharType="separate"/>
            </w:r>
            <w:r w:rsidR="008034A6">
              <w:rPr>
                <w:noProof/>
                <w:webHidden/>
              </w:rPr>
              <w:t>12</w:t>
            </w:r>
            <w:r w:rsidR="008034A6">
              <w:rPr>
                <w:noProof/>
                <w:webHidden/>
              </w:rPr>
              <w:fldChar w:fldCharType="end"/>
            </w:r>
          </w:hyperlink>
        </w:p>
        <w:p w14:paraId="7CA37453" w14:textId="23FB4675" w:rsidR="008034A6" w:rsidRDefault="00574AC5">
          <w:pPr>
            <w:pStyle w:val="TOC3"/>
            <w:tabs>
              <w:tab w:val="right" w:leader="dot" w:pos="9968"/>
            </w:tabs>
            <w:rPr>
              <w:noProof/>
              <w:szCs w:val="22"/>
              <w:lang w:eastAsia="en-AU"/>
            </w:rPr>
          </w:pPr>
          <w:hyperlink w:anchor="_Toc181213888" w:history="1">
            <w:r w:rsidR="008034A6" w:rsidRPr="00030F23">
              <w:rPr>
                <w:rStyle w:val="Hyperlink"/>
                <w:noProof/>
              </w:rPr>
              <w:t>Cyber Security Legislation: Mandatory Ransomware Payment Reporting – Cyber Security Bill 2024</w:t>
            </w:r>
            <w:r w:rsidR="008034A6">
              <w:rPr>
                <w:noProof/>
                <w:webHidden/>
              </w:rPr>
              <w:tab/>
            </w:r>
            <w:r w:rsidR="008034A6">
              <w:rPr>
                <w:noProof/>
                <w:webHidden/>
              </w:rPr>
              <w:fldChar w:fldCharType="begin"/>
            </w:r>
            <w:r w:rsidR="008034A6">
              <w:rPr>
                <w:noProof/>
                <w:webHidden/>
              </w:rPr>
              <w:instrText xml:space="preserve"> PAGEREF _Toc181213888 \h </w:instrText>
            </w:r>
            <w:r w:rsidR="008034A6">
              <w:rPr>
                <w:noProof/>
                <w:webHidden/>
              </w:rPr>
            </w:r>
            <w:r w:rsidR="008034A6">
              <w:rPr>
                <w:noProof/>
                <w:webHidden/>
              </w:rPr>
              <w:fldChar w:fldCharType="separate"/>
            </w:r>
            <w:r w:rsidR="008034A6">
              <w:rPr>
                <w:noProof/>
                <w:webHidden/>
              </w:rPr>
              <w:t>12</w:t>
            </w:r>
            <w:r w:rsidR="008034A6">
              <w:rPr>
                <w:noProof/>
                <w:webHidden/>
              </w:rPr>
              <w:fldChar w:fldCharType="end"/>
            </w:r>
          </w:hyperlink>
        </w:p>
        <w:p w14:paraId="25B282AC" w14:textId="39924D1A" w:rsidR="008034A6" w:rsidRDefault="00574AC5">
          <w:pPr>
            <w:pStyle w:val="TOC3"/>
            <w:tabs>
              <w:tab w:val="right" w:leader="dot" w:pos="9968"/>
            </w:tabs>
            <w:rPr>
              <w:noProof/>
              <w:szCs w:val="22"/>
              <w:lang w:eastAsia="en-AU"/>
            </w:rPr>
          </w:pPr>
          <w:hyperlink w:anchor="_Toc181213889" w:history="1">
            <w:r w:rsidR="008034A6" w:rsidRPr="00030F23">
              <w:rPr>
                <w:rStyle w:val="Hyperlink"/>
                <w:noProof/>
              </w:rPr>
              <w:t>Cyber Security Legislation: Amendments to the Security of Critical Infrastructure Act 2018</w:t>
            </w:r>
            <w:r w:rsidR="008034A6">
              <w:rPr>
                <w:noProof/>
                <w:webHidden/>
              </w:rPr>
              <w:tab/>
            </w:r>
            <w:r w:rsidR="008034A6">
              <w:rPr>
                <w:noProof/>
                <w:webHidden/>
              </w:rPr>
              <w:fldChar w:fldCharType="begin"/>
            </w:r>
            <w:r w:rsidR="008034A6">
              <w:rPr>
                <w:noProof/>
                <w:webHidden/>
              </w:rPr>
              <w:instrText xml:space="preserve"> PAGEREF _Toc181213889 \h </w:instrText>
            </w:r>
            <w:r w:rsidR="008034A6">
              <w:rPr>
                <w:noProof/>
                <w:webHidden/>
              </w:rPr>
            </w:r>
            <w:r w:rsidR="008034A6">
              <w:rPr>
                <w:noProof/>
                <w:webHidden/>
              </w:rPr>
              <w:fldChar w:fldCharType="separate"/>
            </w:r>
            <w:r w:rsidR="008034A6">
              <w:rPr>
                <w:noProof/>
                <w:webHidden/>
              </w:rPr>
              <w:t>13</w:t>
            </w:r>
            <w:r w:rsidR="008034A6">
              <w:rPr>
                <w:noProof/>
                <w:webHidden/>
              </w:rPr>
              <w:fldChar w:fldCharType="end"/>
            </w:r>
          </w:hyperlink>
        </w:p>
        <w:p w14:paraId="4C4BD753" w14:textId="6A741951" w:rsidR="008034A6" w:rsidRDefault="00574AC5">
          <w:pPr>
            <w:pStyle w:val="TOC2"/>
            <w:tabs>
              <w:tab w:val="right" w:leader="dot" w:pos="9968"/>
            </w:tabs>
            <w:rPr>
              <w:noProof/>
              <w:szCs w:val="22"/>
              <w:lang w:eastAsia="en-AU"/>
            </w:rPr>
          </w:pPr>
          <w:hyperlink w:anchor="_Toc181213890" w:history="1">
            <w:r w:rsidR="008034A6" w:rsidRPr="00030F23">
              <w:rPr>
                <w:rStyle w:val="Hyperlink"/>
                <w:noProof/>
              </w:rPr>
              <w:t>Department of Infrastructure, Transport, Regional Development, Communications and the Arts</w:t>
            </w:r>
            <w:r w:rsidR="008034A6">
              <w:rPr>
                <w:noProof/>
                <w:webHidden/>
              </w:rPr>
              <w:tab/>
            </w:r>
            <w:r w:rsidR="008034A6">
              <w:rPr>
                <w:noProof/>
                <w:webHidden/>
              </w:rPr>
              <w:fldChar w:fldCharType="begin"/>
            </w:r>
            <w:r w:rsidR="008034A6">
              <w:rPr>
                <w:noProof/>
                <w:webHidden/>
              </w:rPr>
              <w:instrText xml:space="preserve"> PAGEREF _Toc181213890 \h </w:instrText>
            </w:r>
            <w:r w:rsidR="008034A6">
              <w:rPr>
                <w:noProof/>
                <w:webHidden/>
              </w:rPr>
            </w:r>
            <w:r w:rsidR="008034A6">
              <w:rPr>
                <w:noProof/>
                <w:webHidden/>
              </w:rPr>
              <w:fldChar w:fldCharType="separate"/>
            </w:r>
            <w:r w:rsidR="008034A6">
              <w:rPr>
                <w:noProof/>
                <w:webHidden/>
              </w:rPr>
              <w:t>14</w:t>
            </w:r>
            <w:r w:rsidR="008034A6">
              <w:rPr>
                <w:noProof/>
                <w:webHidden/>
              </w:rPr>
              <w:fldChar w:fldCharType="end"/>
            </w:r>
          </w:hyperlink>
        </w:p>
        <w:p w14:paraId="14907900" w14:textId="4571A8EF" w:rsidR="008034A6" w:rsidRDefault="00574AC5">
          <w:pPr>
            <w:pStyle w:val="TOC3"/>
            <w:tabs>
              <w:tab w:val="right" w:leader="dot" w:pos="9968"/>
            </w:tabs>
            <w:rPr>
              <w:noProof/>
              <w:szCs w:val="22"/>
              <w:lang w:eastAsia="en-AU"/>
            </w:rPr>
          </w:pPr>
          <w:hyperlink w:anchor="_Toc181213891" w:history="1">
            <w:r w:rsidR="008034A6" w:rsidRPr="00030F23">
              <w:rPr>
                <w:rStyle w:val="Hyperlink"/>
                <w:noProof/>
              </w:rPr>
              <w:t>Online Misinformation and Disinformation Reform</w:t>
            </w:r>
            <w:r w:rsidR="008034A6">
              <w:rPr>
                <w:noProof/>
                <w:webHidden/>
              </w:rPr>
              <w:tab/>
            </w:r>
            <w:r w:rsidR="008034A6">
              <w:rPr>
                <w:noProof/>
                <w:webHidden/>
              </w:rPr>
              <w:fldChar w:fldCharType="begin"/>
            </w:r>
            <w:r w:rsidR="008034A6">
              <w:rPr>
                <w:noProof/>
                <w:webHidden/>
              </w:rPr>
              <w:instrText xml:space="preserve"> PAGEREF _Toc181213891 \h </w:instrText>
            </w:r>
            <w:r w:rsidR="008034A6">
              <w:rPr>
                <w:noProof/>
                <w:webHidden/>
              </w:rPr>
            </w:r>
            <w:r w:rsidR="008034A6">
              <w:rPr>
                <w:noProof/>
                <w:webHidden/>
              </w:rPr>
              <w:fldChar w:fldCharType="separate"/>
            </w:r>
            <w:r w:rsidR="008034A6">
              <w:rPr>
                <w:noProof/>
                <w:webHidden/>
              </w:rPr>
              <w:t>14</w:t>
            </w:r>
            <w:r w:rsidR="008034A6">
              <w:rPr>
                <w:noProof/>
                <w:webHidden/>
              </w:rPr>
              <w:fldChar w:fldCharType="end"/>
            </w:r>
          </w:hyperlink>
        </w:p>
        <w:p w14:paraId="057EB36B" w14:textId="22B8F6BA" w:rsidR="008034A6" w:rsidRDefault="00574AC5">
          <w:pPr>
            <w:pStyle w:val="TOC2"/>
            <w:tabs>
              <w:tab w:val="right" w:leader="dot" w:pos="9968"/>
            </w:tabs>
            <w:rPr>
              <w:noProof/>
              <w:szCs w:val="22"/>
              <w:lang w:eastAsia="en-AU"/>
            </w:rPr>
          </w:pPr>
          <w:hyperlink w:anchor="_Toc181213892" w:history="1">
            <w:r w:rsidR="008034A6" w:rsidRPr="00030F23">
              <w:rPr>
                <w:rStyle w:val="Hyperlink"/>
                <w:noProof/>
              </w:rPr>
              <w:t>Department of the Treasury</w:t>
            </w:r>
            <w:r w:rsidR="008034A6">
              <w:rPr>
                <w:noProof/>
                <w:webHidden/>
              </w:rPr>
              <w:tab/>
            </w:r>
            <w:r w:rsidR="008034A6">
              <w:rPr>
                <w:noProof/>
                <w:webHidden/>
              </w:rPr>
              <w:fldChar w:fldCharType="begin"/>
            </w:r>
            <w:r w:rsidR="008034A6">
              <w:rPr>
                <w:noProof/>
                <w:webHidden/>
              </w:rPr>
              <w:instrText xml:space="preserve"> PAGEREF _Toc181213892 \h </w:instrText>
            </w:r>
            <w:r w:rsidR="008034A6">
              <w:rPr>
                <w:noProof/>
                <w:webHidden/>
              </w:rPr>
            </w:r>
            <w:r w:rsidR="008034A6">
              <w:rPr>
                <w:noProof/>
                <w:webHidden/>
              </w:rPr>
              <w:fldChar w:fldCharType="separate"/>
            </w:r>
            <w:r w:rsidR="008034A6">
              <w:rPr>
                <w:noProof/>
                <w:webHidden/>
              </w:rPr>
              <w:t>14</w:t>
            </w:r>
            <w:r w:rsidR="008034A6">
              <w:rPr>
                <w:noProof/>
                <w:webHidden/>
              </w:rPr>
              <w:fldChar w:fldCharType="end"/>
            </w:r>
          </w:hyperlink>
        </w:p>
        <w:p w14:paraId="68B5CF1C" w14:textId="147CB16A" w:rsidR="008034A6" w:rsidRDefault="00574AC5">
          <w:pPr>
            <w:pStyle w:val="TOC3"/>
            <w:tabs>
              <w:tab w:val="right" w:leader="dot" w:pos="9968"/>
            </w:tabs>
            <w:rPr>
              <w:noProof/>
              <w:szCs w:val="22"/>
              <w:lang w:eastAsia="en-AU"/>
            </w:rPr>
          </w:pPr>
          <w:hyperlink w:anchor="_Toc181213893" w:history="1">
            <w:r w:rsidR="008034A6" w:rsidRPr="00030F23">
              <w:rPr>
                <w:rStyle w:val="Hyperlink"/>
                <w:noProof/>
              </w:rPr>
              <w:t>Supporting social and affordable housing under the Housing Australia Future Fund and the National Housing Accord</w:t>
            </w:r>
            <w:r w:rsidR="008034A6">
              <w:rPr>
                <w:noProof/>
                <w:webHidden/>
              </w:rPr>
              <w:tab/>
            </w:r>
            <w:r w:rsidR="008034A6">
              <w:rPr>
                <w:noProof/>
                <w:webHidden/>
              </w:rPr>
              <w:fldChar w:fldCharType="begin"/>
            </w:r>
            <w:r w:rsidR="008034A6">
              <w:rPr>
                <w:noProof/>
                <w:webHidden/>
              </w:rPr>
              <w:instrText xml:space="preserve"> PAGEREF _Toc181213893 \h </w:instrText>
            </w:r>
            <w:r w:rsidR="008034A6">
              <w:rPr>
                <w:noProof/>
                <w:webHidden/>
              </w:rPr>
            </w:r>
            <w:r w:rsidR="008034A6">
              <w:rPr>
                <w:noProof/>
                <w:webHidden/>
              </w:rPr>
              <w:fldChar w:fldCharType="separate"/>
            </w:r>
            <w:r w:rsidR="008034A6">
              <w:rPr>
                <w:noProof/>
                <w:webHidden/>
              </w:rPr>
              <w:t>14</w:t>
            </w:r>
            <w:r w:rsidR="008034A6">
              <w:rPr>
                <w:noProof/>
                <w:webHidden/>
              </w:rPr>
              <w:fldChar w:fldCharType="end"/>
            </w:r>
          </w:hyperlink>
        </w:p>
        <w:p w14:paraId="21D74AB4" w14:textId="46BB7914" w:rsidR="008034A6" w:rsidRDefault="00574AC5">
          <w:pPr>
            <w:pStyle w:val="TOC3"/>
            <w:tabs>
              <w:tab w:val="right" w:leader="dot" w:pos="9968"/>
            </w:tabs>
            <w:rPr>
              <w:noProof/>
              <w:szCs w:val="22"/>
              <w:lang w:eastAsia="en-AU"/>
            </w:rPr>
          </w:pPr>
          <w:hyperlink w:anchor="_Toc181213894" w:history="1">
            <w:r w:rsidR="008034A6" w:rsidRPr="00030F23">
              <w:rPr>
                <w:rStyle w:val="Hyperlink"/>
                <w:rFonts w:eastAsia="MS Mincho"/>
                <w:noProof/>
              </w:rPr>
              <w:t>Use of genetic testing information by life insurers</w:t>
            </w:r>
            <w:r w:rsidR="008034A6">
              <w:rPr>
                <w:noProof/>
                <w:webHidden/>
              </w:rPr>
              <w:tab/>
            </w:r>
            <w:r w:rsidR="008034A6">
              <w:rPr>
                <w:noProof/>
                <w:webHidden/>
              </w:rPr>
              <w:fldChar w:fldCharType="begin"/>
            </w:r>
            <w:r w:rsidR="008034A6">
              <w:rPr>
                <w:noProof/>
                <w:webHidden/>
              </w:rPr>
              <w:instrText xml:space="preserve"> PAGEREF _Toc181213894 \h </w:instrText>
            </w:r>
            <w:r w:rsidR="008034A6">
              <w:rPr>
                <w:noProof/>
                <w:webHidden/>
              </w:rPr>
            </w:r>
            <w:r w:rsidR="008034A6">
              <w:rPr>
                <w:noProof/>
                <w:webHidden/>
              </w:rPr>
              <w:fldChar w:fldCharType="separate"/>
            </w:r>
            <w:r w:rsidR="008034A6">
              <w:rPr>
                <w:noProof/>
                <w:webHidden/>
              </w:rPr>
              <w:t>15</w:t>
            </w:r>
            <w:r w:rsidR="008034A6">
              <w:rPr>
                <w:noProof/>
                <w:webHidden/>
              </w:rPr>
              <w:fldChar w:fldCharType="end"/>
            </w:r>
          </w:hyperlink>
        </w:p>
        <w:p w14:paraId="5B599396" w14:textId="01226722" w:rsidR="008034A6" w:rsidRDefault="00574AC5">
          <w:pPr>
            <w:pStyle w:val="TOC3"/>
            <w:tabs>
              <w:tab w:val="right" w:leader="dot" w:pos="9968"/>
            </w:tabs>
            <w:rPr>
              <w:noProof/>
              <w:szCs w:val="22"/>
              <w:lang w:eastAsia="en-AU"/>
            </w:rPr>
          </w:pPr>
          <w:hyperlink w:anchor="_Toc181213895" w:history="1">
            <w:r w:rsidR="008034A6" w:rsidRPr="00030F23">
              <w:rPr>
                <w:rStyle w:val="Hyperlink"/>
                <w:noProof/>
              </w:rPr>
              <w:t>Ban on advertising of superannuation funds during onboarding</w:t>
            </w:r>
            <w:r w:rsidR="008034A6">
              <w:rPr>
                <w:noProof/>
                <w:webHidden/>
              </w:rPr>
              <w:tab/>
            </w:r>
            <w:r w:rsidR="008034A6">
              <w:rPr>
                <w:noProof/>
                <w:webHidden/>
              </w:rPr>
              <w:fldChar w:fldCharType="begin"/>
            </w:r>
            <w:r w:rsidR="008034A6">
              <w:rPr>
                <w:noProof/>
                <w:webHidden/>
              </w:rPr>
              <w:instrText xml:space="preserve"> PAGEREF _Toc181213895 \h </w:instrText>
            </w:r>
            <w:r w:rsidR="008034A6">
              <w:rPr>
                <w:noProof/>
                <w:webHidden/>
              </w:rPr>
            </w:r>
            <w:r w:rsidR="008034A6">
              <w:rPr>
                <w:noProof/>
                <w:webHidden/>
              </w:rPr>
              <w:fldChar w:fldCharType="separate"/>
            </w:r>
            <w:r w:rsidR="008034A6">
              <w:rPr>
                <w:noProof/>
                <w:webHidden/>
              </w:rPr>
              <w:t>16</w:t>
            </w:r>
            <w:r w:rsidR="008034A6">
              <w:rPr>
                <w:noProof/>
                <w:webHidden/>
              </w:rPr>
              <w:fldChar w:fldCharType="end"/>
            </w:r>
          </w:hyperlink>
        </w:p>
        <w:p w14:paraId="167FC42D" w14:textId="0C8E5F1B" w:rsidR="008034A6" w:rsidRDefault="00574AC5">
          <w:pPr>
            <w:pStyle w:val="TOC3"/>
            <w:tabs>
              <w:tab w:val="right" w:leader="dot" w:pos="9968"/>
            </w:tabs>
            <w:rPr>
              <w:noProof/>
              <w:szCs w:val="22"/>
              <w:lang w:eastAsia="en-AU"/>
            </w:rPr>
          </w:pPr>
          <w:hyperlink w:anchor="_Toc181213896" w:history="1">
            <w:r w:rsidR="008034A6" w:rsidRPr="00030F23">
              <w:rPr>
                <w:rStyle w:val="Hyperlink"/>
                <w:noProof/>
              </w:rPr>
              <w:t>Merger Reform: A Faster, Stronger and Simpler System for a More Competitive Economy</w:t>
            </w:r>
            <w:r w:rsidR="008034A6">
              <w:rPr>
                <w:noProof/>
                <w:webHidden/>
              </w:rPr>
              <w:tab/>
            </w:r>
            <w:r w:rsidR="008034A6">
              <w:rPr>
                <w:noProof/>
                <w:webHidden/>
              </w:rPr>
              <w:fldChar w:fldCharType="begin"/>
            </w:r>
            <w:r w:rsidR="008034A6">
              <w:rPr>
                <w:noProof/>
                <w:webHidden/>
              </w:rPr>
              <w:instrText xml:space="preserve"> PAGEREF _Toc181213896 \h </w:instrText>
            </w:r>
            <w:r w:rsidR="008034A6">
              <w:rPr>
                <w:noProof/>
                <w:webHidden/>
              </w:rPr>
            </w:r>
            <w:r w:rsidR="008034A6">
              <w:rPr>
                <w:noProof/>
                <w:webHidden/>
              </w:rPr>
              <w:fldChar w:fldCharType="separate"/>
            </w:r>
            <w:r w:rsidR="008034A6">
              <w:rPr>
                <w:noProof/>
                <w:webHidden/>
              </w:rPr>
              <w:t>16</w:t>
            </w:r>
            <w:r w:rsidR="008034A6">
              <w:rPr>
                <w:noProof/>
                <w:webHidden/>
              </w:rPr>
              <w:fldChar w:fldCharType="end"/>
            </w:r>
          </w:hyperlink>
        </w:p>
        <w:p w14:paraId="3E95AE4A" w14:textId="46C1091B" w:rsidR="008034A6" w:rsidRDefault="00574AC5">
          <w:pPr>
            <w:pStyle w:val="TOC2"/>
            <w:tabs>
              <w:tab w:val="right" w:leader="dot" w:pos="9968"/>
            </w:tabs>
            <w:rPr>
              <w:noProof/>
              <w:szCs w:val="22"/>
              <w:lang w:eastAsia="en-AU"/>
            </w:rPr>
          </w:pPr>
          <w:hyperlink w:anchor="_Toc181213897" w:history="1">
            <w:r w:rsidR="008034A6" w:rsidRPr="00030F23">
              <w:rPr>
                <w:rStyle w:val="Hyperlink"/>
                <w:noProof/>
              </w:rPr>
              <w:t>Department of Veterans Affairs</w:t>
            </w:r>
            <w:r w:rsidR="008034A6">
              <w:rPr>
                <w:noProof/>
                <w:webHidden/>
              </w:rPr>
              <w:tab/>
            </w:r>
            <w:r w:rsidR="008034A6">
              <w:rPr>
                <w:noProof/>
                <w:webHidden/>
              </w:rPr>
              <w:fldChar w:fldCharType="begin"/>
            </w:r>
            <w:r w:rsidR="008034A6">
              <w:rPr>
                <w:noProof/>
                <w:webHidden/>
              </w:rPr>
              <w:instrText xml:space="preserve"> PAGEREF _Toc181213897 \h </w:instrText>
            </w:r>
            <w:r w:rsidR="008034A6">
              <w:rPr>
                <w:noProof/>
                <w:webHidden/>
              </w:rPr>
            </w:r>
            <w:r w:rsidR="008034A6">
              <w:rPr>
                <w:noProof/>
                <w:webHidden/>
              </w:rPr>
              <w:fldChar w:fldCharType="separate"/>
            </w:r>
            <w:r w:rsidR="008034A6">
              <w:rPr>
                <w:noProof/>
                <w:webHidden/>
              </w:rPr>
              <w:t>18</w:t>
            </w:r>
            <w:r w:rsidR="008034A6">
              <w:rPr>
                <w:noProof/>
                <w:webHidden/>
              </w:rPr>
              <w:fldChar w:fldCharType="end"/>
            </w:r>
          </w:hyperlink>
        </w:p>
        <w:p w14:paraId="0F4C32B7" w14:textId="265BF670" w:rsidR="008034A6" w:rsidRDefault="00574AC5">
          <w:pPr>
            <w:pStyle w:val="TOC3"/>
            <w:tabs>
              <w:tab w:val="right" w:leader="dot" w:pos="9968"/>
            </w:tabs>
            <w:rPr>
              <w:noProof/>
              <w:szCs w:val="22"/>
              <w:lang w:eastAsia="en-AU"/>
            </w:rPr>
          </w:pPr>
          <w:hyperlink w:anchor="_Toc181213898" w:history="1">
            <w:r w:rsidR="008034A6" w:rsidRPr="00030F23">
              <w:rPr>
                <w:rStyle w:val="Hyperlink"/>
                <w:noProof/>
              </w:rPr>
              <w:t>Veterans’ Compensation and Rehabilitation Legislation Reform</w:t>
            </w:r>
            <w:r w:rsidR="008034A6">
              <w:rPr>
                <w:noProof/>
                <w:webHidden/>
              </w:rPr>
              <w:tab/>
            </w:r>
            <w:r w:rsidR="008034A6">
              <w:rPr>
                <w:noProof/>
                <w:webHidden/>
              </w:rPr>
              <w:fldChar w:fldCharType="begin"/>
            </w:r>
            <w:r w:rsidR="008034A6">
              <w:rPr>
                <w:noProof/>
                <w:webHidden/>
              </w:rPr>
              <w:instrText xml:space="preserve"> PAGEREF _Toc181213898 \h </w:instrText>
            </w:r>
            <w:r w:rsidR="008034A6">
              <w:rPr>
                <w:noProof/>
                <w:webHidden/>
              </w:rPr>
            </w:r>
            <w:r w:rsidR="008034A6">
              <w:rPr>
                <w:noProof/>
                <w:webHidden/>
              </w:rPr>
              <w:fldChar w:fldCharType="separate"/>
            </w:r>
            <w:r w:rsidR="008034A6">
              <w:rPr>
                <w:noProof/>
                <w:webHidden/>
              </w:rPr>
              <w:t>18</w:t>
            </w:r>
            <w:r w:rsidR="008034A6">
              <w:rPr>
                <w:noProof/>
                <w:webHidden/>
              </w:rPr>
              <w:fldChar w:fldCharType="end"/>
            </w:r>
          </w:hyperlink>
        </w:p>
        <w:p w14:paraId="7942442F" w14:textId="6E3982A8" w:rsidR="008034A6" w:rsidRDefault="00574AC5">
          <w:pPr>
            <w:pStyle w:val="TOC2"/>
            <w:tabs>
              <w:tab w:val="right" w:leader="dot" w:pos="9968"/>
            </w:tabs>
            <w:rPr>
              <w:noProof/>
              <w:szCs w:val="22"/>
              <w:lang w:eastAsia="en-AU"/>
            </w:rPr>
          </w:pPr>
          <w:hyperlink w:anchor="_Toc181213899" w:history="1">
            <w:r w:rsidR="008034A6" w:rsidRPr="00030F23">
              <w:rPr>
                <w:rStyle w:val="Hyperlink"/>
                <w:noProof/>
              </w:rPr>
              <w:t>National Indigenous Australians Agency</w:t>
            </w:r>
            <w:r w:rsidR="008034A6">
              <w:rPr>
                <w:noProof/>
                <w:webHidden/>
              </w:rPr>
              <w:tab/>
            </w:r>
            <w:r w:rsidR="008034A6">
              <w:rPr>
                <w:noProof/>
                <w:webHidden/>
              </w:rPr>
              <w:fldChar w:fldCharType="begin"/>
            </w:r>
            <w:r w:rsidR="008034A6">
              <w:rPr>
                <w:noProof/>
                <w:webHidden/>
              </w:rPr>
              <w:instrText xml:space="preserve"> PAGEREF _Toc181213899 \h </w:instrText>
            </w:r>
            <w:r w:rsidR="008034A6">
              <w:rPr>
                <w:noProof/>
                <w:webHidden/>
              </w:rPr>
            </w:r>
            <w:r w:rsidR="008034A6">
              <w:rPr>
                <w:noProof/>
                <w:webHidden/>
              </w:rPr>
              <w:fldChar w:fldCharType="separate"/>
            </w:r>
            <w:r w:rsidR="008034A6">
              <w:rPr>
                <w:noProof/>
                <w:webHidden/>
              </w:rPr>
              <w:t>19</w:t>
            </w:r>
            <w:r w:rsidR="008034A6">
              <w:rPr>
                <w:noProof/>
                <w:webHidden/>
              </w:rPr>
              <w:fldChar w:fldCharType="end"/>
            </w:r>
          </w:hyperlink>
        </w:p>
        <w:p w14:paraId="7E3EB7A1" w14:textId="710C2F5A" w:rsidR="008034A6" w:rsidRDefault="00574AC5">
          <w:pPr>
            <w:pStyle w:val="TOC3"/>
            <w:tabs>
              <w:tab w:val="right" w:leader="dot" w:pos="9968"/>
            </w:tabs>
            <w:rPr>
              <w:noProof/>
              <w:szCs w:val="22"/>
              <w:lang w:eastAsia="en-AU"/>
            </w:rPr>
          </w:pPr>
          <w:hyperlink w:anchor="_Toc181213900" w:history="1">
            <w:r w:rsidR="008034A6" w:rsidRPr="00030F23">
              <w:rPr>
                <w:rStyle w:val="Hyperlink"/>
                <w:noProof/>
              </w:rPr>
              <w:t>Resolution to the collapse of the Youpla Group</w:t>
            </w:r>
            <w:r w:rsidR="008034A6">
              <w:rPr>
                <w:noProof/>
                <w:webHidden/>
              </w:rPr>
              <w:tab/>
            </w:r>
            <w:r w:rsidR="008034A6">
              <w:rPr>
                <w:noProof/>
                <w:webHidden/>
              </w:rPr>
              <w:fldChar w:fldCharType="begin"/>
            </w:r>
            <w:r w:rsidR="008034A6">
              <w:rPr>
                <w:noProof/>
                <w:webHidden/>
              </w:rPr>
              <w:instrText xml:space="preserve"> PAGEREF _Toc181213900 \h </w:instrText>
            </w:r>
            <w:r w:rsidR="008034A6">
              <w:rPr>
                <w:noProof/>
                <w:webHidden/>
              </w:rPr>
            </w:r>
            <w:r w:rsidR="008034A6">
              <w:rPr>
                <w:noProof/>
                <w:webHidden/>
              </w:rPr>
              <w:fldChar w:fldCharType="separate"/>
            </w:r>
            <w:r w:rsidR="008034A6">
              <w:rPr>
                <w:noProof/>
                <w:webHidden/>
              </w:rPr>
              <w:t>19</w:t>
            </w:r>
            <w:r w:rsidR="008034A6">
              <w:rPr>
                <w:noProof/>
                <w:webHidden/>
              </w:rPr>
              <w:fldChar w:fldCharType="end"/>
            </w:r>
          </w:hyperlink>
        </w:p>
        <w:p w14:paraId="648210F1" w14:textId="77777777" w:rsidR="00F0159E" w:rsidRDefault="008E4734" w:rsidP="00F0159E">
          <w:pPr>
            <w:pStyle w:val="TOC3"/>
            <w:tabs>
              <w:tab w:val="right" w:leader="dot" w:pos="9960"/>
            </w:tabs>
            <w:rPr>
              <w:szCs w:val="22"/>
            </w:rPr>
          </w:pPr>
          <w:r>
            <w:fldChar w:fldCharType="end"/>
          </w:r>
        </w:p>
      </w:sdtContent>
    </w:sdt>
    <w:bookmarkStart w:id="1" w:name="_Toc181213869" w:displacedByCustomXml="prev"/>
    <w:p w14:paraId="5E867B0E" w14:textId="216025FC" w:rsidR="00774646" w:rsidRDefault="00EE0074" w:rsidP="00F0159E">
      <w:pPr>
        <w:pStyle w:val="Heading1"/>
        <w:pageBreakBefore/>
        <w:rPr>
          <w:noProof/>
        </w:rPr>
      </w:pPr>
      <w:r w:rsidRPr="27EF9D9E">
        <w:rPr>
          <w:noProof/>
        </w:rPr>
        <w:t>Summary of compliance</w:t>
      </w:r>
      <w:bookmarkEnd w:id="1"/>
    </w:p>
    <w:p w14:paraId="682BBF98" w14:textId="235EBF8E" w:rsidR="00AC134E" w:rsidRPr="00D6621B" w:rsidRDefault="00F0159E" w:rsidP="00F0159E">
      <w:pPr>
        <w:pStyle w:val="Caption"/>
      </w:pPr>
      <w:r>
        <w:t xml:space="preserve">Figure </w:t>
      </w:r>
      <w:fldSimple w:instr=" SEQ Figure \* ARABIC ">
        <w:r w:rsidR="00031D61">
          <w:rPr>
            <w:noProof/>
          </w:rPr>
          <w:t>1</w:t>
        </w:r>
      </w:fldSimple>
      <w:r>
        <w:t xml:space="preserve">. </w:t>
      </w:r>
      <w:r w:rsidRPr="009558D6">
        <w:t>Summary of compliance</w:t>
      </w:r>
    </w:p>
    <w:tbl>
      <w:tblPr>
        <w:tblStyle w:val="ListTable4-Accent1"/>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Summary of compliance"/>
        <w:tblDescription w:val="Summary of compliance"/>
      </w:tblPr>
      <w:tblGrid>
        <w:gridCol w:w="1920"/>
        <w:gridCol w:w="1928"/>
        <w:gridCol w:w="1926"/>
        <w:gridCol w:w="2159"/>
        <w:gridCol w:w="2035"/>
      </w:tblGrid>
      <w:tr w:rsidR="00DE6598" w14:paraId="389A58D3" w14:textId="0BF93B76" w:rsidTr="22F13677">
        <w:trPr>
          <w:cnfStyle w:val="100000000000" w:firstRow="1" w:lastRow="0" w:firstColumn="0" w:lastColumn="0" w:oddVBand="0" w:evenVBand="0" w:oddHBand="0" w:evenHBand="0" w:firstRowFirstColumn="0" w:firstRowLastColumn="0" w:lastRowFirstColumn="0" w:lastRowLastColumn="0"/>
          <w:trHeight w:val="20"/>
          <w:tblHeader/>
        </w:trPr>
        <w:tc>
          <w:tcPr>
            <w:tcW w:w="1920" w:type="dxa"/>
            <w:vAlign w:val="center"/>
          </w:tcPr>
          <w:p w14:paraId="71621F8E" w14:textId="77777777" w:rsidR="00DE6598" w:rsidRPr="007F69F4" w:rsidRDefault="00DE6598" w:rsidP="00DE6598">
            <w:pPr>
              <w:pStyle w:val="TBLHeading"/>
              <w:rPr>
                <w:b/>
              </w:rPr>
            </w:pPr>
            <w:r w:rsidRPr="007F69F4">
              <w:rPr>
                <w:b/>
              </w:rPr>
              <w:t>Type</w:t>
            </w:r>
          </w:p>
        </w:tc>
        <w:tc>
          <w:tcPr>
            <w:tcW w:w="1928" w:type="dxa"/>
          </w:tcPr>
          <w:p w14:paraId="65A1EAE4" w14:textId="633A5A9A" w:rsidR="00DE6598" w:rsidRPr="001664BA" w:rsidRDefault="00DE6598" w:rsidP="22F13677">
            <w:pPr>
              <w:pStyle w:val="TBLHeading"/>
              <w:jc w:val="right"/>
              <w:rPr>
                <w:b/>
                <w:bCs/>
              </w:rPr>
            </w:pPr>
            <w:r w:rsidRPr="22F13677">
              <w:rPr>
                <w:b/>
                <w:bCs/>
              </w:rPr>
              <w:t>20</w:t>
            </w:r>
            <w:r w:rsidR="68A59799" w:rsidRPr="22F13677">
              <w:rPr>
                <w:b/>
                <w:bCs/>
              </w:rPr>
              <w:t>23</w:t>
            </w:r>
            <w:r w:rsidRPr="22F13677">
              <w:rPr>
                <w:b/>
                <w:bCs/>
              </w:rPr>
              <w:t>-</w:t>
            </w:r>
            <w:r w:rsidR="2934F050" w:rsidRPr="22F13677">
              <w:rPr>
                <w:b/>
                <w:bCs/>
              </w:rPr>
              <w:t>24</w:t>
            </w:r>
          </w:p>
          <w:p w14:paraId="2F2CF5C2" w14:textId="6AF0BDA1" w:rsidR="00DE6598" w:rsidRPr="001664BA" w:rsidRDefault="00DE6598" w:rsidP="22F13677">
            <w:pPr>
              <w:pStyle w:val="TBLHeading"/>
              <w:jc w:val="right"/>
              <w:rPr>
                <w:b/>
                <w:bCs/>
              </w:rPr>
            </w:pPr>
          </w:p>
        </w:tc>
        <w:tc>
          <w:tcPr>
            <w:tcW w:w="1926" w:type="dxa"/>
          </w:tcPr>
          <w:p w14:paraId="6ADCEDC4" w14:textId="527B4120" w:rsidR="00DE6598" w:rsidRPr="001664BA" w:rsidRDefault="00DE6598" w:rsidP="22F13677">
            <w:pPr>
              <w:pStyle w:val="TBLHeading"/>
              <w:jc w:val="right"/>
              <w:rPr>
                <w:b/>
                <w:bCs/>
              </w:rPr>
            </w:pPr>
            <w:r w:rsidRPr="22F13677">
              <w:rPr>
                <w:b/>
                <w:bCs/>
              </w:rPr>
              <w:t>%</w:t>
            </w:r>
          </w:p>
        </w:tc>
        <w:tc>
          <w:tcPr>
            <w:tcW w:w="2159" w:type="dxa"/>
          </w:tcPr>
          <w:p w14:paraId="3971BE7F" w14:textId="13E86C0C" w:rsidR="00DE6598" w:rsidRPr="001664BA" w:rsidRDefault="00DE6598" w:rsidP="22F13677">
            <w:pPr>
              <w:pStyle w:val="TBLHeading"/>
              <w:jc w:val="right"/>
              <w:rPr>
                <w:b/>
                <w:bCs/>
              </w:rPr>
            </w:pPr>
            <w:r w:rsidRPr="22F13677">
              <w:rPr>
                <w:b/>
                <w:bCs/>
              </w:rPr>
              <w:t>20</w:t>
            </w:r>
            <w:r w:rsidR="00AB0F87" w:rsidRPr="22F13677">
              <w:rPr>
                <w:b/>
                <w:bCs/>
              </w:rPr>
              <w:t xml:space="preserve">24-25 </w:t>
            </w:r>
            <w:r>
              <w:br/>
            </w:r>
            <w:r w:rsidR="00AB0F87" w:rsidRPr="22F13677">
              <w:rPr>
                <w:b/>
                <w:bCs/>
              </w:rPr>
              <w:t xml:space="preserve">(as </w:t>
            </w:r>
            <w:r w:rsidR="53F68906" w:rsidRPr="22F13677">
              <w:rPr>
                <w:b/>
                <w:bCs/>
              </w:rPr>
              <w:t>at 18</w:t>
            </w:r>
            <w:r w:rsidR="00AB0F87" w:rsidRPr="22F13677">
              <w:rPr>
                <w:b/>
                <w:bCs/>
              </w:rPr>
              <w:t xml:space="preserve"> October 2024)</w:t>
            </w:r>
          </w:p>
          <w:p w14:paraId="736ADCC4" w14:textId="4C321CB0" w:rsidR="00DE6598" w:rsidRPr="001664BA" w:rsidRDefault="00DE6598" w:rsidP="22F13677">
            <w:pPr>
              <w:pStyle w:val="TBLHeading"/>
              <w:jc w:val="right"/>
              <w:rPr>
                <w:b/>
                <w:bCs/>
              </w:rPr>
            </w:pPr>
          </w:p>
        </w:tc>
        <w:tc>
          <w:tcPr>
            <w:tcW w:w="2035" w:type="dxa"/>
          </w:tcPr>
          <w:p w14:paraId="65A44AEB" w14:textId="0A73DBA2" w:rsidR="00DE6598" w:rsidRPr="001664BA" w:rsidRDefault="00DE6598" w:rsidP="22F13677">
            <w:pPr>
              <w:pStyle w:val="TBLHeading"/>
              <w:jc w:val="right"/>
              <w:rPr>
                <w:b/>
                <w:bCs/>
              </w:rPr>
            </w:pPr>
            <w:r w:rsidRPr="22F13677">
              <w:rPr>
                <w:b/>
                <w:bCs/>
              </w:rPr>
              <w:t>%</w:t>
            </w:r>
          </w:p>
        </w:tc>
      </w:tr>
      <w:tr w:rsidR="006F3D63" w14:paraId="204E0AC1" w14:textId="03FD8A4E" w:rsidTr="22F13677">
        <w:trPr>
          <w:trHeight w:val="20"/>
        </w:trPr>
        <w:tc>
          <w:tcPr>
            <w:tcW w:w="1920" w:type="dxa"/>
            <w:shd w:val="clear" w:color="auto" w:fill="E0E8F2" w:themeFill="background2"/>
            <w:vAlign w:val="center"/>
          </w:tcPr>
          <w:p w14:paraId="144E6601" w14:textId="77777777" w:rsidR="00DE6598" w:rsidRPr="00C438FB" w:rsidRDefault="00DE6598" w:rsidP="00DE6598">
            <w:pPr>
              <w:pStyle w:val="TBLText"/>
            </w:pPr>
            <w:r w:rsidRPr="00C438FB">
              <w:t>Not compliant / Insufficient</w:t>
            </w:r>
          </w:p>
        </w:tc>
        <w:tc>
          <w:tcPr>
            <w:tcW w:w="1928" w:type="dxa"/>
            <w:shd w:val="clear" w:color="auto" w:fill="E0E8F2" w:themeFill="background2"/>
            <w:vAlign w:val="center"/>
          </w:tcPr>
          <w:p w14:paraId="55B601AC" w14:textId="77D91DC3" w:rsidR="00DE6598" w:rsidRPr="001664BA" w:rsidRDefault="1D0F1D1E" w:rsidP="22F13677">
            <w:pPr>
              <w:pStyle w:val="TBLText"/>
              <w:jc w:val="right"/>
            </w:pPr>
            <w:r>
              <w:t>0</w:t>
            </w:r>
            <w:r w:rsidR="1CA01939">
              <w:t>/</w:t>
            </w:r>
            <w:r w:rsidR="00D22B6F">
              <w:t>39</w:t>
            </w:r>
          </w:p>
        </w:tc>
        <w:tc>
          <w:tcPr>
            <w:tcW w:w="1926" w:type="dxa"/>
            <w:shd w:val="clear" w:color="auto" w:fill="E0E8F2" w:themeFill="background2"/>
            <w:vAlign w:val="center"/>
          </w:tcPr>
          <w:p w14:paraId="426B0FE8" w14:textId="3A26F763" w:rsidR="00DE6598" w:rsidRPr="001664BA" w:rsidRDefault="004C1F82" w:rsidP="22F13677">
            <w:pPr>
              <w:pStyle w:val="TBLText"/>
              <w:jc w:val="right"/>
            </w:pPr>
            <w:r>
              <w:t>0</w:t>
            </w:r>
            <w:r w:rsidR="00310202">
              <w:t>%</w:t>
            </w:r>
          </w:p>
        </w:tc>
        <w:tc>
          <w:tcPr>
            <w:tcW w:w="2159" w:type="dxa"/>
            <w:shd w:val="clear" w:color="auto" w:fill="E0E8F2" w:themeFill="background2"/>
            <w:vAlign w:val="center"/>
          </w:tcPr>
          <w:p w14:paraId="30AF76D4" w14:textId="58C857B9" w:rsidR="00DE6598" w:rsidRPr="001664BA" w:rsidRDefault="00AB0F87" w:rsidP="22F13677">
            <w:pPr>
              <w:pStyle w:val="TBLText"/>
              <w:jc w:val="right"/>
            </w:pPr>
            <w:r>
              <w:t>0/12</w:t>
            </w:r>
          </w:p>
        </w:tc>
        <w:tc>
          <w:tcPr>
            <w:tcW w:w="2035" w:type="dxa"/>
            <w:shd w:val="clear" w:color="auto" w:fill="E0E8F2" w:themeFill="background2"/>
            <w:vAlign w:val="center"/>
          </w:tcPr>
          <w:p w14:paraId="566E6819" w14:textId="2B2E576A" w:rsidR="00DE6598" w:rsidRPr="001664BA" w:rsidRDefault="1C6D96CD" w:rsidP="22F13677">
            <w:pPr>
              <w:pStyle w:val="TBLText"/>
              <w:jc w:val="right"/>
            </w:pPr>
            <w:r>
              <w:t>0</w:t>
            </w:r>
            <w:r w:rsidR="00310202">
              <w:t>%</w:t>
            </w:r>
          </w:p>
        </w:tc>
      </w:tr>
      <w:tr w:rsidR="00DE6598" w14:paraId="7C98D6E2" w14:textId="72CEFBB5" w:rsidTr="22F13677">
        <w:trPr>
          <w:trHeight w:val="20"/>
        </w:trPr>
        <w:tc>
          <w:tcPr>
            <w:tcW w:w="1920" w:type="dxa"/>
            <w:shd w:val="clear" w:color="auto" w:fill="auto"/>
            <w:vAlign w:val="center"/>
          </w:tcPr>
          <w:p w14:paraId="6CFF4EED" w14:textId="77777777" w:rsidR="00DE6598" w:rsidRPr="00C438FB" w:rsidRDefault="00DE6598" w:rsidP="00DE6598">
            <w:pPr>
              <w:pStyle w:val="TBLText"/>
            </w:pPr>
            <w:r w:rsidRPr="00C438FB">
              <w:t>Adequate</w:t>
            </w:r>
          </w:p>
        </w:tc>
        <w:tc>
          <w:tcPr>
            <w:tcW w:w="1928" w:type="dxa"/>
            <w:vAlign w:val="center"/>
          </w:tcPr>
          <w:p w14:paraId="50EC3FA4" w14:textId="7B9A82B9" w:rsidR="00DE6598" w:rsidRPr="001664BA" w:rsidRDefault="314459D2" w:rsidP="22F13677">
            <w:pPr>
              <w:pStyle w:val="TBLText"/>
              <w:jc w:val="right"/>
            </w:pPr>
            <w:r>
              <w:t>14</w:t>
            </w:r>
            <w:r w:rsidR="796A0B3F">
              <w:t>/</w:t>
            </w:r>
            <w:r w:rsidR="00D22B6F">
              <w:t>39</w:t>
            </w:r>
          </w:p>
        </w:tc>
        <w:tc>
          <w:tcPr>
            <w:tcW w:w="1926" w:type="dxa"/>
            <w:vAlign w:val="center"/>
          </w:tcPr>
          <w:p w14:paraId="12525BCF" w14:textId="682D5AC5" w:rsidR="00DE6598" w:rsidRPr="001664BA" w:rsidRDefault="00E86E7B" w:rsidP="22F13677">
            <w:pPr>
              <w:pStyle w:val="TBLText"/>
              <w:jc w:val="right"/>
            </w:pPr>
            <w:r>
              <w:t>36</w:t>
            </w:r>
            <w:r w:rsidR="00310202">
              <w:t>%</w:t>
            </w:r>
          </w:p>
        </w:tc>
        <w:tc>
          <w:tcPr>
            <w:tcW w:w="2159" w:type="dxa"/>
            <w:vAlign w:val="center"/>
          </w:tcPr>
          <w:p w14:paraId="099B5148" w14:textId="1569AD24" w:rsidR="00DE6598" w:rsidRPr="001664BA" w:rsidRDefault="00AB0F87" w:rsidP="22F13677">
            <w:pPr>
              <w:pStyle w:val="TBLText"/>
              <w:jc w:val="right"/>
            </w:pPr>
            <w:r>
              <w:t>4/12</w:t>
            </w:r>
          </w:p>
        </w:tc>
        <w:tc>
          <w:tcPr>
            <w:tcW w:w="2035" w:type="dxa"/>
            <w:vAlign w:val="center"/>
          </w:tcPr>
          <w:p w14:paraId="2689FAD2" w14:textId="66FECFB8" w:rsidR="00DE6598" w:rsidRPr="001664BA" w:rsidRDefault="6DD7A2BB" w:rsidP="22F13677">
            <w:pPr>
              <w:pStyle w:val="TBLText"/>
              <w:jc w:val="right"/>
            </w:pPr>
            <w:r>
              <w:t>33</w:t>
            </w:r>
            <w:r w:rsidR="00310202">
              <w:t>%</w:t>
            </w:r>
          </w:p>
        </w:tc>
      </w:tr>
      <w:tr w:rsidR="006F3D63" w14:paraId="31F42EBC" w14:textId="1A170C90" w:rsidTr="22F13677">
        <w:trPr>
          <w:trHeight w:val="20"/>
        </w:trPr>
        <w:tc>
          <w:tcPr>
            <w:tcW w:w="1920" w:type="dxa"/>
            <w:shd w:val="clear" w:color="auto" w:fill="E0E8F2" w:themeFill="background2"/>
            <w:vAlign w:val="center"/>
          </w:tcPr>
          <w:p w14:paraId="0E788F45" w14:textId="77777777" w:rsidR="00DE6598" w:rsidRPr="00C438FB" w:rsidRDefault="00DE6598" w:rsidP="00DE6598">
            <w:pPr>
              <w:pStyle w:val="TBLText"/>
            </w:pPr>
            <w:r w:rsidRPr="00C438FB">
              <w:t>Good Practice</w:t>
            </w:r>
          </w:p>
        </w:tc>
        <w:tc>
          <w:tcPr>
            <w:tcW w:w="1928" w:type="dxa"/>
            <w:shd w:val="clear" w:color="auto" w:fill="E0E8F2" w:themeFill="background2"/>
            <w:vAlign w:val="center"/>
          </w:tcPr>
          <w:p w14:paraId="05571FBD" w14:textId="78415406" w:rsidR="00DE6598" w:rsidRPr="001664BA" w:rsidRDefault="00E86E7B" w:rsidP="22F13677">
            <w:pPr>
              <w:pStyle w:val="TBLText"/>
              <w:jc w:val="right"/>
            </w:pPr>
            <w:r>
              <w:t>22</w:t>
            </w:r>
            <w:r w:rsidR="50A962E8">
              <w:t>/</w:t>
            </w:r>
            <w:r w:rsidR="00D22B6F">
              <w:t>39</w:t>
            </w:r>
          </w:p>
        </w:tc>
        <w:tc>
          <w:tcPr>
            <w:tcW w:w="1926" w:type="dxa"/>
            <w:shd w:val="clear" w:color="auto" w:fill="E0E8F2" w:themeFill="background2"/>
            <w:vAlign w:val="center"/>
          </w:tcPr>
          <w:p w14:paraId="7A693A72" w14:textId="3FA964D3" w:rsidR="00DE6598" w:rsidRPr="001664BA" w:rsidRDefault="00E86E7B" w:rsidP="22F13677">
            <w:pPr>
              <w:pStyle w:val="TBLText"/>
              <w:jc w:val="right"/>
            </w:pPr>
            <w:r>
              <w:t>56</w:t>
            </w:r>
            <w:r w:rsidR="00310202">
              <w:t>%</w:t>
            </w:r>
          </w:p>
        </w:tc>
        <w:tc>
          <w:tcPr>
            <w:tcW w:w="2159" w:type="dxa"/>
            <w:shd w:val="clear" w:color="auto" w:fill="E0E8F2" w:themeFill="background2"/>
            <w:vAlign w:val="center"/>
          </w:tcPr>
          <w:p w14:paraId="0149C2AA" w14:textId="10446AC4" w:rsidR="00DE6598" w:rsidRPr="001664BA" w:rsidRDefault="001664BA" w:rsidP="22F13677">
            <w:pPr>
              <w:pStyle w:val="TBLText"/>
              <w:jc w:val="right"/>
            </w:pPr>
            <w:r>
              <w:t>6</w:t>
            </w:r>
            <w:r w:rsidR="7E22E91C">
              <w:t>/</w:t>
            </w:r>
            <w:r w:rsidR="00AB0F87">
              <w:t>12</w:t>
            </w:r>
          </w:p>
        </w:tc>
        <w:tc>
          <w:tcPr>
            <w:tcW w:w="2035" w:type="dxa"/>
            <w:shd w:val="clear" w:color="auto" w:fill="E0E8F2" w:themeFill="background2"/>
            <w:vAlign w:val="center"/>
          </w:tcPr>
          <w:p w14:paraId="05BD98C7" w14:textId="2808B1D0" w:rsidR="00DE6598" w:rsidRPr="001664BA" w:rsidRDefault="0215B27D" w:rsidP="22F13677">
            <w:pPr>
              <w:pStyle w:val="TBLText"/>
              <w:jc w:val="right"/>
            </w:pPr>
            <w:r>
              <w:t>50</w:t>
            </w:r>
            <w:r w:rsidR="00310202">
              <w:t>%</w:t>
            </w:r>
          </w:p>
        </w:tc>
      </w:tr>
      <w:tr w:rsidR="00DE6598" w14:paraId="36790FDE" w14:textId="651E32C9" w:rsidTr="22F13677">
        <w:trPr>
          <w:trHeight w:val="20"/>
        </w:trPr>
        <w:tc>
          <w:tcPr>
            <w:tcW w:w="1920" w:type="dxa"/>
            <w:shd w:val="clear" w:color="auto" w:fill="auto"/>
            <w:vAlign w:val="center"/>
          </w:tcPr>
          <w:p w14:paraId="466D8A1C" w14:textId="0ED5E2C7" w:rsidR="00DE6598" w:rsidRPr="00C438FB" w:rsidRDefault="00DE6598" w:rsidP="00DE6598">
            <w:pPr>
              <w:pStyle w:val="TBLText"/>
            </w:pPr>
            <w:r>
              <w:t>Exemplary</w:t>
            </w:r>
          </w:p>
        </w:tc>
        <w:tc>
          <w:tcPr>
            <w:tcW w:w="1928" w:type="dxa"/>
            <w:shd w:val="clear" w:color="auto" w:fill="auto"/>
            <w:vAlign w:val="center"/>
          </w:tcPr>
          <w:p w14:paraId="7D177F18" w14:textId="1B4260C1" w:rsidR="00DE6598" w:rsidRPr="001664BA" w:rsidRDefault="13EA4B47" w:rsidP="22F13677">
            <w:pPr>
              <w:pStyle w:val="TBLText"/>
              <w:jc w:val="right"/>
            </w:pPr>
            <w:r>
              <w:t>3</w:t>
            </w:r>
            <w:r w:rsidR="5B72AE6D">
              <w:t>/</w:t>
            </w:r>
            <w:r w:rsidR="00D22B6F">
              <w:t>39</w:t>
            </w:r>
          </w:p>
        </w:tc>
        <w:tc>
          <w:tcPr>
            <w:tcW w:w="1926" w:type="dxa"/>
            <w:shd w:val="clear" w:color="auto" w:fill="auto"/>
            <w:vAlign w:val="center"/>
          </w:tcPr>
          <w:p w14:paraId="0973B1CF" w14:textId="6187F4CE" w:rsidR="00DE6598" w:rsidRPr="001664BA" w:rsidRDefault="004C1F82" w:rsidP="22F13677">
            <w:pPr>
              <w:pStyle w:val="TBLText"/>
              <w:jc w:val="right"/>
            </w:pPr>
            <w:r>
              <w:t>8</w:t>
            </w:r>
            <w:r w:rsidR="00310202">
              <w:t>%</w:t>
            </w:r>
          </w:p>
        </w:tc>
        <w:tc>
          <w:tcPr>
            <w:tcW w:w="2159" w:type="dxa"/>
            <w:shd w:val="clear" w:color="auto" w:fill="auto"/>
            <w:vAlign w:val="center"/>
          </w:tcPr>
          <w:p w14:paraId="528F2628" w14:textId="17CFC344" w:rsidR="00DE6598" w:rsidRPr="001664BA" w:rsidRDefault="001664BA" w:rsidP="22F13677">
            <w:pPr>
              <w:pStyle w:val="TBLText"/>
              <w:jc w:val="right"/>
            </w:pPr>
            <w:r>
              <w:t>2</w:t>
            </w:r>
            <w:r w:rsidR="00AB0F87">
              <w:t>/12</w:t>
            </w:r>
          </w:p>
        </w:tc>
        <w:tc>
          <w:tcPr>
            <w:tcW w:w="2035" w:type="dxa"/>
            <w:shd w:val="clear" w:color="auto" w:fill="auto"/>
            <w:vAlign w:val="center"/>
          </w:tcPr>
          <w:p w14:paraId="58B7B4E8" w14:textId="0D3E9DAB" w:rsidR="00DE6598" w:rsidRPr="001664BA" w:rsidRDefault="28614391" w:rsidP="22F13677">
            <w:pPr>
              <w:pStyle w:val="TBLText"/>
              <w:jc w:val="right"/>
            </w:pPr>
            <w:r>
              <w:t>17</w:t>
            </w:r>
            <w:r w:rsidR="00310202">
              <w:t>%</w:t>
            </w:r>
          </w:p>
        </w:tc>
      </w:tr>
      <w:tr w:rsidR="006F3D63" w14:paraId="042B1B05" w14:textId="1FDF7ACB" w:rsidTr="22F13677">
        <w:trPr>
          <w:trHeight w:val="20"/>
        </w:trPr>
        <w:tc>
          <w:tcPr>
            <w:tcW w:w="1920" w:type="dxa"/>
            <w:shd w:val="clear" w:color="auto" w:fill="E0E8F2" w:themeFill="background2"/>
            <w:vAlign w:val="center"/>
          </w:tcPr>
          <w:p w14:paraId="5D627DEE" w14:textId="599B82CB" w:rsidR="00DE6598" w:rsidRPr="00C438FB" w:rsidRDefault="00DE6598" w:rsidP="00DE6598">
            <w:pPr>
              <w:pStyle w:val="TBLText"/>
            </w:pPr>
            <w:r>
              <w:t>IA</w:t>
            </w:r>
            <w:r w:rsidRPr="00C438FB">
              <w:t xml:space="preserve"> Compliance</w:t>
            </w:r>
          </w:p>
        </w:tc>
        <w:tc>
          <w:tcPr>
            <w:tcW w:w="1928" w:type="dxa"/>
            <w:shd w:val="clear" w:color="auto" w:fill="E0E8F2" w:themeFill="background2"/>
            <w:vAlign w:val="center"/>
          </w:tcPr>
          <w:p w14:paraId="13FCF61F" w14:textId="64B69D84" w:rsidR="00DE6598" w:rsidRPr="001664BA" w:rsidRDefault="53084261" w:rsidP="22F13677">
            <w:pPr>
              <w:pStyle w:val="TBLText"/>
              <w:jc w:val="right"/>
            </w:pPr>
            <w:r>
              <w:t>38</w:t>
            </w:r>
            <w:r w:rsidR="0253751F">
              <w:t>/</w:t>
            </w:r>
            <w:r w:rsidR="00D22B6F">
              <w:t>39</w:t>
            </w:r>
          </w:p>
        </w:tc>
        <w:tc>
          <w:tcPr>
            <w:tcW w:w="1926" w:type="dxa"/>
            <w:shd w:val="clear" w:color="auto" w:fill="E0E8F2" w:themeFill="background2"/>
            <w:vAlign w:val="center"/>
          </w:tcPr>
          <w:p w14:paraId="6A7ACD83" w14:textId="6A3E5855" w:rsidR="00DE6598" w:rsidRPr="001664BA" w:rsidRDefault="004C1F82" w:rsidP="22F13677">
            <w:pPr>
              <w:pStyle w:val="TBLText"/>
              <w:jc w:val="right"/>
            </w:pPr>
            <w:r>
              <w:t>100</w:t>
            </w:r>
            <w:r w:rsidR="00310202">
              <w:t>%</w:t>
            </w:r>
          </w:p>
        </w:tc>
        <w:tc>
          <w:tcPr>
            <w:tcW w:w="2159" w:type="dxa"/>
            <w:shd w:val="clear" w:color="auto" w:fill="E0E8F2" w:themeFill="background2"/>
            <w:vAlign w:val="center"/>
          </w:tcPr>
          <w:p w14:paraId="5B7690D7" w14:textId="32F08CD2" w:rsidR="00DE6598" w:rsidRPr="001664BA" w:rsidRDefault="00AB0F87" w:rsidP="22F13677">
            <w:pPr>
              <w:pStyle w:val="TBLText"/>
              <w:jc w:val="right"/>
            </w:pPr>
            <w:r>
              <w:t>12/12</w:t>
            </w:r>
          </w:p>
        </w:tc>
        <w:tc>
          <w:tcPr>
            <w:tcW w:w="2035" w:type="dxa"/>
            <w:shd w:val="clear" w:color="auto" w:fill="E0E8F2" w:themeFill="background2"/>
            <w:vAlign w:val="center"/>
          </w:tcPr>
          <w:p w14:paraId="6E9F72CD" w14:textId="24D30777" w:rsidR="00DE6598" w:rsidRPr="001664BA" w:rsidRDefault="00AB0F87" w:rsidP="22F13677">
            <w:pPr>
              <w:pStyle w:val="TBLText"/>
              <w:jc w:val="right"/>
            </w:pPr>
            <w:r>
              <w:t>100</w:t>
            </w:r>
            <w:r w:rsidR="00310202">
              <w:t>%</w:t>
            </w:r>
          </w:p>
        </w:tc>
      </w:tr>
      <w:tr w:rsidR="00DE6598" w14:paraId="3A82D689" w14:textId="7C5A92E4" w:rsidTr="22F13677">
        <w:trPr>
          <w:trHeight w:val="20"/>
        </w:trPr>
        <w:tc>
          <w:tcPr>
            <w:tcW w:w="1920" w:type="dxa"/>
            <w:shd w:val="clear" w:color="auto" w:fill="auto"/>
            <w:vAlign w:val="center"/>
          </w:tcPr>
          <w:p w14:paraId="04B84F09" w14:textId="3C1BD0FC" w:rsidR="00DE6598" w:rsidRPr="00C438FB" w:rsidRDefault="00DE6598" w:rsidP="00DE6598">
            <w:pPr>
              <w:pStyle w:val="TBLText"/>
            </w:pPr>
            <w:r w:rsidRPr="004140B0">
              <w:t>Independent Reviews and I</w:t>
            </w:r>
            <w:r>
              <w:t>AEs</w:t>
            </w:r>
            <w:r w:rsidRPr="004140B0">
              <w:rPr>
                <w:vertAlign w:val="superscript"/>
              </w:rPr>
              <w:t>a</w:t>
            </w:r>
          </w:p>
        </w:tc>
        <w:tc>
          <w:tcPr>
            <w:tcW w:w="1928" w:type="dxa"/>
            <w:shd w:val="clear" w:color="auto" w:fill="auto"/>
            <w:vAlign w:val="center"/>
          </w:tcPr>
          <w:p w14:paraId="3A0F6189" w14:textId="7EC747FD" w:rsidR="00DE6598" w:rsidRPr="001664BA" w:rsidRDefault="36818D3E" w:rsidP="22F13677">
            <w:pPr>
              <w:pStyle w:val="TBLText"/>
              <w:jc w:val="right"/>
            </w:pPr>
            <w:r>
              <w:t>15</w:t>
            </w:r>
          </w:p>
        </w:tc>
        <w:tc>
          <w:tcPr>
            <w:tcW w:w="1926" w:type="dxa"/>
            <w:shd w:val="clear" w:color="auto" w:fill="auto"/>
            <w:vAlign w:val="center"/>
          </w:tcPr>
          <w:p w14:paraId="7B1D9FA7" w14:textId="7D396A75" w:rsidR="00DE6598" w:rsidRPr="001664BA" w:rsidRDefault="00DE6598" w:rsidP="22F13677">
            <w:pPr>
              <w:pStyle w:val="TBLText"/>
              <w:jc w:val="right"/>
            </w:pPr>
            <w:r>
              <w:t>-</w:t>
            </w:r>
          </w:p>
        </w:tc>
        <w:tc>
          <w:tcPr>
            <w:tcW w:w="2159" w:type="dxa"/>
            <w:shd w:val="clear" w:color="auto" w:fill="auto"/>
            <w:vAlign w:val="center"/>
          </w:tcPr>
          <w:p w14:paraId="39C2370E" w14:textId="05EA28D5" w:rsidR="00DE6598" w:rsidRPr="001664BA" w:rsidRDefault="00AB0F87" w:rsidP="22F13677">
            <w:pPr>
              <w:pStyle w:val="TBLText"/>
              <w:jc w:val="right"/>
            </w:pPr>
            <w:r>
              <w:t>1</w:t>
            </w:r>
          </w:p>
        </w:tc>
        <w:tc>
          <w:tcPr>
            <w:tcW w:w="2035" w:type="dxa"/>
            <w:shd w:val="clear" w:color="auto" w:fill="auto"/>
            <w:vAlign w:val="center"/>
          </w:tcPr>
          <w:p w14:paraId="6AC6E23C" w14:textId="2A8F9205" w:rsidR="00DE6598" w:rsidRPr="001664BA" w:rsidRDefault="00DE6598" w:rsidP="22F13677">
            <w:pPr>
              <w:pStyle w:val="TBLText"/>
              <w:jc w:val="right"/>
            </w:pPr>
            <w:r>
              <w:t>-</w:t>
            </w:r>
          </w:p>
        </w:tc>
      </w:tr>
      <w:tr w:rsidR="006F3D63" w14:paraId="3E5A7146" w14:textId="09CCE96B" w:rsidTr="22F13677">
        <w:trPr>
          <w:trHeight w:val="20"/>
        </w:trPr>
        <w:tc>
          <w:tcPr>
            <w:tcW w:w="1920" w:type="dxa"/>
            <w:shd w:val="clear" w:color="auto" w:fill="E0E8F2" w:themeFill="background2"/>
            <w:vAlign w:val="center"/>
          </w:tcPr>
          <w:p w14:paraId="20EFAA38" w14:textId="4BAB7821" w:rsidR="00DE6598" w:rsidRPr="00C438FB" w:rsidRDefault="00DE6598" w:rsidP="00DE6598">
            <w:pPr>
              <w:pStyle w:val="TBLText"/>
            </w:pPr>
            <w:r w:rsidRPr="00C438FB">
              <w:t>Overall compliance</w:t>
            </w:r>
          </w:p>
        </w:tc>
        <w:tc>
          <w:tcPr>
            <w:tcW w:w="1928" w:type="dxa"/>
            <w:shd w:val="clear" w:color="auto" w:fill="E0E8F2" w:themeFill="background2"/>
            <w:vAlign w:val="center"/>
          </w:tcPr>
          <w:p w14:paraId="41DCEBD4" w14:textId="3FA67315" w:rsidR="00DE6598" w:rsidRPr="001664BA" w:rsidRDefault="00D22B6F" w:rsidP="22F13677">
            <w:pPr>
              <w:pStyle w:val="TBLText"/>
              <w:jc w:val="right"/>
            </w:pPr>
            <w:r>
              <w:t>54</w:t>
            </w:r>
            <w:r w:rsidR="00DE6598">
              <w:t>/</w:t>
            </w:r>
            <w:r>
              <w:t>54</w:t>
            </w:r>
          </w:p>
        </w:tc>
        <w:tc>
          <w:tcPr>
            <w:tcW w:w="1926" w:type="dxa"/>
            <w:shd w:val="clear" w:color="auto" w:fill="E0E8F2" w:themeFill="background2"/>
            <w:vAlign w:val="center"/>
          </w:tcPr>
          <w:p w14:paraId="534FFAEE" w14:textId="24CC5693" w:rsidR="00DE6598" w:rsidRPr="001664BA" w:rsidRDefault="004C1F82" w:rsidP="22F13677">
            <w:pPr>
              <w:pStyle w:val="TBLText"/>
              <w:jc w:val="right"/>
            </w:pPr>
            <w:r>
              <w:t>100</w:t>
            </w:r>
            <w:r w:rsidR="00310202">
              <w:t>%</w:t>
            </w:r>
          </w:p>
        </w:tc>
        <w:tc>
          <w:tcPr>
            <w:tcW w:w="2159" w:type="dxa"/>
            <w:shd w:val="clear" w:color="auto" w:fill="E0E8F2" w:themeFill="background2"/>
            <w:vAlign w:val="center"/>
          </w:tcPr>
          <w:p w14:paraId="15235E5A" w14:textId="6EA4D2FA" w:rsidR="00DE6598" w:rsidRPr="001664BA" w:rsidRDefault="001664BA" w:rsidP="22F13677">
            <w:pPr>
              <w:pStyle w:val="TBLText"/>
              <w:jc w:val="right"/>
            </w:pPr>
            <w:r>
              <w:t>13/13</w:t>
            </w:r>
          </w:p>
        </w:tc>
        <w:tc>
          <w:tcPr>
            <w:tcW w:w="2035" w:type="dxa"/>
            <w:shd w:val="clear" w:color="auto" w:fill="E0E8F2" w:themeFill="background2"/>
            <w:vAlign w:val="center"/>
          </w:tcPr>
          <w:p w14:paraId="08E76A2E" w14:textId="7AD51A3E" w:rsidR="00DE6598" w:rsidRPr="001664BA" w:rsidRDefault="67286DA7" w:rsidP="22F13677">
            <w:pPr>
              <w:pStyle w:val="TBLText"/>
              <w:jc w:val="right"/>
            </w:pPr>
            <w:r>
              <w:t>100</w:t>
            </w:r>
            <w:r w:rsidR="00310202">
              <w:t>%</w:t>
            </w:r>
          </w:p>
        </w:tc>
      </w:tr>
      <w:tr w:rsidR="00DE6598" w14:paraId="7C2BC933" w14:textId="44DFF099" w:rsidTr="22F13677">
        <w:trPr>
          <w:trHeight w:val="20"/>
        </w:trPr>
        <w:tc>
          <w:tcPr>
            <w:tcW w:w="1920" w:type="dxa"/>
            <w:shd w:val="clear" w:color="auto" w:fill="auto"/>
            <w:vAlign w:val="center"/>
          </w:tcPr>
          <w:p w14:paraId="486D0BD4" w14:textId="77777777" w:rsidR="00DE6598" w:rsidRPr="00C438FB" w:rsidRDefault="00DE6598" w:rsidP="00DE6598">
            <w:pPr>
              <w:pStyle w:val="TBLText"/>
            </w:pPr>
            <w:r w:rsidRPr="00C438FB">
              <w:t>Exceptional circumstances</w:t>
            </w:r>
            <w:r w:rsidRPr="00C90806">
              <w:rPr>
                <w:vertAlign w:val="superscript"/>
              </w:rPr>
              <w:t>b</w:t>
            </w:r>
          </w:p>
        </w:tc>
        <w:tc>
          <w:tcPr>
            <w:tcW w:w="1928" w:type="dxa"/>
            <w:shd w:val="clear" w:color="auto" w:fill="auto"/>
            <w:vAlign w:val="center"/>
          </w:tcPr>
          <w:p w14:paraId="77E2041D" w14:textId="71FB1872" w:rsidR="00DE6598" w:rsidRPr="001664BA" w:rsidRDefault="1933EEC6" w:rsidP="22F13677">
            <w:pPr>
              <w:pStyle w:val="TBLText"/>
              <w:jc w:val="right"/>
            </w:pPr>
            <w:r>
              <w:t>0</w:t>
            </w:r>
          </w:p>
        </w:tc>
        <w:tc>
          <w:tcPr>
            <w:tcW w:w="1926" w:type="dxa"/>
            <w:shd w:val="clear" w:color="auto" w:fill="auto"/>
            <w:vAlign w:val="center"/>
          </w:tcPr>
          <w:p w14:paraId="34C4C7A5" w14:textId="7E6DCBDD" w:rsidR="00DE6598" w:rsidRPr="001664BA" w:rsidRDefault="00DE6598" w:rsidP="22F13677">
            <w:pPr>
              <w:pStyle w:val="TBLText"/>
              <w:jc w:val="right"/>
            </w:pPr>
            <w:r>
              <w:t>-</w:t>
            </w:r>
          </w:p>
        </w:tc>
        <w:tc>
          <w:tcPr>
            <w:tcW w:w="2159" w:type="dxa"/>
            <w:shd w:val="clear" w:color="auto" w:fill="auto"/>
            <w:vAlign w:val="center"/>
          </w:tcPr>
          <w:p w14:paraId="5E1DFC24" w14:textId="620EB7F0" w:rsidR="00DE6598" w:rsidRPr="001664BA" w:rsidRDefault="001664BA" w:rsidP="22F13677">
            <w:pPr>
              <w:pStyle w:val="TBLText"/>
              <w:jc w:val="right"/>
            </w:pPr>
            <w:r>
              <w:t>0</w:t>
            </w:r>
          </w:p>
        </w:tc>
        <w:tc>
          <w:tcPr>
            <w:tcW w:w="2035" w:type="dxa"/>
            <w:shd w:val="clear" w:color="auto" w:fill="auto"/>
            <w:vAlign w:val="center"/>
          </w:tcPr>
          <w:p w14:paraId="3F5ED3C2" w14:textId="4A1E2A60" w:rsidR="00DE6598" w:rsidRPr="001664BA" w:rsidRDefault="00DE6598" w:rsidP="22F13677">
            <w:pPr>
              <w:pStyle w:val="TBLText"/>
              <w:jc w:val="right"/>
            </w:pPr>
            <w:r>
              <w:t>-</w:t>
            </w:r>
          </w:p>
        </w:tc>
      </w:tr>
      <w:tr w:rsidR="006F3D63" w14:paraId="23858C0C" w14:textId="6A6CC21D" w:rsidTr="22F13677">
        <w:trPr>
          <w:trHeight w:val="20"/>
        </w:trPr>
        <w:tc>
          <w:tcPr>
            <w:tcW w:w="1920" w:type="dxa"/>
            <w:shd w:val="clear" w:color="auto" w:fill="E0E8F2" w:themeFill="background2"/>
            <w:vAlign w:val="center"/>
          </w:tcPr>
          <w:p w14:paraId="1E7327C6" w14:textId="77777777" w:rsidR="00DE6598" w:rsidRPr="00C438FB" w:rsidRDefault="00DE6598" w:rsidP="00DE6598">
            <w:pPr>
              <w:pStyle w:val="TBLText"/>
            </w:pPr>
            <w:r w:rsidRPr="00C438FB">
              <w:t>Estimated annual impact on Regulatory Burden</w:t>
            </w:r>
            <w:r w:rsidRPr="00C90806">
              <w:rPr>
                <w:vertAlign w:val="superscript"/>
              </w:rPr>
              <w:t>c</w:t>
            </w:r>
          </w:p>
        </w:tc>
        <w:tc>
          <w:tcPr>
            <w:tcW w:w="1928" w:type="dxa"/>
            <w:shd w:val="clear" w:color="auto" w:fill="E0E8F2" w:themeFill="background2"/>
            <w:vAlign w:val="center"/>
          </w:tcPr>
          <w:p w14:paraId="44CF2CB2" w14:textId="76E7BB86" w:rsidR="00DE6598" w:rsidRPr="004E4AF1" w:rsidRDefault="00DE6598" w:rsidP="22F13677">
            <w:pPr>
              <w:pStyle w:val="TBLText"/>
              <w:jc w:val="right"/>
              <w:rPr>
                <w:vertAlign w:val="superscript"/>
              </w:rPr>
            </w:pPr>
            <w:r>
              <w:t xml:space="preserve"> $</w:t>
            </w:r>
            <w:r w:rsidR="00337AA3">
              <w:t>457</w:t>
            </w:r>
            <w:r>
              <w:t xml:space="preserve"> million</w:t>
            </w:r>
          </w:p>
        </w:tc>
        <w:tc>
          <w:tcPr>
            <w:tcW w:w="1926" w:type="dxa"/>
            <w:shd w:val="clear" w:color="auto" w:fill="E0E8F2" w:themeFill="background2"/>
            <w:vAlign w:val="center"/>
          </w:tcPr>
          <w:p w14:paraId="5AF27BD5" w14:textId="7342A45E" w:rsidR="00DE6598" w:rsidRPr="004E4AF1" w:rsidRDefault="00DE6598" w:rsidP="22F13677">
            <w:pPr>
              <w:pStyle w:val="TBLText"/>
              <w:jc w:val="right"/>
            </w:pPr>
            <w:r>
              <w:t>-</w:t>
            </w:r>
          </w:p>
        </w:tc>
        <w:tc>
          <w:tcPr>
            <w:tcW w:w="2159" w:type="dxa"/>
            <w:shd w:val="clear" w:color="auto" w:fill="E0E8F2" w:themeFill="background2"/>
            <w:vAlign w:val="center"/>
          </w:tcPr>
          <w:p w14:paraId="695FCB18" w14:textId="38FE9938" w:rsidR="00DE6598" w:rsidRDefault="00DE6598" w:rsidP="22F13677">
            <w:pPr>
              <w:pStyle w:val="TBLText"/>
              <w:jc w:val="right"/>
              <w:rPr>
                <w:vertAlign w:val="superscript"/>
              </w:rPr>
            </w:pPr>
            <w:r>
              <w:t xml:space="preserve">$ </w:t>
            </w:r>
            <w:r w:rsidR="00D10C64">
              <w:t>1,92</w:t>
            </w:r>
            <w:r w:rsidR="00196651">
              <w:t>5</w:t>
            </w:r>
            <w:r w:rsidR="004B0D74">
              <w:t xml:space="preserve"> </w:t>
            </w:r>
            <w:r>
              <w:t>million</w:t>
            </w:r>
          </w:p>
        </w:tc>
        <w:tc>
          <w:tcPr>
            <w:tcW w:w="2035" w:type="dxa"/>
            <w:shd w:val="clear" w:color="auto" w:fill="E0E8F2" w:themeFill="background2"/>
            <w:vAlign w:val="center"/>
          </w:tcPr>
          <w:p w14:paraId="1AFF3B87" w14:textId="763BC127" w:rsidR="00DE6598" w:rsidRDefault="00DE6598" w:rsidP="22F13677">
            <w:pPr>
              <w:pStyle w:val="TBLText"/>
              <w:jc w:val="right"/>
            </w:pPr>
            <w:r>
              <w:t>-</w:t>
            </w:r>
          </w:p>
        </w:tc>
      </w:tr>
    </w:tbl>
    <w:p w14:paraId="555A70E4" w14:textId="0FF26B70" w:rsidR="00374D1E" w:rsidRPr="0061690C" w:rsidRDefault="00374D1E" w:rsidP="4BE0FD86">
      <w:pPr>
        <w:pStyle w:val="TBLFootnote"/>
        <w:rPr>
          <w:rStyle w:val="Emphasis"/>
          <w:i w:val="0"/>
          <w:iCs w:val="0"/>
        </w:rPr>
      </w:pPr>
      <w:proofErr w:type="spellStart"/>
      <w:proofErr w:type="gramStart"/>
      <w:r w:rsidRPr="0061690C">
        <w:t>a</w:t>
      </w:r>
      <w:proofErr w:type="spellEnd"/>
      <w:proofErr w:type="gramEnd"/>
      <w:r w:rsidRPr="0061690C">
        <w:t xml:space="preserve"> Independent reviews </w:t>
      </w:r>
      <w:r w:rsidR="00A326EF">
        <w:t xml:space="preserve">and </w:t>
      </w:r>
      <w:r w:rsidR="00384A6D">
        <w:t>IAEs</w:t>
      </w:r>
      <w:r w:rsidR="00A326EF">
        <w:t xml:space="preserve"> </w:t>
      </w:r>
      <w:r w:rsidRPr="0061690C">
        <w:t>are included in overall compliance.</w:t>
      </w:r>
    </w:p>
    <w:p w14:paraId="09A9AE14" w14:textId="50DD76F3" w:rsidR="00374D1E" w:rsidRPr="0061690C" w:rsidRDefault="00374D1E" w:rsidP="4BE0FD86">
      <w:pPr>
        <w:pStyle w:val="TBLFootnote"/>
        <w:rPr>
          <w:rStyle w:val="Emphasis"/>
          <w:i w:val="0"/>
          <w:iCs w:val="0"/>
        </w:rPr>
      </w:pPr>
      <w:proofErr w:type="gramStart"/>
      <w:r>
        <w:t>b</w:t>
      </w:r>
      <w:proofErr w:type="gramEnd"/>
      <w:r>
        <w:t xml:space="preserve"> Exceptional circumstances refer to truly urgent and unforeseen circumstances under which the completion of a</w:t>
      </w:r>
      <w:r w:rsidR="006B3940">
        <w:t>n</w:t>
      </w:r>
      <w:r>
        <w:t xml:space="preserve"> </w:t>
      </w:r>
      <w:r w:rsidR="006B3940">
        <w:t>IA</w:t>
      </w:r>
      <w:r>
        <w:t xml:space="preserve"> would delay essential delivery of policy.</w:t>
      </w:r>
    </w:p>
    <w:p w14:paraId="1AF104F4" w14:textId="66E42C87" w:rsidR="00795122" w:rsidRPr="004A17D7" w:rsidRDefault="00AD41B1" w:rsidP="00795122">
      <w:pPr>
        <w:pStyle w:val="TBLFootnote"/>
      </w:pPr>
      <w:proofErr w:type="gramStart"/>
      <w:r>
        <w:t>c</w:t>
      </w:r>
      <w:proofErr w:type="gramEnd"/>
      <w:r w:rsidR="00374D1E">
        <w:t xml:space="preserve"> Positive number represents an increase in regulatory burden. Regulatory burden in </w:t>
      </w:r>
      <w:r w:rsidR="006B3940">
        <w:t>IA</w:t>
      </w:r>
      <w:r w:rsidR="00374D1E">
        <w:t xml:space="preserve">s are estimated using the Commonwealth Regulatory Burden Measurement framework and are assumed to be spread over 10 years. The estimate is based on </w:t>
      </w:r>
      <w:r w:rsidR="006B3940">
        <w:t>IA</w:t>
      </w:r>
      <w:r w:rsidR="00374D1E">
        <w:t>s published at the final decision point. The total estimated annual impact may differ from the other figures in this document due to rounding.</w:t>
      </w:r>
      <w:r w:rsidR="00795122">
        <w:t xml:space="preserve"> Regulatory burden estimates presented as a range are not included in the total </w:t>
      </w:r>
      <w:proofErr w:type="gramStart"/>
      <w:r w:rsidR="00795122">
        <w:t>Estimated</w:t>
      </w:r>
      <w:proofErr w:type="gramEnd"/>
      <w:r w:rsidR="00795122">
        <w:t xml:space="preserve"> annual impact on Regulatory Burden.</w:t>
      </w:r>
    </w:p>
    <w:p w14:paraId="4D87E12C" w14:textId="7A668898" w:rsidR="00374D1E" w:rsidRPr="0061690C" w:rsidRDefault="00374D1E" w:rsidP="4BE0FD86">
      <w:pPr>
        <w:pStyle w:val="TBLFootnote"/>
        <w:rPr>
          <w:rStyle w:val="Emphasis"/>
          <w:i w:val="0"/>
          <w:iCs w:val="0"/>
        </w:rPr>
      </w:pPr>
    </w:p>
    <w:p w14:paraId="1AC275F6" w14:textId="2B9BAC1F" w:rsidR="00DF0E85" w:rsidRDefault="006B3940" w:rsidP="00DF0E85">
      <w:pPr>
        <w:pStyle w:val="Heading1"/>
        <w:rPr>
          <w:highlight w:val="yellow"/>
        </w:rPr>
      </w:pPr>
      <w:bookmarkStart w:id="2" w:name="_Toc122424399"/>
      <w:bookmarkStart w:id="3" w:name="_Toc181213870"/>
      <w:r>
        <w:t>I</w:t>
      </w:r>
      <w:r w:rsidR="004B515A">
        <w:t xml:space="preserve">mpact </w:t>
      </w:r>
      <w:r>
        <w:t>A</w:t>
      </w:r>
      <w:r w:rsidR="004B515A">
        <w:t>nalysis</w:t>
      </w:r>
      <w:r w:rsidR="00C37506">
        <w:t xml:space="preserve"> compliance summary by Department or Agency</w:t>
      </w:r>
      <w:r w:rsidR="008A10D6">
        <w:t>, 20</w:t>
      </w:r>
      <w:r w:rsidR="30A90B3C">
        <w:t>24</w:t>
      </w:r>
      <w:r w:rsidR="70193BC4">
        <w:t>-</w:t>
      </w:r>
      <w:r w:rsidR="08580717">
        <w:t>25</w:t>
      </w:r>
      <w:bookmarkEnd w:id="2"/>
      <w:bookmarkEnd w:id="3"/>
    </w:p>
    <w:p w14:paraId="4BF5406B" w14:textId="369F2846" w:rsidR="00DF0E85" w:rsidRDefault="00DF0E85" w:rsidP="00031D61">
      <w:pPr>
        <w:pStyle w:val="Heading2"/>
      </w:pPr>
      <w:bookmarkStart w:id="4" w:name="_Toc181213871"/>
      <w:r>
        <w:t>Attorney-General’s Department</w:t>
      </w:r>
      <w:bookmarkEnd w:id="4"/>
    </w:p>
    <w:p w14:paraId="12D8DDA0" w14:textId="60DD9E75" w:rsidR="00031D61" w:rsidRPr="00031D61"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2</w:t>
      </w:r>
      <w:r w:rsidR="00574AC5">
        <w:rPr>
          <w:noProof/>
        </w:rPr>
        <w:fldChar w:fldCharType="end"/>
      </w:r>
      <w:r>
        <w:t xml:space="preserve">. </w:t>
      </w:r>
      <w:r w:rsidRPr="00870E6D">
        <w:t>Co</w:t>
      </w:r>
      <w:r w:rsidR="00464C95">
        <w:t>mpliance summary: Attorney-General’s Department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Australian Securities and Investment Commission"/>
        <w:tblDescription w:val="Compliance summary: Australian Securities and Investment Commission"/>
      </w:tblPr>
      <w:tblGrid>
        <w:gridCol w:w="3017"/>
        <w:gridCol w:w="1380"/>
        <w:gridCol w:w="1701"/>
        <w:gridCol w:w="1936"/>
        <w:gridCol w:w="1934"/>
      </w:tblGrid>
      <w:tr w:rsidR="00DF0E85" w14:paraId="5237413D" w14:textId="77777777" w:rsidTr="0365F222">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6C82C30F" w14:textId="77777777" w:rsidR="00DF0E85" w:rsidRPr="006E170D" w:rsidRDefault="00DF0E85" w:rsidP="004C1F82">
            <w:pPr>
              <w:pStyle w:val="TBLHeading"/>
            </w:pPr>
            <w:r>
              <w:t>Proposal</w:t>
            </w:r>
          </w:p>
        </w:tc>
        <w:tc>
          <w:tcPr>
            <w:tcW w:w="692" w:type="pct"/>
            <w:tcBorders>
              <w:top w:val="none" w:sz="0" w:space="0" w:color="auto"/>
              <w:bottom w:val="none" w:sz="0" w:space="0" w:color="auto"/>
            </w:tcBorders>
            <w:vAlign w:val="center"/>
          </w:tcPr>
          <w:p w14:paraId="6F820291" w14:textId="77777777" w:rsidR="00DF0E85" w:rsidRPr="006E170D" w:rsidRDefault="00DF0E85" w:rsidP="004C1F82">
            <w:pPr>
              <w:pStyle w:val="TBLHeading"/>
            </w:pPr>
            <w:r>
              <w:t>IA Compliance</w:t>
            </w:r>
          </w:p>
        </w:tc>
        <w:tc>
          <w:tcPr>
            <w:tcW w:w="853" w:type="pct"/>
            <w:tcBorders>
              <w:top w:val="none" w:sz="0" w:space="0" w:color="auto"/>
              <w:bottom w:val="none" w:sz="0" w:space="0" w:color="auto"/>
            </w:tcBorders>
            <w:vAlign w:val="center"/>
          </w:tcPr>
          <w:p w14:paraId="69A97912" w14:textId="77777777" w:rsidR="00DF0E85" w:rsidRPr="006E170D" w:rsidRDefault="00DF0E85" w:rsidP="004C1F82">
            <w:pPr>
              <w:pStyle w:val="TBLHeading"/>
            </w:pPr>
            <w:r>
              <w:t>Rating</w:t>
            </w:r>
          </w:p>
        </w:tc>
        <w:tc>
          <w:tcPr>
            <w:tcW w:w="971" w:type="pct"/>
            <w:tcBorders>
              <w:top w:val="none" w:sz="0" w:space="0" w:color="auto"/>
              <w:bottom w:val="none" w:sz="0" w:space="0" w:color="auto"/>
            </w:tcBorders>
            <w:vAlign w:val="center"/>
          </w:tcPr>
          <w:p w14:paraId="2596A63F" w14:textId="77777777" w:rsidR="00DF0E85" w:rsidRPr="006E170D" w:rsidRDefault="00DF0E85" w:rsidP="004C1F82">
            <w:pPr>
              <w:pStyle w:val="TBLHeading"/>
            </w:pPr>
            <w:r>
              <w:t>PIR Required</w:t>
            </w:r>
          </w:p>
        </w:tc>
        <w:tc>
          <w:tcPr>
            <w:tcW w:w="970" w:type="pct"/>
            <w:tcBorders>
              <w:top w:val="none" w:sz="0" w:space="0" w:color="auto"/>
              <w:bottom w:val="none" w:sz="0" w:space="0" w:color="auto"/>
              <w:right w:val="none" w:sz="0" w:space="0" w:color="auto"/>
            </w:tcBorders>
            <w:vAlign w:val="center"/>
          </w:tcPr>
          <w:p w14:paraId="1F747849" w14:textId="76A0998E" w:rsidR="00DF0E85" w:rsidRPr="006E170D" w:rsidRDefault="60E7CD1D" w:rsidP="004C1F82">
            <w:pPr>
              <w:pStyle w:val="TBLHeading"/>
            </w:pPr>
            <w:r>
              <w:t xml:space="preserve">Annual </w:t>
            </w:r>
            <w:r w:rsidR="00DF0E85">
              <w:t>Regulatory Burden ($m)</w:t>
            </w:r>
          </w:p>
        </w:tc>
      </w:tr>
      <w:tr w:rsidR="00DF0E85" w:rsidRPr="0095299E" w14:paraId="1B1E9EF6" w14:textId="77777777" w:rsidTr="0365F222">
        <w:trPr>
          <w:trHeight w:val="20"/>
        </w:trPr>
        <w:tc>
          <w:tcPr>
            <w:tcW w:w="1513" w:type="pct"/>
            <w:shd w:val="clear" w:color="auto" w:fill="auto"/>
            <w:vAlign w:val="center"/>
          </w:tcPr>
          <w:p w14:paraId="2CCEAE42" w14:textId="0FD542DA" w:rsidR="00DF0E85" w:rsidRPr="0095299E" w:rsidRDefault="00DF0E85" w:rsidP="004C1F82">
            <w:pPr>
              <w:pStyle w:val="TBLText"/>
            </w:pPr>
            <w:r w:rsidRPr="00DF0E85">
              <w:t>Anti-Money Laundering and Counter-Terrorism Financing Regime (AML-CTF) Reforms</w:t>
            </w:r>
          </w:p>
        </w:tc>
        <w:tc>
          <w:tcPr>
            <w:tcW w:w="692" w:type="pct"/>
            <w:shd w:val="clear" w:color="auto" w:fill="auto"/>
            <w:vAlign w:val="center"/>
          </w:tcPr>
          <w:p w14:paraId="0FFFDF70" w14:textId="6EDBB665" w:rsidR="00DF0E85" w:rsidRPr="0095299E" w:rsidRDefault="00DF0E85" w:rsidP="004C1F82">
            <w:pPr>
              <w:pStyle w:val="TBLText"/>
              <w:rPr>
                <w:rFonts w:eastAsia="MS Mincho"/>
              </w:rPr>
            </w:pPr>
            <w:r>
              <w:rPr>
                <w:rFonts w:eastAsia="MS Mincho"/>
              </w:rPr>
              <w:t>Compliant</w:t>
            </w:r>
          </w:p>
        </w:tc>
        <w:tc>
          <w:tcPr>
            <w:tcW w:w="853" w:type="pct"/>
            <w:shd w:val="clear" w:color="auto" w:fill="auto"/>
            <w:vAlign w:val="center"/>
          </w:tcPr>
          <w:p w14:paraId="662B8DC6" w14:textId="41183AB7" w:rsidR="00DF0E85" w:rsidRPr="0095299E" w:rsidRDefault="00DF0E85" w:rsidP="004C1F82">
            <w:pPr>
              <w:pStyle w:val="TBLText"/>
              <w:rPr>
                <w:rFonts w:eastAsia="MS Mincho"/>
              </w:rPr>
            </w:pPr>
            <w:r>
              <w:rPr>
                <w:rFonts w:eastAsia="MS Mincho"/>
              </w:rPr>
              <w:t>Exemplary</w:t>
            </w:r>
          </w:p>
        </w:tc>
        <w:tc>
          <w:tcPr>
            <w:tcW w:w="971" w:type="pct"/>
            <w:shd w:val="clear" w:color="auto" w:fill="auto"/>
            <w:vAlign w:val="center"/>
          </w:tcPr>
          <w:p w14:paraId="2FEAC6B6" w14:textId="48BFA9ED" w:rsidR="00DF0E85" w:rsidRPr="0095299E" w:rsidRDefault="00DF0E85" w:rsidP="004C1F82">
            <w:pPr>
              <w:pStyle w:val="TBLText"/>
              <w:rPr>
                <w:rFonts w:eastAsia="MS Mincho"/>
              </w:rPr>
            </w:pPr>
            <w:r>
              <w:rPr>
                <w:rFonts w:eastAsia="MS Mincho"/>
              </w:rPr>
              <w:t>No</w:t>
            </w:r>
          </w:p>
        </w:tc>
        <w:tc>
          <w:tcPr>
            <w:tcW w:w="970" w:type="pct"/>
            <w:shd w:val="clear" w:color="auto" w:fill="auto"/>
            <w:vAlign w:val="center"/>
          </w:tcPr>
          <w:p w14:paraId="5CD60F87" w14:textId="48FB6894" w:rsidR="00DF0E85" w:rsidRPr="0095299E" w:rsidRDefault="00BA4608" w:rsidP="004C1F82">
            <w:pPr>
              <w:pStyle w:val="TBLText"/>
              <w:rPr>
                <w:rFonts w:eastAsia="MS Mincho"/>
              </w:rPr>
            </w:pPr>
            <w:r>
              <w:rPr>
                <w:rFonts w:eastAsia="MS Mincho"/>
              </w:rPr>
              <w:t>$1</w:t>
            </w:r>
            <w:r w:rsidR="001664BA">
              <w:rPr>
                <w:rFonts w:eastAsia="MS Mincho"/>
              </w:rPr>
              <w:t>,</w:t>
            </w:r>
            <w:r>
              <w:rPr>
                <w:rFonts w:eastAsia="MS Mincho"/>
              </w:rPr>
              <w:t>880</w:t>
            </w:r>
            <w:r w:rsidR="00DF0E85">
              <w:rPr>
                <w:rFonts w:eastAsia="MS Mincho"/>
              </w:rPr>
              <w:t>m</w:t>
            </w:r>
          </w:p>
        </w:tc>
      </w:tr>
      <w:tr w:rsidR="00DF0E85" w:rsidRPr="0095299E" w14:paraId="04D10B0B" w14:textId="77777777" w:rsidTr="0365F222">
        <w:trPr>
          <w:trHeight w:val="20"/>
        </w:trPr>
        <w:tc>
          <w:tcPr>
            <w:tcW w:w="1513" w:type="pct"/>
            <w:shd w:val="clear" w:color="auto" w:fill="DBE6F5" w:themeFill="text2" w:themeFillTint="1A"/>
            <w:vAlign w:val="center"/>
          </w:tcPr>
          <w:p w14:paraId="00C512F2" w14:textId="77777777" w:rsidR="00DF0E85" w:rsidRPr="0095299E" w:rsidRDefault="00DF0E85" w:rsidP="004C1F82">
            <w:pPr>
              <w:pStyle w:val="TBLText"/>
              <w:rPr>
                <w:b/>
              </w:rPr>
            </w:pPr>
            <w:r w:rsidRPr="0095299E">
              <w:rPr>
                <w:b/>
              </w:rPr>
              <w:t>Total proposals</w:t>
            </w:r>
          </w:p>
        </w:tc>
        <w:tc>
          <w:tcPr>
            <w:tcW w:w="692" w:type="pct"/>
            <w:shd w:val="clear" w:color="auto" w:fill="DBE6F5" w:themeFill="text2" w:themeFillTint="1A"/>
            <w:vAlign w:val="center"/>
          </w:tcPr>
          <w:p w14:paraId="23747DA5" w14:textId="19F1D253" w:rsidR="00DF0E85" w:rsidRPr="0095299E" w:rsidRDefault="00BA4608" w:rsidP="004C1F82">
            <w:pPr>
              <w:pStyle w:val="TBLText"/>
              <w:rPr>
                <w:b/>
                <w:bCs/>
              </w:rPr>
            </w:pPr>
            <w:r>
              <w:rPr>
                <w:b/>
                <w:bCs/>
              </w:rPr>
              <w:t>1</w:t>
            </w:r>
            <w:r w:rsidR="00DF0E85" w:rsidRPr="1F55995A">
              <w:rPr>
                <w:b/>
                <w:bCs/>
              </w:rPr>
              <w:t>/</w:t>
            </w:r>
            <w:r>
              <w:rPr>
                <w:b/>
                <w:bCs/>
              </w:rPr>
              <w:t>1</w:t>
            </w:r>
          </w:p>
        </w:tc>
        <w:tc>
          <w:tcPr>
            <w:tcW w:w="853" w:type="pct"/>
            <w:shd w:val="clear" w:color="auto" w:fill="DBE6F5" w:themeFill="text2" w:themeFillTint="1A"/>
            <w:vAlign w:val="center"/>
          </w:tcPr>
          <w:p w14:paraId="4704F178" w14:textId="77777777" w:rsidR="00DF0E85" w:rsidRPr="0095299E" w:rsidRDefault="00DF0E85" w:rsidP="004C1F82">
            <w:pPr>
              <w:pStyle w:val="TBLText"/>
              <w:rPr>
                <w:b/>
              </w:rPr>
            </w:pPr>
            <w:r w:rsidRPr="0095299E">
              <w:rPr>
                <w:b/>
              </w:rPr>
              <w:t>-</w:t>
            </w:r>
          </w:p>
        </w:tc>
        <w:tc>
          <w:tcPr>
            <w:tcW w:w="971" w:type="pct"/>
            <w:shd w:val="clear" w:color="auto" w:fill="DBE6F5" w:themeFill="text2" w:themeFillTint="1A"/>
            <w:vAlign w:val="center"/>
          </w:tcPr>
          <w:p w14:paraId="23B0555C" w14:textId="39CA7737" w:rsidR="00DF0E85" w:rsidRPr="0095299E" w:rsidRDefault="00BA4608" w:rsidP="004C1F82">
            <w:pPr>
              <w:pStyle w:val="TBLText"/>
              <w:rPr>
                <w:b/>
                <w:bCs/>
              </w:rPr>
            </w:pPr>
            <w:r>
              <w:rPr>
                <w:b/>
                <w:bCs/>
              </w:rPr>
              <w:t>0/1</w:t>
            </w:r>
          </w:p>
        </w:tc>
        <w:tc>
          <w:tcPr>
            <w:tcW w:w="970" w:type="pct"/>
            <w:shd w:val="clear" w:color="auto" w:fill="DBE6F5" w:themeFill="text2" w:themeFillTint="1A"/>
            <w:vAlign w:val="center"/>
          </w:tcPr>
          <w:p w14:paraId="3EC7749A" w14:textId="67127921" w:rsidR="00DF0E85" w:rsidRPr="008D74F6" w:rsidRDefault="00BA4608" w:rsidP="004C1F82">
            <w:pPr>
              <w:pStyle w:val="TBLText"/>
              <w:rPr>
                <w:b/>
                <w:bCs/>
              </w:rPr>
            </w:pPr>
            <w:r>
              <w:rPr>
                <w:b/>
                <w:bCs/>
              </w:rPr>
              <w:t>$1</w:t>
            </w:r>
            <w:r w:rsidR="001664BA">
              <w:rPr>
                <w:b/>
                <w:bCs/>
              </w:rPr>
              <w:t>,</w:t>
            </w:r>
            <w:r>
              <w:rPr>
                <w:b/>
                <w:bCs/>
              </w:rPr>
              <w:t>880</w:t>
            </w:r>
            <w:r w:rsidR="00DF0E85" w:rsidRPr="0790E64D">
              <w:rPr>
                <w:b/>
                <w:bCs/>
              </w:rPr>
              <w:t>m</w:t>
            </w:r>
          </w:p>
        </w:tc>
      </w:tr>
    </w:tbl>
    <w:p w14:paraId="7BAD6D0B" w14:textId="12DB6F4E" w:rsidR="00DE6598" w:rsidRDefault="00DE6598" w:rsidP="00031D61">
      <w:pPr>
        <w:pStyle w:val="Heading2"/>
      </w:pPr>
      <w:bookmarkStart w:id="5" w:name="_Toc155876546"/>
      <w:bookmarkStart w:id="6" w:name="_Toc181213872"/>
      <w:r>
        <w:t>Australian Competition and Consumer Commission</w:t>
      </w:r>
      <w:bookmarkEnd w:id="5"/>
      <w:bookmarkEnd w:id="6"/>
    </w:p>
    <w:p w14:paraId="0749CAE5" w14:textId="618F2D57" w:rsidR="00031D61" w:rsidRPr="00031D61"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3</w:t>
      </w:r>
      <w:r w:rsidR="00574AC5">
        <w:rPr>
          <w:noProof/>
        </w:rPr>
        <w:fldChar w:fldCharType="end"/>
      </w:r>
      <w:r>
        <w:t xml:space="preserve">. </w:t>
      </w:r>
      <w:r w:rsidRPr="009D54D3">
        <w:t>Compliance summary: Australian Competition and Consumer Commission</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Australian Communications and Media Authority"/>
        <w:tblDescription w:val="Compliance summary: Australian Communications and Media Authority"/>
      </w:tblPr>
      <w:tblGrid>
        <w:gridCol w:w="3017"/>
        <w:gridCol w:w="1380"/>
        <w:gridCol w:w="1701"/>
        <w:gridCol w:w="1936"/>
        <w:gridCol w:w="1934"/>
      </w:tblGrid>
      <w:tr w:rsidR="00DE6598" w14:paraId="0B574081" w14:textId="77777777" w:rsidTr="74BAC83B">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473D2ABE" w14:textId="77777777" w:rsidR="00DE6598" w:rsidRPr="006E170D" w:rsidRDefault="00DE6598" w:rsidP="00C47BA6">
            <w:pPr>
              <w:pStyle w:val="TBLHeading"/>
            </w:pPr>
            <w:r>
              <w:t>Proposal</w:t>
            </w:r>
          </w:p>
        </w:tc>
        <w:tc>
          <w:tcPr>
            <w:tcW w:w="692" w:type="pct"/>
            <w:tcBorders>
              <w:top w:val="none" w:sz="0" w:space="0" w:color="auto"/>
              <w:bottom w:val="none" w:sz="0" w:space="0" w:color="auto"/>
            </w:tcBorders>
            <w:vAlign w:val="center"/>
          </w:tcPr>
          <w:p w14:paraId="109D9CA9" w14:textId="77777777" w:rsidR="00DE6598" w:rsidRPr="006E170D" w:rsidRDefault="00DE6598" w:rsidP="00C47BA6">
            <w:pPr>
              <w:pStyle w:val="TBLHeading"/>
            </w:pPr>
            <w:r>
              <w:t>IA Compliance</w:t>
            </w:r>
          </w:p>
        </w:tc>
        <w:tc>
          <w:tcPr>
            <w:tcW w:w="853" w:type="pct"/>
            <w:tcBorders>
              <w:top w:val="none" w:sz="0" w:space="0" w:color="auto"/>
              <w:bottom w:val="none" w:sz="0" w:space="0" w:color="auto"/>
            </w:tcBorders>
            <w:vAlign w:val="center"/>
          </w:tcPr>
          <w:p w14:paraId="098FA683" w14:textId="77777777" w:rsidR="00DE6598" w:rsidRPr="006E170D" w:rsidRDefault="00DE6598" w:rsidP="00C47BA6">
            <w:pPr>
              <w:pStyle w:val="TBLHeading"/>
            </w:pPr>
            <w:r>
              <w:t>Rating</w:t>
            </w:r>
          </w:p>
        </w:tc>
        <w:tc>
          <w:tcPr>
            <w:tcW w:w="971" w:type="pct"/>
            <w:tcBorders>
              <w:top w:val="none" w:sz="0" w:space="0" w:color="auto"/>
              <w:bottom w:val="none" w:sz="0" w:space="0" w:color="auto"/>
            </w:tcBorders>
            <w:vAlign w:val="center"/>
          </w:tcPr>
          <w:p w14:paraId="66F39C05" w14:textId="77777777" w:rsidR="00DE6598" w:rsidRPr="006E170D" w:rsidRDefault="00DE6598" w:rsidP="00C47BA6">
            <w:pPr>
              <w:pStyle w:val="TBLHeading"/>
            </w:pPr>
            <w:r>
              <w:t>PIR Required</w:t>
            </w:r>
          </w:p>
        </w:tc>
        <w:tc>
          <w:tcPr>
            <w:tcW w:w="970" w:type="pct"/>
            <w:tcBorders>
              <w:top w:val="none" w:sz="0" w:space="0" w:color="auto"/>
              <w:bottom w:val="none" w:sz="0" w:space="0" w:color="auto"/>
              <w:right w:val="none" w:sz="0" w:space="0" w:color="auto"/>
            </w:tcBorders>
            <w:vAlign w:val="center"/>
          </w:tcPr>
          <w:p w14:paraId="2AB56102" w14:textId="5F0A2DAD" w:rsidR="00DE6598" w:rsidRPr="006E170D" w:rsidRDefault="4475E023" w:rsidP="00C47BA6">
            <w:pPr>
              <w:pStyle w:val="TBLHeading"/>
            </w:pPr>
            <w:r>
              <w:t xml:space="preserve"> Annual Regulatory Burden ($m)</w:t>
            </w:r>
          </w:p>
        </w:tc>
      </w:tr>
      <w:tr w:rsidR="00DE6598" w14:paraId="0CA74920" w14:textId="77777777" w:rsidTr="74BAC83B">
        <w:trPr>
          <w:trHeight w:val="20"/>
        </w:trPr>
        <w:tc>
          <w:tcPr>
            <w:tcW w:w="1513" w:type="pct"/>
            <w:shd w:val="clear" w:color="auto" w:fill="auto"/>
            <w:vAlign w:val="center"/>
          </w:tcPr>
          <w:p w14:paraId="2D523FE0" w14:textId="07A97719" w:rsidR="00DE6598" w:rsidRPr="006E170D" w:rsidRDefault="004A17D7" w:rsidP="00C47BA6">
            <w:pPr>
              <w:pStyle w:val="TBLText"/>
            </w:pPr>
            <w:r w:rsidRPr="004A17D7">
              <w:t>ACCC: safety risks posed by infant inclined products</w:t>
            </w:r>
          </w:p>
        </w:tc>
        <w:tc>
          <w:tcPr>
            <w:tcW w:w="692" w:type="pct"/>
            <w:shd w:val="clear" w:color="auto" w:fill="auto"/>
            <w:vAlign w:val="center"/>
          </w:tcPr>
          <w:p w14:paraId="476931E4" w14:textId="5EDDD399" w:rsidR="00DE6598" w:rsidRPr="006E170D" w:rsidRDefault="004A17D7" w:rsidP="4F0A19C5">
            <w:pPr>
              <w:pStyle w:val="TBLText"/>
              <w:rPr>
                <w:rFonts w:eastAsia="MS Mincho"/>
              </w:rPr>
            </w:pPr>
            <w:r>
              <w:rPr>
                <w:rFonts w:eastAsia="MS Mincho"/>
              </w:rPr>
              <w:t>Compliant</w:t>
            </w:r>
          </w:p>
        </w:tc>
        <w:tc>
          <w:tcPr>
            <w:tcW w:w="853" w:type="pct"/>
            <w:shd w:val="clear" w:color="auto" w:fill="auto"/>
            <w:vAlign w:val="center"/>
          </w:tcPr>
          <w:p w14:paraId="29ABD68A" w14:textId="1FF6591A" w:rsidR="00DE6598" w:rsidRPr="006D708A" w:rsidRDefault="004A17D7" w:rsidP="4F0A19C5">
            <w:pPr>
              <w:pStyle w:val="TBLText"/>
              <w:rPr>
                <w:rFonts w:eastAsia="MS Mincho"/>
              </w:rPr>
            </w:pPr>
            <w:r>
              <w:rPr>
                <w:rFonts w:eastAsia="MS Mincho"/>
              </w:rPr>
              <w:t>Good Practice</w:t>
            </w:r>
          </w:p>
        </w:tc>
        <w:tc>
          <w:tcPr>
            <w:tcW w:w="971" w:type="pct"/>
            <w:shd w:val="clear" w:color="auto" w:fill="auto"/>
            <w:vAlign w:val="center"/>
          </w:tcPr>
          <w:p w14:paraId="40523663" w14:textId="6A54FBC4" w:rsidR="00DE6598" w:rsidRPr="006D708A" w:rsidRDefault="004A17D7" w:rsidP="4F0A19C5">
            <w:pPr>
              <w:pStyle w:val="TBLText"/>
              <w:rPr>
                <w:rFonts w:eastAsia="MS Mincho"/>
              </w:rPr>
            </w:pPr>
            <w:r>
              <w:rPr>
                <w:rFonts w:eastAsia="MS Mincho"/>
              </w:rPr>
              <w:t>No</w:t>
            </w:r>
          </w:p>
        </w:tc>
        <w:tc>
          <w:tcPr>
            <w:tcW w:w="970" w:type="pct"/>
            <w:shd w:val="clear" w:color="auto" w:fill="auto"/>
            <w:vAlign w:val="center"/>
          </w:tcPr>
          <w:p w14:paraId="5611D719" w14:textId="2F45846A" w:rsidR="00DE6598" w:rsidRPr="006E170D" w:rsidRDefault="6951891A" w:rsidP="6AE9EB2D">
            <w:pPr>
              <w:pStyle w:val="TBLText"/>
              <w:rPr>
                <w:rFonts w:eastAsia="MS Mincho"/>
                <w:vertAlign w:val="superscript"/>
              </w:rPr>
            </w:pPr>
            <w:r w:rsidRPr="5142BD78">
              <w:rPr>
                <w:rFonts w:eastAsia="MS Mincho"/>
              </w:rPr>
              <w:t>$</w:t>
            </w:r>
            <w:r w:rsidR="00AB0F87" w:rsidRPr="5142BD78">
              <w:rPr>
                <w:rFonts w:eastAsia="MS Mincho"/>
              </w:rPr>
              <w:t>0.63m</w:t>
            </w:r>
            <w:r w:rsidR="21E34FD0" w:rsidRPr="5142BD78">
              <w:rPr>
                <w:rFonts w:eastAsia="MS Mincho"/>
              </w:rPr>
              <w:t xml:space="preserve"> </w:t>
            </w:r>
            <w:r w:rsidR="00AB0F87" w:rsidRPr="5142BD78">
              <w:rPr>
                <w:rFonts w:eastAsia="MS Mincho"/>
              </w:rPr>
              <w:t>-</w:t>
            </w:r>
            <w:r w:rsidR="21E34FD0" w:rsidRPr="5142BD78">
              <w:rPr>
                <w:rFonts w:eastAsia="MS Mincho"/>
              </w:rPr>
              <w:t xml:space="preserve"> </w:t>
            </w:r>
            <w:r w:rsidR="00AB0F87" w:rsidRPr="5142BD78">
              <w:rPr>
                <w:rFonts w:eastAsia="MS Mincho"/>
              </w:rPr>
              <w:t>$1.35</w:t>
            </w:r>
            <w:r w:rsidRPr="5142BD78">
              <w:rPr>
                <w:rFonts w:eastAsia="MS Mincho"/>
              </w:rPr>
              <w:t>m</w:t>
            </w:r>
            <w:r w:rsidR="305D8740" w:rsidRPr="5142BD78">
              <w:rPr>
                <w:rFonts w:eastAsia="MS Mincho"/>
              </w:rPr>
              <w:t xml:space="preserve"> for the Consumer Goods (Infant Products) Information Standard 2024</w:t>
            </w:r>
            <w:r w:rsidR="03C3B373" w:rsidRPr="5142BD78">
              <w:rPr>
                <w:rFonts w:eastAsia="MS Mincho"/>
                <w:vertAlign w:val="superscript"/>
              </w:rPr>
              <w:t>a</w:t>
            </w:r>
          </w:p>
          <w:p w14:paraId="2CFD4E08" w14:textId="07D607CF" w:rsidR="00DE6598" w:rsidRPr="006E170D" w:rsidRDefault="00AB0F87" w:rsidP="00B342AA">
            <w:pPr>
              <w:pStyle w:val="TBLText"/>
              <w:rPr>
                <w:rFonts w:eastAsia="MS Mincho"/>
              </w:rPr>
            </w:pPr>
            <w:r w:rsidRPr="2EACBE2B">
              <w:rPr>
                <w:rFonts w:eastAsia="MS Mincho"/>
              </w:rPr>
              <w:t>$2.77m</w:t>
            </w:r>
            <w:r w:rsidR="30DBC3F3" w:rsidRPr="2EACBE2B">
              <w:rPr>
                <w:rFonts w:eastAsia="MS Mincho"/>
              </w:rPr>
              <w:t xml:space="preserve"> </w:t>
            </w:r>
            <w:r w:rsidRPr="2EACBE2B">
              <w:rPr>
                <w:rFonts w:eastAsia="MS Mincho"/>
              </w:rPr>
              <w:t>-</w:t>
            </w:r>
            <w:r w:rsidR="30DBC3F3" w:rsidRPr="2EACBE2B">
              <w:rPr>
                <w:rFonts w:eastAsia="MS Mincho"/>
              </w:rPr>
              <w:t xml:space="preserve"> </w:t>
            </w:r>
            <w:r w:rsidR="40121421" w:rsidRPr="2EACBE2B">
              <w:rPr>
                <w:rFonts w:eastAsia="MS Mincho"/>
              </w:rPr>
              <w:t>$161.83m per year for the first two years</w:t>
            </w:r>
            <w:r w:rsidR="4AFD82CF" w:rsidRPr="2EACBE2B">
              <w:rPr>
                <w:rFonts w:eastAsia="MS Mincho"/>
                <w:vertAlign w:val="superscript"/>
              </w:rPr>
              <w:t>a</w:t>
            </w:r>
            <w:r w:rsidR="004A17D7" w:rsidRPr="2EACBE2B">
              <w:rPr>
                <w:rFonts w:eastAsia="MS Mincho"/>
              </w:rPr>
              <w:t xml:space="preserve"> </w:t>
            </w:r>
            <w:r w:rsidR="5673C852" w:rsidRPr="2EACBE2B">
              <w:rPr>
                <w:rFonts w:eastAsia="MS Mincho"/>
              </w:rPr>
              <w:t xml:space="preserve">and </w:t>
            </w:r>
            <w:r w:rsidR="5329F1EA" w:rsidRPr="2EACBE2B">
              <w:rPr>
                <w:rFonts w:eastAsia="MS Mincho"/>
              </w:rPr>
              <w:t>$</w:t>
            </w:r>
            <w:r w:rsidRPr="2EACBE2B">
              <w:rPr>
                <w:rFonts w:eastAsia="MS Mincho"/>
              </w:rPr>
              <w:t>1.20</w:t>
            </w:r>
            <w:r w:rsidR="00EC13D2">
              <w:rPr>
                <w:rFonts w:eastAsia="MS Mincho"/>
              </w:rPr>
              <w:noBreakHyphen/>
            </w:r>
            <w:r w:rsidR="5673C852" w:rsidRPr="2EACBE2B">
              <w:rPr>
                <w:rFonts w:eastAsia="MS Mincho"/>
              </w:rPr>
              <w:t xml:space="preserve">m </w:t>
            </w:r>
            <w:r w:rsidR="6E850D05" w:rsidRPr="2EACBE2B">
              <w:rPr>
                <w:rFonts w:eastAsia="MS Mincho"/>
              </w:rPr>
              <w:t>- $4.33m</w:t>
            </w:r>
            <w:r w:rsidR="7D414EE4" w:rsidRPr="2EACBE2B">
              <w:rPr>
                <w:rFonts w:eastAsia="MS Mincho"/>
              </w:rPr>
              <w:t xml:space="preserve"> </w:t>
            </w:r>
            <w:r w:rsidR="5673C852" w:rsidRPr="2EACBE2B">
              <w:rPr>
                <w:rFonts w:eastAsia="MS Mincho"/>
              </w:rPr>
              <w:t xml:space="preserve">from year three onwards for </w:t>
            </w:r>
            <w:r w:rsidR="004A17D7" w:rsidRPr="2EACBE2B">
              <w:rPr>
                <w:rFonts w:eastAsia="MS Mincho"/>
              </w:rPr>
              <w:t>Consumer Goods (Infant Sleep Products) Safety Standard 2024</w:t>
            </w:r>
            <w:r w:rsidR="00B342AA" w:rsidRPr="2EACBE2B">
              <w:rPr>
                <w:rFonts w:eastAsia="MS Mincho"/>
                <w:vertAlign w:val="superscript"/>
              </w:rPr>
              <w:t>a</w:t>
            </w:r>
          </w:p>
        </w:tc>
      </w:tr>
      <w:tr w:rsidR="00DE6598" w14:paraId="5875FBDB" w14:textId="77777777" w:rsidTr="74BAC83B">
        <w:trPr>
          <w:trHeight w:val="20"/>
        </w:trPr>
        <w:tc>
          <w:tcPr>
            <w:tcW w:w="1513" w:type="pct"/>
            <w:shd w:val="clear" w:color="auto" w:fill="DBE6F5" w:themeFill="text2" w:themeFillTint="1A"/>
            <w:vAlign w:val="center"/>
          </w:tcPr>
          <w:p w14:paraId="08ACF74B" w14:textId="77777777" w:rsidR="00DE6598" w:rsidRPr="00363240" w:rsidRDefault="00DE6598" w:rsidP="00C47BA6">
            <w:pPr>
              <w:pStyle w:val="TBLText"/>
              <w:rPr>
                <w:b/>
              </w:rPr>
            </w:pPr>
            <w:r w:rsidRPr="00363240">
              <w:rPr>
                <w:b/>
              </w:rPr>
              <w:t>Total proposals</w:t>
            </w:r>
          </w:p>
        </w:tc>
        <w:tc>
          <w:tcPr>
            <w:tcW w:w="692" w:type="pct"/>
            <w:shd w:val="clear" w:color="auto" w:fill="DBE6F5" w:themeFill="text2" w:themeFillTint="1A"/>
            <w:vAlign w:val="center"/>
          </w:tcPr>
          <w:p w14:paraId="6E97A13B" w14:textId="7F387E94" w:rsidR="00DE6598" w:rsidRPr="00BA4608" w:rsidRDefault="00BA4608" w:rsidP="49A26BD7">
            <w:pPr>
              <w:pStyle w:val="TBLText"/>
              <w:rPr>
                <w:b/>
                <w:bCs/>
              </w:rPr>
            </w:pPr>
            <w:r w:rsidRPr="00BA4608">
              <w:rPr>
                <w:b/>
                <w:bCs/>
              </w:rPr>
              <w:t>1/1</w:t>
            </w:r>
          </w:p>
        </w:tc>
        <w:tc>
          <w:tcPr>
            <w:tcW w:w="853" w:type="pct"/>
            <w:shd w:val="clear" w:color="auto" w:fill="DBE6F5" w:themeFill="text2" w:themeFillTint="1A"/>
            <w:vAlign w:val="center"/>
          </w:tcPr>
          <w:p w14:paraId="4A113BFC" w14:textId="77777777" w:rsidR="00DE6598" w:rsidRPr="00BA4608" w:rsidRDefault="00DE6598" w:rsidP="00C47BA6">
            <w:pPr>
              <w:pStyle w:val="TBLText"/>
              <w:rPr>
                <w:b/>
              </w:rPr>
            </w:pPr>
            <w:r w:rsidRPr="00BA4608">
              <w:rPr>
                <w:b/>
              </w:rPr>
              <w:t>-</w:t>
            </w:r>
          </w:p>
        </w:tc>
        <w:tc>
          <w:tcPr>
            <w:tcW w:w="971" w:type="pct"/>
            <w:shd w:val="clear" w:color="auto" w:fill="DBE6F5" w:themeFill="text2" w:themeFillTint="1A"/>
            <w:vAlign w:val="center"/>
          </w:tcPr>
          <w:p w14:paraId="12370D96" w14:textId="1FB7EE6A" w:rsidR="00DE6598" w:rsidRPr="00BA4608" w:rsidRDefault="00BA4608" w:rsidP="1F55995A">
            <w:pPr>
              <w:pStyle w:val="TBLText"/>
              <w:rPr>
                <w:b/>
                <w:bCs/>
              </w:rPr>
            </w:pPr>
            <w:r w:rsidRPr="00BA4608">
              <w:rPr>
                <w:b/>
                <w:bCs/>
              </w:rPr>
              <w:t>0/1</w:t>
            </w:r>
          </w:p>
        </w:tc>
        <w:tc>
          <w:tcPr>
            <w:tcW w:w="970" w:type="pct"/>
            <w:shd w:val="clear" w:color="auto" w:fill="DBE6F5" w:themeFill="text2" w:themeFillTint="1A"/>
            <w:vAlign w:val="center"/>
          </w:tcPr>
          <w:p w14:paraId="65110191" w14:textId="40BBBF32" w:rsidR="00DE6598" w:rsidRPr="00BA4608" w:rsidRDefault="00AB0F87" w:rsidP="2CDCB38B">
            <w:pPr>
              <w:pStyle w:val="TBLText"/>
              <w:rPr>
                <w:b/>
                <w:bCs/>
              </w:rPr>
            </w:pPr>
            <w:r>
              <w:rPr>
                <w:b/>
                <w:bCs/>
              </w:rPr>
              <w:t>-</w:t>
            </w:r>
          </w:p>
        </w:tc>
      </w:tr>
    </w:tbl>
    <w:p w14:paraId="69CCDC2B" w14:textId="0F988E3D" w:rsidR="7E2761C4" w:rsidRDefault="5FDD7609" w:rsidP="733177D3">
      <w:pPr>
        <w:pStyle w:val="TBLFootnote"/>
      </w:pPr>
      <w:proofErr w:type="gramStart"/>
      <w:r w:rsidRPr="5142BD78">
        <w:rPr>
          <w:rStyle w:val="TBLFootnoteChar"/>
        </w:rPr>
        <w:t>a</w:t>
      </w:r>
      <w:proofErr w:type="gramEnd"/>
      <w:r w:rsidRPr="5142BD78">
        <w:rPr>
          <w:rStyle w:val="TBLFootnoteChar"/>
        </w:rPr>
        <w:t xml:space="preserve"> </w:t>
      </w:r>
      <w:r w:rsidR="00AB0F87" w:rsidRPr="5142BD78">
        <w:rPr>
          <w:rStyle w:val="TBLFootnoteChar"/>
        </w:rPr>
        <w:t>R</w:t>
      </w:r>
      <w:r w:rsidR="4EEB3E01" w:rsidRPr="5142BD78">
        <w:rPr>
          <w:rStyle w:val="TBLFootnoteChar"/>
        </w:rPr>
        <w:t>egulatory burden estimates are presented as a range. As such, regulatory burden from this</w:t>
      </w:r>
      <w:r w:rsidR="6562F6B6" w:rsidRPr="5142BD78">
        <w:rPr>
          <w:rStyle w:val="TBLFootnoteChar"/>
        </w:rPr>
        <w:t xml:space="preserve"> proposal</w:t>
      </w:r>
      <w:r w:rsidR="4EEB3E01" w:rsidRPr="5142BD78">
        <w:rPr>
          <w:rStyle w:val="TBLFootnoteChar"/>
        </w:rPr>
        <w:t xml:space="preserve"> is not included in the ‘Estimated annual impact on Regulatory Burden’ in Figure 1 or in the ‘Total proposals’ regulatory burden for this figure</w:t>
      </w:r>
      <w:r w:rsidR="00AB0F87" w:rsidRPr="5142BD78">
        <w:rPr>
          <w:rStyle w:val="TBLFootnoteChar"/>
        </w:rPr>
        <w:t>.</w:t>
      </w:r>
      <w:r w:rsidR="00AB0F87">
        <w:t xml:space="preserve"> </w:t>
      </w:r>
    </w:p>
    <w:p w14:paraId="08A16B51" w14:textId="77777777" w:rsidR="00DE6598" w:rsidRPr="00344B88" w:rsidRDefault="00DE6598" w:rsidP="00DE6598">
      <w:pPr>
        <w:pStyle w:val="Heading2"/>
      </w:pPr>
      <w:bookmarkStart w:id="7" w:name="_Toc155876550"/>
      <w:bookmarkStart w:id="8" w:name="_Toc181213873"/>
      <w:r>
        <w:t>Department of Climate Change, Energy, the Environment and Water</w:t>
      </w:r>
      <w:bookmarkEnd w:id="7"/>
      <w:bookmarkEnd w:id="8"/>
    </w:p>
    <w:p w14:paraId="339EBCF2" w14:textId="79422C1C" w:rsidR="00DE6598" w:rsidRPr="00774646"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4</w:t>
      </w:r>
      <w:r w:rsidR="00574AC5">
        <w:rPr>
          <w:noProof/>
        </w:rPr>
        <w:fldChar w:fldCharType="end"/>
      </w:r>
      <w:r>
        <w:t xml:space="preserve">. </w:t>
      </w:r>
      <w:r w:rsidRPr="00BD342E">
        <w:t>Compliance summary: Department of Climate Change, Energy, the Environment and Water</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Department of Climate Change, Energy, the Environment and Water"/>
        <w:tblDescription w:val="Compliance summary: Department of Climate Change, Energy, the Environment and Water"/>
      </w:tblPr>
      <w:tblGrid>
        <w:gridCol w:w="3017"/>
        <w:gridCol w:w="1380"/>
        <w:gridCol w:w="1701"/>
        <w:gridCol w:w="1936"/>
        <w:gridCol w:w="1934"/>
      </w:tblGrid>
      <w:tr w:rsidR="00DE6598" w14:paraId="740C5A86" w14:textId="77777777" w:rsidTr="5BBFBF72">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6BC3646E" w14:textId="77777777" w:rsidR="00DE6598" w:rsidRPr="006E170D" w:rsidRDefault="00DE6598" w:rsidP="00C47BA6">
            <w:pPr>
              <w:pStyle w:val="TBLHeading"/>
            </w:pPr>
            <w:r>
              <w:t>Proposal</w:t>
            </w:r>
          </w:p>
        </w:tc>
        <w:tc>
          <w:tcPr>
            <w:tcW w:w="692" w:type="pct"/>
            <w:tcBorders>
              <w:top w:val="none" w:sz="0" w:space="0" w:color="auto"/>
              <w:bottom w:val="none" w:sz="0" w:space="0" w:color="auto"/>
            </w:tcBorders>
            <w:vAlign w:val="center"/>
          </w:tcPr>
          <w:p w14:paraId="41F0CBF8" w14:textId="77777777" w:rsidR="00DE6598" w:rsidRPr="006E170D" w:rsidRDefault="00DE6598" w:rsidP="00C47BA6">
            <w:pPr>
              <w:pStyle w:val="TBLHeading"/>
            </w:pPr>
            <w:r>
              <w:t>IA Compliance</w:t>
            </w:r>
          </w:p>
        </w:tc>
        <w:tc>
          <w:tcPr>
            <w:tcW w:w="853" w:type="pct"/>
            <w:tcBorders>
              <w:top w:val="none" w:sz="0" w:space="0" w:color="auto"/>
              <w:bottom w:val="none" w:sz="0" w:space="0" w:color="auto"/>
            </w:tcBorders>
            <w:vAlign w:val="center"/>
          </w:tcPr>
          <w:p w14:paraId="4DCDB43F" w14:textId="77777777" w:rsidR="00DE6598" w:rsidRPr="006E170D" w:rsidRDefault="00DE6598" w:rsidP="00C47BA6">
            <w:pPr>
              <w:pStyle w:val="TBLHeading"/>
            </w:pPr>
            <w:r>
              <w:t>Rating</w:t>
            </w:r>
          </w:p>
        </w:tc>
        <w:tc>
          <w:tcPr>
            <w:tcW w:w="971" w:type="pct"/>
            <w:tcBorders>
              <w:top w:val="none" w:sz="0" w:space="0" w:color="auto"/>
              <w:bottom w:val="none" w:sz="0" w:space="0" w:color="auto"/>
            </w:tcBorders>
            <w:vAlign w:val="center"/>
          </w:tcPr>
          <w:p w14:paraId="6788B5D8" w14:textId="77777777" w:rsidR="00DE6598" w:rsidRPr="006E170D" w:rsidRDefault="00DE6598" w:rsidP="00C47BA6">
            <w:pPr>
              <w:pStyle w:val="TBLHeading"/>
            </w:pPr>
            <w:r>
              <w:t>PIR Required</w:t>
            </w:r>
          </w:p>
        </w:tc>
        <w:tc>
          <w:tcPr>
            <w:tcW w:w="970" w:type="pct"/>
            <w:tcBorders>
              <w:top w:val="none" w:sz="0" w:space="0" w:color="auto"/>
              <w:bottom w:val="none" w:sz="0" w:space="0" w:color="auto"/>
              <w:right w:val="none" w:sz="0" w:space="0" w:color="auto"/>
            </w:tcBorders>
            <w:vAlign w:val="center"/>
          </w:tcPr>
          <w:p w14:paraId="02B4FAF6" w14:textId="08838990" w:rsidR="00DE6598" w:rsidRPr="006E170D" w:rsidRDefault="7E3B3EBD" w:rsidP="00C47BA6">
            <w:pPr>
              <w:pStyle w:val="TBLHeading"/>
            </w:pPr>
            <w:r>
              <w:t xml:space="preserve"> Annual Regulatory Burden ($m)</w:t>
            </w:r>
          </w:p>
        </w:tc>
      </w:tr>
      <w:tr w:rsidR="00DE6598" w14:paraId="20760459" w14:textId="77777777" w:rsidTr="5BBFBF72">
        <w:trPr>
          <w:trHeight w:val="20"/>
        </w:trPr>
        <w:tc>
          <w:tcPr>
            <w:tcW w:w="1513" w:type="pct"/>
            <w:shd w:val="clear" w:color="auto" w:fill="auto"/>
            <w:vAlign w:val="center"/>
          </w:tcPr>
          <w:p w14:paraId="18F9B880" w14:textId="2F07A113" w:rsidR="00DE6598" w:rsidRPr="006E170D" w:rsidRDefault="2842B0B3" w:rsidP="00C47BA6">
            <w:pPr>
              <w:pStyle w:val="TBLText"/>
            </w:pPr>
            <w:r>
              <w:t>Implementing a Guarantee of Origin Scheme</w:t>
            </w:r>
          </w:p>
        </w:tc>
        <w:tc>
          <w:tcPr>
            <w:tcW w:w="692" w:type="pct"/>
            <w:shd w:val="clear" w:color="auto" w:fill="auto"/>
            <w:vAlign w:val="center"/>
          </w:tcPr>
          <w:p w14:paraId="3F27CD9B" w14:textId="614651B9" w:rsidR="00DE6598" w:rsidRPr="006E170D" w:rsidRDefault="2842B0B3" w:rsidP="49A26BD7">
            <w:pPr>
              <w:pStyle w:val="TBLText"/>
              <w:rPr>
                <w:rFonts w:eastAsia="MS Mincho"/>
              </w:rPr>
            </w:pPr>
            <w:r w:rsidRPr="5D3D59D8">
              <w:rPr>
                <w:rFonts w:eastAsia="MS Mincho"/>
              </w:rPr>
              <w:t>Compliant</w:t>
            </w:r>
          </w:p>
        </w:tc>
        <w:tc>
          <w:tcPr>
            <w:tcW w:w="853" w:type="pct"/>
            <w:shd w:val="clear" w:color="auto" w:fill="auto"/>
            <w:vAlign w:val="center"/>
          </w:tcPr>
          <w:p w14:paraId="75079B9B" w14:textId="101D4CFC" w:rsidR="00DE6598" w:rsidRPr="006E170D" w:rsidRDefault="2842B0B3" w:rsidP="49A26BD7">
            <w:pPr>
              <w:pStyle w:val="TBLText"/>
              <w:rPr>
                <w:rFonts w:eastAsia="MS Mincho"/>
              </w:rPr>
            </w:pPr>
            <w:r w:rsidRPr="5D3D59D8">
              <w:rPr>
                <w:rFonts w:eastAsia="MS Mincho"/>
              </w:rPr>
              <w:t>Adequate</w:t>
            </w:r>
          </w:p>
        </w:tc>
        <w:tc>
          <w:tcPr>
            <w:tcW w:w="971" w:type="pct"/>
            <w:shd w:val="clear" w:color="auto" w:fill="auto"/>
            <w:vAlign w:val="center"/>
          </w:tcPr>
          <w:p w14:paraId="3FE98384" w14:textId="3603068C" w:rsidR="00DE6598" w:rsidRPr="006D708A" w:rsidRDefault="2842B0B3" w:rsidP="49A26BD7">
            <w:pPr>
              <w:pStyle w:val="TBLText"/>
              <w:rPr>
                <w:rFonts w:eastAsia="MS Mincho"/>
              </w:rPr>
            </w:pPr>
            <w:r w:rsidRPr="4CC79053">
              <w:rPr>
                <w:rFonts w:eastAsia="MS Mincho"/>
              </w:rPr>
              <w:t>No</w:t>
            </w:r>
          </w:p>
        </w:tc>
        <w:tc>
          <w:tcPr>
            <w:tcW w:w="970" w:type="pct"/>
            <w:shd w:val="clear" w:color="auto" w:fill="auto"/>
            <w:vAlign w:val="center"/>
          </w:tcPr>
          <w:p w14:paraId="7C6742AE" w14:textId="2C7E5A02" w:rsidR="00DE6598" w:rsidRPr="00344B88" w:rsidRDefault="2842B0B3" w:rsidP="49A26BD7">
            <w:pPr>
              <w:pStyle w:val="TBLText"/>
              <w:rPr>
                <w:rFonts w:eastAsia="MS Mincho"/>
              </w:rPr>
            </w:pPr>
            <w:r w:rsidRPr="4CC79053">
              <w:rPr>
                <w:rFonts w:eastAsia="MS Mincho"/>
              </w:rPr>
              <w:t>$20.2m</w:t>
            </w:r>
          </w:p>
        </w:tc>
      </w:tr>
      <w:tr w:rsidR="00DE6598" w14:paraId="0496949E" w14:textId="77777777" w:rsidTr="5BBFBF72">
        <w:trPr>
          <w:trHeight w:val="20"/>
        </w:trPr>
        <w:tc>
          <w:tcPr>
            <w:tcW w:w="1513" w:type="pct"/>
            <w:shd w:val="clear" w:color="auto" w:fill="DBE6F5" w:themeFill="text2" w:themeFillTint="1A"/>
            <w:vAlign w:val="center"/>
          </w:tcPr>
          <w:p w14:paraId="6A919CFA" w14:textId="77777777" w:rsidR="00DE6598" w:rsidRPr="00363240" w:rsidRDefault="00DE6598" w:rsidP="00C47BA6">
            <w:pPr>
              <w:pStyle w:val="TBLText"/>
              <w:rPr>
                <w:b/>
              </w:rPr>
            </w:pPr>
            <w:r w:rsidRPr="00363240">
              <w:rPr>
                <w:b/>
              </w:rPr>
              <w:t>Total proposals</w:t>
            </w:r>
          </w:p>
        </w:tc>
        <w:tc>
          <w:tcPr>
            <w:tcW w:w="692" w:type="pct"/>
            <w:shd w:val="clear" w:color="auto" w:fill="DBE6F5" w:themeFill="text2" w:themeFillTint="1A"/>
            <w:vAlign w:val="center"/>
          </w:tcPr>
          <w:p w14:paraId="6F400A12" w14:textId="6C8E0656" w:rsidR="00DE6598" w:rsidRPr="00363240" w:rsidRDefault="008E4734" w:rsidP="49A26BD7">
            <w:pPr>
              <w:pStyle w:val="TBLText"/>
              <w:rPr>
                <w:b/>
                <w:bCs/>
              </w:rPr>
            </w:pPr>
            <w:r>
              <w:rPr>
                <w:b/>
                <w:bCs/>
              </w:rPr>
              <w:t>1</w:t>
            </w:r>
            <w:r w:rsidR="4DE21905" w:rsidRPr="523218C3">
              <w:rPr>
                <w:b/>
                <w:bCs/>
              </w:rPr>
              <w:t>/</w:t>
            </w:r>
            <w:r>
              <w:rPr>
                <w:b/>
                <w:bCs/>
              </w:rPr>
              <w:t>1</w:t>
            </w:r>
          </w:p>
        </w:tc>
        <w:tc>
          <w:tcPr>
            <w:tcW w:w="853" w:type="pct"/>
            <w:shd w:val="clear" w:color="auto" w:fill="DBE6F5" w:themeFill="text2" w:themeFillTint="1A"/>
            <w:vAlign w:val="center"/>
          </w:tcPr>
          <w:p w14:paraId="06CF39EC" w14:textId="77777777" w:rsidR="00DE6598" w:rsidRPr="00363240" w:rsidRDefault="00DE6598" w:rsidP="00C47BA6">
            <w:pPr>
              <w:pStyle w:val="TBLText"/>
              <w:rPr>
                <w:b/>
              </w:rPr>
            </w:pPr>
            <w:r w:rsidRPr="00363240">
              <w:rPr>
                <w:b/>
              </w:rPr>
              <w:t>-</w:t>
            </w:r>
          </w:p>
        </w:tc>
        <w:tc>
          <w:tcPr>
            <w:tcW w:w="971" w:type="pct"/>
            <w:shd w:val="clear" w:color="auto" w:fill="DBE6F5" w:themeFill="text2" w:themeFillTint="1A"/>
            <w:vAlign w:val="center"/>
          </w:tcPr>
          <w:p w14:paraId="56EDBD11" w14:textId="20EF059D" w:rsidR="00DE6598" w:rsidRPr="006D708A" w:rsidRDefault="008E4734" w:rsidP="45B39559">
            <w:pPr>
              <w:pStyle w:val="TBLText"/>
              <w:rPr>
                <w:b/>
                <w:bCs/>
              </w:rPr>
            </w:pPr>
            <w:r>
              <w:rPr>
                <w:b/>
                <w:bCs/>
              </w:rPr>
              <w:t>0</w:t>
            </w:r>
            <w:r w:rsidR="13F0C309" w:rsidRPr="523218C3">
              <w:rPr>
                <w:b/>
                <w:bCs/>
              </w:rPr>
              <w:t>/</w:t>
            </w:r>
            <w:r>
              <w:rPr>
                <w:b/>
                <w:bCs/>
              </w:rPr>
              <w:t>1</w:t>
            </w:r>
          </w:p>
        </w:tc>
        <w:tc>
          <w:tcPr>
            <w:tcW w:w="970" w:type="pct"/>
            <w:shd w:val="clear" w:color="auto" w:fill="DBE6F5" w:themeFill="text2" w:themeFillTint="1A"/>
            <w:vAlign w:val="center"/>
          </w:tcPr>
          <w:p w14:paraId="797B2710" w14:textId="71C34EC1" w:rsidR="00DE6598" w:rsidRPr="00BB1BEE" w:rsidRDefault="1D0245C2" w:rsidP="008E4734">
            <w:pPr>
              <w:pStyle w:val="TBLText"/>
              <w:rPr>
                <w:b/>
                <w:bCs/>
              </w:rPr>
            </w:pPr>
            <w:r w:rsidRPr="0790E64D">
              <w:rPr>
                <w:b/>
                <w:bCs/>
              </w:rPr>
              <w:t>$</w:t>
            </w:r>
            <w:r w:rsidR="008E4734">
              <w:rPr>
                <w:b/>
                <w:bCs/>
              </w:rPr>
              <w:t>20.2</w:t>
            </w:r>
            <w:r w:rsidRPr="0790E64D">
              <w:rPr>
                <w:b/>
                <w:bCs/>
              </w:rPr>
              <w:t>m</w:t>
            </w:r>
          </w:p>
        </w:tc>
      </w:tr>
    </w:tbl>
    <w:p w14:paraId="0D7E29CB" w14:textId="77777777" w:rsidR="00DE6598" w:rsidRPr="00CE7B06" w:rsidRDefault="00DE6598" w:rsidP="00DE6598">
      <w:pPr>
        <w:pStyle w:val="Heading2"/>
      </w:pPr>
      <w:bookmarkStart w:id="9" w:name="_Toc155876554"/>
      <w:bookmarkStart w:id="10" w:name="_Toc181213874"/>
      <w:r>
        <w:t>Department of Health and Aged Care</w:t>
      </w:r>
      <w:bookmarkEnd w:id="9"/>
      <w:bookmarkEnd w:id="10"/>
    </w:p>
    <w:p w14:paraId="3C15FC34" w14:textId="7EBC1F72" w:rsidR="00DE6598" w:rsidRPr="00774646"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5</w:t>
      </w:r>
      <w:r w:rsidR="00574AC5">
        <w:rPr>
          <w:noProof/>
        </w:rPr>
        <w:fldChar w:fldCharType="end"/>
      </w:r>
      <w:r>
        <w:t xml:space="preserve">. </w:t>
      </w:r>
      <w:r w:rsidRPr="00CD3E7A">
        <w:t>Compliance summary: Department of Health and Aged Care</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Department of Health and Aged Care"/>
        <w:tblDescription w:val="Compliance summary: Department of Health and Aged Care"/>
      </w:tblPr>
      <w:tblGrid>
        <w:gridCol w:w="3017"/>
        <w:gridCol w:w="1380"/>
        <w:gridCol w:w="1701"/>
        <w:gridCol w:w="1936"/>
        <w:gridCol w:w="1934"/>
      </w:tblGrid>
      <w:tr w:rsidR="00DE6598" w14:paraId="07A1BB0D" w14:textId="77777777" w:rsidTr="107ED88F">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32793E38" w14:textId="77777777" w:rsidR="00DE6598" w:rsidRPr="006E170D" w:rsidRDefault="00DE6598" w:rsidP="00C47BA6">
            <w:pPr>
              <w:pStyle w:val="TBLHeading"/>
            </w:pPr>
            <w:r>
              <w:t>Proposal</w:t>
            </w:r>
          </w:p>
        </w:tc>
        <w:tc>
          <w:tcPr>
            <w:tcW w:w="692" w:type="pct"/>
            <w:tcBorders>
              <w:top w:val="none" w:sz="0" w:space="0" w:color="auto"/>
              <w:bottom w:val="none" w:sz="0" w:space="0" w:color="auto"/>
            </w:tcBorders>
            <w:vAlign w:val="center"/>
          </w:tcPr>
          <w:p w14:paraId="7054B053" w14:textId="77777777" w:rsidR="00DE6598" w:rsidRPr="006E170D" w:rsidRDefault="00DE6598" w:rsidP="00C47BA6">
            <w:pPr>
              <w:pStyle w:val="TBLHeading"/>
            </w:pPr>
            <w:r>
              <w:t>IA Compliance</w:t>
            </w:r>
          </w:p>
        </w:tc>
        <w:tc>
          <w:tcPr>
            <w:tcW w:w="853" w:type="pct"/>
            <w:tcBorders>
              <w:top w:val="none" w:sz="0" w:space="0" w:color="auto"/>
              <w:bottom w:val="none" w:sz="0" w:space="0" w:color="auto"/>
            </w:tcBorders>
            <w:vAlign w:val="center"/>
          </w:tcPr>
          <w:p w14:paraId="7BFD5304" w14:textId="77777777" w:rsidR="00DE6598" w:rsidRPr="006E170D" w:rsidRDefault="00DE6598" w:rsidP="00C47BA6">
            <w:pPr>
              <w:pStyle w:val="TBLHeading"/>
            </w:pPr>
            <w:r>
              <w:t>Rating</w:t>
            </w:r>
          </w:p>
        </w:tc>
        <w:tc>
          <w:tcPr>
            <w:tcW w:w="971" w:type="pct"/>
            <w:tcBorders>
              <w:top w:val="none" w:sz="0" w:space="0" w:color="auto"/>
              <w:bottom w:val="none" w:sz="0" w:space="0" w:color="auto"/>
            </w:tcBorders>
            <w:vAlign w:val="center"/>
          </w:tcPr>
          <w:p w14:paraId="4066ABD3" w14:textId="77777777" w:rsidR="00DE6598" w:rsidRPr="006E170D" w:rsidRDefault="00DE6598" w:rsidP="00C47BA6">
            <w:pPr>
              <w:pStyle w:val="TBLHeading"/>
            </w:pPr>
            <w:r>
              <w:t>PIR Required</w:t>
            </w:r>
          </w:p>
        </w:tc>
        <w:tc>
          <w:tcPr>
            <w:tcW w:w="970" w:type="pct"/>
            <w:tcBorders>
              <w:top w:val="none" w:sz="0" w:space="0" w:color="auto"/>
              <w:bottom w:val="none" w:sz="0" w:space="0" w:color="auto"/>
              <w:right w:val="none" w:sz="0" w:space="0" w:color="auto"/>
            </w:tcBorders>
            <w:vAlign w:val="center"/>
          </w:tcPr>
          <w:p w14:paraId="3DDAA2BB" w14:textId="3721916C" w:rsidR="00DE6598" w:rsidRPr="006E170D" w:rsidRDefault="1F772571" w:rsidP="00C47BA6">
            <w:pPr>
              <w:pStyle w:val="TBLHeading"/>
            </w:pPr>
            <w:r>
              <w:t xml:space="preserve">Annual </w:t>
            </w:r>
            <w:r w:rsidR="00DE6598">
              <w:t>Regulatory Burden ($m)</w:t>
            </w:r>
          </w:p>
        </w:tc>
      </w:tr>
      <w:tr w:rsidR="00DE6598" w14:paraId="49CDCF35" w14:textId="77777777" w:rsidTr="107ED88F">
        <w:trPr>
          <w:trHeight w:val="20"/>
        </w:trPr>
        <w:tc>
          <w:tcPr>
            <w:tcW w:w="1513" w:type="pct"/>
            <w:shd w:val="clear" w:color="auto" w:fill="auto"/>
            <w:vAlign w:val="center"/>
          </w:tcPr>
          <w:p w14:paraId="62919067" w14:textId="77B7F56F" w:rsidR="00DE6598" w:rsidRPr="006E170D" w:rsidRDefault="3ED83A70" w:rsidP="00C47BA6">
            <w:pPr>
              <w:pStyle w:val="TBLText"/>
            </w:pPr>
            <w:r>
              <w:t>Aged Care Bill 2024</w:t>
            </w:r>
          </w:p>
        </w:tc>
        <w:tc>
          <w:tcPr>
            <w:tcW w:w="692" w:type="pct"/>
            <w:shd w:val="clear" w:color="auto" w:fill="auto"/>
            <w:vAlign w:val="center"/>
          </w:tcPr>
          <w:p w14:paraId="055D9F7B" w14:textId="5CBEBCB9" w:rsidR="00DE6598" w:rsidRPr="006E170D" w:rsidRDefault="3ED83A70" w:rsidP="2CDCB38B">
            <w:pPr>
              <w:pStyle w:val="TBLText"/>
              <w:rPr>
                <w:rFonts w:eastAsia="MS Mincho"/>
              </w:rPr>
            </w:pPr>
            <w:r w:rsidRPr="27EFE04F">
              <w:rPr>
                <w:rFonts w:eastAsia="MS Mincho"/>
              </w:rPr>
              <w:t>Compliant</w:t>
            </w:r>
          </w:p>
        </w:tc>
        <w:tc>
          <w:tcPr>
            <w:tcW w:w="853" w:type="pct"/>
            <w:shd w:val="clear" w:color="auto" w:fill="auto"/>
            <w:vAlign w:val="center"/>
          </w:tcPr>
          <w:p w14:paraId="73BBDFE9" w14:textId="330D965D" w:rsidR="00DE6598" w:rsidRPr="006E170D" w:rsidRDefault="3ED83A70" w:rsidP="2CDCB38B">
            <w:pPr>
              <w:pStyle w:val="TBLText"/>
              <w:rPr>
                <w:rFonts w:eastAsia="MS Mincho"/>
              </w:rPr>
            </w:pPr>
            <w:r w:rsidRPr="22F13677">
              <w:rPr>
                <w:rFonts w:eastAsia="MS Mincho"/>
              </w:rPr>
              <w:t>N/A</w:t>
            </w:r>
            <w:r w:rsidR="003A3EBC" w:rsidRPr="22F13677">
              <w:rPr>
                <w:rFonts w:eastAsia="MS Mincho"/>
                <w:vertAlign w:val="superscript"/>
              </w:rPr>
              <w:t>a</w:t>
            </w:r>
          </w:p>
        </w:tc>
        <w:tc>
          <w:tcPr>
            <w:tcW w:w="971" w:type="pct"/>
            <w:shd w:val="clear" w:color="auto" w:fill="auto"/>
            <w:vAlign w:val="center"/>
          </w:tcPr>
          <w:p w14:paraId="0989F09F" w14:textId="3A69B663" w:rsidR="00DE6598" w:rsidRPr="00D04701" w:rsidRDefault="3ED83A70" w:rsidP="2CDCB38B">
            <w:pPr>
              <w:pStyle w:val="TBLText"/>
              <w:rPr>
                <w:rFonts w:eastAsia="MS Mincho"/>
              </w:rPr>
            </w:pPr>
            <w:r w:rsidRPr="290CBD9E">
              <w:rPr>
                <w:rFonts w:eastAsia="MS Mincho"/>
              </w:rPr>
              <w:t>No</w:t>
            </w:r>
          </w:p>
        </w:tc>
        <w:tc>
          <w:tcPr>
            <w:tcW w:w="970" w:type="pct"/>
            <w:shd w:val="clear" w:color="auto" w:fill="auto"/>
            <w:vAlign w:val="center"/>
          </w:tcPr>
          <w:p w14:paraId="0BE0CAB9" w14:textId="41536669" w:rsidR="00DE6598" w:rsidRPr="006E170D" w:rsidRDefault="001664BA" w:rsidP="2CDCB38B">
            <w:pPr>
              <w:pStyle w:val="TBLText"/>
              <w:rPr>
                <w:rFonts w:eastAsia="MS Mincho"/>
              </w:rPr>
            </w:pPr>
            <w:r>
              <w:rPr>
                <w:rFonts w:eastAsia="MS Mincho" w:cstheme="minorHAnsi"/>
              </w:rPr>
              <w:t>−</w:t>
            </w:r>
            <w:r w:rsidR="3ED83A70" w:rsidRPr="4463BEDF">
              <w:rPr>
                <w:rFonts w:eastAsia="MS Mincho"/>
              </w:rPr>
              <w:t>$4.8m</w:t>
            </w:r>
          </w:p>
        </w:tc>
      </w:tr>
      <w:tr w:rsidR="00DE6598" w14:paraId="4B56A87E" w14:textId="77777777" w:rsidTr="107ED88F">
        <w:trPr>
          <w:trHeight w:val="20"/>
        </w:trPr>
        <w:tc>
          <w:tcPr>
            <w:tcW w:w="1513" w:type="pct"/>
            <w:shd w:val="clear" w:color="auto" w:fill="DBE6F5" w:themeFill="text2" w:themeFillTint="1A"/>
            <w:vAlign w:val="center"/>
          </w:tcPr>
          <w:p w14:paraId="77930056" w14:textId="77777777" w:rsidR="00DE6598" w:rsidRPr="00363240" w:rsidRDefault="00DE6598" w:rsidP="00C47BA6">
            <w:pPr>
              <w:pStyle w:val="TBLText"/>
              <w:rPr>
                <w:b/>
              </w:rPr>
            </w:pPr>
            <w:r w:rsidRPr="00363240">
              <w:rPr>
                <w:b/>
              </w:rPr>
              <w:t>Total proposals</w:t>
            </w:r>
          </w:p>
        </w:tc>
        <w:tc>
          <w:tcPr>
            <w:tcW w:w="692" w:type="pct"/>
            <w:shd w:val="clear" w:color="auto" w:fill="DBE6F5" w:themeFill="text2" w:themeFillTint="1A"/>
            <w:vAlign w:val="center"/>
          </w:tcPr>
          <w:p w14:paraId="5D80EC82" w14:textId="52E6AD15" w:rsidR="00DE6598" w:rsidRPr="00363240" w:rsidRDefault="008E4734" w:rsidP="01A1BA16">
            <w:pPr>
              <w:pStyle w:val="TBLText"/>
              <w:rPr>
                <w:b/>
                <w:bCs/>
              </w:rPr>
            </w:pPr>
            <w:r>
              <w:rPr>
                <w:b/>
                <w:bCs/>
              </w:rPr>
              <w:t>1</w:t>
            </w:r>
            <w:r w:rsidR="00DE6598" w:rsidRPr="01A1BA16">
              <w:rPr>
                <w:b/>
                <w:bCs/>
              </w:rPr>
              <w:t>/</w:t>
            </w:r>
            <w:r>
              <w:rPr>
                <w:b/>
                <w:bCs/>
              </w:rPr>
              <w:t>1</w:t>
            </w:r>
          </w:p>
        </w:tc>
        <w:tc>
          <w:tcPr>
            <w:tcW w:w="853" w:type="pct"/>
            <w:shd w:val="clear" w:color="auto" w:fill="DBE6F5" w:themeFill="text2" w:themeFillTint="1A"/>
            <w:vAlign w:val="center"/>
          </w:tcPr>
          <w:p w14:paraId="35FE2E70" w14:textId="77777777" w:rsidR="00DE6598" w:rsidRPr="00363240" w:rsidRDefault="00DE6598" w:rsidP="00C47BA6">
            <w:pPr>
              <w:pStyle w:val="TBLText"/>
              <w:rPr>
                <w:b/>
              </w:rPr>
            </w:pPr>
            <w:r w:rsidRPr="00363240">
              <w:rPr>
                <w:b/>
              </w:rPr>
              <w:t>-</w:t>
            </w:r>
          </w:p>
        </w:tc>
        <w:tc>
          <w:tcPr>
            <w:tcW w:w="971" w:type="pct"/>
            <w:shd w:val="clear" w:color="auto" w:fill="DBE6F5" w:themeFill="text2" w:themeFillTint="1A"/>
            <w:vAlign w:val="center"/>
          </w:tcPr>
          <w:p w14:paraId="73485826" w14:textId="1D9186F5" w:rsidR="00DE6598" w:rsidRPr="00D04701" w:rsidRDefault="008E4734" w:rsidP="01A1BA16">
            <w:pPr>
              <w:pStyle w:val="TBLText"/>
              <w:rPr>
                <w:b/>
                <w:bCs/>
              </w:rPr>
            </w:pPr>
            <w:r>
              <w:rPr>
                <w:b/>
                <w:bCs/>
              </w:rPr>
              <w:t>0</w:t>
            </w:r>
            <w:r w:rsidR="00D8387B" w:rsidRPr="01A1BA16">
              <w:rPr>
                <w:b/>
                <w:bCs/>
              </w:rPr>
              <w:t>/</w:t>
            </w:r>
            <w:r>
              <w:rPr>
                <w:b/>
                <w:bCs/>
              </w:rPr>
              <w:t>1</w:t>
            </w:r>
          </w:p>
        </w:tc>
        <w:tc>
          <w:tcPr>
            <w:tcW w:w="970" w:type="pct"/>
            <w:shd w:val="clear" w:color="auto" w:fill="DBE6F5" w:themeFill="text2" w:themeFillTint="1A"/>
            <w:vAlign w:val="center"/>
          </w:tcPr>
          <w:p w14:paraId="396AA55D" w14:textId="53200F25" w:rsidR="00DE6598" w:rsidRPr="00A36692" w:rsidRDefault="001664BA" w:rsidP="01A1BA16">
            <w:pPr>
              <w:pStyle w:val="TBLText"/>
              <w:rPr>
                <w:rFonts w:eastAsia="MS Mincho"/>
                <w:b/>
                <w:bCs/>
                <w:spacing w:val="-3"/>
              </w:rPr>
            </w:pPr>
            <w:r>
              <w:rPr>
                <w:rFonts w:eastAsia="MS Mincho" w:cstheme="minorHAnsi"/>
                <w:b/>
                <w:bCs/>
                <w:spacing w:val="-3"/>
              </w:rPr>
              <w:t>−</w:t>
            </w:r>
            <w:r w:rsidR="008E4734">
              <w:rPr>
                <w:rFonts w:eastAsia="MS Mincho"/>
                <w:b/>
                <w:bCs/>
                <w:spacing w:val="-3"/>
              </w:rPr>
              <w:t>$4.8</w:t>
            </w:r>
            <w:r w:rsidR="50F45A66" w:rsidRPr="01A1BA16">
              <w:rPr>
                <w:rFonts w:eastAsia="MS Mincho"/>
                <w:b/>
                <w:bCs/>
                <w:spacing w:val="-3"/>
              </w:rPr>
              <w:t>m</w:t>
            </w:r>
          </w:p>
        </w:tc>
      </w:tr>
    </w:tbl>
    <w:p w14:paraId="45108EB6" w14:textId="5929F9BE" w:rsidR="00DE6598" w:rsidRPr="00CE7B06" w:rsidRDefault="003A3EBC" w:rsidP="3221E9CB">
      <w:pPr>
        <w:pStyle w:val="TBLFootnote"/>
      </w:pPr>
      <w:proofErr w:type="gramStart"/>
      <w:r w:rsidRPr="22F13677">
        <w:rPr>
          <w:rStyle w:val="TBLFootnoteChar"/>
        </w:rPr>
        <w:t>a</w:t>
      </w:r>
      <w:proofErr w:type="gramEnd"/>
      <w:r w:rsidRPr="22F13677">
        <w:rPr>
          <w:rStyle w:val="TBLFootnoteChar"/>
        </w:rPr>
        <w:t xml:space="preserve"> </w:t>
      </w:r>
      <w:r w:rsidR="008059D0">
        <w:t>N/A - Proposal was subject to an Impact Analysis Equivalent process.</w:t>
      </w:r>
    </w:p>
    <w:p w14:paraId="568ABD18" w14:textId="1624F485" w:rsidR="00DE6598" w:rsidRPr="00CE7B06" w:rsidRDefault="00DE6598" w:rsidP="00031D61">
      <w:pPr>
        <w:pStyle w:val="Heading2"/>
        <w:pageBreakBefore/>
      </w:pPr>
      <w:bookmarkStart w:id="11" w:name="_Toc155876555"/>
      <w:bookmarkStart w:id="12" w:name="_Toc181213875"/>
      <w:r>
        <w:t>Department of Home Affairs</w:t>
      </w:r>
      <w:bookmarkEnd w:id="11"/>
      <w:bookmarkEnd w:id="12"/>
    </w:p>
    <w:p w14:paraId="23851AF6" w14:textId="163A1977" w:rsidR="00DE6598" w:rsidRPr="00774646"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6</w:t>
      </w:r>
      <w:r w:rsidR="00574AC5">
        <w:rPr>
          <w:noProof/>
        </w:rPr>
        <w:fldChar w:fldCharType="end"/>
      </w:r>
      <w:r>
        <w:t xml:space="preserve">. </w:t>
      </w:r>
      <w:r w:rsidRPr="000824F6">
        <w:t>Compliance summary: Department of Home Affairs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Department of Health and Aged Care"/>
        <w:tblDescription w:val="Compliance summary: Department of Health and Aged Care"/>
      </w:tblPr>
      <w:tblGrid>
        <w:gridCol w:w="3017"/>
        <w:gridCol w:w="1380"/>
        <w:gridCol w:w="1701"/>
        <w:gridCol w:w="1936"/>
        <w:gridCol w:w="1934"/>
      </w:tblGrid>
      <w:tr w:rsidR="00DE6598" w14:paraId="36DBE7FA" w14:textId="77777777" w:rsidTr="107ED88F">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44680FA8" w14:textId="77777777" w:rsidR="00DE6598" w:rsidRPr="006E170D" w:rsidRDefault="00DE6598" w:rsidP="22F13677">
            <w:pPr>
              <w:pStyle w:val="TBLHeading"/>
              <w:keepNext/>
            </w:pPr>
            <w:r>
              <w:t>Proposal</w:t>
            </w:r>
          </w:p>
        </w:tc>
        <w:tc>
          <w:tcPr>
            <w:tcW w:w="692" w:type="pct"/>
            <w:tcBorders>
              <w:top w:val="none" w:sz="0" w:space="0" w:color="auto"/>
              <w:bottom w:val="none" w:sz="0" w:space="0" w:color="auto"/>
            </w:tcBorders>
            <w:vAlign w:val="center"/>
          </w:tcPr>
          <w:p w14:paraId="672D7406" w14:textId="77777777" w:rsidR="00DE6598" w:rsidRPr="006E170D" w:rsidRDefault="00DE6598" w:rsidP="22F13677">
            <w:pPr>
              <w:pStyle w:val="TBLHeading"/>
              <w:keepNext/>
            </w:pPr>
            <w:r>
              <w:t>IA Compliance</w:t>
            </w:r>
          </w:p>
        </w:tc>
        <w:tc>
          <w:tcPr>
            <w:tcW w:w="853" w:type="pct"/>
            <w:tcBorders>
              <w:top w:val="none" w:sz="0" w:space="0" w:color="auto"/>
              <w:bottom w:val="none" w:sz="0" w:space="0" w:color="auto"/>
            </w:tcBorders>
            <w:vAlign w:val="center"/>
          </w:tcPr>
          <w:p w14:paraId="55C8FBC5" w14:textId="77777777" w:rsidR="00DE6598" w:rsidRPr="006E170D" w:rsidRDefault="00DE6598" w:rsidP="22F13677">
            <w:pPr>
              <w:pStyle w:val="TBLHeading"/>
              <w:keepNext/>
            </w:pPr>
            <w:r>
              <w:t>Rating</w:t>
            </w:r>
          </w:p>
        </w:tc>
        <w:tc>
          <w:tcPr>
            <w:tcW w:w="971" w:type="pct"/>
            <w:tcBorders>
              <w:top w:val="none" w:sz="0" w:space="0" w:color="auto"/>
              <w:bottom w:val="none" w:sz="0" w:space="0" w:color="auto"/>
            </w:tcBorders>
            <w:vAlign w:val="center"/>
          </w:tcPr>
          <w:p w14:paraId="1A6F9C7F" w14:textId="77777777" w:rsidR="00DE6598" w:rsidRPr="006E170D" w:rsidRDefault="00DE6598" w:rsidP="22F13677">
            <w:pPr>
              <w:pStyle w:val="TBLHeading"/>
              <w:keepNext/>
            </w:pPr>
            <w:r>
              <w:t>PIR Required</w:t>
            </w:r>
          </w:p>
        </w:tc>
        <w:tc>
          <w:tcPr>
            <w:tcW w:w="970" w:type="pct"/>
            <w:tcBorders>
              <w:top w:val="none" w:sz="0" w:space="0" w:color="auto"/>
              <w:bottom w:val="none" w:sz="0" w:space="0" w:color="auto"/>
              <w:right w:val="none" w:sz="0" w:space="0" w:color="auto"/>
            </w:tcBorders>
            <w:vAlign w:val="center"/>
          </w:tcPr>
          <w:p w14:paraId="46D36524" w14:textId="0A8D0CD8" w:rsidR="00DE6598" w:rsidRPr="006E170D" w:rsidRDefault="5BA18526" w:rsidP="22F13677">
            <w:pPr>
              <w:pStyle w:val="TBLHeading"/>
              <w:keepNext/>
            </w:pPr>
            <w:r>
              <w:t xml:space="preserve">Annual </w:t>
            </w:r>
            <w:r w:rsidR="00DE6598">
              <w:t>Regulatory Burden ($m)</w:t>
            </w:r>
          </w:p>
        </w:tc>
      </w:tr>
      <w:tr w:rsidR="00DE6598" w14:paraId="2CBBD5D3" w14:textId="77777777" w:rsidTr="107ED88F">
        <w:trPr>
          <w:trHeight w:val="20"/>
        </w:trPr>
        <w:tc>
          <w:tcPr>
            <w:tcW w:w="1513" w:type="pct"/>
            <w:shd w:val="clear" w:color="auto" w:fill="auto"/>
            <w:vAlign w:val="center"/>
          </w:tcPr>
          <w:p w14:paraId="2D5F29C1" w14:textId="783F6D50" w:rsidR="00DE6598" w:rsidRPr="006E170D" w:rsidRDefault="5E1D5BE4" w:rsidP="00C47BA6">
            <w:pPr>
              <w:pStyle w:val="TBLText"/>
            </w:pPr>
            <w:r>
              <w:t>Cyber Security Legislation: Mandatory Ransomware Payment Reporting – Cyber Security Bill 2024</w:t>
            </w:r>
          </w:p>
        </w:tc>
        <w:tc>
          <w:tcPr>
            <w:tcW w:w="692" w:type="pct"/>
            <w:shd w:val="clear" w:color="auto" w:fill="auto"/>
            <w:vAlign w:val="center"/>
          </w:tcPr>
          <w:p w14:paraId="36D192FA" w14:textId="7F5E1645" w:rsidR="00DE6598" w:rsidRPr="006E170D" w:rsidRDefault="5E1D5BE4" w:rsidP="2EAF0AF0">
            <w:pPr>
              <w:pStyle w:val="TBLText"/>
              <w:rPr>
                <w:rFonts w:eastAsia="MS Mincho"/>
              </w:rPr>
            </w:pPr>
            <w:r w:rsidRPr="5C61D415">
              <w:rPr>
                <w:rFonts w:eastAsia="MS Mincho"/>
              </w:rPr>
              <w:t>Compliant</w:t>
            </w:r>
          </w:p>
        </w:tc>
        <w:tc>
          <w:tcPr>
            <w:tcW w:w="853" w:type="pct"/>
            <w:shd w:val="clear" w:color="auto" w:fill="auto"/>
            <w:vAlign w:val="center"/>
          </w:tcPr>
          <w:p w14:paraId="21004DB3" w14:textId="798C1801" w:rsidR="00DE6598" w:rsidRPr="006E170D" w:rsidRDefault="5E1D5BE4" w:rsidP="2EAF0AF0">
            <w:pPr>
              <w:pStyle w:val="TBLText"/>
              <w:rPr>
                <w:rFonts w:eastAsia="MS Mincho"/>
              </w:rPr>
            </w:pPr>
            <w:r w:rsidRPr="5C61D415">
              <w:rPr>
                <w:rFonts w:eastAsia="MS Mincho"/>
              </w:rPr>
              <w:t>Good Practice</w:t>
            </w:r>
          </w:p>
        </w:tc>
        <w:tc>
          <w:tcPr>
            <w:tcW w:w="971" w:type="pct"/>
            <w:shd w:val="clear" w:color="auto" w:fill="auto"/>
            <w:vAlign w:val="center"/>
          </w:tcPr>
          <w:p w14:paraId="23B18D71" w14:textId="58ECFD21" w:rsidR="00DE6598" w:rsidRPr="00D04701" w:rsidRDefault="5E1D5BE4" w:rsidP="2EAF0AF0">
            <w:pPr>
              <w:pStyle w:val="TBLText"/>
              <w:rPr>
                <w:rFonts w:eastAsia="MS Mincho"/>
              </w:rPr>
            </w:pPr>
            <w:r w:rsidRPr="5C61D415">
              <w:rPr>
                <w:rFonts w:eastAsia="MS Mincho"/>
              </w:rPr>
              <w:t>No</w:t>
            </w:r>
          </w:p>
        </w:tc>
        <w:tc>
          <w:tcPr>
            <w:tcW w:w="970" w:type="pct"/>
            <w:shd w:val="clear" w:color="auto" w:fill="auto"/>
            <w:vAlign w:val="center"/>
          </w:tcPr>
          <w:p w14:paraId="6D8BF17A" w14:textId="7B06E898" w:rsidR="00DE6598" w:rsidRPr="006E170D" w:rsidRDefault="27754A29" w:rsidP="2EAF0AF0">
            <w:pPr>
              <w:pStyle w:val="TBLText"/>
              <w:rPr>
                <w:rFonts w:eastAsia="MS Mincho"/>
              </w:rPr>
            </w:pPr>
            <w:r w:rsidRPr="3EC45913">
              <w:rPr>
                <w:rFonts w:eastAsia="MS Mincho"/>
              </w:rPr>
              <w:t>$4.77 m</w:t>
            </w:r>
          </w:p>
        </w:tc>
      </w:tr>
      <w:tr w:rsidR="005078D9" w14:paraId="3E70EA3B" w14:textId="77777777" w:rsidTr="107ED88F">
        <w:trPr>
          <w:trHeight w:val="20"/>
        </w:trPr>
        <w:tc>
          <w:tcPr>
            <w:tcW w:w="1513" w:type="pct"/>
            <w:shd w:val="clear" w:color="auto" w:fill="auto"/>
            <w:vAlign w:val="center"/>
          </w:tcPr>
          <w:p w14:paraId="4F02C3BE" w14:textId="3B9CC8C9" w:rsidR="005078D9" w:rsidRPr="00EE1697" w:rsidRDefault="5E1D5BE4" w:rsidP="005078D9">
            <w:pPr>
              <w:pStyle w:val="TBLText"/>
            </w:pPr>
            <w:r>
              <w:t>Cyber Security Legislation: Amendments to the Security of Critical Infrastructure Act 2018</w:t>
            </w:r>
          </w:p>
        </w:tc>
        <w:tc>
          <w:tcPr>
            <w:tcW w:w="692" w:type="pct"/>
            <w:shd w:val="clear" w:color="auto" w:fill="auto"/>
            <w:vAlign w:val="center"/>
          </w:tcPr>
          <w:p w14:paraId="381C3E65" w14:textId="7D64223F" w:rsidR="005078D9" w:rsidRPr="002B0DDE" w:rsidRDefault="5E1D5BE4" w:rsidP="005078D9">
            <w:pPr>
              <w:pStyle w:val="TBLText"/>
              <w:rPr>
                <w:rFonts w:eastAsia="MS Mincho"/>
                <w:spacing w:val="-3"/>
              </w:rPr>
            </w:pPr>
            <w:r w:rsidRPr="5C61D415">
              <w:rPr>
                <w:rFonts w:eastAsia="MS Mincho"/>
              </w:rPr>
              <w:t>Compliant</w:t>
            </w:r>
          </w:p>
        </w:tc>
        <w:tc>
          <w:tcPr>
            <w:tcW w:w="853" w:type="pct"/>
            <w:shd w:val="clear" w:color="auto" w:fill="auto"/>
            <w:vAlign w:val="center"/>
          </w:tcPr>
          <w:p w14:paraId="2E927186" w14:textId="00F46837" w:rsidR="005078D9" w:rsidRDefault="5E1D5BE4" w:rsidP="005078D9">
            <w:pPr>
              <w:pStyle w:val="TBLText"/>
              <w:rPr>
                <w:rFonts w:eastAsia="MS Mincho"/>
                <w:spacing w:val="-3"/>
              </w:rPr>
            </w:pPr>
            <w:r w:rsidRPr="1D088B77">
              <w:rPr>
                <w:rFonts w:eastAsia="MS Mincho"/>
              </w:rPr>
              <w:t>Good Practice</w:t>
            </w:r>
          </w:p>
        </w:tc>
        <w:tc>
          <w:tcPr>
            <w:tcW w:w="971" w:type="pct"/>
            <w:shd w:val="clear" w:color="auto" w:fill="auto"/>
            <w:vAlign w:val="center"/>
          </w:tcPr>
          <w:p w14:paraId="4319EA6F" w14:textId="5620A1D2" w:rsidR="005078D9" w:rsidRPr="00D04701" w:rsidRDefault="5E1D5BE4" w:rsidP="005078D9">
            <w:pPr>
              <w:pStyle w:val="TBLText"/>
              <w:rPr>
                <w:rFonts w:eastAsia="MS Mincho"/>
                <w:spacing w:val="-3"/>
              </w:rPr>
            </w:pPr>
            <w:r w:rsidRPr="1D088B77">
              <w:rPr>
                <w:rFonts w:eastAsia="MS Mincho"/>
              </w:rPr>
              <w:t>No</w:t>
            </w:r>
          </w:p>
        </w:tc>
        <w:tc>
          <w:tcPr>
            <w:tcW w:w="970" w:type="pct"/>
            <w:shd w:val="clear" w:color="auto" w:fill="auto"/>
            <w:vAlign w:val="center"/>
          </w:tcPr>
          <w:p w14:paraId="54438C79" w14:textId="5D3B0DB9" w:rsidR="005078D9" w:rsidRDefault="05F59819" w:rsidP="005078D9">
            <w:pPr>
              <w:pStyle w:val="TBLText"/>
              <w:rPr>
                <w:rFonts w:eastAsia="MS Mincho"/>
                <w:spacing w:val="-3"/>
              </w:rPr>
            </w:pPr>
            <w:r w:rsidRPr="1B41C28C">
              <w:rPr>
                <w:rFonts w:eastAsia="MS Mincho"/>
              </w:rPr>
              <w:t>$0.1m - $16.7m depending on the frequency and cost of cyber incidents in that year</w:t>
            </w:r>
            <w:r w:rsidR="7A253075" w:rsidRPr="1B41C28C">
              <w:rPr>
                <w:rFonts w:eastAsia="MS Mincho"/>
                <w:vertAlign w:val="superscript"/>
              </w:rPr>
              <w:t>a</w:t>
            </w:r>
          </w:p>
        </w:tc>
      </w:tr>
      <w:tr w:rsidR="00DE6598" w14:paraId="12FF05DC" w14:textId="77777777" w:rsidTr="107ED88F">
        <w:trPr>
          <w:trHeight w:val="20"/>
        </w:trPr>
        <w:tc>
          <w:tcPr>
            <w:tcW w:w="1513" w:type="pct"/>
            <w:shd w:val="clear" w:color="auto" w:fill="DBE6F5" w:themeFill="text2" w:themeFillTint="1A"/>
            <w:vAlign w:val="center"/>
          </w:tcPr>
          <w:p w14:paraId="3D06C6E9" w14:textId="77777777" w:rsidR="00DE6598" w:rsidRPr="00363240" w:rsidRDefault="00DE6598" w:rsidP="00C47BA6">
            <w:pPr>
              <w:pStyle w:val="TBLText"/>
              <w:rPr>
                <w:b/>
              </w:rPr>
            </w:pPr>
            <w:r w:rsidRPr="00363240">
              <w:rPr>
                <w:b/>
              </w:rPr>
              <w:t>Total proposals</w:t>
            </w:r>
          </w:p>
        </w:tc>
        <w:tc>
          <w:tcPr>
            <w:tcW w:w="692" w:type="pct"/>
            <w:shd w:val="clear" w:color="auto" w:fill="DBE6F5" w:themeFill="text2" w:themeFillTint="1A"/>
            <w:vAlign w:val="center"/>
          </w:tcPr>
          <w:p w14:paraId="4809A885" w14:textId="50E8055E" w:rsidR="00DE6598" w:rsidRPr="00363240" w:rsidRDefault="008E4734" w:rsidP="2EAF0AF0">
            <w:pPr>
              <w:pStyle w:val="TBLText"/>
              <w:rPr>
                <w:b/>
                <w:bCs/>
              </w:rPr>
            </w:pPr>
            <w:r>
              <w:rPr>
                <w:b/>
                <w:bCs/>
              </w:rPr>
              <w:t>2</w:t>
            </w:r>
            <w:r w:rsidR="00DE6598" w:rsidRPr="2EAF0AF0">
              <w:rPr>
                <w:b/>
                <w:bCs/>
              </w:rPr>
              <w:t>/</w:t>
            </w:r>
            <w:r>
              <w:rPr>
                <w:b/>
                <w:bCs/>
              </w:rPr>
              <w:t>2</w:t>
            </w:r>
          </w:p>
        </w:tc>
        <w:tc>
          <w:tcPr>
            <w:tcW w:w="853" w:type="pct"/>
            <w:shd w:val="clear" w:color="auto" w:fill="DBE6F5" w:themeFill="text2" w:themeFillTint="1A"/>
            <w:vAlign w:val="center"/>
          </w:tcPr>
          <w:p w14:paraId="3592C1EC" w14:textId="77777777" w:rsidR="00DE6598" w:rsidRPr="00363240" w:rsidRDefault="00DE6598" w:rsidP="00C47BA6">
            <w:pPr>
              <w:pStyle w:val="TBLText"/>
              <w:rPr>
                <w:b/>
              </w:rPr>
            </w:pPr>
            <w:r w:rsidRPr="00363240">
              <w:rPr>
                <w:b/>
              </w:rPr>
              <w:t>-</w:t>
            </w:r>
          </w:p>
        </w:tc>
        <w:tc>
          <w:tcPr>
            <w:tcW w:w="971" w:type="pct"/>
            <w:shd w:val="clear" w:color="auto" w:fill="DBE6F5" w:themeFill="text2" w:themeFillTint="1A"/>
            <w:vAlign w:val="center"/>
          </w:tcPr>
          <w:p w14:paraId="5A2638C6" w14:textId="29576C60" w:rsidR="00DE6598" w:rsidRPr="00D04701" w:rsidRDefault="008E4734" w:rsidP="2EAF0AF0">
            <w:pPr>
              <w:pStyle w:val="TBLText"/>
              <w:rPr>
                <w:b/>
                <w:bCs/>
              </w:rPr>
            </w:pPr>
            <w:r>
              <w:rPr>
                <w:b/>
                <w:bCs/>
              </w:rPr>
              <w:t>0</w:t>
            </w:r>
            <w:r w:rsidR="005078D9" w:rsidRPr="2EAF0AF0">
              <w:rPr>
                <w:b/>
                <w:bCs/>
              </w:rPr>
              <w:t>/</w:t>
            </w:r>
            <w:r>
              <w:rPr>
                <w:b/>
                <w:bCs/>
              </w:rPr>
              <w:t>2</w:t>
            </w:r>
          </w:p>
        </w:tc>
        <w:tc>
          <w:tcPr>
            <w:tcW w:w="970" w:type="pct"/>
            <w:shd w:val="clear" w:color="auto" w:fill="DBE6F5" w:themeFill="text2" w:themeFillTint="1A"/>
            <w:vAlign w:val="center"/>
          </w:tcPr>
          <w:p w14:paraId="075CED0F" w14:textId="4C346769" w:rsidR="00DE6598" w:rsidRPr="00BB1BEE" w:rsidRDefault="005078D9" w:rsidP="2EAF0AF0">
            <w:pPr>
              <w:pStyle w:val="TBLText"/>
              <w:rPr>
                <w:rFonts w:eastAsia="MS Mincho"/>
                <w:b/>
                <w:bCs/>
              </w:rPr>
            </w:pPr>
            <w:r w:rsidRPr="2EAF0AF0">
              <w:rPr>
                <w:rFonts w:eastAsia="MS Mincho"/>
                <w:b/>
                <w:bCs/>
                <w:spacing w:val="-3"/>
              </w:rPr>
              <w:t>$</w:t>
            </w:r>
            <w:r w:rsidR="008E4734">
              <w:rPr>
                <w:rFonts w:eastAsia="MS Mincho"/>
                <w:b/>
                <w:bCs/>
                <w:spacing w:val="-3"/>
              </w:rPr>
              <w:t>4.77</w:t>
            </w:r>
            <w:r w:rsidR="0351887C" w:rsidRPr="2EAF0AF0">
              <w:rPr>
                <w:rFonts w:eastAsia="MS Mincho"/>
                <w:b/>
                <w:bCs/>
                <w:spacing w:val="-3"/>
              </w:rPr>
              <w:t>m</w:t>
            </w:r>
          </w:p>
        </w:tc>
      </w:tr>
    </w:tbl>
    <w:p w14:paraId="100867F9" w14:textId="663D4D09" w:rsidR="004A17D7" w:rsidRPr="004A17D7" w:rsidRDefault="33267B5B" w:rsidP="6AE9EB2D">
      <w:pPr>
        <w:pStyle w:val="TBLFootnote"/>
      </w:pPr>
      <w:proofErr w:type="spellStart"/>
      <w:proofErr w:type="gramStart"/>
      <w:r>
        <w:t>a</w:t>
      </w:r>
      <w:proofErr w:type="spellEnd"/>
      <w:proofErr w:type="gramEnd"/>
      <w:r w:rsidR="4886A61E">
        <w:t xml:space="preserve"> </w:t>
      </w:r>
      <w:r w:rsidR="3FD2570F">
        <w:t>The regulatory burden estimates</w:t>
      </w:r>
      <w:r w:rsidR="66FAB0E6">
        <w:t xml:space="preserve"> are </w:t>
      </w:r>
      <w:r w:rsidR="3FD2570F">
        <w:t xml:space="preserve">presented as a range. As such, regulatory burden from this </w:t>
      </w:r>
      <w:r w:rsidR="053B9981">
        <w:t xml:space="preserve">proposal </w:t>
      </w:r>
      <w:r w:rsidR="3FD2570F">
        <w:t>is not included in the ‘Estimated annual impact on Regulatory Burden’ in Figure 1 or in the ‘Total proposals’ regulatory burden for this figure.</w:t>
      </w:r>
      <w:bookmarkStart w:id="13" w:name="_Toc155876556"/>
    </w:p>
    <w:p w14:paraId="5C907F3E" w14:textId="465FCCC6" w:rsidR="00DE6598" w:rsidRPr="00CE7B06" w:rsidRDefault="00DE6598" w:rsidP="00DE6598">
      <w:pPr>
        <w:pStyle w:val="Heading2"/>
      </w:pPr>
      <w:bookmarkStart w:id="14" w:name="_Toc181213876"/>
      <w:r>
        <w:t>Department of Infrastructure, Transport, Regional Development, Communications and the Arts</w:t>
      </w:r>
      <w:bookmarkEnd w:id="13"/>
      <w:bookmarkEnd w:id="14"/>
    </w:p>
    <w:p w14:paraId="2E6E61D0" w14:textId="3FF14391" w:rsidR="00DE6598" w:rsidRPr="00774646"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7</w:t>
      </w:r>
      <w:r w:rsidR="00574AC5">
        <w:rPr>
          <w:noProof/>
        </w:rPr>
        <w:fldChar w:fldCharType="end"/>
      </w:r>
      <w:r>
        <w:t xml:space="preserve">. </w:t>
      </w:r>
      <w:r w:rsidRPr="00952AF4">
        <w:t>Compliance summary: Department of Infrastructure, Transport, Regional Development, Communication and the Arts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Department of Infrastructure, Transport, Regional Development, Communication and the Arts"/>
        <w:tblDescription w:val="Compliance summary: Department of Infrastructure, Transport, Regional Development, Communication and the Arts"/>
      </w:tblPr>
      <w:tblGrid>
        <w:gridCol w:w="3017"/>
        <w:gridCol w:w="1380"/>
        <w:gridCol w:w="1701"/>
        <w:gridCol w:w="1936"/>
        <w:gridCol w:w="1934"/>
      </w:tblGrid>
      <w:tr w:rsidR="00DE6598" w14:paraId="358186DA" w14:textId="77777777" w:rsidTr="107ED88F">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5BAB3ECE" w14:textId="77777777" w:rsidR="00DE6598" w:rsidRPr="006E170D" w:rsidRDefault="00DE6598" w:rsidP="00C47BA6">
            <w:pPr>
              <w:pStyle w:val="TBLHeading"/>
            </w:pPr>
            <w:r>
              <w:t>Proposal</w:t>
            </w:r>
          </w:p>
        </w:tc>
        <w:tc>
          <w:tcPr>
            <w:tcW w:w="692" w:type="pct"/>
            <w:tcBorders>
              <w:top w:val="none" w:sz="0" w:space="0" w:color="auto"/>
              <w:bottom w:val="none" w:sz="0" w:space="0" w:color="auto"/>
            </w:tcBorders>
            <w:vAlign w:val="center"/>
          </w:tcPr>
          <w:p w14:paraId="5395414C" w14:textId="77777777" w:rsidR="00DE6598" w:rsidRPr="006E170D" w:rsidRDefault="00DE6598" w:rsidP="00C47BA6">
            <w:pPr>
              <w:pStyle w:val="TBLHeading"/>
            </w:pPr>
            <w:r>
              <w:t>IA Compliance</w:t>
            </w:r>
          </w:p>
        </w:tc>
        <w:tc>
          <w:tcPr>
            <w:tcW w:w="853" w:type="pct"/>
            <w:tcBorders>
              <w:top w:val="none" w:sz="0" w:space="0" w:color="auto"/>
              <w:bottom w:val="none" w:sz="0" w:space="0" w:color="auto"/>
            </w:tcBorders>
            <w:vAlign w:val="center"/>
          </w:tcPr>
          <w:p w14:paraId="1FF6DFFF" w14:textId="77777777" w:rsidR="00DE6598" w:rsidRPr="006E170D" w:rsidRDefault="00DE6598" w:rsidP="00C47BA6">
            <w:pPr>
              <w:pStyle w:val="TBLHeading"/>
            </w:pPr>
            <w:r>
              <w:t>Rating</w:t>
            </w:r>
          </w:p>
        </w:tc>
        <w:tc>
          <w:tcPr>
            <w:tcW w:w="971" w:type="pct"/>
            <w:tcBorders>
              <w:top w:val="none" w:sz="0" w:space="0" w:color="auto"/>
              <w:bottom w:val="none" w:sz="0" w:space="0" w:color="auto"/>
            </w:tcBorders>
            <w:vAlign w:val="center"/>
          </w:tcPr>
          <w:p w14:paraId="5CFBF5E1" w14:textId="77777777" w:rsidR="00DE6598" w:rsidRPr="006E170D" w:rsidRDefault="00DE6598" w:rsidP="00C47BA6">
            <w:pPr>
              <w:pStyle w:val="TBLHeading"/>
            </w:pPr>
            <w:r>
              <w:t>PIR Required</w:t>
            </w:r>
          </w:p>
        </w:tc>
        <w:tc>
          <w:tcPr>
            <w:tcW w:w="970" w:type="pct"/>
            <w:tcBorders>
              <w:top w:val="none" w:sz="0" w:space="0" w:color="auto"/>
              <w:bottom w:val="none" w:sz="0" w:space="0" w:color="auto"/>
              <w:right w:val="none" w:sz="0" w:space="0" w:color="auto"/>
            </w:tcBorders>
            <w:vAlign w:val="center"/>
          </w:tcPr>
          <w:p w14:paraId="49149413" w14:textId="5163EE5A" w:rsidR="00DE6598" w:rsidRPr="006E170D" w:rsidRDefault="68AFA6E3" w:rsidP="00C47BA6">
            <w:pPr>
              <w:pStyle w:val="TBLHeading"/>
            </w:pPr>
            <w:r>
              <w:t xml:space="preserve">Annual </w:t>
            </w:r>
            <w:r w:rsidR="00DE6598">
              <w:t>Regulatory Burden ($m)</w:t>
            </w:r>
          </w:p>
        </w:tc>
      </w:tr>
      <w:tr w:rsidR="00DE6598" w14:paraId="0D156216" w14:textId="77777777" w:rsidTr="107ED88F">
        <w:trPr>
          <w:trHeight w:val="20"/>
        </w:trPr>
        <w:tc>
          <w:tcPr>
            <w:tcW w:w="1513" w:type="pct"/>
            <w:shd w:val="clear" w:color="auto" w:fill="auto"/>
            <w:vAlign w:val="center"/>
          </w:tcPr>
          <w:p w14:paraId="451F2CE4" w14:textId="069860AD" w:rsidR="00DE6598" w:rsidRPr="002C6070" w:rsidRDefault="33D037D9" w:rsidP="00C47BA6">
            <w:pPr>
              <w:pStyle w:val="TBLText"/>
            </w:pPr>
            <w:r>
              <w:t>Online Misinformation and Disinformation Reform</w:t>
            </w:r>
          </w:p>
        </w:tc>
        <w:tc>
          <w:tcPr>
            <w:tcW w:w="692" w:type="pct"/>
            <w:shd w:val="clear" w:color="auto" w:fill="auto"/>
            <w:vAlign w:val="center"/>
          </w:tcPr>
          <w:p w14:paraId="5809FC8C" w14:textId="39618C25" w:rsidR="00DE6598" w:rsidRPr="002B0DDE" w:rsidRDefault="33D037D9" w:rsidP="00C47BA6">
            <w:pPr>
              <w:pStyle w:val="TBLText"/>
              <w:rPr>
                <w:rFonts w:eastAsia="MS Mincho"/>
                <w:spacing w:val="-3"/>
              </w:rPr>
            </w:pPr>
            <w:r w:rsidRPr="76284064">
              <w:rPr>
                <w:rFonts w:eastAsia="MS Mincho"/>
              </w:rPr>
              <w:t>Compliant</w:t>
            </w:r>
          </w:p>
        </w:tc>
        <w:tc>
          <w:tcPr>
            <w:tcW w:w="853" w:type="pct"/>
            <w:shd w:val="clear" w:color="auto" w:fill="auto"/>
            <w:vAlign w:val="center"/>
          </w:tcPr>
          <w:p w14:paraId="122A58E9" w14:textId="640D55EA" w:rsidR="00DE6598" w:rsidRDefault="33D037D9" w:rsidP="00C47BA6">
            <w:pPr>
              <w:pStyle w:val="TBLText"/>
              <w:rPr>
                <w:rFonts w:eastAsia="MS Mincho"/>
                <w:spacing w:val="-3"/>
              </w:rPr>
            </w:pPr>
            <w:r w:rsidRPr="1B41C28C">
              <w:rPr>
                <w:rFonts w:eastAsia="MS Mincho"/>
              </w:rPr>
              <w:t>Exempl</w:t>
            </w:r>
            <w:r w:rsidR="0BEEACBD" w:rsidRPr="1B41C28C">
              <w:rPr>
                <w:rFonts w:eastAsia="MS Mincho"/>
              </w:rPr>
              <w:t>a</w:t>
            </w:r>
            <w:r w:rsidRPr="1B41C28C">
              <w:rPr>
                <w:rFonts w:eastAsia="MS Mincho"/>
              </w:rPr>
              <w:t>ry</w:t>
            </w:r>
          </w:p>
        </w:tc>
        <w:tc>
          <w:tcPr>
            <w:tcW w:w="971" w:type="pct"/>
            <w:shd w:val="clear" w:color="auto" w:fill="auto"/>
            <w:vAlign w:val="center"/>
          </w:tcPr>
          <w:p w14:paraId="7DA19225" w14:textId="5C3A9833" w:rsidR="00DE6598" w:rsidRPr="006D708A" w:rsidRDefault="33D037D9" w:rsidP="00C47BA6">
            <w:pPr>
              <w:pStyle w:val="TBLText"/>
              <w:rPr>
                <w:rFonts w:eastAsia="MS Mincho"/>
                <w:spacing w:val="-3"/>
              </w:rPr>
            </w:pPr>
            <w:r w:rsidRPr="76284064">
              <w:rPr>
                <w:rFonts w:eastAsia="MS Mincho"/>
              </w:rPr>
              <w:t>No</w:t>
            </w:r>
          </w:p>
        </w:tc>
        <w:tc>
          <w:tcPr>
            <w:tcW w:w="970" w:type="pct"/>
            <w:shd w:val="clear" w:color="auto" w:fill="auto"/>
            <w:vAlign w:val="center"/>
          </w:tcPr>
          <w:p w14:paraId="3A709BCA" w14:textId="1C9E59CD" w:rsidR="00DE6598" w:rsidRDefault="33D037D9" w:rsidP="00C47BA6">
            <w:pPr>
              <w:pStyle w:val="TBLText"/>
              <w:rPr>
                <w:rFonts w:eastAsia="MS Mincho"/>
                <w:spacing w:val="-3"/>
              </w:rPr>
            </w:pPr>
            <w:r w:rsidRPr="76284064">
              <w:rPr>
                <w:rFonts w:eastAsia="MS Mincho"/>
              </w:rPr>
              <w:t>$16.3m</w:t>
            </w:r>
          </w:p>
        </w:tc>
      </w:tr>
      <w:tr w:rsidR="00DE6598" w14:paraId="6068EE78" w14:textId="77777777" w:rsidTr="107ED88F">
        <w:trPr>
          <w:trHeight w:val="20"/>
        </w:trPr>
        <w:tc>
          <w:tcPr>
            <w:tcW w:w="1513" w:type="pct"/>
            <w:shd w:val="clear" w:color="auto" w:fill="E0E8F2" w:themeFill="background2"/>
            <w:vAlign w:val="center"/>
          </w:tcPr>
          <w:p w14:paraId="47A088C3" w14:textId="77777777" w:rsidR="00DE6598" w:rsidRPr="00363240" w:rsidRDefault="00DE6598" w:rsidP="00C47BA6">
            <w:pPr>
              <w:pStyle w:val="TBLText"/>
              <w:rPr>
                <w:b/>
              </w:rPr>
            </w:pPr>
            <w:r w:rsidRPr="00363240">
              <w:rPr>
                <w:b/>
              </w:rPr>
              <w:t>Total proposals</w:t>
            </w:r>
          </w:p>
        </w:tc>
        <w:tc>
          <w:tcPr>
            <w:tcW w:w="692" w:type="pct"/>
            <w:shd w:val="clear" w:color="auto" w:fill="E0E8F2" w:themeFill="background2"/>
            <w:vAlign w:val="center"/>
          </w:tcPr>
          <w:p w14:paraId="74AB6B04" w14:textId="367B6DD2" w:rsidR="00DE6598" w:rsidRPr="00363240" w:rsidRDefault="008E4734" w:rsidP="2D4DAEBD">
            <w:pPr>
              <w:pStyle w:val="TBLText"/>
              <w:rPr>
                <w:b/>
                <w:bCs/>
              </w:rPr>
            </w:pPr>
            <w:r>
              <w:rPr>
                <w:b/>
                <w:bCs/>
              </w:rPr>
              <w:t>1</w:t>
            </w:r>
            <w:r w:rsidR="00DE6598" w:rsidRPr="2D4DAEBD">
              <w:rPr>
                <w:b/>
                <w:bCs/>
              </w:rPr>
              <w:t>/</w:t>
            </w:r>
            <w:r>
              <w:rPr>
                <w:b/>
                <w:bCs/>
              </w:rPr>
              <w:t>1</w:t>
            </w:r>
          </w:p>
        </w:tc>
        <w:tc>
          <w:tcPr>
            <w:tcW w:w="853" w:type="pct"/>
            <w:shd w:val="clear" w:color="auto" w:fill="E0E8F2" w:themeFill="background2"/>
            <w:vAlign w:val="center"/>
          </w:tcPr>
          <w:p w14:paraId="6F3571E9" w14:textId="77777777" w:rsidR="00DE6598" w:rsidRPr="00363240" w:rsidRDefault="00DE6598" w:rsidP="00C47BA6">
            <w:pPr>
              <w:pStyle w:val="TBLText"/>
              <w:rPr>
                <w:b/>
              </w:rPr>
            </w:pPr>
            <w:r w:rsidRPr="00363240">
              <w:rPr>
                <w:b/>
              </w:rPr>
              <w:t>-</w:t>
            </w:r>
          </w:p>
        </w:tc>
        <w:tc>
          <w:tcPr>
            <w:tcW w:w="971" w:type="pct"/>
            <w:shd w:val="clear" w:color="auto" w:fill="E0E8F2" w:themeFill="background2"/>
            <w:vAlign w:val="center"/>
          </w:tcPr>
          <w:p w14:paraId="705FE26A" w14:textId="5BF0A8A0" w:rsidR="00DE6598" w:rsidRPr="006D708A" w:rsidRDefault="008E4734" w:rsidP="2D4DAEBD">
            <w:pPr>
              <w:pStyle w:val="TBLText"/>
              <w:rPr>
                <w:b/>
                <w:bCs/>
              </w:rPr>
            </w:pPr>
            <w:r>
              <w:rPr>
                <w:b/>
                <w:bCs/>
              </w:rPr>
              <w:t>0</w:t>
            </w:r>
            <w:r w:rsidR="00DE6598" w:rsidRPr="2D4DAEBD">
              <w:rPr>
                <w:b/>
                <w:bCs/>
              </w:rPr>
              <w:t>/</w:t>
            </w:r>
            <w:r>
              <w:rPr>
                <w:b/>
                <w:bCs/>
              </w:rPr>
              <w:t>1</w:t>
            </w:r>
          </w:p>
        </w:tc>
        <w:tc>
          <w:tcPr>
            <w:tcW w:w="970" w:type="pct"/>
            <w:shd w:val="clear" w:color="auto" w:fill="E0E8F2" w:themeFill="background2"/>
            <w:vAlign w:val="center"/>
          </w:tcPr>
          <w:p w14:paraId="297DF691" w14:textId="0C0CB697" w:rsidR="00DE6598" w:rsidRPr="000C118B" w:rsidRDefault="008E4734" w:rsidP="2D4DAEBD">
            <w:pPr>
              <w:pStyle w:val="TBLText"/>
              <w:rPr>
                <w:b/>
                <w:bCs/>
              </w:rPr>
            </w:pPr>
            <w:r>
              <w:rPr>
                <w:b/>
                <w:bCs/>
              </w:rPr>
              <w:t>$16.3m</w:t>
            </w:r>
          </w:p>
        </w:tc>
      </w:tr>
    </w:tbl>
    <w:p w14:paraId="44E8146B" w14:textId="1EA03AD3" w:rsidR="00DE6598" w:rsidRPr="00CE7B06" w:rsidRDefault="00DE6598" w:rsidP="00DE6598">
      <w:pPr>
        <w:pStyle w:val="Heading2"/>
      </w:pPr>
      <w:bookmarkStart w:id="15" w:name="_Toc155876557"/>
      <w:bookmarkStart w:id="16" w:name="_Toc181213877"/>
      <w:r>
        <w:t>Department of the Treasury</w:t>
      </w:r>
      <w:bookmarkEnd w:id="15"/>
      <w:bookmarkEnd w:id="16"/>
    </w:p>
    <w:p w14:paraId="16642D3B" w14:textId="79D1A350" w:rsidR="00DE6598" w:rsidRPr="00774646"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8</w:t>
      </w:r>
      <w:r w:rsidR="00574AC5">
        <w:rPr>
          <w:noProof/>
        </w:rPr>
        <w:fldChar w:fldCharType="end"/>
      </w:r>
      <w:r>
        <w:t xml:space="preserve">. </w:t>
      </w:r>
      <w:r w:rsidRPr="00813C1F">
        <w:t>Compliance summary: Department of the Treasury</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Department of the Treasury"/>
        <w:tblDescription w:val="Compliance summary: Department of the Treasury"/>
      </w:tblPr>
      <w:tblGrid>
        <w:gridCol w:w="3017"/>
        <w:gridCol w:w="1380"/>
        <w:gridCol w:w="1701"/>
        <w:gridCol w:w="1936"/>
        <w:gridCol w:w="1934"/>
      </w:tblGrid>
      <w:tr w:rsidR="00DE6598" w14:paraId="33A9FD75" w14:textId="77777777" w:rsidTr="46794B09">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1C27FA8A" w14:textId="77777777" w:rsidR="00DE6598" w:rsidRPr="006E170D" w:rsidRDefault="00DE6598" w:rsidP="00C47BA6">
            <w:pPr>
              <w:pStyle w:val="TBLHeading"/>
            </w:pPr>
            <w:r>
              <w:t>Proposal</w:t>
            </w:r>
          </w:p>
        </w:tc>
        <w:tc>
          <w:tcPr>
            <w:tcW w:w="692" w:type="pct"/>
            <w:tcBorders>
              <w:top w:val="none" w:sz="0" w:space="0" w:color="auto"/>
              <w:bottom w:val="none" w:sz="0" w:space="0" w:color="auto"/>
            </w:tcBorders>
            <w:vAlign w:val="center"/>
          </w:tcPr>
          <w:p w14:paraId="44C34C43" w14:textId="77777777" w:rsidR="00DE6598" w:rsidRPr="006E170D" w:rsidRDefault="00DE6598" w:rsidP="00C47BA6">
            <w:pPr>
              <w:pStyle w:val="TBLHeading"/>
            </w:pPr>
            <w:r>
              <w:t>IA Compliance</w:t>
            </w:r>
          </w:p>
        </w:tc>
        <w:tc>
          <w:tcPr>
            <w:tcW w:w="853" w:type="pct"/>
            <w:tcBorders>
              <w:top w:val="none" w:sz="0" w:space="0" w:color="auto"/>
              <w:bottom w:val="none" w:sz="0" w:space="0" w:color="auto"/>
            </w:tcBorders>
            <w:vAlign w:val="center"/>
          </w:tcPr>
          <w:p w14:paraId="13516ECC" w14:textId="77777777" w:rsidR="00DE6598" w:rsidRPr="006E170D" w:rsidRDefault="00DE6598" w:rsidP="00C47BA6">
            <w:pPr>
              <w:pStyle w:val="TBLHeading"/>
            </w:pPr>
            <w:r>
              <w:t>Rating</w:t>
            </w:r>
          </w:p>
        </w:tc>
        <w:tc>
          <w:tcPr>
            <w:tcW w:w="971" w:type="pct"/>
            <w:tcBorders>
              <w:top w:val="none" w:sz="0" w:space="0" w:color="auto"/>
              <w:bottom w:val="none" w:sz="0" w:space="0" w:color="auto"/>
            </w:tcBorders>
            <w:vAlign w:val="center"/>
          </w:tcPr>
          <w:p w14:paraId="36145463" w14:textId="77777777" w:rsidR="00DE6598" w:rsidRPr="006E170D" w:rsidRDefault="00DE6598" w:rsidP="00C47BA6">
            <w:pPr>
              <w:pStyle w:val="TBLHeading"/>
            </w:pPr>
            <w:r>
              <w:t>PIR Required</w:t>
            </w:r>
          </w:p>
        </w:tc>
        <w:tc>
          <w:tcPr>
            <w:tcW w:w="970" w:type="pct"/>
            <w:tcBorders>
              <w:top w:val="none" w:sz="0" w:space="0" w:color="auto"/>
              <w:bottom w:val="none" w:sz="0" w:space="0" w:color="auto"/>
              <w:right w:val="none" w:sz="0" w:space="0" w:color="auto"/>
            </w:tcBorders>
            <w:vAlign w:val="center"/>
          </w:tcPr>
          <w:p w14:paraId="44F6305B" w14:textId="34D63586" w:rsidR="00DE6598" w:rsidRPr="006E170D" w:rsidRDefault="5819330E" w:rsidP="00C47BA6">
            <w:pPr>
              <w:pStyle w:val="TBLHeading"/>
            </w:pPr>
            <w:r>
              <w:t xml:space="preserve">Annual </w:t>
            </w:r>
            <w:r w:rsidR="00DE6598">
              <w:t>Regulatory Burden ($m)</w:t>
            </w:r>
          </w:p>
        </w:tc>
      </w:tr>
      <w:tr w:rsidR="00DE6598" w14:paraId="644DECD7" w14:textId="77777777" w:rsidTr="46794B09">
        <w:trPr>
          <w:trHeight w:val="20"/>
        </w:trPr>
        <w:tc>
          <w:tcPr>
            <w:tcW w:w="1513" w:type="pct"/>
            <w:shd w:val="clear" w:color="auto" w:fill="auto"/>
            <w:vAlign w:val="center"/>
          </w:tcPr>
          <w:p w14:paraId="1B6D48A6" w14:textId="4D5A6C96" w:rsidR="00DE6598" w:rsidRPr="006E170D" w:rsidRDefault="004A17D7" w:rsidP="00C47BA6">
            <w:pPr>
              <w:pStyle w:val="TBLText"/>
            </w:pPr>
            <w:r w:rsidRPr="004A17D7">
              <w:t>Supporting social and affordable housing under the Housing Australia Future Fund and the National Housing Accord</w:t>
            </w:r>
          </w:p>
        </w:tc>
        <w:tc>
          <w:tcPr>
            <w:tcW w:w="692" w:type="pct"/>
            <w:shd w:val="clear" w:color="auto" w:fill="auto"/>
            <w:vAlign w:val="center"/>
          </w:tcPr>
          <w:p w14:paraId="4A88C54C" w14:textId="74029B61" w:rsidR="00DE6598" w:rsidRPr="006E170D" w:rsidRDefault="004A17D7" w:rsidP="3127B391">
            <w:pPr>
              <w:pStyle w:val="TBLText"/>
              <w:rPr>
                <w:rFonts w:eastAsia="MS Mincho"/>
              </w:rPr>
            </w:pPr>
            <w:r>
              <w:rPr>
                <w:rFonts w:eastAsia="MS Mincho"/>
              </w:rPr>
              <w:t>Compliant</w:t>
            </w:r>
          </w:p>
        </w:tc>
        <w:tc>
          <w:tcPr>
            <w:tcW w:w="853" w:type="pct"/>
            <w:shd w:val="clear" w:color="auto" w:fill="auto"/>
            <w:vAlign w:val="center"/>
          </w:tcPr>
          <w:p w14:paraId="7C05C8E6" w14:textId="3D9AC5CE" w:rsidR="00DE6598" w:rsidRPr="006E170D" w:rsidRDefault="004A17D7" w:rsidP="3127B391">
            <w:pPr>
              <w:pStyle w:val="TBLText"/>
              <w:rPr>
                <w:rFonts w:eastAsia="MS Mincho"/>
              </w:rPr>
            </w:pPr>
            <w:r>
              <w:rPr>
                <w:rFonts w:eastAsia="MS Mincho"/>
              </w:rPr>
              <w:t>Adequate</w:t>
            </w:r>
          </w:p>
        </w:tc>
        <w:tc>
          <w:tcPr>
            <w:tcW w:w="971" w:type="pct"/>
            <w:shd w:val="clear" w:color="auto" w:fill="auto"/>
            <w:vAlign w:val="center"/>
          </w:tcPr>
          <w:p w14:paraId="04F92D06" w14:textId="11896ABF" w:rsidR="00DE6598" w:rsidRPr="00D501A2" w:rsidRDefault="004A17D7" w:rsidP="3127B391">
            <w:pPr>
              <w:pStyle w:val="TBLText"/>
              <w:rPr>
                <w:rFonts w:eastAsia="MS Mincho"/>
              </w:rPr>
            </w:pPr>
            <w:r>
              <w:rPr>
                <w:rFonts w:eastAsia="MS Mincho"/>
              </w:rPr>
              <w:t>No</w:t>
            </w:r>
          </w:p>
        </w:tc>
        <w:tc>
          <w:tcPr>
            <w:tcW w:w="970" w:type="pct"/>
            <w:shd w:val="clear" w:color="auto" w:fill="auto"/>
            <w:vAlign w:val="center"/>
          </w:tcPr>
          <w:p w14:paraId="6640F041" w14:textId="1871C0B9" w:rsidR="00DE6598" w:rsidRPr="006E170D" w:rsidRDefault="004A17D7" w:rsidP="3127B391">
            <w:pPr>
              <w:pStyle w:val="TBLText"/>
              <w:rPr>
                <w:rFonts w:eastAsia="MS Mincho"/>
              </w:rPr>
            </w:pPr>
            <w:r>
              <w:rPr>
                <w:rFonts w:eastAsia="MS Mincho"/>
              </w:rPr>
              <w:t>$1.5m</w:t>
            </w:r>
          </w:p>
        </w:tc>
      </w:tr>
      <w:tr w:rsidR="00DE6598" w14:paraId="22304FA6" w14:textId="77777777" w:rsidTr="46794B09">
        <w:trPr>
          <w:trHeight w:val="20"/>
        </w:trPr>
        <w:tc>
          <w:tcPr>
            <w:tcW w:w="1513" w:type="pct"/>
            <w:shd w:val="clear" w:color="auto" w:fill="FFFFFF" w:themeFill="background1"/>
            <w:vAlign w:val="center"/>
          </w:tcPr>
          <w:p w14:paraId="1C83DE48" w14:textId="3D3E787B" w:rsidR="00DE6598" w:rsidRPr="0088267D" w:rsidRDefault="7DF82822" w:rsidP="00C47BA6">
            <w:pPr>
              <w:pStyle w:val="TBLText"/>
            </w:pPr>
            <w:r>
              <w:t>Use of genetic testing information by life insurers</w:t>
            </w:r>
          </w:p>
        </w:tc>
        <w:tc>
          <w:tcPr>
            <w:tcW w:w="692" w:type="pct"/>
            <w:shd w:val="clear" w:color="auto" w:fill="FFFFFF" w:themeFill="background1"/>
            <w:vAlign w:val="center"/>
          </w:tcPr>
          <w:p w14:paraId="09F33266" w14:textId="15160882" w:rsidR="00DE6598" w:rsidRPr="002B0DDE" w:rsidRDefault="7DF82822" w:rsidP="00C47BA6">
            <w:pPr>
              <w:pStyle w:val="TBLText"/>
              <w:rPr>
                <w:rFonts w:eastAsia="MS Mincho"/>
                <w:spacing w:val="-3"/>
              </w:rPr>
            </w:pPr>
            <w:r w:rsidRPr="6D08485B">
              <w:rPr>
                <w:rFonts w:eastAsia="MS Mincho"/>
              </w:rPr>
              <w:t>Compliant</w:t>
            </w:r>
          </w:p>
        </w:tc>
        <w:tc>
          <w:tcPr>
            <w:tcW w:w="853" w:type="pct"/>
            <w:shd w:val="clear" w:color="auto" w:fill="FFFFFF" w:themeFill="background1"/>
            <w:vAlign w:val="center"/>
          </w:tcPr>
          <w:p w14:paraId="51E1160C" w14:textId="15C5AFFD" w:rsidR="00DE6598" w:rsidRPr="002B0DDE" w:rsidRDefault="7DF82822" w:rsidP="00C47BA6">
            <w:pPr>
              <w:pStyle w:val="TBLText"/>
              <w:rPr>
                <w:rFonts w:eastAsia="MS Mincho"/>
                <w:spacing w:val="-3"/>
              </w:rPr>
            </w:pPr>
            <w:r w:rsidRPr="6D08485B">
              <w:rPr>
                <w:rFonts w:eastAsia="MS Mincho"/>
              </w:rPr>
              <w:t>Good Practice</w:t>
            </w:r>
          </w:p>
        </w:tc>
        <w:tc>
          <w:tcPr>
            <w:tcW w:w="971" w:type="pct"/>
            <w:shd w:val="clear" w:color="auto" w:fill="FFFFFF" w:themeFill="background1"/>
            <w:vAlign w:val="center"/>
          </w:tcPr>
          <w:p w14:paraId="43179D88" w14:textId="76B9AB40" w:rsidR="00DE6598" w:rsidRPr="00D501A2" w:rsidRDefault="7DF82822" w:rsidP="00C47BA6">
            <w:pPr>
              <w:pStyle w:val="TBLText"/>
              <w:rPr>
                <w:rFonts w:eastAsia="MS Mincho"/>
                <w:spacing w:val="-3"/>
              </w:rPr>
            </w:pPr>
            <w:r w:rsidRPr="6D08485B">
              <w:rPr>
                <w:rFonts w:eastAsia="MS Mincho"/>
              </w:rPr>
              <w:t>No</w:t>
            </w:r>
          </w:p>
        </w:tc>
        <w:tc>
          <w:tcPr>
            <w:tcW w:w="970" w:type="pct"/>
            <w:shd w:val="clear" w:color="auto" w:fill="FFFFFF" w:themeFill="background1"/>
            <w:vAlign w:val="center"/>
          </w:tcPr>
          <w:p w14:paraId="7C0335B5" w14:textId="22A4942F" w:rsidR="00DE6598" w:rsidRDefault="7DF82822" w:rsidP="00C47BA6">
            <w:pPr>
              <w:pStyle w:val="TBLText"/>
              <w:rPr>
                <w:rFonts w:eastAsia="MS Mincho"/>
                <w:spacing w:val="-3"/>
              </w:rPr>
            </w:pPr>
            <w:r w:rsidRPr="53329AC5">
              <w:rPr>
                <w:rFonts w:eastAsia="MS Mincho"/>
              </w:rPr>
              <w:t>$9k ($0.009m)</w:t>
            </w:r>
          </w:p>
        </w:tc>
      </w:tr>
      <w:tr w:rsidR="00DE6598" w14:paraId="5CE32C7E" w14:textId="77777777" w:rsidTr="46794B09">
        <w:trPr>
          <w:trHeight w:val="20"/>
        </w:trPr>
        <w:tc>
          <w:tcPr>
            <w:tcW w:w="1513" w:type="pct"/>
            <w:shd w:val="clear" w:color="auto" w:fill="FFFFFF" w:themeFill="background1"/>
            <w:vAlign w:val="center"/>
          </w:tcPr>
          <w:p w14:paraId="326C668D" w14:textId="77CD4A6E" w:rsidR="00DE6598" w:rsidRPr="00897BE9" w:rsidRDefault="7DF27CD1" w:rsidP="00C47BA6">
            <w:pPr>
              <w:pStyle w:val="TBLText"/>
            </w:pPr>
            <w:r>
              <w:t>Ban on advertising of superannuation funds during onboarding</w:t>
            </w:r>
          </w:p>
        </w:tc>
        <w:tc>
          <w:tcPr>
            <w:tcW w:w="692" w:type="pct"/>
            <w:shd w:val="clear" w:color="auto" w:fill="FFFFFF" w:themeFill="background1"/>
            <w:vAlign w:val="center"/>
          </w:tcPr>
          <w:p w14:paraId="03A7017F" w14:textId="76AB465F" w:rsidR="00DE6598" w:rsidRPr="002B0DDE" w:rsidRDefault="7DF27CD1" w:rsidP="00C47BA6">
            <w:pPr>
              <w:pStyle w:val="TBLText"/>
              <w:rPr>
                <w:rFonts w:eastAsia="MS Mincho"/>
                <w:spacing w:val="-3"/>
              </w:rPr>
            </w:pPr>
            <w:r w:rsidRPr="4463BEDF">
              <w:rPr>
                <w:rFonts w:eastAsia="MS Mincho"/>
              </w:rPr>
              <w:t>Compliant</w:t>
            </w:r>
          </w:p>
        </w:tc>
        <w:tc>
          <w:tcPr>
            <w:tcW w:w="853" w:type="pct"/>
            <w:shd w:val="clear" w:color="auto" w:fill="FFFFFF" w:themeFill="background1"/>
            <w:vAlign w:val="center"/>
          </w:tcPr>
          <w:p w14:paraId="38F1298C" w14:textId="1B2B3E7E" w:rsidR="00DE6598" w:rsidRDefault="7DF27CD1" w:rsidP="00C47BA6">
            <w:pPr>
              <w:pStyle w:val="TBLText"/>
              <w:rPr>
                <w:rFonts w:eastAsia="MS Mincho"/>
                <w:spacing w:val="-3"/>
              </w:rPr>
            </w:pPr>
            <w:r w:rsidRPr="4463BEDF">
              <w:rPr>
                <w:rFonts w:eastAsia="MS Mincho"/>
              </w:rPr>
              <w:t>Adequate</w:t>
            </w:r>
          </w:p>
        </w:tc>
        <w:tc>
          <w:tcPr>
            <w:tcW w:w="971" w:type="pct"/>
            <w:shd w:val="clear" w:color="auto" w:fill="FFFFFF" w:themeFill="background1"/>
            <w:vAlign w:val="center"/>
          </w:tcPr>
          <w:p w14:paraId="16D3B37B" w14:textId="5B4955B4" w:rsidR="00DE6598" w:rsidRPr="00D501A2" w:rsidRDefault="7DF27CD1" w:rsidP="00C47BA6">
            <w:pPr>
              <w:pStyle w:val="TBLText"/>
              <w:rPr>
                <w:rFonts w:eastAsia="MS Mincho"/>
                <w:spacing w:val="-3"/>
              </w:rPr>
            </w:pPr>
            <w:r w:rsidRPr="4463BEDF">
              <w:rPr>
                <w:rFonts w:eastAsia="MS Mincho"/>
              </w:rPr>
              <w:t>No</w:t>
            </w:r>
          </w:p>
        </w:tc>
        <w:tc>
          <w:tcPr>
            <w:tcW w:w="970" w:type="pct"/>
            <w:shd w:val="clear" w:color="auto" w:fill="FFFFFF" w:themeFill="background1"/>
            <w:vAlign w:val="center"/>
          </w:tcPr>
          <w:p w14:paraId="5299446F" w14:textId="6FF444FD" w:rsidR="00DE6598" w:rsidRPr="00AB0F87" w:rsidRDefault="1BBB885A" w:rsidP="32AEB9FA">
            <w:pPr>
              <w:pStyle w:val="TBLText"/>
              <w:rPr>
                <w:rFonts w:eastAsia="MS Mincho"/>
              </w:rPr>
            </w:pPr>
            <w:r w:rsidRPr="46794B09">
              <w:rPr>
                <w:rFonts w:eastAsia="MS Mincho"/>
                <w:vertAlign w:val="superscript"/>
              </w:rPr>
              <w:t xml:space="preserve"> </w:t>
            </w:r>
            <w:r w:rsidR="383E4D38" w:rsidRPr="00B60057">
              <w:rPr>
                <w:rFonts w:eastAsia="MS Mincho"/>
              </w:rPr>
              <w:t>$</w:t>
            </w:r>
            <w:r w:rsidR="136B28A8" w:rsidRPr="46794B09">
              <w:rPr>
                <w:rFonts w:eastAsia="MS Mincho"/>
              </w:rPr>
              <w:t>0.48</w:t>
            </w:r>
            <w:r w:rsidR="14859EA0" w:rsidRPr="46794B09">
              <w:rPr>
                <w:rFonts w:eastAsia="MS Mincho"/>
              </w:rPr>
              <w:t>m</w:t>
            </w:r>
            <w:r w:rsidR="136B28A8" w:rsidRPr="46794B09">
              <w:rPr>
                <w:rFonts w:eastAsia="MS Mincho"/>
              </w:rPr>
              <w:t xml:space="preserve"> -</w:t>
            </w:r>
            <w:r w:rsidR="383E4D38" w:rsidRPr="00B60057">
              <w:rPr>
                <w:rFonts w:eastAsia="MS Mincho"/>
              </w:rPr>
              <w:t xml:space="preserve"> $2.8m in one off costs, and </w:t>
            </w:r>
            <w:r w:rsidR="00B60057">
              <w:rPr>
                <w:rFonts w:eastAsia="MS Mincho"/>
              </w:rPr>
              <w:br/>
            </w:r>
            <w:r w:rsidR="09D4CD81" w:rsidRPr="46794B09">
              <w:rPr>
                <w:rFonts w:eastAsia="MS Mincho"/>
              </w:rPr>
              <w:t>$0.44</w:t>
            </w:r>
            <w:r w:rsidR="58451E98" w:rsidRPr="46794B09">
              <w:rPr>
                <w:rFonts w:eastAsia="MS Mincho"/>
              </w:rPr>
              <w:t>m</w:t>
            </w:r>
            <w:r w:rsidR="09D4CD81" w:rsidRPr="46794B09">
              <w:rPr>
                <w:rFonts w:eastAsia="MS Mincho"/>
              </w:rPr>
              <w:t xml:space="preserve"> - $0.88m in </w:t>
            </w:r>
            <w:r w:rsidR="383E4D38" w:rsidRPr="00B60057">
              <w:rPr>
                <w:rFonts w:eastAsia="MS Mincho"/>
              </w:rPr>
              <w:t>ongoing costs</w:t>
            </w:r>
            <w:r w:rsidR="1FD64D88" w:rsidRPr="00B60057">
              <w:rPr>
                <w:rFonts w:eastAsia="MS Mincho"/>
                <w:vertAlign w:val="superscript"/>
              </w:rPr>
              <w:t>a</w:t>
            </w:r>
          </w:p>
        </w:tc>
      </w:tr>
      <w:tr w:rsidR="00DE6598" w14:paraId="43FE14C7" w14:textId="77777777" w:rsidTr="46794B09">
        <w:trPr>
          <w:trHeight w:val="20"/>
        </w:trPr>
        <w:tc>
          <w:tcPr>
            <w:tcW w:w="1513" w:type="pct"/>
            <w:shd w:val="clear" w:color="auto" w:fill="auto"/>
            <w:vAlign w:val="center"/>
          </w:tcPr>
          <w:p w14:paraId="122EB345" w14:textId="4172E965" w:rsidR="00DE6598" w:rsidRPr="001418FA" w:rsidRDefault="4CDAC978" w:rsidP="00C47BA6">
            <w:pPr>
              <w:pStyle w:val="TBLText"/>
            </w:pPr>
            <w:r>
              <w:t>Merger Reform: A Faster, Stronger and Simpler System for a More Competitive Economy</w:t>
            </w:r>
          </w:p>
        </w:tc>
        <w:tc>
          <w:tcPr>
            <w:tcW w:w="692" w:type="pct"/>
            <w:shd w:val="clear" w:color="auto" w:fill="auto"/>
            <w:vAlign w:val="center"/>
          </w:tcPr>
          <w:p w14:paraId="24A01B36" w14:textId="41F6E1FA" w:rsidR="00DE6598" w:rsidRPr="002B0DDE" w:rsidRDefault="4CDAC978" w:rsidP="00C47BA6">
            <w:pPr>
              <w:pStyle w:val="TBLText"/>
              <w:rPr>
                <w:rFonts w:eastAsia="MS Mincho"/>
                <w:spacing w:val="-3"/>
              </w:rPr>
            </w:pPr>
            <w:r w:rsidRPr="1F074D72">
              <w:rPr>
                <w:rFonts w:eastAsia="MS Mincho"/>
              </w:rPr>
              <w:t>Compliant</w:t>
            </w:r>
          </w:p>
        </w:tc>
        <w:tc>
          <w:tcPr>
            <w:tcW w:w="853" w:type="pct"/>
            <w:shd w:val="clear" w:color="auto" w:fill="auto"/>
            <w:vAlign w:val="center"/>
          </w:tcPr>
          <w:p w14:paraId="2D40A27D" w14:textId="295D84A2" w:rsidR="00DE6598" w:rsidRPr="002B0DDE" w:rsidRDefault="4CDAC978" w:rsidP="00C47BA6">
            <w:pPr>
              <w:pStyle w:val="TBLText"/>
              <w:rPr>
                <w:rFonts w:eastAsia="MS Mincho"/>
                <w:spacing w:val="-3"/>
              </w:rPr>
            </w:pPr>
            <w:r w:rsidRPr="1F074D72">
              <w:rPr>
                <w:rFonts w:eastAsia="MS Mincho"/>
              </w:rPr>
              <w:t>Good Practice</w:t>
            </w:r>
          </w:p>
        </w:tc>
        <w:tc>
          <w:tcPr>
            <w:tcW w:w="971" w:type="pct"/>
            <w:shd w:val="clear" w:color="auto" w:fill="auto"/>
            <w:vAlign w:val="center"/>
          </w:tcPr>
          <w:p w14:paraId="23A64DE8" w14:textId="76D006B8" w:rsidR="00DE6598" w:rsidRPr="00D501A2" w:rsidRDefault="4CDAC978" w:rsidP="00C47BA6">
            <w:pPr>
              <w:pStyle w:val="TBLText"/>
              <w:rPr>
                <w:rFonts w:eastAsia="MS Mincho"/>
                <w:spacing w:val="-3"/>
              </w:rPr>
            </w:pPr>
            <w:r w:rsidRPr="1F074D72">
              <w:rPr>
                <w:rFonts w:eastAsia="MS Mincho"/>
              </w:rPr>
              <w:t>No</w:t>
            </w:r>
          </w:p>
        </w:tc>
        <w:tc>
          <w:tcPr>
            <w:tcW w:w="970" w:type="pct"/>
            <w:shd w:val="clear" w:color="auto" w:fill="auto"/>
            <w:vAlign w:val="center"/>
          </w:tcPr>
          <w:p w14:paraId="3E079579" w14:textId="6EC4DAE9" w:rsidR="00DE6598" w:rsidRDefault="4CDAC978" w:rsidP="00C47BA6">
            <w:pPr>
              <w:pStyle w:val="TBLText"/>
              <w:rPr>
                <w:rFonts w:eastAsia="MS Mincho"/>
                <w:spacing w:val="-3"/>
              </w:rPr>
            </w:pPr>
            <w:r w:rsidRPr="1F074D72">
              <w:rPr>
                <w:rFonts w:eastAsia="MS Mincho"/>
              </w:rPr>
              <w:t>$10.8m</w:t>
            </w:r>
          </w:p>
        </w:tc>
      </w:tr>
      <w:tr w:rsidR="00DE6598" w14:paraId="5B5947A4" w14:textId="77777777" w:rsidTr="46794B09">
        <w:trPr>
          <w:trHeight w:val="20"/>
        </w:trPr>
        <w:tc>
          <w:tcPr>
            <w:tcW w:w="1513" w:type="pct"/>
            <w:shd w:val="clear" w:color="auto" w:fill="DBE6F5" w:themeFill="text2" w:themeFillTint="1A"/>
            <w:vAlign w:val="center"/>
          </w:tcPr>
          <w:p w14:paraId="056FFD9F" w14:textId="77777777" w:rsidR="00DE6598" w:rsidRPr="00363240" w:rsidRDefault="00DE6598" w:rsidP="00C47BA6">
            <w:pPr>
              <w:pStyle w:val="TBLText"/>
              <w:rPr>
                <w:b/>
              </w:rPr>
            </w:pPr>
            <w:r w:rsidRPr="00363240">
              <w:rPr>
                <w:b/>
              </w:rPr>
              <w:t>Total proposals</w:t>
            </w:r>
          </w:p>
        </w:tc>
        <w:tc>
          <w:tcPr>
            <w:tcW w:w="692" w:type="pct"/>
            <w:shd w:val="clear" w:color="auto" w:fill="DBE6F5" w:themeFill="text2" w:themeFillTint="1A"/>
            <w:vAlign w:val="center"/>
          </w:tcPr>
          <w:p w14:paraId="346182BF" w14:textId="096781B2" w:rsidR="00DE6598" w:rsidRPr="00363240" w:rsidRDefault="008E4734" w:rsidP="3127B391">
            <w:pPr>
              <w:pStyle w:val="TBLText"/>
              <w:rPr>
                <w:b/>
                <w:bCs/>
              </w:rPr>
            </w:pPr>
            <w:r>
              <w:rPr>
                <w:b/>
                <w:bCs/>
              </w:rPr>
              <w:t>4</w:t>
            </w:r>
            <w:r w:rsidR="00DE6598" w:rsidRPr="3127B391">
              <w:rPr>
                <w:b/>
                <w:bCs/>
              </w:rPr>
              <w:t>/</w:t>
            </w:r>
            <w:r>
              <w:rPr>
                <w:b/>
                <w:bCs/>
              </w:rPr>
              <w:t>4</w:t>
            </w:r>
          </w:p>
        </w:tc>
        <w:tc>
          <w:tcPr>
            <w:tcW w:w="853" w:type="pct"/>
            <w:shd w:val="clear" w:color="auto" w:fill="DBE6F5" w:themeFill="text2" w:themeFillTint="1A"/>
            <w:vAlign w:val="center"/>
          </w:tcPr>
          <w:p w14:paraId="1BE1A5E4" w14:textId="77777777" w:rsidR="00DE6598" w:rsidRPr="00E8277E" w:rsidRDefault="00DE6598" w:rsidP="00C47BA6">
            <w:pPr>
              <w:pStyle w:val="TBLText"/>
              <w:rPr>
                <w:b/>
              </w:rPr>
            </w:pPr>
            <w:r w:rsidRPr="00E8277E">
              <w:rPr>
                <w:b/>
              </w:rPr>
              <w:t>-</w:t>
            </w:r>
          </w:p>
        </w:tc>
        <w:tc>
          <w:tcPr>
            <w:tcW w:w="971" w:type="pct"/>
            <w:shd w:val="clear" w:color="auto" w:fill="DBE6F5" w:themeFill="text2" w:themeFillTint="1A"/>
            <w:vAlign w:val="center"/>
          </w:tcPr>
          <w:p w14:paraId="3AA5E0C3" w14:textId="73E0542A" w:rsidR="00DE6598" w:rsidRPr="00D501A2" w:rsidRDefault="008E4734" w:rsidP="3127B391">
            <w:pPr>
              <w:pStyle w:val="TBLText"/>
              <w:rPr>
                <w:b/>
                <w:bCs/>
              </w:rPr>
            </w:pPr>
            <w:r>
              <w:rPr>
                <w:b/>
                <w:bCs/>
              </w:rPr>
              <w:t>0</w:t>
            </w:r>
            <w:r w:rsidR="00DE6598" w:rsidRPr="3127B391">
              <w:rPr>
                <w:b/>
                <w:bCs/>
              </w:rPr>
              <w:t>/</w:t>
            </w:r>
            <w:r>
              <w:rPr>
                <w:b/>
                <w:bCs/>
              </w:rPr>
              <w:t>4</w:t>
            </w:r>
          </w:p>
        </w:tc>
        <w:tc>
          <w:tcPr>
            <w:tcW w:w="970" w:type="pct"/>
            <w:shd w:val="clear" w:color="auto" w:fill="DBE6F5" w:themeFill="text2" w:themeFillTint="1A"/>
            <w:vAlign w:val="center"/>
          </w:tcPr>
          <w:p w14:paraId="08AC76E1" w14:textId="2D04755F" w:rsidR="00DE6598" w:rsidRPr="00254BDF" w:rsidRDefault="00DE6598" w:rsidP="3127B391">
            <w:pPr>
              <w:pStyle w:val="TBLText"/>
              <w:rPr>
                <w:b/>
                <w:bCs/>
              </w:rPr>
            </w:pPr>
            <w:r w:rsidRPr="3127B391">
              <w:rPr>
                <w:b/>
                <w:bCs/>
              </w:rPr>
              <w:t>$</w:t>
            </w:r>
            <w:r w:rsidR="00AB0F87">
              <w:rPr>
                <w:b/>
                <w:bCs/>
              </w:rPr>
              <w:t>12.309</w:t>
            </w:r>
            <w:r w:rsidRPr="3127B391">
              <w:rPr>
                <w:b/>
                <w:bCs/>
              </w:rPr>
              <w:t>m</w:t>
            </w:r>
          </w:p>
        </w:tc>
      </w:tr>
    </w:tbl>
    <w:p w14:paraId="7A42420B" w14:textId="730C6865" w:rsidR="004A17D7" w:rsidRPr="004C1F82" w:rsidRDefault="7E357B2F" w:rsidP="25A92EDB">
      <w:pPr>
        <w:pStyle w:val="TBLFootnote"/>
        <w:rPr>
          <w:rStyle w:val="Heading2Char"/>
        </w:rPr>
      </w:pPr>
      <w:proofErr w:type="gramStart"/>
      <w:r>
        <w:t>a</w:t>
      </w:r>
      <w:proofErr w:type="gramEnd"/>
      <w:r w:rsidR="7F5909AD">
        <w:t xml:space="preserve"> </w:t>
      </w:r>
      <w:r w:rsidR="004C1F82">
        <w:t xml:space="preserve">Regulatory </w:t>
      </w:r>
      <w:r w:rsidR="00AB0F87">
        <w:t>burden estimates are presented as a range. As such, regulatory burden from this</w:t>
      </w:r>
      <w:r w:rsidR="5EE4BA03">
        <w:t xml:space="preserve"> proposal</w:t>
      </w:r>
      <w:r w:rsidR="00AB0F87">
        <w:t xml:space="preserve"> is not included in the ‘Estimated annual impact on Regulatory Burden’ in Figure 1 or in the ‘Total proposals’ regulatory burden for this figure. </w:t>
      </w:r>
      <w:r>
        <w:br/>
      </w:r>
      <w:r>
        <w:br/>
      </w:r>
      <w:r w:rsidR="004A17D7" w:rsidRPr="46794B09">
        <w:rPr>
          <w:rStyle w:val="Heading2Char"/>
        </w:rPr>
        <w:t>Department of Veterans</w:t>
      </w:r>
      <w:r w:rsidR="007316E7">
        <w:rPr>
          <w:rStyle w:val="Heading2Char"/>
        </w:rPr>
        <w:t>’</w:t>
      </w:r>
      <w:r w:rsidR="004A17D7" w:rsidRPr="46794B09">
        <w:rPr>
          <w:rStyle w:val="Heading2Char"/>
        </w:rPr>
        <w:t xml:space="preserve"> Affairs</w:t>
      </w:r>
    </w:p>
    <w:p w14:paraId="301268E2" w14:textId="40A74CF2" w:rsidR="004A17D7" w:rsidRPr="004A17D7"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9</w:t>
      </w:r>
      <w:r w:rsidR="00574AC5">
        <w:rPr>
          <w:noProof/>
        </w:rPr>
        <w:fldChar w:fldCharType="end"/>
      </w:r>
      <w:r>
        <w:t xml:space="preserve">. </w:t>
      </w:r>
      <w:r w:rsidRPr="008B19D8">
        <w:t>Compliance summary: Department of Veterans’ Affairs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liance summary: Department of Infrastructure, Transport, Regional Development, Communication and the Arts"/>
        <w:tblDescription w:val="Compliance summary: Department of Infrastructure, Transport, Regional Development, Communication and the Arts"/>
      </w:tblPr>
      <w:tblGrid>
        <w:gridCol w:w="3017"/>
        <w:gridCol w:w="1380"/>
        <w:gridCol w:w="1701"/>
        <w:gridCol w:w="1936"/>
        <w:gridCol w:w="1934"/>
      </w:tblGrid>
      <w:tr w:rsidR="004A17D7" w14:paraId="09AD897F" w14:textId="77777777" w:rsidTr="3A680449">
        <w:trPr>
          <w:cnfStyle w:val="100000000000" w:firstRow="1" w:lastRow="0" w:firstColumn="0" w:lastColumn="0" w:oddVBand="0" w:evenVBand="0" w:oddHBand="0" w:evenHBand="0" w:firstRowFirstColumn="0" w:firstRowLastColumn="0" w:lastRowFirstColumn="0" w:lastRowLastColumn="0"/>
          <w:trHeight w:val="20"/>
          <w:tblHeader/>
        </w:trPr>
        <w:tc>
          <w:tcPr>
            <w:tcW w:w="1513" w:type="pct"/>
            <w:tcBorders>
              <w:top w:val="none" w:sz="0" w:space="0" w:color="auto"/>
              <w:left w:val="none" w:sz="0" w:space="0" w:color="auto"/>
              <w:bottom w:val="none" w:sz="0" w:space="0" w:color="auto"/>
            </w:tcBorders>
            <w:vAlign w:val="center"/>
          </w:tcPr>
          <w:p w14:paraId="5C5AF076" w14:textId="77777777" w:rsidR="004A17D7" w:rsidRPr="006E170D" w:rsidRDefault="004A17D7" w:rsidP="004C1F82">
            <w:pPr>
              <w:pStyle w:val="TBLHeading"/>
            </w:pPr>
            <w:r>
              <w:t>Proposal</w:t>
            </w:r>
          </w:p>
        </w:tc>
        <w:tc>
          <w:tcPr>
            <w:tcW w:w="692" w:type="pct"/>
            <w:tcBorders>
              <w:top w:val="none" w:sz="0" w:space="0" w:color="auto"/>
              <w:bottom w:val="none" w:sz="0" w:space="0" w:color="auto"/>
            </w:tcBorders>
            <w:vAlign w:val="center"/>
          </w:tcPr>
          <w:p w14:paraId="27C7D794" w14:textId="77777777" w:rsidR="004A17D7" w:rsidRPr="006E170D" w:rsidRDefault="004A17D7" w:rsidP="004C1F82">
            <w:pPr>
              <w:pStyle w:val="TBLHeading"/>
            </w:pPr>
            <w:r>
              <w:t>IA Compliance</w:t>
            </w:r>
          </w:p>
        </w:tc>
        <w:tc>
          <w:tcPr>
            <w:tcW w:w="853" w:type="pct"/>
            <w:tcBorders>
              <w:top w:val="none" w:sz="0" w:space="0" w:color="auto"/>
              <w:bottom w:val="none" w:sz="0" w:space="0" w:color="auto"/>
            </w:tcBorders>
            <w:vAlign w:val="center"/>
          </w:tcPr>
          <w:p w14:paraId="38A61425" w14:textId="77777777" w:rsidR="004A17D7" w:rsidRPr="006E170D" w:rsidRDefault="004A17D7" w:rsidP="004C1F82">
            <w:pPr>
              <w:pStyle w:val="TBLHeading"/>
            </w:pPr>
            <w:r>
              <w:t>Rating</w:t>
            </w:r>
          </w:p>
        </w:tc>
        <w:tc>
          <w:tcPr>
            <w:tcW w:w="971" w:type="pct"/>
            <w:tcBorders>
              <w:top w:val="none" w:sz="0" w:space="0" w:color="auto"/>
              <w:bottom w:val="none" w:sz="0" w:space="0" w:color="auto"/>
            </w:tcBorders>
            <w:vAlign w:val="center"/>
          </w:tcPr>
          <w:p w14:paraId="565F9EF0" w14:textId="77777777" w:rsidR="004A17D7" w:rsidRPr="006E170D" w:rsidRDefault="004A17D7" w:rsidP="004C1F82">
            <w:pPr>
              <w:pStyle w:val="TBLHeading"/>
            </w:pPr>
            <w:r>
              <w:t>PIR Required</w:t>
            </w:r>
          </w:p>
        </w:tc>
        <w:tc>
          <w:tcPr>
            <w:tcW w:w="970" w:type="pct"/>
            <w:tcBorders>
              <w:top w:val="none" w:sz="0" w:space="0" w:color="auto"/>
              <w:bottom w:val="none" w:sz="0" w:space="0" w:color="auto"/>
              <w:right w:val="none" w:sz="0" w:space="0" w:color="auto"/>
            </w:tcBorders>
            <w:vAlign w:val="center"/>
          </w:tcPr>
          <w:p w14:paraId="2D6152AD" w14:textId="5444AD43" w:rsidR="004A17D7" w:rsidRPr="006E170D" w:rsidRDefault="77465279" w:rsidP="004C1F82">
            <w:pPr>
              <w:pStyle w:val="TBLHeading"/>
            </w:pPr>
            <w:r>
              <w:t xml:space="preserve">Annual </w:t>
            </w:r>
            <w:r w:rsidR="004A17D7">
              <w:t>Regulatory Burden ($m)</w:t>
            </w:r>
          </w:p>
        </w:tc>
      </w:tr>
      <w:tr w:rsidR="004A17D7" w14:paraId="66FD1A9A" w14:textId="77777777" w:rsidTr="3A680449">
        <w:trPr>
          <w:trHeight w:val="20"/>
        </w:trPr>
        <w:tc>
          <w:tcPr>
            <w:tcW w:w="1513" w:type="pct"/>
            <w:shd w:val="clear" w:color="auto" w:fill="auto"/>
            <w:vAlign w:val="center"/>
          </w:tcPr>
          <w:p w14:paraId="61808E06" w14:textId="1056BC28" w:rsidR="004A17D7" w:rsidRPr="002C6070" w:rsidRDefault="004A17D7" w:rsidP="004C1F82">
            <w:pPr>
              <w:pStyle w:val="TBLText"/>
            </w:pPr>
            <w:r w:rsidRPr="004A17D7">
              <w:t>Veterans’ Compensation and Rehabilitation Legislation Reform</w:t>
            </w:r>
          </w:p>
        </w:tc>
        <w:tc>
          <w:tcPr>
            <w:tcW w:w="692" w:type="pct"/>
            <w:shd w:val="clear" w:color="auto" w:fill="auto"/>
            <w:vAlign w:val="center"/>
          </w:tcPr>
          <w:p w14:paraId="1BD5618F" w14:textId="3A2CF2C5" w:rsidR="004A17D7" w:rsidRPr="002B0DDE" w:rsidRDefault="004A17D7" w:rsidP="004C1F82">
            <w:pPr>
              <w:pStyle w:val="TBLText"/>
              <w:rPr>
                <w:rFonts w:eastAsia="MS Mincho"/>
                <w:spacing w:val="-3"/>
              </w:rPr>
            </w:pPr>
            <w:r>
              <w:rPr>
                <w:rFonts w:eastAsia="MS Mincho"/>
                <w:spacing w:val="-3"/>
              </w:rPr>
              <w:t>Compliant</w:t>
            </w:r>
          </w:p>
        </w:tc>
        <w:tc>
          <w:tcPr>
            <w:tcW w:w="853" w:type="pct"/>
            <w:shd w:val="clear" w:color="auto" w:fill="auto"/>
            <w:vAlign w:val="center"/>
          </w:tcPr>
          <w:p w14:paraId="640C7B92" w14:textId="7B213A1A" w:rsidR="004A17D7" w:rsidRDefault="004A17D7" w:rsidP="004C1F82">
            <w:pPr>
              <w:pStyle w:val="TBLText"/>
              <w:rPr>
                <w:rFonts w:eastAsia="MS Mincho"/>
                <w:spacing w:val="-3"/>
              </w:rPr>
            </w:pPr>
            <w:r>
              <w:rPr>
                <w:rFonts w:eastAsia="MS Mincho"/>
                <w:spacing w:val="-3"/>
              </w:rPr>
              <w:t>Good Practice</w:t>
            </w:r>
          </w:p>
        </w:tc>
        <w:tc>
          <w:tcPr>
            <w:tcW w:w="971" w:type="pct"/>
            <w:shd w:val="clear" w:color="auto" w:fill="auto"/>
            <w:vAlign w:val="center"/>
          </w:tcPr>
          <w:p w14:paraId="4DED7AF6" w14:textId="7C6049AE" w:rsidR="004A17D7" w:rsidRPr="006D708A" w:rsidRDefault="004A17D7" w:rsidP="004C1F82">
            <w:pPr>
              <w:pStyle w:val="TBLText"/>
              <w:rPr>
                <w:rFonts w:eastAsia="MS Mincho"/>
                <w:spacing w:val="-3"/>
              </w:rPr>
            </w:pPr>
            <w:r>
              <w:rPr>
                <w:rFonts w:eastAsia="MS Mincho"/>
                <w:spacing w:val="-3"/>
              </w:rPr>
              <w:t>No</w:t>
            </w:r>
          </w:p>
        </w:tc>
        <w:tc>
          <w:tcPr>
            <w:tcW w:w="970" w:type="pct"/>
            <w:shd w:val="clear" w:color="auto" w:fill="auto"/>
            <w:vAlign w:val="center"/>
          </w:tcPr>
          <w:p w14:paraId="2A9310ED" w14:textId="07A0F1A0" w:rsidR="004A17D7" w:rsidRDefault="008E4734" w:rsidP="004C1F82">
            <w:pPr>
              <w:pStyle w:val="TBLText"/>
              <w:rPr>
                <w:rFonts w:eastAsia="MS Mincho"/>
                <w:spacing w:val="-3"/>
              </w:rPr>
            </w:pPr>
            <w:r w:rsidRPr="3A680449">
              <w:rPr>
                <w:b/>
                <w:bCs/>
              </w:rPr>
              <w:t>−</w:t>
            </w:r>
            <w:r w:rsidR="004A17D7">
              <w:rPr>
                <w:rFonts w:eastAsia="MS Mincho"/>
                <w:spacing w:val="-3"/>
              </w:rPr>
              <w:t>$5.5m</w:t>
            </w:r>
          </w:p>
        </w:tc>
      </w:tr>
      <w:tr w:rsidR="004A17D7" w14:paraId="688EFDFD" w14:textId="77777777" w:rsidTr="3A680449">
        <w:trPr>
          <w:trHeight w:val="20"/>
        </w:trPr>
        <w:tc>
          <w:tcPr>
            <w:tcW w:w="1513" w:type="pct"/>
            <w:shd w:val="clear" w:color="auto" w:fill="DBE6F5" w:themeFill="text2" w:themeFillTint="1A"/>
            <w:vAlign w:val="center"/>
          </w:tcPr>
          <w:p w14:paraId="24F4C63B" w14:textId="77777777" w:rsidR="004A17D7" w:rsidRPr="00363240" w:rsidRDefault="004A17D7" w:rsidP="004C1F82">
            <w:pPr>
              <w:pStyle w:val="TBLText"/>
              <w:rPr>
                <w:b/>
              </w:rPr>
            </w:pPr>
            <w:r w:rsidRPr="00363240">
              <w:rPr>
                <w:b/>
              </w:rPr>
              <w:t>Total proposals</w:t>
            </w:r>
          </w:p>
        </w:tc>
        <w:tc>
          <w:tcPr>
            <w:tcW w:w="692" w:type="pct"/>
            <w:shd w:val="clear" w:color="auto" w:fill="DBE6F5" w:themeFill="text2" w:themeFillTint="1A"/>
            <w:vAlign w:val="center"/>
          </w:tcPr>
          <w:p w14:paraId="5D658F76" w14:textId="3349D561" w:rsidR="004A17D7" w:rsidRPr="00363240" w:rsidRDefault="008E4734" w:rsidP="004C1F82">
            <w:pPr>
              <w:pStyle w:val="TBLText"/>
              <w:rPr>
                <w:b/>
                <w:bCs/>
              </w:rPr>
            </w:pPr>
            <w:r>
              <w:rPr>
                <w:b/>
                <w:bCs/>
              </w:rPr>
              <w:t>1</w:t>
            </w:r>
            <w:r w:rsidR="004A17D7" w:rsidRPr="11EF5523">
              <w:rPr>
                <w:b/>
                <w:bCs/>
              </w:rPr>
              <w:t>/</w:t>
            </w:r>
            <w:r>
              <w:rPr>
                <w:b/>
                <w:bCs/>
              </w:rPr>
              <w:t>1</w:t>
            </w:r>
          </w:p>
        </w:tc>
        <w:tc>
          <w:tcPr>
            <w:tcW w:w="853" w:type="pct"/>
            <w:shd w:val="clear" w:color="auto" w:fill="DBE6F5" w:themeFill="text2" w:themeFillTint="1A"/>
            <w:vAlign w:val="center"/>
          </w:tcPr>
          <w:p w14:paraId="1C3D8D64" w14:textId="77777777" w:rsidR="004A17D7" w:rsidRPr="00363240" w:rsidRDefault="004A17D7" w:rsidP="004C1F82">
            <w:pPr>
              <w:pStyle w:val="TBLText"/>
              <w:rPr>
                <w:b/>
              </w:rPr>
            </w:pPr>
            <w:r w:rsidRPr="00363240">
              <w:rPr>
                <w:b/>
              </w:rPr>
              <w:t>-</w:t>
            </w:r>
          </w:p>
        </w:tc>
        <w:tc>
          <w:tcPr>
            <w:tcW w:w="971" w:type="pct"/>
            <w:shd w:val="clear" w:color="auto" w:fill="DBE6F5" w:themeFill="text2" w:themeFillTint="1A"/>
            <w:vAlign w:val="center"/>
          </w:tcPr>
          <w:p w14:paraId="006601E9" w14:textId="5BF987AF" w:rsidR="004A17D7" w:rsidRPr="006D708A" w:rsidRDefault="008E4734" w:rsidP="004C1F82">
            <w:pPr>
              <w:pStyle w:val="TBLText"/>
              <w:rPr>
                <w:b/>
                <w:bCs/>
              </w:rPr>
            </w:pPr>
            <w:r>
              <w:rPr>
                <w:b/>
                <w:bCs/>
              </w:rPr>
              <w:t>0</w:t>
            </w:r>
            <w:r w:rsidR="004A17D7" w:rsidRPr="11EF5523">
              <w:rPr>
                <w:b/>
                <w:bCs/>
              </w:rPr>
              <w:t>/</w:t>
            </w:r>
            <w:r>
              <w:rPr>
                <w:b/>
                <w:bCs/>
              </w:rPr>
              <w:t>1</w:t>
            </w:r>
          </w:p>
        </w:tc>
        <w:tc>
          <w:tcPr>
            <w:tcW w:w="970" w:type="pct"/>
            <w:shd w:val="clear" w:color="auto" w:fill="DBE6F5" w:themeFill="text2" w:themeFillTint="1A"/>
            <w:vAlign w:val="center"/>
          </w:tcPr>
          <w:p w14:paraId="6463ED2F" w14:textId="5A943352" w:rsidR="004A17D7" w:rsidRPr="000C118B" w:rsidRDefault="008E4734" w:rsidP="008E4734">
            <w:pPr>
              <w:pStyle w:val="TBLText"/>
              <w:rPr>
                <w:b/>
                <w:bCs/>
              </w:rPr>
            </w:pPr>
            <w:r w:rsidRPr="008E4734">
              <w:rPr>
                <w:rFonts w:cstheme="minorHAnsi"/>
                <w:b/>
                <w:bCs/>
              </w:rPr>
              <w:t>−</w:t>
            </w:r>
            <w:r w:rsidR="004A17D7" w:rsidRPr="11EF5523">
              <w:rPr>
                <w:b/>
                <w:bCs/>
              </w:rPr>
              <w:t>$</w:t>
            </w:r>
            <w:r>
              <w:rPr>
                <w:b/>
                <w:bCs/>
              </w:rPr>
              <w:t>5.5</w:t>
            </w:r>
            <w:r w:rsidR="004A17D7" w:rsidRPr="11EF5523">
              <w:rPr>
                <w:b/>
                <w:bCs/>
              </w:rPr>
              <w:t>m</w:t>
            </w:r>
          </w:p>
        </w:tc>
      </w:tr>
    </w:tbl>
    <w:p w14:paraId="3ED3367A" w14:textId="3E1D047F" w:rsidR="13FA94B7" w:rsidRDefault="13FA94B7" w:rsidP="5EAFE3D3">
      <w:pPr>
        <w:pStyle w:val="Heading2"/>
      </w:pPr>
      <w:bookmarkStart w:id="17" w:name="_Toc181213878"/>
      <w:r>
        <w:t>National Indigenous Australians Agency</w:t>
      </w:r>
      <w:bookmarkEnd w:id="17"/>
    </w:p>
    <w:p w14:paraId="1590F073" w14:textId="2EC0E05A" w:rsidR="009F7780" w:rsidRPr="009F7780" w:rsidRDefault="00031D61" w:rsidP="00031D61">
      <w:pPr>
        <w:pStyle w:val="Caption"/>
      </w:pPr>
      <w:r>
        <w:t xml:space="preserve">Figure </w:t>
      </w:r>
      <w:r w:rsidR="00574AC5">
        <w:fldChar w:fldCharType="begin"/>
      </w:r>
      <w:r w:rsidR="00574AC5">
        <w:instrText xml:space="preserve"> SEQ Figure \* ARABIC </w:instrText>
      </w:r>
      <w:r w:rsidR="00574AC5">
        <w:fldChar w:fldCharType="separate"/>
      </w:r>
      <w:r>
        <w:rPr>
          <w:noProof/>
        </w:rPr>
        <w:t>10</w:t>
      </w:r>
      <w:r w:rsidR="00574AC5">
        <w:rPr>
          <w:noProof/>
        </w:rPr>
        <w:fldChar w:fldCharType="end"/>
      </w:r>
      <w:r>
        <w:t xml:space="preserve">. </w:t>
      </w:r>
      <w:r w:rsidRPr="00842BEE">
        <w:t>Compliance summary: National Indigenous Australians Agency</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ompliance summary: Department of Infrastructure, Transport, Regional Development, Communication and the Arts"/>
        <w:tblDescription w:val="Compliance summary: Department of Infrastructure, Transport, Regional Development, Communication and the Arts"/>
      </w:tblPr>
      <w:tblGrid>
        <w:gridCol w:w="3017"/>
        <w:gridCol w:w="1380"/>
        <w:gridCol w:w="1701"/>
        <w:gridCol w:w="1936"/>
        <w:gridCol w:w="1934"/>
      </w:tblGrid>
      <w:tr w:rsidR="5EAFE3D3" w14:paraId="7396E7A7" w14:textId="77777777" w:rsidTr="00ED3E43">
        <w:trPr>
          <w:cnfStyle w:val="100000000000" w:firstRow="1" w:lastRow="0" w:firstColumn="0" w:lastColumn="0" w:oddVBand="0" w:evenVBand="0" w:oddHBand="0" w:evenHBand="0" w:firstRowFirstColumn="0" w:firstRowLastColumn="0" w:lastRowFirstColumn="0" w:lastRowLastColumn="0"/>
          <w:trHeight w:val="300"/>
          <w:tblHeader/>
        </w:trPr>
        <w:tc>
          <w:tcPr>
            <w:tcW w:w="3017" w:type="dxa"/>
            <w:tcBorders>
              <w:top w:val="none" w:sz="0" w:space="0" w:color="auto"/>
              <w:left w:val="none" w:sz="0" w:space="0" w:color="auto"/>
              <w:bottom w:val="none" w:sz="0" w:space="0" w:color="auto"/>
            </w:tcBorders>
            <w:vAlign w:val="center"/>
          </w:tcPr>
          <w:p w14:paraId="28738BF0" w14:textId="77777777" w:rsidR="5EAFE3D3" w:rsidRDefault="5EAFE3D3" w:rsidP="5EAFE3D3">
            <w:pPr>
              <w:pStyle w:val="TBLHeading"/>
            </w:pPr>
            <w:r>
              <w:t>Proposal</w:t>
            </w:r>
          </w:p>
        </w:tc>
        <w:tc>
          <w:tcPr>
            <w:tcW w:w="1380" w:type="dxa"/>
            <w:tcBorders>
              <w:top w:val="none" w:sz="0" w:space="0" w:color="auto"/>
              <w:bottom w:val="none" w:sz="0" w:space="0" w:color="auto"/>
            </w:tcBorders>
            <w:vAlign w:val="center"/>
          </w:tcPr>
          <w:p w14:paraId="1E7B1CD6" w14:textId="77777777" w:rsidR="5EAFE3D3" w:rsidRDefault="5EAFE3D3" w:rsidP="5EAFE3D3">
            <w:pPr>
              <w:pStyle w:val="TBLHeading"/>
            </w:pPr>
            <w:r>
              <w:t>IA Compliance</w:t>
            </w:r>
          </w:p>
        </w:tc>
        <w:tc>
          <w:tcPr>
            <w:tcW w:w="1701" w:type="dxa"/>
            <w:tcBorders>
              <w:top w:val="none" w:sz="0" w:space="0" w:color="auto"/>
              <w:bottom w:val="none" w:sz="0" w:space="0" w:color="auto"/>
            </w:tcBorders>
            <w:vAlign w:val="center"/>
          </w:tcPr>
          <w:p w14:paraId="2690E1B5" w14:textId="77777777" w:rsidR="5EAFE3D3" w:rsidRDefault="5EAFE3D3" w:rsidP="5EAFE3D3">
            <w:pPr>
              <w:pStyle w:val="TBLHeading"/>
            </w:pPr>
            <w:r>
              <w:t>Rating</w:t>
            </w:r>
          </w:p>
        </w:tc>
        <w:tc>
          <w:tcPr>
            <w:tcW w:w="1936" w:type="dxa"/>
            <w:tcBorders>
              <w:top w:val="none" w:sz="0" w:space="0" w:color="auto"/>
              <w:bottom w:val="none" w:sz="0" w:space="0" w:color="auto"/>
            </w:tcBorders>
            <w:vAlign w:val="center"/>
          </w:tcPr>
          <w:p w14:paraId="2F16B694" w14:textId="77777777" w:rsidR="5EAFE3D3" w:rsidRDefault="5EAFE3D3" w:rsidP="5EAFE3D3">
            <w:pPr>
              <w:pStyle w:val="TBLHeading"/>
            </w:pPr>
            <w:r>
              <w:t>PIR Required</w:t>
            </w:r>
          </w:p>
        </w:tc>
        <w:tc>
          <w:tcPr>
            <w:tcW w:w="1934" w:type="dxa"/>
            <w:tcBorders>
              <w:top w:val="none" w:sz="0" w:space="0" w:color="auto"/>
              <w:bottom w:val="none" w:sz="0" w:space="0" w:color="auto"/>
              <w:right w:val="none" w:sz="0" w:space="0" w:color="auto"/>
            </w:tcBorders>
            <w:vAlign w:val="center"/>
          </w:tcPr>
          <w:p w14:paraId="6392270A" w14:textId="51B19E66" w:rsidR="5EAFE3D3" w:rsidRDefault="7B693C6C" w:rsidP="5EAFE3D3">
            <w:pPr>
              <w:pStyle w:val="TBLHeading"/>
            </w:pPr>
            <w:r>
              <w:t xml:space="preserve">Annual </w:t>
            </w:r>
            <w:r w:rsidR="5EAFE3D3">
              <w:t>Regulatory Burden ($m)</w:t>
            </w:r>
          </w:p>
        </w:tc>
      </w:tr>
      <w:tr w:rsidR="5EAFE3D3" w14:paraId="68EA159E" w14:textId="77777777" w:rsidTr="00ED3E43">
        <w:trPr>
          <w:trHeight w:val="300"/>
        </w:trPr>
        <w:tc>
          <w:tcPr>
            <w:tcW w:w="3017" w:type="dxa"/>
            <w:shd w:val="clear" w:color="auto" w:fill="auto"/>
            <w:vAlign w:val="center"/>
          </w:tcPr>
          <w:p w14:paraId="2913D079" w14:textId="6C6021FB" w:rsidR="5EAFE3D3" w:rsidRDefault="004A17D7" w:rsidP="5EAFE3D3">
            <w:pPr>
              <w:pStyle w:val="TBLText"/>
            </w:pPr>
            <w:r>
              <w:t>Resolution to the collapse of the Youpla group</w:t>
            </w:r>
          </w:p>
        </w:tc>
        <w:tc>
          <w:tcPr>
            <w:tcW w:w="1380" w:type="dxa"/>
            <w:shd w:val="clear" w:color="auto" w:fill="auto"/>
            <w:vAlign w:val="center"/>
          </w:tcPr>
          <w:p w14:paraId="5C0746BB" w14:textId="6EE55ABA" w:rsidR="5EAFE3D3" w:rsidRDefault="004A17D7" w:rsidP="5EAFE3D3">
            <w:pPr>
              <w:pStyle w:val="TBLText"/>
              <w:rPr>
                <w:rFonts w:eastAsia="MS Mincho"/>
              </w:rPr>
            </w:pPr>
            <w:r>
              <w:rPr>
                <w:rFonts w:eastAsia="MS Mincho"/>
              </w:rPr>
              <w:t>Compliant</w:t>
            </w:r>
          </w:p>
        </w:tc>
        <w:tc>
          <w:tcPr>
            <w:tcW w:w="1701" w:type="dxa"/>
            <w:shd w:val="clear" w:color="auto" w:fill="auto"/>
            <w:vAlign w:val="center"/>
          </w:tcPr>
          <w:p w14:paraId="00EEBA23" w14:textId="30795A4C" w:rsidR="5EAFE3D3" w:rsidRDefault="004A17D7" w:rsidP="5EAFE3D3">
            <w:pPr>
              <w:pStyle w:val="TBLText"/>
              <w:rPr>
                <w:rFonts w:eastAsia="MS Mincho"/>
              </w:rPr>
            </w:pPr>
            <w:r>
              <w:rPr>
                <w:rFonts w:eastAsia="MS Mincho"/>
              </w:rPr>
              <w:t>Adequate</w:t>
            </w:r>
          </w:p>
        </w:tc>
        <w:tc>
          <w:tcPr>
            <w:tcW w:w="1936" w:type="dxa"/>
            <w:shd w:val="clear" w:color="auto" w:fill="auto"/>
            <w:vAlign w:val="center"/>
          </w:tcPr>
          <w:p w14:paraId="34330356" w14:textId="580FB059" w:rsidR="5EAFE3D3" w:rsidRDefault="004A17D7" w:rsidP="5EAFE3D3">
            <w:pPr>
              <w:pStyle w:val="TBLText"/>
              <w:rPr>
                <w:rFonts w:eastAsia="MS Mincho"/>
              </w:rPr>
            </w:pPr>
            <w:r>
              <w:rPr>
                <w:rFonts w:eastAsia="MS Mincho"/>
              </w:rPr>
              <w:t>No</w:t>
            </w:r>
          </w:p>
        </w:tc>
        <w:tc>
          <w:tcPr>
            <w:tcW w:w="1934" w:type="dxa"/>
            <w:shd w:val="clear" w:color="auto" w:fill="auto"/>
            <w:vAlign w:val="center"/>
          </w:tcPr>
          <w:p w14:paraId="3012A080" w14:textId="74B97777" w:rsidR="5EAFE3D3" w:rsidRDefault="004A17D7" w:rsidP="5EAFE3D3">
            <w:pPr>
              <w:pStyle w:val="TBLText"/>
              <w:rPr>
                <w:rFonts w:eastAsia="MS Mincho"/>
              </w:rPr>
            </w:pPr>
            <w:r w:rsidRPr="3A680449">
              <w:rPr>
                <w:rFonts w:eastAsia="MS Mincho"/>
              </w:rPr>
              <w:t>$1.276m</w:t>
            </w:r>
          </w:p>
        </w:tc>
      </w:tr>
      <w:tr w:rsidR="5EAFE3D3" w14:paraId="4103DBDF" w14:textId="77777777" w:rsidTr="00ED3E43">
        <w:trPr>
          <w:trHeight w:val="300"/>
        </w:trPr>
        <w:tc>
          <w:tcPr>
            <w:tcW w:w="3017" w:type="dxa"/>
            <w:shd w:val="clear" w:color="auto" w:fill="DBE6F5" w:themeFill="text2" w:themeFillTint="1A"/>
            <w:vAlign w:val="center"/>
          </w:tcPr>
          <w:p w14:paraId="51F320E2" w14:textId="77777777" w:rsidR="5EAFE3D3" w:rsidRDefault="5EAFE3D3" w:rsidP="5EAFE3D3">
            <w:pPr>
              <w:pStyle w:val="TBLText"/>
              <w:rPr>
                <w:b/>
                <w:bCs/>
              </w:rPr>
            </w:pPr>
            <w:r w:rsidRPr="5EAFE3D3">
              <w:rPr>
                <w:b/>
                <w:bCs/>
              </w:rPr>
              <w:t>Total proposals</w:t>
            </w:r>
          </w:p>
        </w:tc>
        <w:tc>
          <w:tcPr>
            <w:tcW w:w="1380" w:type="dxa"/>
            <w:shd w:val="clear" w:color="auto" w:fill="DBE6F5" w:themeFill="text2" w:themeFillTint="1A"/>
            <w:vAlign w:val="center"/>
          </w:tcPr>
          <w:p w14:paraId="60F5C989" w14:textId="695F6C06" w:rsidR="5EAFE3D3" w:rsidRDefault="008E4734" w:rsidP="5EAFE3D3">
            <w:pPr>
              <w:pStyle w:val="TBLText"/>
              <w:rPr>
                <w:b/>
                <w:bCs/>
              </w:rPr>
            </w:pPr>
            <w:r>
              <w:rPr>
                <w:b/>
                <w:bCs/>
              </w:rPr>
              <w:t>1</w:t>
            </w:r>
            <w:r w:rsidR="5EAFE3D3" w:rsidRPr="5EAFE3D3">
              <w:rPr>
                <w:b/>
                <w:bCs/>
              </w:rPr>
              <w:t>/</w:t>
            </w:r>
            <w:r>
              <w:rPr>
                <w:b/>
                <w:bCs/>
              </w:rPr>
              <w:t>1</w:t>
            </w:r>
          </w:p>
        </w:tc>
        <w:tc>
          <w:tcPr>
            <w:tcW w:w="1701" w:type="dxa"/>
            <w:shd w:val="clear" w:color="auto" w:fill="DBE6F5" w:themeFill="text2" w:themeFillTint="1A"/>
            <w:vAlign w:val="center"/>
          </w:tcPr>
          <w:p w14:paraId="7E4FBFF3" w14:textId="77777777" w:rsidR="5EAFE3D3" w:rsidRDefault="5EAFE3D3" w:rsidP="5EAFE3D3">
            <w:pPr>
              <w:pStyle w:val="TBLText"/>
              <w:rPr>
                <w:b/>
                <w:bCs/>
              </w:rPr>
            </w:pPr>
            <w:r w:rsidRPr="5EAFE3D3">
              <w:rPr>
                <w:b/>
                <w:bCs/>
              </w:rPr>
              <w:t>-</w:t>
            </w:r>
          </w:p>
        </w:tc>
        <w:tc>
          <w:tcPr>
            <w:tcW w:w="1936" w:type="dxa"/>
            <w:shd w:val="clear" w:color="auto" w:fill="DBE6F5" w:themeFill="text2" w:themeFillTint="1A"/>
            <w:vAlign w:val="center"/>
          </w:tcPr>
          <w:p w14:paraId="2FA80A42" w14:textId="29E74B76" w:rsidR="5EAFE3D3" w:rsidRDefault="008E4734" w:rsidP="5EAFE3D3">
            <w:pPr>
              <w:pStyle w:val="TBLText"/>
              <w:rPr>
                <w:b/>
                <w:bCs/>
              </w:rPr>
            </w:pPr>
            <w:r>
              <w:rPr>
                <w:b/>
                <w:bCs/>
              </w:rPr>
              <w:t>0</w:t>
            </w:r>
            <w:r w:rsidR="5EAFE3D3" w:rsidRPr="5EAFE3D3">
              <w:rPr>
                <w:b/>
                <w:bCs/>
              </w:rPr>
              <w:t>/</w:t>
            </w:r>
            <w:r>
              <w:rPr>
                <w:b/>
                <w:bCs/>
              </w:rPr>
              <w:t>1</w:t>
            </w:r>
          </w:p>
        </w:tc>
        <w:tc>
          <w:tcPr>
            <w:tcW w:w="1934" w:type="dxa"/>
            <w:shd w:val="clear" w:color="auto" w:fill="DBE6F5" w:themeFill="text2" w:themeFillTint="1A"/>
            <w:vAlign w:val="center"/>
          </w:tcPr>
          <w:p w14:paraId="15BA69E4" w14:textId="497B0CC0" w:rsidR="5EAFE3D3" w:rsidRDefault="5EAFE3D3" w:rsidP="008E4734">
            <w:pPr>
              <w:pStyle w:val="TBLText"/>
              <w:rPr>
                <w:b/>
                <w:bCs/>
              </w:rPr>
            </w:pPr>
            <w:r w:rsidRPr="5EAFE3D3">
              <w:rPr>
                <w:b/>
                <w:bCs/>
              </w:rPr>
              <w:t>$</w:t>
            </w:r>
            <w:r w:rsidR="008E4734">
              <w:rPr>
                <w:b/>
                <w:bCs/>
              </w:rPr>
              <w:t>1.276</w:t>
            </w:r>
            <w:r w:rsidRPr="5EAFE3D3">
              <w:rPr>
                <w:b/>
                <w:bCs/>
              </w:rPr>
              <w:t>m</w:t>
            </w:r>
          </w:p>
        </w:tc>
      </w:tr>
    </w:tbl>
    <w:p w14:paraId="398CAFF9" w14:textId="00CED3D3" w:rsidR="004B18FF" w:rsidRDefault="004B18FF" w:rsidP="11EF5523">
      <w:pPr>
        <w:spacing w:after="0"/>
        <w:rPr>
          <w:sz w:val="14"/>
          <w:szCs w:val="14"/>
        </w:rPr>
      </w:pPr>
      <w:bookmarkStart w:id="18" w:name="_Toc155876558"/>
    </w:p>
    <w:p w14:paraId="5FA48EDA" w14:textId="77777777" w:rsidR="000F41B9" w:rsidRDefault="000F41B9">
      <w:pPr>
        <w:spacing w:after="200"/>
        <w:rPr>
          <w:rFonts w:asciiTheme="majorHAnsi" w:eastAsiaTheme="majorEastAsia" w:hAnsiTheme="majorHAnsi" w:cstheme="majorBidi"/>
          <w:color w:val="192D56" w:themeColor="accent1"/>
          <w:sz w:val="40"/>
          <w:szCs w:val="40"/>
        </w:rPr>
      </w:pPr>
      <w:r>
        <w:br w:type="page"/>
      </w:r>
    </w:p>
    <w:p w14:paraId="0B1E375F" w14:textId="6F289F13" w:rsidR="00DE6598" w:rsidRDefault="00DE6598" w:rsidP="068C8A0F">
      <w:pPr>
        <w:pStyle w:val="Heading1"/>
        <w:rPr>
          <w:highlight w:val="yellow"/>
        </w:rPr>
      </w:pPr>
      <w:bookmarkStart w:id="19" w:name="_Toc181213879"/>
      <w:r>
        <w:t>Detailed information on proposals requiring Impact Analysis, 20</w:t>
      </w:r>
      <w:r w:rsidR="7B955789">
        <w:t>25</w:t>
      </w:r>
      <w:r w:rsidR="2F794297">
        <w:t>-</w:t>
      </w:r>
      <w:r w:rsidR="189E373F">
        <w:t>25</w:t>
      </w:r>
      <w:bookmarkEnd w:id="18"/>
      <w:bookmarkEnd w:id="19"/>
    </w:p>
    <w:p w14:paraId="10F45F17" w14:textId="7A06CA19" w:rsidR="1030E897" w:rsidRDefault="1030E897" w:rsidP="34FD77AB">
      <w:pPr>
        <w:pStyle w:val="Heading2"/>
      </w:pPr>
      <w:bookmarkStart w:id="20" w:name="_Toc181213880"/>
      <w:r>
        <w:t>Attorney-General's Department</w:t>
      </w:r>
      <w:bookmarkEnd w:id="20"/>
    </w:p>
    <w:p w14:paraId="34A121E8" w14:textId="0812A747" w:rsidR="33288243" w:rsidRDefault="00474C86" w:rsidP="00474C86">
      <w:pPr>
        <w:pStyle w:val="Heading3"/>
      </w:pPr>
      <w:bookmarkStart w:id="21" w:name="_Toc181213881"/>
      <w:r>
        <w:t>Anti-Money Laundering and Counter-Terrorism Financing Regime (AML-CTF) Reforms</w:t>
      </w:r>
      <w:bookmarkEnd w:id="21"/>
    </w:p>
    <w:p w14:paraId="538573EB" w14:textId="131CC2E9" w:rsidR="00474C86" w:rsidRPr="00474C86" w:rsidRDefault="00474C86" w:rsidP="00474C86">
      <w:pPr>
        <w:rPr>
          <w:rFonts w:eastAsia="MS Mincho"/>
        </w:rPr>
      </w:pPr>
      <w:r w:rsidRPr="00474C86">
        <w:t xml:space="preserve">IA Status: </w:t>
      </w:r>
      <w:r w:rsidRPr="00474C86">
        <w:rPr>
          <w:rFonts w:eastAsia="MS Mincho"/>
          <w:w w:val="105"/>
        </w:rPr>
        <w:t>Compliant</w:t>
      </w:r>
    </w:p>
    <w:p w14:paraId="41BCD8CF" w14:textId="45CE0733" w:rsidR="00474C86" w:rsidRPr="00474C86" w:rsidRDefault="00474C86" w:rsidP="00474C86">
      <w:r w:rsidRPr="00474C86">
        <w:t>Assessment Rating: E</w:t>
      </w:r>
      <w:r w:rsidRPr="00474C86">
        <w:rPr>
          <w:w w:val="105"/>
        </w:rPr>
        <w:t>xemplary</w:t>
      </w:r>
    </w:p>
    <w:p w14:paraId="04D66042" w14:textId="652D1CE5" w:rsidR="00474C86" w:rsidRPr="00474C86" w:rsidRDefault="00474C86" w:rsidP="00474C86">
      <w:r w:rsidRPr="00474C86">
        <w:t>PIR Required: No</w:t>
      </w:r>
    </w:p>
    <w:p w14:paraId="2F377C66" w14:textId="6066BB38" w:rsidR="00474C86" w:rsidRPr="00474C86" w:rsidRDefault="00474C86" w:rsidP="00474C86">
      <w:pPr>
        <w:rPr>
          <w:rFonts w:eastAsia="MS Mincho"/>
          <w:spacing w:val="-3"/>
        </w:rPr>
      </w:pPr>
      <w:r w:rsidRPr="00474C86">
        <w:t xml:space="preserve">Regulatory Burden: </w:t>
      </w:r>
      <w:r w:rsidR="00144E06" w:rsidRPr="00144E06">
        <w:rPr>
          <w:rFonts w:eastAsia="MS Mincho"/>
          <w:spacing w:val="-3"/>
        </w:rPr>
        <w:t>In terms of annual average costs, implementation of Option 4 is estimated to result in $1.851</w:t>
      </w:r>
      <w:proofErr w:type="gramStart"/>
      <w:r w:rsidR="00144E06">
        <w:rPr>
          <w:rFonts w:eastAsia="MS Mincho"/>
          <w:spacing w:val="-3"/>
        </w:rPr>
        <w:t> </w:t>
      </w:r>
      <w:r w:rsidR="4D34068B">
        <w:rPr>
          <w:rFonts w:eastAsia="MS Mincho"/>
          <w:spacing w:val="-3"/>
        </w:rPr>
        <w:t xml:space="preserve"> </w:t>
      </w:r>
      <w:r w:rsidR="00144E06" w:rsidRPr="00144E06">
        <w:rPr>
          <w:rFonts w:eastAsia="MS Mincho"/>
          <w:spacing w:val="-3"/>
        </w:rPr>
        <w:t>billion</w:t>
      </w:r>
      <w:proofErr w:type="gramEnd"/>
      <w:r w:rsidR="00144E06" w:rsidRPr="00144E06">
        <w:rPr>
          <w:rFonts w:eastAsia="MS Mincho"/>
          <w:spacing w:val="-3"/>
        </w:rPr>
        <w:t xml:space="preserve"> in regulatory costs to businesses and $29 million to individuals each year over th</w:t>
      </w:r>
      <w:r w:rsidR="00A80066">
        <w:rPr>
          <w:rFonts w:eastAsia="MS Mincho"/>
          <w:spacing w:val="-3"/>
        </w:rPr>
        <w:t>e next 10 </w:t>
      </w:r>
      <w:r w:rsidR="00144E06" w:rsidRPr="00144E06">
        <w:rPr>
          <w:rFonts w:eastAsia="MS Mincho"/>
          <w:spacing w:val="-3"/>
        </w:rPr>
        <w:t>years.</w:t>
      </w:r>
    </w:p>
    <w:p w14:paraId="4A4EF788" w14:textId="4F81617B" w:rsidR="00474C86" w:rsidRPr="00474C86" w:rsidRDefault="00474C86" w:rsidP="00474C86">
      <w:pPr>
        <w:rPr>
          <w:rFonts w:eastAsia="Times New Roman"/>
          <w:lang w:eastAsia="en-AU"/>
        </w:rPr>
      </w:pPr>
      <w:r w:rsidRPr="00474C86">
        <w:rPr>
          <w:rFonts w:eastAsia="Times New Roman"/>
          <w:lang w:eastAsia="en-AU"/>
        </w:rPr>
        <w:t xml:space="preserve">Australia’s Anti-Money </w:t>
      </w:r>
      <w:proofErr w:type="gramStart"/>
      <w:r w:rsidRPr="00474C86">
        <w:rPr>
          <w:rFonts w:eastAsia="Times New Roman"/>
          <w:lang w:eastAsia="en-AU"/>
        </w:rPr>
        <w:t>Laundering</w:t>
      </w:r>
      <w:proofErr w:type="gramEnd"/>
      <w:r w:rsidRPr="00474C86">
        <w:rPr>
          <w:rFonts w:eastAsia="Times New Roman"/>
          <w:lang w:eastAsia="en-AU"/>
        </w:rPr>
        <w:t xml:space="preserve"> and Counter-Terrorism Financing (AML/CTF) regime establishes a regulatory framework for combatting money laundering, terrorism financing and other serious financial crimes. The intent of Australia’s AML/CTF regime is to impleme</w:t>
      </w:r>
      <w:r>
        <w:rPr>
          <w:rFonts w:eastAsia="Times New Roman"/>
          <w:lang w:eastAsia="en-AU"/>
        </w:rPr>
        <w:t>nt a regulatory framework that:</w:t>
      </w:r>
    </w:p>
    <w:p w14:paraId="527B04C8" w14:textId="50C30ED1" w:rsidR="00474C86" w:rsidRPr="00474C86" w:rsidRDefault="00474C86" w:rsidP="00845013">
      <w:pPr>
        <w:pStyle w:val="ListParagraph"/>
        <w:numPr>
          <w:ilvl w:val="0"/>
          <w:numId w:val="11"/>
        </w:numPr>
        <w:rPr>
          <w:rFonts w:eastAsia="Times New Roman"/>
          <w:lang w:eastAsia="en-AU"/>
        </w:rPr>
      </w:pPr>
      <w:r w:rsidRPr="0C4B8A2C">
        <w:rPr>
          <w:rFonts w:eastAsia="Times New Roman"/>
          <w:lang w:eastAsia="en-AU"/>
        </w:rPr>
        <w:t>minimises the risks and impacts of illicit financing on the Australian economy</w:t>
      </w:r>
    </w:p>
    <w:p w14:paraId="54734778" w14:textId="48A724C5" w:rsidR="00474C86" w:rsidRPr="00474C86" w:rsidRDefault="00474C86" w:rsidP="00845013">
      <w:pPr>
        <w:pStyle w:val="ListParagraph"/>
        <w:numPr>
          <w:ilvl w:val="0"/>
          <w:numId w:val="11"/>
        </w:numPr>
        <w:rPr>
          <w:rFonts w:eastAsia="Times New Roman"/>
          <w:lang w:eastAsia="en-AU"/>
        </w:rPr>
      </w:pPr>
      <w:r w:rsidRPr="0C4B8A2C">
        <w:rPr>
          <w:rFonts w:eastAsia="Times New Roman"/>
          <w:lang w:eastAsia="en-AU"/>
        </w:rPr>
        <w:t>supports domestic and international efforts to combat serious and organised crime, terrorism financing and proliferation financing</w:t>
      </w:r>
    </w:p>
    <w:p w14:paraId="6589A620" w14:textId="4CA0654A" w:rsidR="00474C86" w:rsidRPr="00474C86" w:rsidRDefault="00474C86" w:rsidP="00845013">
      <w:pPr>
        <w:pStyle w:val="ListParagraph"/>
        <w:numPr>
          <w:ilvl w:val="0"/>
          <w:numId w:val="11"/>
        </w:numPr>
        <w:rPr>
          <w:rFonts w:eastAsia="Times New Roman"/>
          <w:lang w:eastAsia="en-AU"/>
        </w:rPr>
      </w:pPr>
      <w:r w:rsidRPr="0C4B8A2C">
        <w:rPr>
          <w:rFonts w:eastAsia="Times New Roman"/>
          <w:lang w:eastAsia="en-AU"/>
        </w:rPr>
        <w:t>does not impose unnecessary burden on Australian business</w:t>
      </w:r>
      <w:r w:rsidR="007F0FDA" w:rsidRPr="0C4B8A2C">
        <w:rPr>
          <w:rFonts w:eastAsia="Times New Roman"/>
          <w:lang w:eastAsia="en-AU"/>
        </w:rPr>
        <w:t xml:space="preserve"> </w:t>
      </w:r>
      <w:r w:rsidRPr="0C4B8A2C">
        <w:rPr>
          <w:rFonts w:eastAsia="Times New Roman"/>
          <w:lang w:eastAsia="en-AU"/>
        </w:rPr>
        <w:t>and</w:t>
      </w:r>
    </w:p>
    <w:p w14:paraId="6CB70A2A" w14:textId="77777777" w:rsidR="00474C86" w:rsidRPr="00474C86" w:rsidRDefault="00474C86" w:rsidP="00845013">
      <w:pPr>
        <w:pStyle w:val="ListParagraph"/>
        <w:numPr>
          <w:ilvl w:val="0"/>
          <w:numId w:val="11"/>
        </w:numPr>
        <w:rPr>
          <w:rFonts w:eastAsia="Times New Roman"/>
          <w:lang w:eastAsia="en-AU"/>
        </w:rPr>
      </w:pPr>
      <w:proofErr w:type="gramStart"/>
      <w:r w:rsidRPr="00474C86">
        <w:rPr>
          <w:rFonts w:eastAsia="Times New Roman"/>
          <w:lang w:eastAsia="en-AU"/>
        </w:rPr>
        <w:t>is</w:t>
      </w:r>
      <w:proofErr w:type="gramEnd"/>
      <w:r w:rsidRPr="00474C86">
        <w:rPr>
          <w:rFonts w:eastAsia="Times New Roman"/>
          <w:lang w:eastAsia="en-AU"/>
        </w:rPr>
        <w:t xml:space="preserve"> consistent with international best practice in combating money laundering and terrorism financing. </w:t>
      </w:r>
    </w:p>
    <w:p w14:paraId="4158E541" w14:textId="06A59B03" w:rsidR="00474C86" w:rsidRPr="00474C86" w:rsidRDefault="00474C86" w:rsidP="00474C86">
      <w:pPr>
        <w:rPr>
          <w:rFonts w:eastAsia="Times New Roman"/>
          <w:lang w:eastAsia="en-AU"/>
        </w:rPr>
      </w:pPr>
      <w:r w:rsidRPr="00474C86">
        <w:rPr>
          <w:rFonts w:eastAsia="Times New Roman"/>
          <w:lang w:eastAsia="en-AU"/>
        </w:rPr>
        <w:t xml:space="preserve">However, there are a number of inefficiencies throughout Australia’s AML/CTF regime that limit the effectiveness of Australia’s response to transnational crime at large, impacting law enforcement operations and national security, and inflating </w:t>
      </w:r>
      <w:r>
        <w:rPr>
          <w:rFonts w:eastAsia="Times New Roman"/>
          <w:lang w:eastAsia="en-AU"/>
        </w:rPr>
        <w:t>regulatory burden for industry.</w:t>
      </w:r>
    </w:p>
    <w:p w14:paraId="16AB468D" w14:textId="2439827D" w:rsidR="00474C86" w:rsidRPr="00474C86" w:rsidRDefault="00474C86" w:rsidP="00474C86">
      <w:pPr>
        <w:rPr>
          <w:rFonts w:eastAsia="Times New Roman"/>
          <w:lang w:eastAsia="en-AU"/>
        </w:rPr>
      </w:pPr>
      <w:r w:rsidRPr="00474C86">
        <w:rPr>
          <w:rFonts w:eastAsia="Times New Roman"/>
          <w:lang w:eastAsia="en-AU"/>
        </w:rPr>
        <w:t>Complexity — The regime is widely considered to be unduly complex and often poorly understood, leading to poor prevention practices and lower quality financial intelligence. The regime spans over 700 pages of legislation, plus published Australian Transaction Reports and Analysis Centre (AUSTRAC) guidance, with many detailed procedural requirements rather than a clear focus on the outcome of mitigating risk. Operational experience and stakeholder consultation have highlighted systemic problems that are largely</w:t>
      </w:r>
      <w:r>
        <w:rPr>
          <w:rFonts w:eastAsia="Times New Roman"/>
          <w:lang w:eastAsia="en-AU"/>
        </w:rPr>
        <w:t xml:space="preserve"> attributed to this complexity.</w:t>
      </w:r>
    </w:p>
    <w:p w14:paraId="61A5E949" w14:textId="193162C6" w:rsidR="00474C86" w:rsidRDefault="00474C86" w:rsidP="00474C86">
      <w:pPr>
        <w:rPr>
          <w:rFonts w:eastAsia="Times New Roman"/>
          <w:lang w:eastAsia="en-AU"/>
        </w:rPr>
      </w:pPr>
      <w:r w:rsidRPr="00474C86">
        <w:rPr>
          <w:rFonts w:eastAsia="Times New Roman"/>
          <w:lang w:eastAsia="en-AU"/>
        </w:rPr>
        <w:t xml:space="preserve">Gaps in regulation — </w:t>
      </w:r>
      <w:proofErr w:type="gramStart"/>
      <w:r w:rsidRPr="00474C86">
        <w:rPr>
          <w:rFonts w:eastAsia="Times New Roman"/>
          <w:lang w:eastAsia="en-AU"/>
        </w:rPr>
        <w:t>The</w:t>
      </w:r>
      <w:proofErr w:type="gramEnd"/>
      <w:r w:rsidRPr="00474C86">
        <w:rPr>
          <w:rFonts w:eastAsia="Times New Roman"/>
          <w:lang w:eastAsia="en-AU"/>
        </w:rPr>
        <w:t xml:space="preserve"> regime does not extend to sectors internationally recognised as being at high risk of money laundering and terrorism financing, such as certain services provided by lawyers, accountants and real estate professionals. Additionally, regulation of digital currency exchange services, a key vector for illicit financing, has also not kept pace with international standards.</w:t>
      </w:r>
    </w:p>
    <w:p w14:paraId="29C8754D" w14:textId="7AC54768" w:rsidR="00474C86" w:rsidRPr="00474C86" w:rsidRDefault="00474C86" w:rsidP="00474C86">
      <w:pPr>
        <w:rPr>
          <w:rFonts w:eastAsia="Times New Roman"/>
          <w:lang w:eastAsia="en-AU"/>
        </w:rPr>
      </w:pPr>
      <w:r w:rsidRPr="00474C86">
        <w:rPr>
          <w:rFonts w:eastAsia="Times New Roman"/>
          <w:lang w:eastAsia="en-AU"/>
        </w:rPr>
        <w:t>Four viable policy options to respond to the problems identified were c</w:t>
      </w:r>
      <w:r>
        <w:rPr>
          <w:rFonts w:eastAsia="Times New Roman"/>
          <w:lang w:eastAsia="en-AU"/>
        </w:rPr>
        <w:t>onsidered in the IA, including:</w:t>
      </w:r>
    </w:p>
    <w:p w14:paraId="0A48C319" w14:textId="77777777" w:rsidR="00474C86" w:rsidRPr="00474C86" w:rsidRDefault="00474C86" w:rsidP="00845013">
      <w:pPr>
        <w:pStyle w:val="ListParagraph"/>
        <w:numPr>
          <w:ilvl w:val="0"/>
          <w:numId w:val="12"/>
        </w:numPr>
        <w:rPr>
          <w:rFonts w:eastAsia="Times New Roman"/>
          <w:lang w:eastAsia="en-AU"/>
        </w:rPr>
      </w:pPr>
      <w:r w:rsidRPr="00474C86">
        <w:rPr>
          <w:rFonts w:eastAsia="Times New Roman"/>
          <w:lang w:eastAsia="en-AU"/>
        </w:rPr>
        <w:t>Option 1: maintain the status quo</w:t>
      </w:r>
    </w:p>
    <w:p w14:paraId="24714B6F" w14:textId="77777777" w:rsidR="00474C86" w:rsidRPr="00474C86" w:rsidRDefault="00474C86" w:rsidP="00845013">
      <w:pPr>
        <w:pStyle w:val="ListParagraph"/>
        <w:numPr>
          <w:ilvl w:val="0"/>
          <w:numId w:val="12"/>
        </w:numPr>
        <w:rPr>
          <w:rFonts w:eastAsia="Times New Roman"/>
          <w:lang w:eastAsia="en-AU"/>
        </w:rPr>
      </w:pPr>
      <w:r w:rsidRPr="00474C86">
        <w:rPr>
          <w:rFonts w:eastAsia="Times New Roman"/>
          <w:lang w:eastAsia="en-AU"/>
        </w:rPr>
        <w:t>Option 2: simplify, clarify and modernise existing legislation</w:t>
      </w:r>
    </w:p>
    <w:p w14:paraId="2967A164" w14:textId="77777777" w:rsidR="00474C86" w:rsidRPr="00474C86" w:rsidRDefault="00474C86" w:rsidP="00845013">
      <w:pPr>
        <w:pStyle w:val="ListParagraph"/>
        <w:numPr>
          <w:ilvl w:val="0"/>
          <w:numId w:val="12"/>
        </w:numPr>
        <w:rPr>
          <w:rFonts w:eastAsia="Times New Roman"/>
          <w:lang w:eastAsia="en-AU"/>
        </w:rPr>
      </w:pPr>
      <w:r w:rsidRPr="00474C86">
        <w:rPr>
          <w:rFonts w:eastAsia="Times New Roman"/>
          <w:lang w:eastAsia="en-AU"/>
        </w:rPr>
        <w:t>Option 3: expand the reporting population to designated non-financial businesses and professions (DNFPBs)</w:t>
      </w:r>
    </w:p>
    <w:p w14:paraId="07A7386C" w14:textId="77777777" w:rsidR="00474C86" w:rsidRPr="00474C86" w:rsidRDefault="00474C86" w:rsidP="00845013">
      <w:pPr>
        <w:pStyle w:val="ListParagraph"/>
        <w:numPr>
          <w:ilvl w:val="0"/>
          <w:numId w:val="12"/>
        </w:numPr>
        <w:rPr>
          <w:rFonts w:eastAsia="Times New Roman"/>
          <w:lang w:eastAsia="en-AU"/>
        </w:rPr>
      </w:pPr>
      <w:r w:rsidRPr="00474C86">
        <w:rPr>
          <w:rFonts w:eastAsia="Times New Roman"/>
          <w:lang w:eastAsia="en-AU"/>
        </w:rPr>
        <w:t>Option 4: both simplify, clarify and modernise legislation, and expand reporting population to DNFBPs.</w:t>
      </w:r>
    </w:p>
    <w:p w14:paraId="352C3877" w14:textId="77777777" w:rsidR="00474C86" w:rsidRPr="00474C86" w:rsidRDefault="00474C86" w:rsidP="00474C86">
      <w:pPr>
        <w:rPr>
          <w:rFonts w:eastAsia="Times New Roman"/>
          <w:lang w:eastAsia="en-AU"/>
        </w:rPr>
      </w:pPr>
      <w:r w:rsidRPr="00474C86">
        <w:rPr>
          <w:rFonts w:eastAsia="Times New Roman"/>
          <w:lang w:eastAsia="en-AU"/>
        </w:rPr>
        <w:t>The IA presents Option 4 as the preferred option. This option is expected to deliver the significant law enforcement benefits from the expansion of the AML/CTF regime to DNFBPs (or ‘tranche two’ entities in the Australian context), with the additional benefit of improved compliance across regulated entities and tranche two entities due to the reforms to simplify the regime, including AML/CTF program and Customer Due Diligence (CDD) requirements.</w:t>
      </w:r>
    </w:p>
    <w:p w14:paraId="2C709B0E" w14:textId="77777777" w:rsidR="00474C86" w:rsidRPr="00474C86" w:rsidRDefault="00474C86" w:rsidP="00474C86">
      <w:pPr>
        <w:rPr>
          <w:rFonts w:eastAsia="Times New Roman"/>
          <w:lang w:eastAsia="en-AU"/>
        </w:rPr>
      </w:pPr>
      <w:r w:rsidRPr="00474C86">
        <w:rPr>
          <w:rFonts w:eastAsia="Times New Roman"/>
          <w:lang w:eastAsia="en-AU"/>
        </w:rPr>
        <w:t>These benefits will harden Australia's financial ecosystem against criminal exploitation and likely increase the identification, restraint and confiscation of criminal assets and reduce opportunities for criminals to reinvest illicit funds into further criminal activities. Option 4 will also provide the greatest benefit for improving Australia’s Financial Action Taskforce (FATF) compliance and minimising the likelihood of grey-listing and any associated economic and reputational damage to Australia.</w:t>
      </w:r>
    </w:p>
    <w:p w14:paraId="7E3C4067" w14:textId="463D833B" w:rsidR="33288243" w:rsidRPr="00474C86" w:rsidRDefault="00474C86" w:rsidP="33288243">
      <w:pPr>
        <w:rPr>
          <w:rFonts w:eastAsia="Times New Roman"/>
          <w:lang w:eastAsia="en-AU"/>
        </w:rPr>
      </w:pPr>
      <w:r w:rsidRPr="00474C86">
        <w:rPr>
          <w:rFonts w:eastAsia="Times New Roman"/>
          <w:lang w:eastAsia="en-AU"/>
        </w:rPr>
        <w:t>The costs of Option 4 are estimated to be up to $13.9 billion for businesses and $209 million for consumers over 10 years (in net present value terms). The total quantifiable benefits are estimated at up to $13.1 billion over 10 years (in net present value terms), with the full range of anticipated benefits, including those that cannot be quantified, expected to represent a much higher value.</w:t>
      </w:r>
    </w:p>
    <w:p w14:paraId="213EF45B" w14:textId="77777777" w:rsidR="00DE6598" w:rsidRDefault="00DE6598" w:rsidP="00DE6598">
      <w:pPr>
        <w:pStyle w:val="Heading2"/>
      </w:pPr>
      <w:bookmarkStart w:id="22" w:name="_Toc155876559"/>
      <w:bookmarkStart w:id="23" w:name="_Toc181213882"/>
      <w:bookmarkStart w:id="24" w:name="_Toc122424422"/>
      <w:r>
        <w:t>Australian Competition and Consumer Commission</w:t>
      </w:r>
      <w:bookmarkEnd w:id="22"/>
      <w:bookmarkEnd w:id="23"/>
    </w:p>
    <w:p w14:paraId="738B5271" w14:textId="77777777" w:rsidR="00581DBE" w:rsidRDefault="00581DBE" w:rsidP="73644DF4">
      <w:pPr>
        <w:rPr>
          <w:rFonts w:asciiTheme="majorHAnsi" w:eastAsia="MS Mincho" w:hAnsiTheme="majorHAnsi" w:cstheme="majorBidi"/>
          <w:color w:val="192D56" w:themeColor="accent1"/>
          <w:sz w:val="26"/>
          <w:szCs w:val="22"/>
        </w:rPr>
      </w:pPr>
      <w:r w:rsidRPr="00581DBE">
        <w:rPr>
          <w:rFonts w:asciiTheme="majorHAnsi" w:eastAsia="MS Mincho" w:hAnsiTheme="majorHAnsi" w:cstheme="majorBidi"/>
          <w:color w:val="192D56" w:themeColor="accent1"/>
          <w:sz w:val="26"/>
          <w:szCs w:val="22"/>
        </w:rPr>
        <w:t>ACCC: safety risks posed by infant inclined products</w:t>
      </w:r>
    </w:p>
    <w:p w14:paraId="7FDC8AD9" w14:textId="4ED167B9" w:rsidR="00DE6598" w:rsidRPr="00581DBE" w:rsidRDefault="00DE6598" w:rsidP="73644DF4">
      <w:pPr>
        <w:rPr>
          <w:rFonts w:eastAsia="MS Mincho"/>
        </w:rPr>
      </w:pPr>
      <w:r w:rsidRPr="00B25486">
        <w:t xml:space="preserve">IA Status: </w:t>
      </w:r>
      <w:r w:rsidRPr="00581DBE">
        <w:rPr>
          <w:rFonts w:eastAsia="MS Mincho"/>
          <w:w w:val="105"/>
        </w:rPr>
        <w:t>Compliant</w:t>
      </w:r>
    </w:p>
    <w:p w14:paraId="4AC7A3E3" w14:textId="4D358A62" w:rsidR="00DE6598" w:rsidRPr="00581DBE" w:rsidRDefault="00DE6598" w:rsidP="3E89633C">
      <w:r w:rsidRPr="00581DBE">
        <w:t xml:space="preserve">Assessment Rating: </w:t>
      </w:r>
      <w:r w:rsidRPr="00581DBE">
        <w:rPr>
          <w:w w:val="105"/>
        </w:rPr>
        <w:t>Good Practice</w:t>
      </w:r>
    </w:p>
    <w:p w14:paraId="67E71B72" w14:textId="4DA197EB" w:rsidR="00DE6598" w:rsidRPr="001A7674" w:rsidRDefault="00DE6598" w:rsidP="0EE19523">
      <w:r w:rsidRPr="00581DBE">
        <w:t xml:space="preserve">PIR Required: </w:t>
      </w:r>
      <w:r w:rsidR="00581DBE" w:rsidRPr="00581DBE">
        <w:t>No</w:t>
      </w:r>
    </w:p>
    <w:p w14:paraId="48CB57BE" w14:textId="5E7B3CE6" w:rsidR="00581DBE" w:rsidRPr="00581DBE" w:rsidRDefault="00DE6598" w:rsidP="00581DBE">
      <w:pPr>
        <w:rPr>
          <w:rFonts w:eastAsia="MS Mincho"/>
          <w:spacing w:val="-3"/>
        </w:rPr>
      </w:pPr>
      <w:r w:rsidRPr="001A7674">
        <w:t xml:space="preserve">Regulatory Burden: </w:t>
      </w:r>
      <w:r w:rsidR="00581DBE" w:rsidRPr="00581DBE">
        <w:rPr>
          <w:rFonts w:eastAsia="MS Mincho"/>
          <w:spacing w:val="-3"/>
        </w:rPr>
        <w:t xml:space="preserve">The ACCC estimates the </w:t>
      </w:r>
      <w:r w:rsidR="00581DBE" w:rsidRPr="0C4B8A2C">
        <w:rPr>
          <w:rFonts w:eastAsia="MS Mincho"/>
          <w:i/>
          <w:iCs/>
          <w:spacing w:val="-3"/>
        </w:rPr>
        <w:t xml:space="preserve">Consumer Goods (Infant Products) Information Standard 2024 </w:t>
      </w:r>
      <w:r w:rsidR="00581DBE" w:rsidRPr="00581DBE">
        <w:rPr>
          <w:rFonts w:eastAsia="MS Mincho"/>
          <w:spacing w:val="-3"/>
        </w:rPr>
        <w:t xml:space="preserve">will result in an increase in average regulatory costs of between $0.63 and $1.35 </w:t>
      </w:r>
      <w:r w:rsidR="00581DBE">
        <w:rPr>
          <w:rFonts w:eastAsia="MS Mincho"/>
          <w:spacing w:val="-3"/>
        </w:rPr>
        <w:t>million over the next 10 years.</w:t>
      </w:r>
    </w:p>
    <w:p w14:paraId="2814D868" w14:textId="3BF1E0AD" w:rsidR="00DE6598" w:rsidRDefault="00581DBE" w:rsidP="00581DBE">
      <w:pPr>
        <w:rPr>
          <w:rFonts w:eastAsia="MS Mincho"/>
          <w:spacing w:val="-3"/>
        </w:rPr>
      </w:pPr>
      <w:r w:rsidRPr="00581DBE">
        <w:rPr>
          <w:rFonts w:eastAsia="MS Mincho"/>
          <w:spacing w:val="-3"/>
        </w:rPr>
        <w:t xml:space="preserve">The ACCC estimates the </w:t>
      </w:r>
      <w:r w:rsidRPr="0C4B8A2C">
        <w:rPr>
          <w:rFonts w:eastAsia="MS Mincho"/>
          <w:i/>
          <w:iCs/>
          <w:spacing w:val="-3"/>
        </w:rPr>
        <w:t>Consumer Goods (Infant Sleep Products) Safety Standard 2024</w:t>
      </w:r>
      <w:r w:rsidRPr="00581DBE">
        <w:rPr>
          <w:rFonts w:eastAsia="MS Mincho"/>
          <w:spacing w:val="-3"/>
        </w:rPr>
        <w:t xml:space="preserve"> will result in an increase in average regulatory costs of between $2.77 and $161.83 million per year for the first two years, and between $1.20 and $4.33 million from year three onwards.</w:t>
      </w:r>
    </w:p>
    <w:p w14:paraId="34D9D79E" w14:textId="77777777" w:rsidR="00581DBE" w:rsidRPr="00581DBE" w:rsidRDefault="00581DBE" w:rsidP="00317A04">
      <w:pPr>
        <w:rPr>
          <w:szCs w:val="22"/>
        </w:rPr>
      </w:pPr>
      <w:bookmarkStart w:id="25" w:name="_Toc155876561"/>
      <w:r w:rsidRPr="27EF9D9E">
        <w:rPr>
          <w:szCs w:val="22"/>
        </w:rPr>
        <w:t xml:space="preserve">Australia's product safety regime does not have a general safety provision that prohibits unsafe goods being supplied or any mandatory standards which specifically capture all Infant Sleep Products. There is currently no single Australian or international standard that can be adopted to address all risks identified for Infant Sleep Products. </w:t>
      </w:r>
    </w:p>
    <w:p w14:paraId="423DB0D5" w14:textId="77777777" w:rsidR="00581DBE" w:rsidRDefault="00581DBE" w:rsidP="00317A04">
      <w:pPr>
        <w:rPr>
          <w:szCs w:val="22"/>
        </w:rPr>
      </w:pPr>
      <w:r w:rsidRPr="27EF9D9E">
        <w:rPr>
          <w:szCs w:val="22"/>
        </w:rPr>
        <w:t xml:space="preserve">Fatalities associated with Infant Sleep Products and Inclined Sleep Products and Inclined Non-Sleep Products will continue to occur if no government action is taken. The ACCC considers the risk to infants posed by unsafe Infant Sleep Products is significant and likely to become more prominent in the future. </w:t>
      </w:r>
    </w:p>
    <w:p w14:paraId="65D1F142" w14:textId="35959A68" w:rsidR="00581DBE" w:rsidRPr="00581DBE" w:rsidRDefault="00581DBE" w:rsidP="00317A04">
      <w:pPr>
        <w:rPr>
          <w:szCs w:val="22"/>
        </w:rPr>
      </w:pPr>
      <w:r w:rsidRPr="27EF9D9E">
        <w:rPr>
          <w:szCs w:val="22"/>
        </w:rPr>
        <w:t xml:space="preserve">The proposal is to make a mandatory safety standard, mandatory information standard for Infant Sleep Products and Inclined Non-Sleep Products and revoke the household and folding cots mandatory standards, plus an education campaign. </w:t>
      </w:r>
    </w:p>
    <w:p w14:paraId="0F3D6DDE" w14:textId="42215C33" w:rsidR="00581DBE" w:rsidRDefault="00581DBE" w:rsidP="00317A04">
      <w:pPr>
        <w:rPr>
          <w:szCs w:val="22"/>
        </w:rPr>
      </w:pPr>
      <w:r w:rsidRPr="27EF9D9E">
        <w:rPr>
          <w:szCs w:val="22"/>
        </w:rPr>
        <w:t>The ACCC considers this will best improve safety and address the risks associated with Infant Sleep Products and Inclined Non-Sleep Products.</w:t>
      </w:r>
    </w:p>
    <w:p w14:paraId="5EC9AED9" w14:textId="6E6FC3ED" w:rsidR="00DE6598" w:rsidRDefault="00DE6598" w:rsidP="00DE6598">
      <w:pPr>
        <w:pStyle w:val="Heading2"/>
      </w:pPr>
      <w:bookmarkStart w:id="26" w:name="_Toc155876567"/>
      <w:bookmarkStart w:id="27" w:name="_Toc181213883"/>
      <w:bookmarkEnd w:id="24"/>
      <w:bookmarkEnd w:id="25"/>
      <w:r>
        <w:t>Department of Climate Change, Energy, the Environment and Water</w:t>
      </w:r>
      <w:bookmarkEnd w:id="26"/>
      <w:bookmarkEnd w:id="27"/>
    </w:p>
    <w:p w14:paraId="50BC5AB3" w14:textId="32D235D5" w:rsidR="00581DBE" w:rsidRDefault="00581DBE" w:rsidP="00581DBE">
      <w:pPr>
        <w:pStyle w:val="Heading3"/>
      </w:pPr>
      <w:bookmarkStart w:id="28" w:name="_Toc181213884"/>
      <w:r>
        <w:t>Implementing a Guarantee of Origin Scheme</w:t>
      </w:r>
      <w:bookmarkEnd w:id="28"/>
    </w:p>
    <w:p w14:paraId="414CA067" w14:textId="77777777" w:rsidR="00581DBE" w:rsidRPr="00D2267D" w:rsidRDefault="00581DBE" w:rsidP="00581DBE">
      <w:pPr>
        <w:rPr>
          <w:rFonts w:eastAsia="MS Mincho"/>
        </w:rPr>
      </w:pPr>
      <w:r w:rsidRPr="00B25486">
        <w:t xml:space="preserve">IA </w:t>
      </w:r>
      <w:r w:rsidRPr="00D2267D">
        <w:t xml:space="preserve">Status: </w:t>
      </w:r>
      <w:r w:rsidRPr="00D2267D">
        <w:rPr>
          <w:rFonts w:eastAsia="MS Mincho"/>
          <w:w w:val="105"/>
        </w:rPr>
        <w:t>Compliant</w:t>
      </w:r>
    </w:p>
    <w:p w14:paraId="33B27266" w14:textId="44B12686" w:rsidR="00581DBE" w:rsidRPr="00D2267D" w:rsidRDefault="00581DBE" w:rsidP="00581DBE">
      <w:r w:rsidRPr="00D2267D">
        <w:t xml:space="preserve">Assessment Rating: </w:t>
      </w:r>
      <w:r w:rsidR="00845013">
        <w:t>Adequate</w:t>
      </w:r>
    </w:p>
    <w:p w14:paraId="5FDB8ADE" w14:textId="77777777" w:rsidR="00581DBE" w:rsidRPr="001A7674" w:rsidRDefault="00581DBE" w:rsidP="00581DBE">
      <w:r w:rsidRPr="00D2267D">
        <w:t>PIR Required: No</w:t>
      </w:r>
    </w:p>
    <w:p w14:paraId="046B625C" w14:textId="4595F48F" w:rsidR="00581DBE" w:rsidRDefault="00581DBE" w:rsidP="00581DBE">
      <w:pPr>
        <w:rPr>
          <w:rFonts w:eastAsia="MS Mincho"/>
          <w:spacing w:val="-3"/>
        </w:rPr>
      </w:pPr>
      <w:r w:rsidRPr="001A7674">
        <w:t xml:space="preserve">Regulatory Burden: </w:t>
      </w:r>
      <w:r w:rsidR="004B18E1" w:rsidRPr="0C4B8A2C">
        <w:rPr>
          <w:rFonts w:eastAsia="MS Mincho"/>
        </w:rPr>
        <w:t>The Department of Climate Change, Energy, the Environment and Water estimates the Guarantee of Origin (GO) scheme option would increase annual regulatory costs by approximately $20.2 million, on average over 10 years. This represents</w:t>
      </w:r>
      <w:r w:rsidR="004B18E1" w:rsidRPr="004B18E1">
        <w:rPr>
          <w:rFonts w:eastAsia="MS Mincho"/>
          <w:spacing w:val="-3"/>
        </w:rPr>
        <w:t xml:space="preserve"> an average annual cost of $16.9 million to the renewable electricity sector (including participants transitioning from the Renewable Energy Target Scheme </w:t>
      </w:r>
      <w:r w:rsidR="004B18E1">
        <w:rPr>
          <w:rFonts w:eastAsia="MS Mincho"/>
          <w:spacing w:val="-3"/>
        </w:rPr>
        <w:t>from 2030) and $3.3 </w:t>
      </w:r>
      <w:r w:rsidR="004B18E1" w:rsidRPr="004B18E1">
        <w:rPr>
          <w:rFonts w:eastAsia="MS Mincho"/>
          <w:spacing w:val="-3"/>
        </w:rPr>
        <w:t>million to the hydrogen and other sectors.</w:t>
      </w:r>
    </w:p>
    <w:p w14:paraId="7FD15FB5" w14:textId="45A1E093" w:rsidR="00845013" w:rsidRDefault="00845013" w:rsidP="00845013">
      <w:r>
        <w:t>Within Australia there is a lack of transparent, consistent, and trusted, consistent, information on low-emission and clean Australian-made products, and no enduring mechanism to provide certification on renewable electricity.</w:t>
      </w:r>
    </w:p>
    <w:p w14:paraId="3E5831FE" w14:textId="7A6A8B07" w:rsidR="00845013" w:rsidRDefault="00845013" w:rsidP="00845013">
      <w:r>
        <w:t xml:space="preserve">The deficiency of product information restricts the capacity for consumers to ascertain the difference between carbon-intensive and low-emission goods that are physically identical. Without this information, buyers and sellers of these kind of products are unable to efficiently transact and co-ordinate their activities, inhibiting the development of markets for low-emission goods. Consumers may not be willing to pay a premium for a good described as ‘low emission’, ‘green’, or ‘renewable’ without robust evidence that the low emissions attributes of the product are correct. Additionally, the absence of product information could limit the ability of government incentive programs to discriminate and target support towards low emissions or renewable products. </w:t>
      </w:r>
    </w:p>
    <w:p w14:paraId="4567F1D6" w14:textId="61C943CE" w:rsidR="00581DBE" w:rsidRDefault="00845013" w:rsidP="00845013">
      <w:r>
        <w:t>Renewable electricity certification exists in Australia under the Renewable Energy Target (RET) scheme. However, the RET scheme, including the ability to certify renewable electricity, is legislated to end in 2030 and only applies to a subset of total renewable electricity generation in Australia.</w:t>
      </w:r>
    </w:p>
    <w:p w14:paraId="45EE1B9F" w14:textId="7768CAB5" w:rsidR="00845013" w:rsidRDefault="00FD68F0" w:rsidP="00845013">
      <w:r>
        <w:t>The IA</w:t>
      </w:r>
      <w:r w:rsidR="00845013">
        <w:t xml:space="preserve"> considers three policy options:</w:t>
      </w:r>
    </w:p>
    <w:p w14:paraId="5AA66EAA" w14:textId="765AED55" w:rsidR="00845013" w:rsidRDefault="00845013" w:rsidP="00845013">
      <w:pPr>
        <w:pStyle w:val="ListParagraph"/>
        <w:numPr>
          <w:ilvl w:val="0"/>
          <w:numId w:val="16"/>
        </w:numPr>
      </w:pPr>
      <w:r>
        <w:t xml:space="preserve">Option 1: Status-quo (non-regulatory) – Australian industry would develop emissions accounting and certification frameworks as required without Australian Government involvement </w:t>
      </w:r>
    </w:p>
    <w:p w14:paraId="3DF049AC" w14:textId="223190CC" w:rsidR="00845013" w:rsidRDefault="00845013" w:rsidP="00845013">
      <w:pPr>
        <w:pStyle w:val="ListParagraph"/>
        <w:numPr>
          <w:ilvl w:val="0"/>
          <w:numId w:val="16"/>
        </w:numPr>
      </w:pPr>
      <w:r>
        <w:t>Option 2: Publish framework with no government administration (quasi-regulatory) – The Australian Government would develop an emissions accounting framework for hydrogen that industry could voluntarily choose to adopt and apply to their certification schemes for clean products for both domestic and export. This option would not apply to renewable electricity</w:t>
      </w:r>
    </w:p>
    <w:p w14:paraId="46472420" w14:textId="1BE28E4A" w:rsidR="00845013" w:rsidRDefault="00845013" w:rsidP="00845013">
      <w:pPr>
        <w:pStyle w:val="ListParagraph"/>
        <w:numPr>
          <w:ilvl w:val="0"/>
          <w:numId w:val="16"/>
        </w:numPr>
      </w:pPr>
      <w:r>
        <w:t>Option 3: Australian Government administered Guarantee of Origin Scheme (regulatory) – The Australian Government would implement and administer a voluntary scheme, the Guarantee of Origin or ‘GO’ scheme, to measure, track and verify emissions information related to products, and provide an enduring certification mechanism for renewable electricity.</w:t>
      </w:r>
    </w:p>
    <w:p w14:paraId="013B319F" w14:textId="3241B4E5" w:rsidR="00845013" w:rsidRPr="00581DBE" w:rsidRDefault="00845013" w:rsidP="00845013">
      <w:r>
        <w:t>The preferred policy option is Option 3, the Guarantee of Origin (GO) scheme, as this option would provide the necessary investment certainty, achieve greater integrity and unlock greater economic opportunities over the medium-to-long term.</w:t>
      </w:r>
    </w:p>
    <w:p w14:paraId="5335EFD8" w14:textId="1A0196D1" w:rsidR="00DE6598" w:rsidRDefault="00DE6598" w:rsidP="00DE6598">
      <w:pPr>
        <w:pStyle w:val="Heading2"/>
      </w:pPr>
      <w:bookmarkStart w:id="29" w:name="_Toc155876577"/>
      <w:bookmarkStart w:id="30" w:name="_Toc181213885"/>
      <w:r>
        <w:t>Department of Health and Aged Care</w:t>
      </w:r>
      <w:bookmarkEnd w:id="29"/>
      <w:bookmarkEnd w:id="30"/>
    </w:p>
    <w:p w14:paraId="4A03A053" w14:textId="35F7ED2A" w:rsidR="00845013" w:rsidRDefault="00845013" w:rsidP="00845013">
      <w:pPr>
        <w:pStyle w:val="Heading3"/>
      </w:pPr>
      <w:bookmarkStart w:id="31" w:name="_Toc181213886"/>
      <w:r>
        <w:t>Aged Care Bill 2024</w:t>
      </w:r>
      <w:bookmarkEnd w:id="31"/>
    </w:p>
    <w:p w14:paraId="11141AC5" w14:textId="77777777" w:rsidR="00845013" w:rsidRPr="00D2267D" w:rsidRDefault="00845013" w:rsidP="00845013">
      <w:pPr>
        <w:rPr>
          <w:rFonts w:eastAsia="MS Mincho"/>
        </w:rPr>
      </w:pPr>
      <w:r w:rsidRPr="00B25486">
        <w:t xml:space="preserve">IA </w:t>
      </w:r>
      <w:r w:rsidRPr="00D2267D">
        <w:t xml:space="preserve">Status: </w:t>
      </w:r>
      <w:r w:rsidRPr="00D2267D">
        <w:rPr>
          <w:rFonts w:eastAsia="MS Mincho"/>
          <w:w w:val="105"/>
        </w:rPr>
        <w:t>Compliant</w:t>
      </w:r>
    </w:p>
    <w:p w14:paraId="4B53BA2D" w14:textId="192B0AE0" w:rsidR="00845013" w:rsidRPr="00D2267D" w:rsidRDefault="00845013" w:rsidP="00845013">
      <w:r w:rsidRPr="00D2267D">
        <w:t xml:space="preserve">Assessment Rating: </w:t>
      </w:r>
      <w:r>
        <w:t>N/A (Impact Analysis Equivalent)</w:t>
      </w:r>
    </w:p>
    <w:p w14:paraId="661A3C8B" w14:textId="77777777" w:rsidR="00845013" w:rsidRPr="001A7674" w:rsidRDefault="00845013" w:rsidP="00845013">
      <w:r w:rsidRPr="00D2267D">
        <w:t>PIR Required: No</w:t>
      </w:r>
    </w:p>
    <w:p w14:paraId="1791856D" w14:textId="584704AD" w:rsidR="00845013" w:rsidRDefault="00845013" w:rsidP="00845013">
      <w:pPr>
        <w:rPr>
          <w:rFonts w:eastAsia="MS Mincho"/>
          <w:spacing w:val="-3"/>
        </w:rPr>
      </w:pPr>
      <w:r w:rsidRPr="001A7674">
        <w:t xml:space="preserve">Regulatory Burden: </w:t>
      </w:r>
      <w:r w:rsidR="004D2017" w:rsidRPr="0C4B8A2C">
        <w:t>The Department of Health and Aged Care estimates these measures will result in a decrease in regulatory costs of around $4.8 million per year, averaged over ten years.</w:t>
      </w:r>
    </w:p>
    <w:p w14:paraId="71CEE9C1" w14:textId="60DC6464" w:rsidR="00845013" w:rsidRPr="00845013" w:rsidRDefault="00845013" w:rsidP="00845013">
      <w:pPr>
        <w:rPr>
          <w:rFonts w:eastAsia="MS Mincho"/>
          <w:spacing w:val="-3"/>
        </w:rPr>
      </w:pPr>
      <w:r w:rsidRPr="00845013">
        <w:rPr>
          <w:rFonts w:eastAsia="MS Mincho"/>
          <w:spacing w:val="-3"/>
        </w:rPr>
        <w:t>The Royal Commission into Aged Care Quality and Safety (the Royal Commission) found that at least 1 in 3 people accessing residential aged care and home services have experienced substandard care, and that the objectives, regulation and funding of the Australian aged care sy</w:t>
      </w:r>
      <w:r>
        <w:rPr>
          <w:rFonts w:eastAsia="MS Mincho"/>
          <w:spacing w:val="-3"/>
        </w:rPr>
        <w:t xml:space="preserve">stem is complex and piecemeal. </w:t>
      </w:r>
    </w:p>
    <w:p w14:paraId="53FAF2BA" w14:textId="34F531CB" w:rsidR="00845013" w:rsidRPr="00845013" w:rsidRDefault="00845013" w:rsidP="00845013">
      <w:pPr>
        <w:rPr>
          <w:rFonts w:eastAsia="MS Mincho"/>
          <w:spacing w:val="-3"/>
        </w:rPr>
      </w:pPr>
      <w:r w:rsidRPr="00845013">
        <w:rPr>
          <w:rFonts w:eastAsia="MS Mincho"/>
          <w:spacing w:val="-3"/>
        </w:rPr>
        <w:t xml:space="preserve">These issues are expected to compound over the coming years due to Australia’s changing demographics, patterns of disease and dependency, and community expectations for quality care of older people – placing pressure on the aged care workforce and funding to support growing demand for aged care services. For example, the Royal Commission identified that the number of Australians aged 85 years and over is projected to increase from 515,700 in 2018–19 (around 2.0% of the Australian population) to more than 1.5 million by 2058 (around 3.7% of the population). Further, over this time the number of working age people (15-64 years) for every Australian aged 65 years+ is projected to decrease from 4.2 in 2019 to 3.1 in 2058. </w:t>
      </w:r>
    </w:p>
    <w:p w14:paraId="03522A2C" w14:textId="41C65CD6" w:rsidR="00845013" w:rsidRPr="00845013" w:rsidRDefault="00845013" w:rsidP="00845013">
      <w:pPr>
        <w:rPr>
          <w:rFonts w:eastAsia="MS Mincho"/>
          <w:spacing w:val="-3"/>
        </w:rPr>
      </w:pPr>
      <w:r w:rsidRPr="00845013">
        <w:rPr>
          <w:rFonts w:eastAsia="MS Mincho"/>
          <w:spacing w:val="-3"/>
        </w:rPr>
        <w:t>The Aged Care Bill 2024 intends to give effect to the Government’s election commitments to deliver improved transparency and accountability, and protect the safety, dignity and wellbeing of people accessing aged care services. The Bill delivers on a number of Royal Commission recommendations, including additional regulatory requirements on aged care providers, a new Support at Home program, and a new funding models for specialist programs. The Bill also seeks to clarify obligations on aged care providers and workers with a focus on continuous improvement in delivery of high quality care and services, and ensure the sustainability of the aged care system.</w:t>
      </w:r>
    </w:p>
    <w:p w14:paraId="2430C517" w14:textId="360EE767" w:rsidR="00DE6598" w:rsidRDefault="00DE6598" w:rsidP="00DE6598">
      <w:pPr>
        <w:pStyle w:val="Heading2"/>
      </w:pPr>
      <w:bookmarkStart w:id="32" w:name="_Toc155876579"/>
      <w:bookmarkStart w:id="33" w:name="_Toc181213887"/>
      <w:r>
        <w:t>Department of Home Affairs</w:t>
      </w:r>
      <w:bookmarkEnd w:id="32"/>
      <w:bookmarkEnd w:id="33"/>
    </w:p>
    <w:p w14:paraId="74D03A79" w14:textId="329A60F4" w:rsidR="00845013" w:rsidRDefault="00845013" w:rsidP="00845013">
      <w:pPr>
        <w:pStyle w:val="Heading3"/>
      </w:pPr>
      <w:bookmarkStart w:id="34" w:name="_Toc181213888"/>
      <w:r>
        <w:t>Cyber Security Legislation: Mandatory Ransomware Payment Reporting – Cyber Security Bill 2024</w:t>
      </w:r>
      <w:bookmarkEnd w:id="34"/>
    </w:p>
    <w:p w14:paraId="2B3B0C70" w14:textId="77777777" w:rsidR="00845013" w:rsidRPr="00D2267D" w:rsidRDefault="00845013" w:rsidP="00845013">
      <w:pPr>
        <w:rPr>
          <w:rFonts w:eastAsia="MS Mincho"/>
        </w:rPr>
      </w:pPr>
      <w:r w:rsidRPr="00B25486">
        <w:t xml:space="preserve">IA </w:t>
      </w:r>
      <w:r w:rsidRPr="00D2267D">
        <w:t xml:space="preserve">Status: </w:t>
      </w:r>
      <w:r w:rsidRPr="00D2267D">
        <w:rPr>
          <w:rFonts w:eastAsia="MS Mincho"/>
          <w:w w:val="105"/>
        </w:rPr>
        <w:t>Compliant</w:t>
      </w:r>
    </w:p>
    <w:p w14:paraId="1358F098" w14:textId="35BF025B" w:rsidR="00845013" w:rsidRPr="00D2267D" w:rsidRDefault="00845013" w:rsidP="00845013">
      <w:r w:rsidRPr="00D2267D">
        <w:t xml:space="preserve">Assessment Rating: </w:t>
      </w:r>
      <w:r>
        <w:t>Good Practice</w:t>
      </w:r>
    </w:p>
    <w:p w14:paraId="5612AAC5" w14:textId="77777777" w:rsidR="00845013" w:rsidRPr="001A7674" w:rsidRDefault="00845013" w:rsidP="00845013">
      <w:r w:rsidRPr="00D2267D">
        <w:t>PIR Required: No</w:t>
      </w:r>
    </w:p>
    <w:p w14:paraId="252E2035" w14:textId="5302A06E" w:rsidR="00845013" w:rsidRDefault="00845013" w:rsidP="00845013">
      <w:pPr>
        <w:rPr>
          <w:rFonts w:eastAsia="MS Mincho"/>
          <w:spacing w:val="-3"/>
        </w:rPr>
      </w:pPr>
      <w:r w:rsidRPr="001A7674">
        <w:t xml:space="preserve">Regulatory Burden: </w:t>
      </w:r>
      <w:r w:rsidR="00C33ABF" w:rsidRPr="00C33ABF">
        <w:rPr>
          <w:rFonts w:eastAsia="MS Mincho"/>
          <w:spacing w:val="-3"/>
        </w:rPr>
        <w:t>The Department of Home Affairs estimates the three reforms in preferred Option 3B will increase average regulatory costs by $4.77 million per year.</w:t>
      </w:r>
      <w:r w:rsidR="00C33ABF">
        <w:rPr>
          <w:rFonts w:eastAsia="MS Mincho"/>
          <w:spacing w:val="-3"/>
        </w:rPr>
        <w:t xml:space="preserve"> </w:t>
      </w:r>
    </w:p>
    <w:p w14:paraId="18389312" w14:textId="130F590C" w:rsidR="00845013" w:rsidRPr="00845013" w:rsidRDefault="00845013" w:rsidP="00845013">
      <w:pPr>
        <w:rPr>
          <w:rFonts w:eastAsia="MS Mincho"/>
          <w:spacing w:val="-3"/>
        </w:rPr>
      </w:pPr>
      <w:r w:rsidRPr="00845013">
        <w:rPr>
          <w:rFonts w:eastAsia="MS Mincho"/>
          <w:spacing w:val="-3"/>
        </w:rPr>
        <w:t>Ransomware uses malicious software to cripple operations by encrypting devices, folders and files, rendering essential computer systems inaccessible unless a ransom is paid, and remains the most destructive cybercrime threat to Australians. Cyber extortion is on the rise. In 2022-2023, the Australian Signals Directorate (ASD) responded to 127 extortion-related incidents, 118 of these incidents involved ransomware or other forms of restriction to systems, files or accounts. Throughout this period, ASD reported that cybercriminals constantly evolved their tactics and operations to extract maximum payments from victims, fuelled by a global industry of access brokers, extortionists and ran</w:t>
      </w:r>
      <w:r>
        <w:rPr>
          <w:rFonts w:eastAsia="MS Mincho"/>
          <w:spacing w:val="-3"/>
        </w:rPr>
        <w:t>somware-as-a-service operators.</w:t>
      </w:r>
    </w:p>
    <w:p w14:paraId="44B0FD6B" w14:textId="4D6ED123" w:rsidR="00845013" w:rsidRDefault="00845013" w:rsidP="00845013">
      <w:pPr>
        <w:rPr>
          <w:rFonts w:eastAsia="MS Mincho"/>
          <w:spacing w:val="-3"/>
        </w:rPr>
      </w:pPr>
      <w:r w:rsidRPr="00845013">
        <w:rPr>
          <w:rFonts w:eastAsia="MS Mincho"/>
          <w:spacing w:val="-3"/>
        </w:rPr>
        <w:t>Under the 2023-2030 Australian Cyber Security Strategy, the Australian Government has committed to disrupting the ransomware business model and preventing cybercriminals from profiting from attacks on Australian businesses and citizens. However, under-reporting of ransomware payments limits the Australian Government’s understanding of the cyber threat landscape, which is essential to facing increased extortion-related cyber security incidents and developing policy options to break the ransomware business model.</w:t>
      </w:r>
    </w:p>
    <w:p w14:paraId="5636DE8F" w14:textId="4D9A8C50" w:rsidR="00845013" w:rsidRDefault="00FD68F0" w:rsidP="00845013">
      <w:r>
        <w:t>This IA</w:t>
      </w:r>
      <w:r w:rsidR="00845013">
        <w:t xml:space="preserve"> considers four options. </w:t>
      </w:r>
    </w:p>
    <w:p w14:paraId="6187F709" w14:textId="1F441834" w:rsidR="00845013" w:rsidRDefault="00845013" w:rsidP="00845013">
      <w:pPr>
        <w:pStyle w:val="ListParagraph"/>
        <w:numPr>
          <w:ilvl w:val="0"/>
          <w:numId w:val="19"/>
        </w:numPr>
      </w:pPr>
      <w:r>
        <w:t>Option 1 – maintain the status quo (no regulatory change).</w:t>
      </w:r>
    </w:p>
    <w:p w14:paraId="4D70C598" w14:textId="3D67541D" w:rsidR="00845013" w:rsidRDefault="00845013" w:rsidP="00845013">
      <w:pPr>
        <w:pStyle w:val="ListParagraph"/>
        <w:numPr>
          <w:ilvl w:val="0"/>
          <w:numId w:val="19"/>
        </w:numPr>
      </w:pPr>
      <w:r>
        <w:t>Option 2 – encourage voluntary reporting of ransomware demands and payments.</w:t>
      </w:r>
    </w:p>
    <w:p w14:paraId="4E465410" w14:textId="21B8B97F" w:rsidR="00845013" w:rsidRDefault="00845013" w:rsidP="00845013">
      <w:pPr>
        <w:pStyle w:val="ListParagraph"/>
        <w:numPr>
          <w:ilvl w:val="0"/>
          <w:numId w:val="19"/>
        </w:numPr>
      </w:pPr>
      <w:r>
        <w:t>Option 3 – legislate mandatory reporting of ransomware payments.</w:t>
      </w:r>
    </w:p>
    <w:p w14:paraId="436A8B21" w14:textId="549E4E75" w:rsidR="00845013" w:rsidRDefault="00845013" w:rsidP="00845013">
      <w:pPr>
        <w:pStyle w:val="ListParagraph"/>
        <w:numPr>
          <w:ilvl w:val="0"/>
          <w:numId w:val="19"/>
        </w:numPr>
      </w:pPr>
      <w:r>
        <w:t>Option 4 – legislate mandatory reporting of ransomware demands and payments.</w:t>
      </w:r>
    </w:p>
    <w:p w14:paraId="608CFE60" w14:textId="7FE9C314" w:rsidR="00845013" w:rsidRDefault="00845013" w:rsidP="00845013">
      <w:r>
        <w:t>For options 3 and 4, two thresholds to apply the reporting obligation were considered.</w:t>
      </w:r>
    </w:p>
    <w:p w14:paraId="6B4A88D1" w14:textId="5BC2A1B9" w:rsidR="00845013" w:rsidRDefault="00845013" w:rsidP="00845013">
      <w:pPr>
        <w:pStyle w:val="ListParagraph"/>
        <w:numPr>
          <w:ilvl w:val="0"/>
          <w:numId w:val="18"/>
        </w:numPr>
      </w:pPr>
      <w:r>
        <w:t>Option A – entities with an annual turnover of greater than $10 million.</w:t>
      </w:r>
    </w:p>
    <w:p w14:paraId="48616B76" w14:textId="6BC70928" w:rsidR="00845013" w:rsidRDefault="00845013" w:rsidP="00845013">
      <w:pPr>
        <w:pStyle w:val="ListParagraph"/>
        <w:numPr>
          <w:ilvl w:val="0"/>
          <w:numId w:val="18"/>
        </w:numPr>
      </w:pPr>
      <w:r>
        <w:t>Option B – entities with an annual turnover of greater than $3 million.</w:t>
      </w:r>
    </w:p>
    <w:p w14:paraId="67864C47" w14:textId="35355A7B" w:rsidR="00845013" w:rsidRDefault="00845013" w:rsidP="00845013">
      <w:r>
        <w:t>The preferred policy option is Option 3B.</w:t>
      </w:r>
    </w:p>
    <w:p w14:paraId="5ADCEDB5" w14:textId="0FF63669" w:rsidR="00845013" w:rsidRDefault="00845013" w:rsidP="00845013">
      <w:pPr>
        <w:pStyle w:val="Heading3"/>
      </w:pPr>
      <w:bookmarkStart w:id="35" w:name="_Toc181213889"/>
      <w:r>
        <w:t>Cyber Security Legislation: Amendments to the Security of Critical Infrastructure Act 2018</w:t>
      </w:r>
      <w:bookmarkEnd w:id="35"/>
    </w:p>
    <w:p w14:paraId="637793BF" w14:textId="77777777" w:rsidR="00845013" w:rsidRPr="00D2267D" w:rsidRDefault="00845013" w:rsidP="00845013">
      <w:pPr>
        <w:rPr>
          <w:rFonts w:eastAsia="MS Mincho"/>
        </w:rPr>
      </w:pPr>
      <w:r w:rsidRPr="00B25486">
        <w:t xml:space="preserve">IA </w:t>
      </w:r>
      <w:r w:rsidRPr="00D2267D">
        <w:t xml:space="preserve">Status: </w:t>
      </w:r>
      <w:r w:rsidRPr="00D2267D">
        <w:rPr>
          <w:rFonts w:eastAsia="MS Mincho"/>
          <w:w w:val="105"/>
        </w:rPr>
        <w:t>Compliant</w:t>
      </w:r>
    </w:p>
    <w:p w14:paraId="7D6BE40B" w14:textId="59EC6324" w:rsidR="00845013" w:rsidRPr="00D2267D" w:rsidRDefault="00845013" w:rsidP="00845013">
      <w:r w:rsidRPr="00D2267D">
        <w:t xml:space="preserve">Assessment Rating: </w:t>
      </w:r>
      <w:r>
        <w:t>Good Practice</w:t>
      </w:r>
    </w:p>
    <w:p w14:paraId="2F187C26" w14:textId="77777777" w:rsidR="00845013" w:rsidRPr="001A7674" w:rsidRDefault="00845013" w:rsidP="00845013">
      <w:r w:rsidRPr="00D2267D">
        <w:t>PIR Required: No</w:t>
      </w:r>
    </w:p>
    <w:p w14:paraId="595F84E9" w14:textId="306D6F10" w:rsidR="00845013" w:rsidRDefault="00845013" w:rsidP="00845013">
      <w:pPr>
        <w:rPr>
          <w:rFonts w:eastAsia="MS Mincho"/>
          <w:spacing w:val="-3"/>
        </w:rPr>
      </w:pPr>
      <w:r w:rsidRPr="001A7674">
        <w:t xml:space="preserve">Regulatory Burden: </w:t>
      </w:r>
      <w:r w:rsidRPr="001664BA">
        <w:rPr>
          <w:rFonts w:eastAsia="MS Mincho"/>
          <w:spacing w:val="-3"/>
        </w:rPr>
        <w:t>The Department of Home Affairs anticipated the regulatory costs of preferred Option 2 could range from $0.5m to $50m per cyber incident, with an expected incident frequency of one in every three years, suggesting an increase in average regulatory costs by between $0.1m and $16.7m per year.</w:t>
      </w:r>
    </w:p>
    <w:p w14:paraId="26FEAD0A" w14:textId="6D55DB63" w:rsidR="00845013" w:rsidRDefault="00845013" w:rsidP="00845013">
      <w:r>
        <w:t xml:space="preserve">The identification and protection of critical infrastructure is essential for Australia’s social and economic prosperity, national security and defence, and facilitating the provision of essential services. The Security of Critical Infrastructure Act 2018 (SOCI Act) represented a significant enhancement to Australia’s regulatory framework when enacted, however evolving geopolitical and cyber threats requires regular review of existing settings to ensure the security and resilience of our critical infrastructure. </w:t>
      </w:r>
    </w:p>
    <w:p w14:paraId="45CD0E0E" w14:textId="24D3CAD0" w:rsidR="00845013" w:rsidRDefault="00845013" w:rsidP="00845013">
      <w:r>
        <w:t xml:space="preserve">This </w:t>
      </w:r>
      <w:r w:rsidR="00FD68F0">
        <w:t>IA</w:t>
      </w:r>
      <w:r>
        <w:t xml:space="preserve"> considers potential reforms to the SOCI Act to address three issues with the current regulatory settings.</w:t>
      </w:r>
    </w:p>
    <w:p w14:paraId="48C0F636" w14:textId="2A43D836" w:rsidR="00845013" w:rsidRDefault="00845013" w:rsidP="00845013">
      <w:pPr>
        <w:pStyle w:val="ListParagraph"/>
        <w:numPr>
          <w:ilvl w:val="0"/>
          <w:numId w:val="20"/>
        </w:numPr>
      </w:pPr>
      <w:r>
        <w:t>There are a growing number of cyber incidents which impact non-operational data storage systems held by critical infrastructure entities which can often be a point of entry for malicious actors.</w:t>
      </w:r>
    </w:p>
    <w:p w14:paraId="2E4B59E8" w14:textId="30FF98E2" w:rsidR="00845013" w:rsidRDefault="00845013" w:rsidP="00845013">
      <w:pPr>
        <w:pStyle w:val="ListParagraph"/>
        <w:numPr>
          <w:ilvl w:val="0"/>
          <w:numId w:val="20"/>
        </w:numPr>
      </w:pPr>
      <w:r>
        <w:t>Businesses face difficulties responding effectively in the aftermath of significant incidents because of legal risks and government’s limited ability to support with post-incident consequence management.</w:t>
      </w:r>
    </w:p>
    <w:p w14:paraId="73921722" w14:textId="28720341" w:rsidR="00845013" w:rsidRDefault="00845013" w:rsidP="00845013">
      <w:pPr>
        <w:pStyle w:val="ListParagraph"/>
        <w:numPr>
          <w:ilvl w:val="0"/>
          <w:numId w:val="20"/>
        </w:numPr>
      </w:pPr>
      <w:r>
        <w:t>When an entity is unwilling to comply with the regulator’s recommendations to enhance a risk management program (RMP), there is limited ability for the regulator to issue a direction that the entity remedy the deficient RMP in a timely fashion.</w:t>
      </w:r>
    </w:p>
    <w:p w14:paraId="3E2F7E73" w14:textId="559CCA44" w:rsidR="00845013" w:rsidRDefault="00845013" w:rsidP="00845013">
      <w:pPr>
        <w:ind w:left="360"/>
      </w:pPr>
      <w:r>
        <w:t>This IA considers three options.</w:t>
      </w:r>
    </w:p>
    <w:p w14:paraId="3F12E582" w14:textId="6251AF41" w:rsidR="00845013" w:rsidRDefault="00845013" w:rsidP="00845013">
      <w:pPr>
        <w:pStyle w:val="ListParagraph"/>
        <w:numPr>
          <w:ilvl w:val="0"/>
          <w:numId w:val="20"/>
        </w:numPr>
      </w:pPr>
      <w:r>
        <w:t>Option 1</w:t>
      </w:r>
      <w:r w:rsidR="00695E3C">
        <w:t>:</w:t>
      </w:r>
      <w:r>
        <w:t xml:space="preserve"> maintaining the status quo (no regulatory change).</w:t>
      </w:r>
    </w:p>
    <w:p w14:paraId="52FB7D00" w14:textId="39D9AA76" w:rsidR="00845013" w:rsidRDefault="00845013" w:rsidP="00845013">
      <w:pPr>
        <w:pStyle w:val="ListParagraph"/>
        <w:numPr>
          <w:ilvl w:val="0"/>
          <w:numId w:val="20"/>
        </w:numPr>
      </w:pPr>
      <w:r>
        <w:t>Option 2</w:t>
      </w:r>
      <w:r w:rsidR="00695E3C">
        <w:t>:</w:t>
      </w:r>
      <w:r>
        <w:t xml:space="preserve"> Implementing three reforms to the SOCI Act, including:</w:t>
      </w:r>
    </w:p>
    <w:p w14:paraId="14F73B80" w14:textId="2A581D97" w:rsidR="00845013" w:rsidRDefault="00845013" w:rsidP="00845013">
      <w:pPr>
        <w:pStyle w:val="ListParagraph"/>
        <w:numPr>
          <w:ilvl w:val="1"/>
          <w:numId w:val="20"/>
        </w:numPr>
      </w:pPr>
      <w:r>
        <w:t>clarification of definitions to capture systems holding business critical data</w:t>
      </w:r>
    </w:p>
    <w:p w14:paraId="6BB25073" w14:textId="409A956B" w:rsidR="00845013" w:rsidRDefault="00845013" w:rsidP="00845013">
      <w:pPr>
        <w:pStyle w:val="ListParagraph"/>
        <w:numPr>
          <w:ilvl w:val="1"/>
          <w:numId w:val="20"/>
        </w:numPr>
      </w:pPr>
      <w:r>
        <w:t>legislating an all-hazards consequence management power and</w:t>
      </w:r>
    </w:p>
    <w:p w14:paraId="32C53966" w14:textId="77777777" w:rsidR="00845013" w:rsidRDefault="00845013" w:rsidP="00845013">
      <w:pPr>
        <w:pStyle w:val="ListParagraph"/>
        <w:numPr>
          <w:ilvl w:val="1"/>
          <w:numId w:val="20"/>
        </w:numPr>
      </w:pPr>
      <w:proofErr w:type="gramStart"/>
      <w:r>
        <w:t>a</w:t>
      </w:r>
      <w:proofErr w:type="gramEnd"/>
      <w:r>
        <w:t xml:space="preserve"> new directions power to address seriously deficient risk management obligations.</w:t>
      </w:r>
    </w:p>
    <w:p w14:paraId="5337CE01" w14:textId="1CC1BFAE" w:rsidR="00845013" w:rsidRDefault="00845013" w:rsidP="00845013">
      <w:pPr>
        <w:pStyle w:val="ListParagraph"/>
        <w:numPr>
          <w:ilvl w:val="0"/>
          <w:numId w:val="20"/>
        </w:numPr>
      </w:pPr>
      <w:r>
        <w:t>Option 3</w:t>
      </w:r>
      <w:r w:rsidR="00695E3C">
        <w:t>:</w:t>
      </w:r>
      <w:r>
        <w:t xml:space="preserve"> enhanced collaboration between industry and Government, through use of the Trusted Information Sharing Network (TISN). </w:t>
      </w:r>
    </w:p>
    <w:p w14:paraId="38F39D85" w14:textId="24D516CD" w:rsidR="00845013" w:rsidRPr="00845013" w:rsidRDefault="00845013" w:rsidP="00845013">
      <w:pPr>
        <w:ind w:left="360"/>
      </w:pPr>
      <w:r>
        <w:t>The preferred policy option is Option 2.</w:t>
      </w:r>
    </w:p>
    <w:p w14:paraId="4068E9D2" w14:textId="6B965EF8" w:rsidR="0047768A" w:rsidRDefault="00DE6598" w:rsidP="3C1A3B2D">
      <w:pPr>
        <w:pStyle w:val="Heading2"/>
        <w:rPr>
          <w:noProof/>
        </w:rPr>
      </w:pPr>
      <w:bookmarkStart w:id="36" w:name="_Toc155876581"/>
      <w:bookmarkStart w:id="37" w:name="_Toc181213890"/>
      <w:r w:rsidRPr="27EF9D9E">
        <w:rPr>
          <w:noProof/>
        </w:rPr>
        <w:t>Department of Infrastructure, Transport, Regional Development, Communications and the Arts</w:t>
      </w:r>
      <w:bookmarkEnd w:id="36"/>
      <w:bookmarkEnd w:id="37"/>
    </w:p>
    <w:p w14:paraId="02C65026" w14:textId="5B88EA4F" w:rsidR="00581DBE" w:rsidRDefault="00581DBE" w:rsidP="00581DBE">
      <w:pPr>
        <w:pStyle w:val="Heading3"/>
      </w:pPr>
      <w:bookmarkStart w:id="38" w:name="_Toc181213891"/>
      <w:r>
        <w:t>Online Misinformation and Disinformation Reform</w:t>
      </w:r>
      <w:bookmarkEnd w:id="38"/>
    </w:p>
    <w:p w14:paraId="1C798A9D" w14:textId="77777777" w:rsidR="00581DBE" w:rsidRPr="00D2267D" w:rsidRDefault="00581DBE" w:rsidP="00581DBE">
      <w:pPr>
        <w:rPr>
          <w:rFonts w:eastAsia="MS Mincho"/>
        </w:rPr>
      </w:pPr>
      <w:r w:rsidRPr="00B25486">
        <w:t xml:space="preserve">IA </w:t>
      </w:r>
      <w:r w:rsidRPr="00D2267D">
        <w:t xml:space="preserve">Status: </w:t>
      </w:r>
      <w:r w:rsidRPr="00D2267D">
        <w:rPr>
          <w:rFonts w:eastAsia="MS Mincho"/>
          <w:w w:val="105"/>
        </w:rPr>
        <w:t>Compliant</w:t>
      </w:r>
    </w:p>
    <w:p w14:paraId="7DC75ED5" w14:textId="0DFCE432" w:rsidR="00581DBE" w:rsidRPr="00D2267D" w:rsidRDefault="00581DBE" w:rsidP="00581DBE">
      <w:r w:rsidRPr="00D2267D">
        <w:t xml:space="preserve">Assessment Rating: </w:t>
      </w:r>
      <w:r>
        <w:t>Exemplary</w:t>
      </w:r>
    </w:p>
    <w:p w14:paraId="648DFB40" w14:textId="77777777" w:rsidR="00581DBE" w:rsidRPr="001A7674" w:rsidRDefault="00581DBE" w:rsidP="00581DBE">
      <w:r w:rsidRPr="00D2267D">
        <w:t>PIR Required: No</w:t>
      </w:r>
    </w:p>
    <w:p w14:paraId="2E91C353" w14:textId="5B45D26A" w:rsidR="00581DBE" w:rsidRDefault="00581DBE" w:rsidP="00581DBE">
      <w:pPr>
        <w:rPr>
          <w:rFonts w:eastAsia="MS Mincho"/>
          <w:spacing w:val="-3"/>
        </w:rPr>
      </w:pPr>
      <w:r w:rsidRPr="001A7674">
        <w:t xml:space="preserve">Regulatory Burden: </w:t>
      </w:r>
      <w:r w:rsidR="00046499">
        <w:t>The Department of Infrastructure, Transport, Regional Development, Communications</w:t>
      </w:r>
      <w:r w:rsidR="00046499" w:rsidRPr="00046499">
        <w:t xml:space="preserve"> and the Arts </w:t>
      </w:r>
      <w:r w:rsidR="00046499">
        <w:t>(</w:t>
      </w:r>
      <w:r w:rsidR="00046499" w:rsidRPr="00046499">
        <w:t>DITRDCA</w:t>
      </w:r>
      <w:r w:rsidR="00046499">
        <w:t>)</w:t>
      </w:r>
      <w:r w:rsidR="00046499" w:rsidRPr="00046499">
        <w:t xml:space="preserve"> estimates regulatory costs in the order of $16.3 mi</w:t>
      </w:r>
      <w:r w:rsidR="00046499">
        <w:t>llion per year over the next 10 years for effected businesses, noting that any additional</w:t>
      </w:r>
      <w:r w:rsidR="00046499" w:rsidRPr="00046499">
        <w:t xml:space="preserve"> standards in the future are not in</w:t>
      </w:r>
      <w:r w:rsidR="00046499">
        <w:t>cluded in this regulatory cost</w:t>
      </w:r>
      <w:r w:rsidR="00957823">
        <w:t>.</w:t>
      </w:r>
    </w:p>
    <w:p w14:paraId="55F2B990" w14:textId="0DEBF315" w:rsidR="00581DBE" w:rsidRPr="00581DBE" w:rsidRDefault="00581DBE" w:rsidP="00581DBE">
      <w:pPr>
        <w:rPr>
          <w:rFonts w:eastAsia="MS Mincho"/>
          <w:spacing w:val="-3"/>
        </w:rPr>
      </w:pPr>
      <w:r w:rsidRPr="00581DBE">
        <w:rPr>
          <w:rFonts w:eastAsia="MS Mincho"/>
          <w:spacing w:val="-3"/>
        </w:rPr>
        <w:t xml:space="preserve">Misinformation and disinformation, rapidly disseminated via digital communications platforms, poses a threat to the health, wellbeing, economy, and democracy of Australia. Misinformation is false information that is spread due to ignorance, or by error or mistake, without the intent to deceive. Disinformation is knowingly false information designed to deliberately mislead and influence public opinion or obscure the truth for malicious or deceptive purposes. </w:t>
      </w:r>
    </w:p>
    <w:p w14:paraId="0AC1B645" w14:textId="5EB6E76A" w:rsidR="00581DBE" w:rsidRDefault="00581DBE" w:rsidP="00581DBE">
      <w:pPr>
        <w:rPr>
          <w:rFonts w:eastAsia="MS Mincho"/>
          <w:spacing w:val="-3"/>
        </w:rPr>
      </w:pPr>
      <w:r w:rsidRPr="00581DBE">
        <w:rPr>
          <w:rFonts w:eastAsia="MS Mincho"/>
          <w:spacing w:val="-3"/>
        </w:rPr>
        <w:t xml:space="preserve">Although the spread of misinformation and disinformation is not a new problem, digital communications platforms have enabled seriously harmful content to be distributed further and faster than previously possible, particularly as Australians are increasingly relying on social media as a source of news.  </w:t>
      </w:r>
    </w:p>
    <w:p w14:paraId="29D8B908" w14:textId="231A8B74" w:rsidR="00581DBE" w:rsidRPr="00581DBE" w:rsidRDefault="00581DBE" w:rsidP="00581DBE">
      <w:pPr>
        <w:rPr>
          <w:rFonts w:eastAsia="MS Mincho"/>
          <w:spacing w:val="-3"/>
        </w:rPr>
      </w:pPr>
      <w:r w:rsidRPr="00581DBE">
        <w:rPr>
          <w:rFonts w:eastAsia="MS Mincho"/>
          <w:spacing w:val="-3"/>
        </w:rPr>
        <w:t xml:space="preserve">The </w:t>
      </w:r>
      <w:r w:rsidR="00FD68F0">
        <w:rPr>
          <w:rFonts w:eastAsia="MS Mincho"/>
          <w:spacing w:val="-3"/>
        </w:rPr>
        <w:t>IA</w:t>
      </w:r>
      <w:r w:rsidRPr="00581DBE">
        <w:rPr>
          <w:rFonts w:eastAsia="MS Mincho"/>
          <w:spacing w:val="-3"/>
        </w:rPr>
        <w:t xml:space="preserve"> considers options to place new core obligations on platforms to increase transparency and better empower users, as well as imposing mandatory requirements for online platforms to address seriously harmful misinformation and disinformation on their services. The proposal also considers options to strengthen the role of the Australian Communications and Media Authority (ACMA) to require improvements and stronger protections where necessary through information powers, code registration and standard making powers. ACMA would play a more active role in encouraging transparency on misinformation and disinformation and potentially imposing more obligations on digital communication platforms. Any additional standards in the future have not been factored into this Impact Analysis.  </w:t>
      </w:r>
    </w:p>
    <w:p w14:paraId="5D9D276B" w14:textId="129736D2" w:rsidR="00DE6598" w:rsidRDefault="00DE6598" w:rsidP="48A2C64D">
      <w:pPr>
        <w:pStyle w:val="Heading2"/>
      </w:pPr>
      <w:bookmarkStart w:id="39" w:name="_Toc155876587"/>
      <w:bookmarkStart w:id="40" w:name="_Toc181213892"/>
      <w:r>
        <w:t>Department of the Treasury</w:t>
      </w:r>
      <w:bookmarkEnd w:id="39"/>
      <w:bookmarkEnd w:id="40"/>
    </w:p>
    <w:p w14:paraId="4E1EE2F1" w14:textId="25D7B57B" w:rsidR="00581DBE" w:rsidRDefault="00581DBE" w:rsidP="00581DBE">
      <w:pPr>
        <w:pStyle w:val="Heading3"/>
      </w:pPr>
      <w:bookmarkStart w:id="41" w:name="_Toc181213893"/>
      <w:r>
        <w:t>Supporting social and affordable housing under the Housing Australia Future Fund and the National Housing Accord</w:t>
      </w:r>
      <w:bookmarkEnd w:id="41"/>
    </w:p>
    <w:p w14:paraId="2AB66946" w14:textId="77777777" w:rsidR="00581DBE" w:rsidRPr="00D2267D" w:rsidRDefault="00581DBE" w:rsidP="00581DBE">
      <w:pPr>
        <w:rPr>
          <w:rFonts w:eastAsia="MS Mincho"/>
        </w:rPr>
      </w:pPr>
      <w:r w:rsidRPr="00B25486">
        <w:t xml:space="preserve">IA </w:t>
      </w:r>
      <w:r w:rsidRPr="00D2267D">
        <w:t xml:space="preserve">Status: </w:t>
      </w:r>
      <w:r w:rsidRPr="00D2267D">
        <w:rPr>
          <w:rFonts w:eastAsia="MS Mincho"/>
          <w:w w:val="105"/>
        </w:rPr>
        <w:t>Compliant</w:t>
      </w:r>
    </w:p>
    <w:p w14:paraId="32F15E4C" w14:textId="77777777" w:rsidR="00581DBE" w:rsidRPr="00D2267D" w:rsidRDefault="00581DBE" w:rsidP="00581DBE">
      <w:r w:rsidRPr="00D2267D">
        <w:t>Assessment Rating: Adequate</w:t>
      </w:r>
    </w:p>
    <w:p w14:paraId="70BB6877" w14:textId="77777777" w:rsidR="00581DBE" w:rsidRPr="001A7674" w:rsidRDefault="00581DBE" w:rsidP="00581DBE">
      <w:r w:rsidRPr="00D2267D">
        <w:t>PIR Required: No</w:t>
      </w:r>
    </w:p>
    <w:p w14:paraId="60A39BC8" w14:textId="476CE5B1" w:rsidR="00581DBE" w:rsidRDefault="00581DBE" w:rsidP="00581DBE">
      <w:pPr>
        <w:rPr>
          <w:rFonts w:eastAsia="MS Mincho"/>
          <w:spacing w:val="-3"/>
        </w:rPr>
      </w:pPr>
      <w:r w:rsidRPr="001A7674">
        <w:t xml:space="preserve">Regulatory Burden: </w:t>
      </w:r>
      <w:r w:rsidR="00CB6B51" w:rsidRPr="00CB6B51">
        <w:rPr>
          <w:rFonts w:eastAsia="MS Mincho"/>
          <w:spacing w:val="-3"/>
        </w:rPr>
        <w:t>The Treasury estimates these measures will result in an increase in reg</w:t>
      </w:r>
      <w:r w:rsidR="00CB6B51">
        <w:rPr>
          <w:rFonts w:eastAsia="MS Mincho"/>
          <w:spacing w:val="-3"/>
        </w:rPr>
        <w:t xml:space="preserve">ulatory costs of an average of </w:t>
      </w:r>
      <w:r w:rsidR="00CB6B51" w:rsidRPr="00CB6B51">
        <w:rPr>
          <w:rFonts w:eastAsia="MS Mincho"/>
          <w:spacing w:val="-3"/>
        </w:rPr>
        <w:t>$1.5 million per year over five years.</w:t>
      </w:r>
    </w:p>
    <w:p w14:paraId="6E12FB8F" w14:textId="1269A490" w:rsidR="00581DBE" w:rsidRDefault="00581DBE" w:rsidP="00581DBE">
      <w:pPr>
        <w:rPr>
          <w:rFonts w:eastAsia="MS Mincho"/>
          <w:spacing w:val="-3"/>
        </w:rPr>
      </w:pPr>
      <w:r w:rsidRPr="00581DBE">
        <w:rPr>
          <w:rFonts w:eastAsia="MS Mincho"/>
          <w:spacing w:val="-3"/>
        </w:rPr>
        <w:t>The Housing Australia Future Fund (HAFF) and the National Housing Accord (Accord) are seeking to increase the supply of social and affordable housing for vulnerable and low-income households.</w:t>
      </w:r>
    </w:p>
    <w:p w14:paraId="6634C38D" w14:textId="3A26658F" w:rsidR="00581DBE" w:rsidRPr="00581DBE" w:rsidRDefault="00581DBE" w:rsidP="00581DBE">
      <w:pPr>
        <w:rPr>
          <w:rFonts w:eastAsia="MS Mincho"/>
          <w:spacing w:val="-3"/>
        </w:rPr>
      </w:pPr>
      <w:r w:rsidRPr="00581DBE">
        <w:rPr>
          <w:rFonts w:eastAsia="MS Mincho"/>
          <w:spacing w:val="-3"/>
        </w:rPr>
        <w:t>To help address the consistent undersupply of social and affordable housing, the Government committed to establishing the $10 billion HAFF as part of its 2022 election platform. The HAFF is a perpetual fund under the management of the Future Fund Management Agency that provides an ongoing funding stream of a minimum $500 million per year, indexed to the consumer price index from 2029-30, to fund new social and affordable housing and address acute housing needs. The Government’s commitment specifically sets out that this includes the delivery of 30,000 new social and affordable rental homes over five years as well as funding of $324 million over five years to address acute housing needs.</w:t>
      </w:r>
    </w:p>
    <w:p w14:paraId="5F59E75B" w14:textId="13A6BC2D" w:rsidR="00581DBE" w:rsidRDefault="00581DBE" w:rsidP="00581DBE">
      <w:pPr>
        <w:rPr>
          <w:rFonts w:eastAsia="MS Mincho"/>
          <w:spacing w:val="-3"/>
        </w:rPr>
      </w:pPr>
      <w:r w:rsidRPr="00581DBE">
        <w:rPr>
          <w:rFonts w:eastAsia="MS Mincho"/>
          <w:spacing w:val="-3"/>
        </w:rPr>
        <w:t>In addition, the Government committed, as part of the Accord signed in October 2022, to fund an additional 10,000 affordable homes.</w:t>
      </w:r>
    </w:p>
    <w:p w14:paraId="7E8DD13A" w14:textId="13F36F70" w:rsidR="00845013" w:rsidRDefault="00845013" w:rsidP="00845013">
      <w:pPr>
        <w:pStyle w:val="Heading3"/>
        <w:rPr>
          <w:rFonts w:eastAsia="MS Mincho"/>
        </w:rPr>
      </w:pPr>
      <w:bookmarkStart w:id="42" w:name="_Toc181213894"/>
      <w:r w:rsidRPr="27EF9D9E">
        <w:rPr>
          <w:rFonts w:eastAsia="MS Mincho"/>
        </w:rPr>
        <w:t>Use of genetic testing information by life insurers</w:t>
      </w:r>
      <w:bookmarkEnd w:id="42"/>
    </w:p>
    <w:p w14:paraId="27C9B9E2" w14:textId="77777777" w:rsidR="00845013" w:rsidRPr="00D2267D" w:rsidRDefault="00845013" w:rsidP="00845013">
      <w:pPr>
        <w:rPr>
          <w:rFonts w:eastAsia="MS Mincho"/>
        </w:rPr>
      </w:pPr>
      <w:r w:rsidRPr="00B25486">
        <w:t xml:space="preserve">IA </w:t>
      </w:r>
      <w:r w:rsidRPr="00D2267D">
        <w:t xml:space="preserve">Status: </w:t>
      </w:r>
      <w:r w:rsidRPr="00D2267D">
        <w:rPr>
          <w:rFonts w:eastAsia="MS Mincho"/>
          <w:w w:val="105"/>
        </w:rPr>
        <w:t>Compliant</w:t>
      </w:r>
    </w:p>
    <w:p w14:paraId="00ECE561" w14:textId="34AB3053" w:rsidR="00845013" w:rsidRPr="00D2267D" w:rsidRDefault="00845013" w:rsidP="00845013">
      <w:r w:rsidRPr="00D2267D">
        <w:t xml:space="preserve">Assessment Rating: </w:t>
      </w:r>
      <w:r>
        <w:t>Good Practice</w:t>
      </w:r>
    </w:p>
    <w:p w14:paraId="1B285849" w14:textId="77777777" w:rsidR="00845013" w:rsidRPr="001A7674" w:rsidRDefault="00845013" w:rsidP="00845013">
      <w:r w:rsidRPr="00D2267D">
        <w:t>PIR Required: No</w:t>
      </w:r>
    </w:p>
    <w:p w14:paraId="75CFBC23" w14:textId="45512B47" w:rsidR="00845013" w:rsidRDefault="00845013" w:rsidP="00845013">
      <w:pPr>
        <w:rPr>
          <w:rFonts w:eastAsia="MS Mincho"/>
          <w:spacing w:val="-3"/>
        </w:rPr>
      </w:pPr>
      <w:r w:rsidRPr="001A7674">
        <w:t xml:space="preserve">Regulatory Burden: </w:t>
      </w:r>
      <w:r w:rsidR="00956B7B" w:rsidRPr="0C4B8A2C">
        <w:rPr>
          <w:rFonts w:eastAsia="MS Mincho"/>
        </w:rPr>
        <w:t>The Treasury estimates these measures will result in an increase in average regulatory costs of approximately $9,000</w:t>
      </w:r>
      <w:r w:rsidR="00956B7B" w:rsidRPr="00956B7B">
        <w:rPr>
          <w:rFonts w:eastAsia="MS Mincho"/>
          <w:spacing w:val="-3"/>
        </w:rPr>
        <w:t xml:space="preserve"> per year, over ten years.</w:t>
      </w:r>
    </w:p>
    <w:p w14:paraId="7D06E7E3" w14:textId="4EA5E5F1" w:rsidR="00845013" w:rsidRDefault="00845013" w:rsidP="00845013">
      <w:pPr>
        <w:rPr>
          <w:rFonts w:eastAsia="MS Mincho"/>
          <w:spacing w:val="-3"/>
        </w:rPr>
      </w:pPr>
      <w:r w:rsidRPr="00845013">
        <w:rPr>
          <w:rFonts w:eastAsia="MS Mincho"/>
          <w:spacing w:val="-3"/>
        </w:rPr>
        <w:t>There are significant individual, public health, and scientific benefits associated with the use of genetic testing, whether undertaken for individual health reasons or medical research. However, many Australians report delaying or foregoing potentially lifesaving, clinically relevant genetic testing, or not participating in medical research involving genetic testing, for fear it will affect their ability to obtain affordable life insurance. This is due to the current regulatory framework, under which life insurers are able to request and use consumers’ genetic testing results when considering whether, and on what terms, to offer life insurance policies. This ability exists regardless of whether the genetic testing is undertaken as part of an individual’s medical treatment, or as part of research.</w:t>
      </w:r>
    </w:p>
    <w:p w14:paraId="177F0E77" w14:textId="20F3F83E" w:rsidR="00845013" w:rsidRDefault="00FD68F0" w:rsidP="00845013">
      <w:r>
        <w:t>The p</w:t>
      </w:r>
      <w:r w:rsidR="00845013">
        <w:t>roposal is to implement a total ban on the use of adverse genetic testing results by life insurers.</w:t>
      </w:r>
    </w:p>
    <w:p w14:paraId="4D732A79" w14:textId="7D86BD42" w:rsidR="00845013" w:rsidRDefault="00845013" w:rsidP="00845013">
      <w:r>
        <w:t>Under a total ban, life insurers would be prohibited from requesting or using any adverse genetic testing results to inform their underwriting calculations. This approach would reflect the recommendations of the 2023 Australian Genetics &amp; Life Insurance Moratorium: Monitoring the Effectiveness &amp; Response (A-GLIMMER) report. Insurers would retain the ability to require individuals provide information about personal and family medical histories, and consumers would still be required to disclose any diagnosed condition, regardless of how that diagnosis was obtained (via genetic testing or other diagnostic methods). </w:t>
      </w:r>
    </w:p>
    <w:p w14:paraId="35178D7B" w14:textId="37658C7D" w:rsidR="00845013" w:rsidRDefault="00845013" w:rsidP="00845013">
      <w:pPr>
        <w:pStyle w:val="Heading3"/>
      </w:pPr>
      <w:bookmarkStart w:id="43" w:name="_Toc181213895"/>
      <w:r>
        <w:t xml:space="preserve">Ban on advertising of superannuation funds during </w:t>
      </w:r>
      <w:proofErr w:type="spellStart"/>
      <w:r>
        <w:t>onboarding</w:t>
      </w:r>
      <w:bookmarkEnd w:id="43"/>
      <w:proofErr w:type="spellEnd"/>
    </w:p>
    <w:p w14:paraId="07616E00" w14:textId="77777777" w:rsidR="00845013" w:rsidRPr="00D2267D" w:rsidRDefault="00845013" w:rsidP="00845013">
      <w:pPr>
        <w:rPr>
          <w:rFonts w:eastAsia="MS Mincho"/>
        </w:rPr>
      </w:pPr>
      <w:r w:rsidRPr="00B25486">
        <w:t xml:space="preserve">IA </w:t>
      </w:r>
      <w:r w:rsidRPr="00D2267D">
        <w:t xml:space="preserve">Status: </w:t>
      </w:r>
      <w:r w:rsidRPr="00D2267D">
        <w:rPr>
          <w:rFonts w:eastAsia="MS Mincho"/>
          <w:w w:val="105"/>
        </w:rPr>
        <w:t>Compliant</w:t>
      </w:r>
    </w:p>
    <w:p w14:paraId="3FC598B1" w14:textId="77777777" w:rsidR="00845013" w:rsidRPr="00D2267D" w:rsidRDefault="00845013" w:rsidP="00845013">
      <w:r w:rsidRPr="00D2267D">
        <w:t>Assessment Rating: Adequate</w:t>
      </w:r>
    </w:p>
    <w:p w14:paraId="1A7F9BF7" w14:textId="77777777" w:rsidR="00845013" w:rsidRPr="001A7674" w:rsidRDefault="00845013" w:rsidP="00845013">
      <w:r w:rsidRPr="00D2267D">
        <w:t>PIR Required: No</w:t>
      </w:r>
    </w:p>
    <w:p w14:paraId="2C8F0828" w14:textId="16A49910" w:rsidR="00845013" w:rsidRDefault="00845013" w:rsidP="00845013">
      <w:pPr>
        <w:rPr>
          <w:rFonts w:eastAsia="MS Mincho"/>
          <w:spacing w:val="-3"/>
        </w:rPr>
      </w:pPr>
      <w:r w:rsidRPr="001A7674">
        <w:t xml:space="preserve">Regulatory Burden: </w:t>
      </w:r>
      <w:r w:rsidRPr="00FD68F0">
        <w:t>The Treasury estimates these measures will result in an increase in regulatory costs of between $480,000 and $1.16 million per year, averaged over ten years. This estimate consists of $480,000 and $2.8 million in one off costs, and ongoing costs of between $440,000 and $880,000 per year.</w:t>
      </w:r>
    </w:p>
    <w:p w14:paraId="4DCB658F" w14:textId="12A0ED4C" w:rsidR="00845013" w:rsidRDefault="00845013" w:rsidP="00845013">
      <w:r w:rsidRPr="00845013">
        <w:t xml:space="preserve">Retirement outcomes are not served by employees making uninformed or disengaged choices about their superannuation fund. Where employees are uninformed or disengaged, stapling and default superannuation fund arrangements protect consumers. Advertising of superannuation products during </w:t>
      </w:r>
      <w:proofErr w:type="spellStart"/>
      <w:r w:rsidRPr="00845013">
        <w:t>onboarding</w:t>
      </w:r>
      <w:proofErr w:type="spellEnd"/>
      <w:r w:rsidRPr="00845013">
        <w:t xml:space="preserve"> can confuse or pressure employees to make uninformed decisions, open inappropriate products and unintentionally create duplicate accounts.</w:t>
      </w:r>
    </w:p>
    <w:p w14:paraId="42BC46A4" w14:textId="1E6C3F8C" w:rsidR="00845013" w:rsidRPr="00845013" w:rsidRDefault="00845013" w:rsidP="00845013">
      <w:r w:rsidRPr="00845013">
        <w:t xml:space="preserve">A limited ban on superannuation product advertising during </w:t>
      </w:r>
      <w:proofErr w:type="spellStart"/>
      <w:r w:rsidRPr="00845013">
        <w:t>onboarding</w:t>
      </w:r>
      <w:proofErr w:type="spellEnd"/>
      <w:r w:rsidRPr="00845013">
        <w:t xml:space="preserve"> to protect employees from being influenced to join inappropriate products, in combination with adjustments to stapling policy to reduce the number of unintentional duplicate accounts. Products could be prohibited from advertising during </w:t>
      </w:r>
      <w:proofErr w:type="spellStart"/>
      <w:r w:rsidRPr="00845013">
        <w:t>onboarding</w:t>
      </w:r>
      <w:proofErr w:type="spellEnd"/>
      <w:r w:rsidRPr="00845013">
        <w:t xml:space="preserve"> if they: are not </w:t>
      </w:r>
      <w:proofErr w:type="spellStart"/>
      <w:r w:rsidRPr="00845013">
        <w:t>MySuper</w:t>
      </w:r>
      <w:proofErr w:type="spellEnd"/>
      <w:r w:rsidRPr="00845013">
        <w:t xml:space="preserve"> products; have failed the annual Australian Prudential Regulation Authority (APRA) superannuation performance test; or are related to the </w:t>
      </w:r>
      <w:proofErr w:type="spellStart"/>
      <w:r w:rsidRPr="00845013">
        <w:t>onboarding</w:t>
      </w:r>
      <w:proofErr w:type="spellEnd"/>
      <w:r w:rsidRPr="00845013">
        <w:t xml:space="preserve"> service provider. This limited ban would reduce consumer harm.</w:t>
      </w:r>
    </w:p>
    <w:p w14:paraId="1DCEE928" w14:textId="0DEE62C0" w:rsidR="00845013" w:rsidRDefault="00845013" w:rsidP="00845013">
      <w:pPr>
        <w:pStyle w:val="Heading3"/>
      </w:pPr>
      <w:bookmarkStart w:id="44" w:name="_Toc181213896"/>
      <w:r>
        <w:t>Merger Reform: A Faster, Stronger and Simpler System for a More Competitive Economy</w:t>
      </w:r>
      <w:bookmarkEnd w:id="44"/>
    </w:p>
    <w:p w14:paraId="22A112B6" w14:textId="77777777" w:rsidR="00845013" w:rsidRPr="00D2267D" w:rsidRDefault="00845013" w:rsidP="00845013">
      <w:pPr>
        <w:rPr>
          <w:rFonts w:eastAsia="MS Mincho"/>
        </w:rPr>
      </w:pPr>
      <w:r w:rsidRPr="00B25486">
        <w:t xml:space="preserve">IA </w:t>
      </w:r>
      <w:r w:rsidRPr="00D2267D">
        <w:t xml:space="preserve">Status: </w:t>
      </w:r>
      <w:r w:rsidRPr="00D2267D">
        <w:rPr>
          <w:rFonts w:eastAsia="MS Mincho"/>
          <w:w w:val="105"/>
        </w:rPr>
        <w:t>Compliant</w:t>
      </w:r>
    </w:p>
    <w:p w14:paraId="185795BA" w14:textId="77777777" w:rsidR="00845013" w:rsidRPr="00D2267D" w:rsidRDefault="00845013" w:rsidP="00845013">
      <w:r w:rsidRPr="00D2267D">
        <w:t xml:space="preserve">Assessment Rating: </w:t>
      </w:r>
      <w:r>
        <w:t>Good Practice</w:t>
      </w:r>
    </w:p>
    <w:p w14:paraId="7317D097" w14:textId="77777777" w:rsidR="00845013" w:rsidRPr="001A7674" w:rsidRDefault="00845013" w:rsidP="00845013">
      <w:r w:rsidRPr="00D2267D">
        <w:t>PIR Required: No</w:t>
      </w:r>
    </w:p>
    <w:p w14:paraId="73AA30C1" w14:textId="19ECC5BF" w:rsidR="00845013" w:rsidRDefault="00845013" w:rsidP="00845013">
      <w:pPr>
        <w:rPr>
          <w:rFonts w:eastAsia="MS Mincho"/>
          <w:spacing w:val="-3"/>
        </w:rPr>
      </w:pPr>
      <w:r w:rsidRPr="001A7674">
        <w:t xml:space="preserve">Regulatory Burden: </w:t>
      </w:r>
      <w:r w:rsidR="00274178" w:rsidRPr="00274178">
        <w:rPr>
          <w:rFonts w:eastAsia="MS Mincho"/>
          <w:spacing w:val="-3"/>
        </w:rPr>
        <w:t>The Treasury estimates Option 2 will increase regulatory costs by $10.8 million per year.</w:t>
      </w:r>
    </w:p>
    <w:p w14:paraId="1AB0FC15" w14:textId="0935AE4A" w:rsidR="00845013" w:rsidRDefault="00845013" w:rsidP="00845013">
      <w:r>
        <w:t>While most mergers and acquisitions are unlikely to raise competition concerns, some can harm competition, allowing businesses to raise prices and not pass on economic gains to consumers. Australia’s merger control system plays a crucial gatekeeper role in preventing these mergers from harming consumers and the wider economy.</w:t>
      </w:r>
    </w:p>
    <w:p w14:paraId="0D4F066B" w14:textId="7755F998" w:rsidR="00845013" w:rsidRDefault="00845013" w:rsidP="00845013">
      <w:r>
        <w:t xml:space="preserve">Analysis shows that competition in Australia has been declining since the 2000s. There is evidence emerging that the intensity of competition has weakened across many parts of the economy, accompanied by increasing market concentration and </w:t>
      </w:r>
      <w:proofErr w:type="spellStart"/>
      <w:r>
        <w:t>markups</w:t>
      </w:r>
      <w:proofErr w:type="spellEnd"/>
      <w:r>
        <w:t xml:space="preserve"> in many industries. Discouraging anti-competitive mergers and acquisitions, and stopping those that try to proceed, is crucial for maintaining downward pressure on the cost of living and creating a stronger, more competitive and more productive economy.</w:t>
      </w:r>
    </w:p>
    <w:p w14:paraId="74C15758" w14:textId="40C1EF83" w:rsidR="00845013" w:rsidRDefault="00845013" w:rsidP="00845013">
      <w:r>
        <w:t xml:space="preserve">The </w:t>
      </w:r>
      <w:r w:rsidR="00FD68F0">
        <w:t>IA</w:t>
      </w:r>
      <w:r>
        <w:t xml:space="preserve"> considers four options. </w:t>
      </w:r>
    </w:p>
    <w:p w14:paraId="284F0DB4" w14:textId="7F00399C" w:rsidR="00845013" w:rsidRDefault="00845013" w:rsidP="00845013">
      <w:pPr>
        <w:pStyle w:val="ListParagraph"/>
        <w:numPr>
          <w:ilvl w:val="0"/>
          <w:numId w:val="17"/>
        </w:numPr>
      </w:pPr>
      <w:r>
        <w:t>Option 1: Status quo – Australia currently has a prohibition on acquisitions of shares or assets that would have the effect, or be likely to have the effect, of substantially lessening competition (SLC) in any market. These are reviewed through one of three pathways: voluntary informal merger review; voluntary merger authorisation; or Federal Court of Australia (Federal Court) proceedings.</w:t>
      </w:r>
    </w:p>
    <w:p w14:paraId="12CF5B8E" w14:textId="3618FB33" w:rsidR="00845013" w:rsidRDefault="00845013" w:rsidP="00845013">
      <w:pPr>
        <w:pStyle w:val="ListParagraph"/>
        <w:numPr>
          <w:ilvl w:val="0"/>
          <w:numId w:val="17"/>
        </w:numPr>
      </w:pPr>
      <w:r>
        <w:t>Option 2: Mandatory and suspensory administrative system with an extended SLC test – introduces a single mandatory and suspensory administrative merger control system for mergers that meet certain thresholds that will replace the multiple voluntary pathways of the status quo. A merger will be permitted to proceed, unless the ACCC is satisfied that it is likely to SLC, including if it creates, strengthens, or entrenches substantial market power. Merger parties may also, following the competition assessment, seek for the merger to be approved if the ACCC is satisfied the merger would result, or be likely to result, in a benefit to the public that outweighs the detriment of the merger.</w:t>
      </w:r>
    </w:p>
    <w:p w14:paraId="42E30B42" w14:textId="6AB8B214" w:rsidR="00845013" w:rsidRDefault="00845013" w:rsidP="00845013">
      <w:pPr>
        <w:pStyle w:val="ListParagraph"/>
        <w:numPr>
          <w:ilvl w:val="0"/>
          <w:numId w:val="17"/>
        </w:numPr>
      </w:pPr>
      <w:r>
        <w:t xml:space="preserve">Option 3: Mandatory and suspensory administrative system with a satisfaction test – this is an alternative version of Option 2 in that it also introduces a mandatory and suspensory administrative merger control system. It differs from Option 2 in that mergers and acquisitions can only proceed if the ACCC is satisfied a merger is not likely to SLC including if it creates, strengthens, or entrenches substantial market power. </w:t>
      </w:r>
    </w:p>
    <w:p w14:paraId="2BDC6438" w14:textId="6182AFBA" w:rsidR="00845013" w:rsidRDefault="00845013" w:rsidP="00845013">
      <w:pPr>
        <w:pStyle w:val="ListParagraph"/>
        <w:numPr>
          <w:ilvl w:val="0"/>
          <w:numId w:val="17"/>
        </w:numPr>
      </w:pPr>
      <w:r>
        <w:t>Option 4: Mandatory and suspensory judicial enforcement system with an SLC test – this is an alternative version of Option 1 that would replace the voluntary informal merger review with a mandatory and suspensory system, and retain the existing model of judicial enforcement with the SLC test. Option 4 would retain a separate merger authorisation process.</w:t>
      </w:r>
    </w:p>
    <w:p w14:paraId="40FD805A" w14:textId="77777777" w:rsidR="00845013" w:rsidRDefault="00845013" w:rsidP="00845013">
      <w:r>
        <w:t>Option 2 is the recommended option as it strengthens Australia’s merger control approach by improving the ACCC’s ability to effectively and efficiently detect, review and act against anti-competitive mergers and acquisitions. Mandatory notification requirements would mean that mergers and acquisitions more likely to impose risks for the economy must be notified to the ACCC. Suspensory timeframes for review and upfront information requirements will enhance predictability and certainty for stakeholders.</w:t>
      </w:r>
    </w:p>
    <w:p w14:paraId="38552C3D" w14:textId="5831C586" w:rsidR="00845013" w:rsidRPr="00845013" w:rsidRDefault="00845013" w:rsidP="00845013">
      <w:r>
        <w:t>The benefits of an efficient and effective merger control system are significant. Applying analysis from overseas to Australia would imply benefits of between $340–732 million per year.  Greater certainty and speed will reduce costs and facilitate valuable investment in pro-competitive and benign mergers. Consumers and businesses, along with the broader community, will be better informed and more confident that the ACCC has the toolkit to perform its gatekeeper role, prevent anti-competitive mergers and maintain competitive markets in Australia.</w:t>
      </w:r>
    </w:p>
    <w:p w14:paraId="4642228C" w14:textId="06D25E5F" w:rsidR="00D2267D" w:rsidRDefault="00D2267D" w:rsidP="5CAB270E">
      <w:pPr>
        <w:spacing w:after="200"/>
        <w:rPr>
          <w:rFonts w:asciiTheme="majorHAnsi" w:eastAsiaTheme="majorEastAsia" w:hAnsiTheme="majorHAnsi" w:cstheme="majorBidi"/>
          <w:color w:val="192D56" w:themeColor="accent1"/>
          <w:sz w:val="32"/>
          <w:szCs w:val="32"/>
        </w:rPr>
      </w:pPr>
      <w:r>
        <w:br w:type="page"/>
      </w:r>
    </w:p>
    <w:p w14:paraId="21A44DBF" w14:textId="30CE0B4A" w:rsidR="00D2267D" w:rsidRDefault="00D2267D" w:rsidP="1A95C1BA">
      <w:pPr>
        <w:pStyle w:val="Heading2"/>
        <w:spacing w:after="200"/>
      </w:pPr>
      <w:bookmarkStart w:id="45" w:name="_Toc181213897"/>
      <w:r>
        <w:t>Department of Veterans</w:t>
      </w:r>
      <w:r w:rsidR="007316E7">
        <w:t>’</w:t>
      </w:r>
      <w:r>
        <w:t xml:space="preserve"> Affairs</w:t>
      </w:r>
      <w:bookmarkEnd w:id="45"/>
    </w:p>
    <w:p w14:paraId="623F4D13" w14:textId="0AE54B58" w:rsidR="00D2267D" w:rsidRDefault="00581DBE" w:rsidP="00581DBE">
      <w:pPr>
        <w:pStyle w:val="Heading3"/>
      </w:pPr>
      <w:bookmarkStart w:id="46" w:name="_Toc181213898"/>
      <w:r>
        <w:t>Veterans’ Compensation and Rehabilitation Legislation Reform</w:t>
      </w:r>
      <w:bookmarkEnd w:id="46"/>
    </w:p>
    <w:p w14:paraId="57D450B1" w14:textId="77777777" w:rsidR="00581DBE" w:rsidRPr="00D2267D" w:rsidRDefault="00581DBE" w:rsidP="00581DBE">
      <w:pPr>
        <w:rPr>
          <w:rFonts w:eastAsia="MS Mincho"/>
        </w:rPr>
      </w:pPr>
      <w:r w:rsidRPr="00B25486">
        <w:t xml:space="preserve">IA </w:t>
      </w:r>
      <w:r w:rsidRPr="00D2267D">
        <w:t xml:space="preserve">Status: </w:t>
      </w:r>
      <w:r w:rsidRPr="00D2267D">
        <w:rPr>
          <w:rFonts w:eastAsia="MS Mincho"/>
          <w:w w:val="105"/>
        </w:rPr>
        <w:t>Compliant</w:t>
      </w:r>
    </w:p>
    <w:p w14:paraId="07287970" w14:textId="2D1B5365" w:rsidR="00581DBE" w:rsidRPr="00D2267D" w:rsidRDefault="00581DBE" w:rsidP="00581DBE">
      <w:r w:rsidRPr="00D2267D">
        <w:t xml:space="preserve">Assessment Rating: </w:t>
      </w:r>
      <w:r>
        <w:t>Good Practice</w:t>
      </w:r>
    </w:p>
    <w:p w14:paraId="36C7622E" w14:textId="77777777" w:rsidR="00581DBE" w:rsidRPr="001A7674" w:rsidRDefault="00581DBE" w:rsidP="00581DBE">
      <w:r w:rsidRPr="00D2267D">
        <w:t>PIR Required: No</w:t>
      </w:r>
    </w:p>
    <w:p w14:paraId="1A0E43CC" w14:textId="679D3D6B" w:rsidR="00581DBE" w:rsidRDefault="00581DBE" w:rsidP="00581DBE">
      <w:pPr>
        <w:rPr>
          <w:rFonts w:eastAsia="MS Mincho"/>
          <w:spacing w:val="-3"/>
        </w:rPr>
      </w:pPr>
      <w:r w:rsidRPr="001A7674">
        <w:t xml:space="preserve">Regulatory Burden: </w:t>
      </w:r>
      <w:r w:rsidR="000703D0" w:rsidRPr="0C4B8A2C">
        <w:t>The Department of Veterans’ Affairs estimates these measures will result in an estimated reduction in regulatory costs of $5.5 million per year, averaged over ten years.</w:t>
      </w:r>
    </w:p>
    <w:p w14:paraId="061B2B71" w14:textId="64CA70E6" w:rsidR="00581DBE" w:rsidRPr="00581DBE" w:rsidRDefault="00581DBE" w:rsidP="00581DBE">
      <w:pPr>
        <w:rPr>
          <w:rFonts w:eastAsia="MS Mincho"/>
          <w:spacing w:val="-3"/>
        </w:rPr>
      </w:pPr>
      <w:r w:rsidRPr="00581DBE">
        <w:rPr>
          <w:rFonts w:eastAsia="MS Mincho"/>
          <w:spacing w:val="-3"/>
        </w:rPr>
        <w:t>The current veterans’ compensation and rehabilitation legislation framework is governed by three separate Acts, with fundamental structural differences. Determining which compensation is to be provided to veterans and veterans’ families depends not only on the nature of the service undertaken, but also on the date a particular member joined the Australian Defence Force (ADF). The complexity in this multi-Act approach contributes to claims processing delays and uncertainty for veterans and families as to what they may be entitled to as current or former serving members of the ADF. Furthermore, compensation outcomes for veterans can differ significantly over the different frameworks for similar conditions or injuries, depending on the claimant’s individual cir</w:t>
      </w:r>
      <w:r>
        <w:rPr>
          <w:rFonts w:eastAsia="MS Mincho"/>
          <w:spacing w:val="-3"/>
        </w:rPr>
        <w:t xml:space="preserve">cumstances. </w:t>
      </w:r>
    </w:p>
    <w:p w14:paraId="0D084460" w14:textId="53A6D915" w:rsidR="00581DBE" w:rsidRDefault="00581DBE" w:rsidP="00581DBE">
      <w:pPr>
        <w:rPr>
          <w:rFonts w:eastAsia="MS Mincho"/>
          <w:spacing w:val="-3"/>
        </w:rPr>
      </w:pPr>
      <w:r w:rsidRPr="00581DBE">
        <w:rPr>
          <w:rFonts w:eastAsia="MS Mincho"/>
          <w:spacing w:val="-3"/>
        </w:rPr>
        <w:t>Various Government and independent reviews have identified that the framework is extremely complex and in need of simplification. The Productivity Commission found that the existing framework is not-fit-for-purpose and requires fundamental reform. The Interim Report of the Royal Commission into Defence and Veteran Suicide found that this complexity could adversely affect the mental health of veterans.</w:t>
      </w:r>
    </w:p>
    <w:p w14:paraId="6D9338D4" w14:textId="5452BC68" w:rsidR="00581DBE" w:rsidRPr="00581DBE" w:rsidRDefault="00581DBE" w:rsidP="00581DBE">
      <w:pPr>
        <w:rPr>
          <w:rFonts w:eastAsia="MS Mincho"/>
          <w:spacing w:val="-3"/>
        </w:rPr>
      </w:pPr>
      <w:r w:rsidRPr="00581DBE">
        <w:rPr>
          <w:rFonts w:eastAsia="MS Mincho"/>
          <w:spacing w:val="-3"/>
        </w:rPr>
        <w:t>The IA considers four options to reform the veterans’ compensation and rehabilitation</w:t>
      </w:r>
      <w:r>
        <w:rPr>
          <w:rFonts w:eastAsia="MS Mincho"/>
          <w:spacing w:val="-3"/>
        </w:rPr>
        <w:t xml:space="preserve"> framework:</w:t>
      </w:r>
    </w:p>
    <w:p w14:paraId="43F820D1" w14:textId="77777777" w:rsidR="00581DBE" w:rsidRPr="00581DBE" w:rsidRDefault="00581DBE" w:rsidP="00845013">
      <w:pPr>
        <w:pStyle w:val="ListParagraph"/>
        <w:numPr>
          <w:ilvl w:val="0"/>
          <w:numId w:val="15"/>
        </w:numPr>
        <w:rPr>
          <w:rFonts w:eastAsia="MS Mincho"/>
          <w:spacing w:val="-3"/>
        </w:rPr>
      </w:pPr>
      <w:r w:rsidRPr="00581DBE">
        <w:rPr>
          <w:rFonts w:eastAsia="MS Mincho"/>
          <w:spacing w:val="-3"/>
        </w:rPr>
        <w:t>Option 1 – Status Quo</w:t>
      </w:r>
    </w:p>
    <w:p w14:paraId="210FB8E3" w14:textId="77777777" w:rsidR="00581DBE" w:rsidRPr="00581DBE" w:rsidRDefault="00581DBE" w:rsidP="00845013">
      <w:pPr>
        <w:pStyle w:val="ListParagraph"/>
        <w:numPr>
          <w:ilvl w:val="0"/>
          <w:numId w:val="15"/>
        </w:numPr>
        <w:rPr>
          <w:rFonts w:eastAsia="MS Mincho"/>
          <w:spacing w:val="-3"/>
        </w:rPr>
      </w:pPr>
      <w:r w:rsidRPr="00581DBE">
        <w:rPr>
          <w:rFonts w:eastAsia="MS Mincho"/>
          <w:spacing w:val="-3"/>
        </w:rPr>
        <w:t>Option 2 – Small-scale improvements that do not require large scale Government investment and can be implemented at a policy level or by minor legislative amendment</w:t>
      </w:r>
    </w:p>
    <w:p w14:paraId="73349076" w14:textId="77777777" w:rsidR="00581DBE" w:rsidRPr="00581DBE" w:rsidRDefault="00581DBE" w:rsidP="00845013">
      <w:pPr>
        <w:pStyle w:val="ListParagraph"/>
        <w:numPr>
          <w:ilvl w:val="0"/>
          <w:numId w:val="15"/>
        </w:numPr>
        <w:rPr>
          <w:rFonts w:eastAsia="MS Mincho"/>
          <w:spacing w:val="-3"/>
        </w:rPr>
      </w:pPr>
      <w:r w:rsidRPr="00581DBE">
        <w:rPr>
          <w:rFonts w:eastAsia="MS Mincho"/>
          <w:spacing w:val="-3"/>
        </w:rPr>
        <w:t>Option 3 – Move to a two-scheme approach based on the Productivity Commission’s 2019 report ‘A Better Way to Support Veterans”. This option entails compensation and rehabilitation delivered under two schemes – the current Veterans' Entitlements Act 1986 (VEA) and the Military Rehabilitation and Compensation) Act 2004 (MRCA) harmonised with the Safety, Rehabilitation and Compensation (Defence-related Claims) Act 1988 (DRCA)</w:t>
      </w:r>
    </w:p>
    <w:p w14:paraId="42970151" w14:textId="77777777" w:rsidR="00581DBE" w:rsidRPr="00581DBE" w:rsidRDefault="00581DBE" w:rsidP="00845013">
      <w:pPr>
        <w:pStyle w:val="ListParagraph"/>
        <w:numPr>
          <w:ilvl w:val="0"/>
          <w:numId w:val="15"/>
        </w:numPr>
        <w:rPr>
          <w:rFonts w:eastAsia="MS Mincho"/>
          <w:spacing w:val="-3"/>
        </w:rPr>
      </w:pPr>
      <w:r w:rsidRPr="00581DBE">
        <w:rPr>
          <w:rFonts w:eastAsia="MS Mincho"/>
          <w:spacing w:val="-3"/>
        </w:rPr>
        <w:t>Option 4 – All future claims received will be determined under the Military Rehabilitation and Compensation Act 2004 (MRCA) as the single ongoing act, irrespective of when and where the veteran served, or when their injury or illness occurred. This option also seeks to implement further improvements to the veterans’ support system such as aligning benefits across the compensation system. From a future date, the VEA and DRCA would be closed to claims.</w:t>
      </w:r>
    </w:p>
    <w:p w14:paraId="42E2ED7E" w14:textId="361A6368" w:rsidR="00581DBE" w:rsidRDefault="00581DBE" w:rsidP="00581DBE">
      <w:pPr>
        <w:rPr>
          <w:rFonts w:eastAsia="MS Mincho"/>
          <w:spacing w:val="-3"/>
        </w:rPr>
      </w:pPr>
      <w:r w:rsidRPr="00581DBE">
        <w:rPr>
          <w:rFonts w:eastAsia="MS Mincho"/>
          <w:spacing w:val="-3"/>
        </w:rPr>
        <w:t>The IA identifies Option 4 as the preferred option.</w:t>
      </w:r>
    </w:p>
    <w:p w14:paraId="06122E23" w14:textId="6DB52FAA" w:rsidR="00474C86" w:rsidRDefault="00474C86" w:rsidP="00474C86">
      <w:pPr>
        <w:pStyle w:val="Heading2"/>
      </w:pPr>
      <w:bookmarkStart w:id="47" w:name="_Toc181213899"/>
      <w:r>
        <w:t>National Indigenous Australians Agency</w:t>
      </w:r>
      <w:bookmarkEnd w:id="47"/>
    </w:p>
    <w:p w14:paraId="5AF27834" w14:textId="30518BEE" w:rsidR="00474C86" w:rsidRDefault="00474C86" w:rsidP="00474C86">
      <w:pPr>
        <w:pStyle w:val="Heading3"/>
      </w:pPr>
      <w:bookmarkStart w:id="48" w:name="_Toc181213900"/>
      <w:r>
        <w:t xml:space="preserve">Resolution to the collapse of the </w:t>
      </w:r>
      <w:proofErr w:type="spellStart"/>
      <w:r>
        <w:t>Youpla</w:t>
      </w:r>
      <w:proofErr w:type="spellEnd"/>
      <w:r>
        <w:t xml:space="preserve"> Group</w:t>
      </w:r>
      <w:bookmarkEnd w:id="48"/>
    </w:p>
    <w:p w14:paraId="24A55501" w14:textId="0D140FCC" w:rsidR="00474C86" w:rsidRPr="00D2267D" w:rsidRDefault="00474C86" w:rsidP="00474C86">
      <w:pPr>
        <w:rPr>
          <w:rFonts w:eastAsia="MS Mincho"/>
        </w:rPr>
      </w:pPr>
      <w:r w:rsidRPr="00B25486">
        <w:t xml:space="preserve">IA </w:t>
      </w:r>
      <w:r w:rsidRPr="00D2267D">
        <w:t xml:space="preserve">Status: </w:t>
      </w:r>
      <w:r w:rsidRPr="00D2267D">
        <w:rPr>
          <w:rFonts w:eastAsia="MS Mincho"/>
          <w:w w:val="105"/>
        </w:rPr>
        <w:t>Compliant</w:t>
      </w:r>
    </w:p>
    <w:p w14:paraId="75BAD12A" w14:textId="02ACB4ED" w:rsidR="00474C86" w:rsidRPr="00D2267D" w:rsidRDefault="00474C86" w:rsidP="00474C86">
      <w:r w:rsidRPr="00D2267D">
        <w:t xml:space="preserve">Assessment Rating: </w:t>
      </w:r>
      <w:r w:rsidR="00D2267D" w:rsidRPr="00D2267D">
        <w:t>A</w:t>
      </w:r>
      <w:r w:rsidRPr="00D2267D">
        <w:t>dequate</w:t>
      </w:r>
    </w:p>
    <w:p w14:paraId="1AF7353E" w14:textId="238B67BC" w:rsidR="00474C86" w:rsidRPr="001A7674" w:rsidRDefault="00D2267D" w:rsidP="00474C86">
      <w:r w:rsidRPr="00D2267D">
        <w:t>PIR Required: No</w:t>
      </w:r>
    </w:p>
    <w:p w14:paraId="18C23E1A" w14:textId="0FA4B668" w:rsidR="00474C86" w:rsidRDefault="00474C86" w:rsidP="00474C86">
      <w:pPr>
        <w:rPr>
          <w:rFonts w:eastAsia="MS Mincho"/>
          <w:spacing w:val="-3"/>
        </w:rPr>
      </w:pPr>
      <w:r w:rsidRPr="001A7674">
        <w:t xml:space="preserve">Regulatory Burden: </w:t>
      </w:r>
      <w:r w:rsidR="006C684E" w:rsidRPr="006C684E">
        <w:rPr>
          <w:rFonts w:eastAsia="MS Mincho"/>
          <w:spacing w:val="-3"/>
        </w:rPr>
        <w:t>The National Indigenous Australians Agency</w:t>
      </w:r>
      <w:r w:rsidR="006C684E">
        <w:rPr>
          <w:rFonts w:eastAsia="MS Mincho"/>
          <w:spacing w:val="-3"/>
        </w:rPr>
        <w:t xml:space="preserve"> (</w:t>
      </w:r>
      <w:r w:rsidR="006C684E" w:rsidRPr="006C684E">
        <w:rPr>
          <w:rFonts w:eastAsia="MS Mincho"/>
          <w:spacing w:val="-3"/>
        </w:rPr>
        <w:t>NIAA</w:t>
      </w:r>
      <w:r w:rsidR="006C684E">
        <w:rPr>
          <w:rFonts w:eastAsia="MS Mincho"/>
          <w:spacing w:val="-3"/>
        </w:rPr>
        <w:t>)</w:t>
      </w:r>
      <w:r w:rsidR="006C684E" w:rsidRPr="0C4B8A2C">
        <w:rPr>
          <w:rFonts w:eastAsia="MS Mincho"/>
        </w:rPr>
        <w:t xml:space="preserve"> estimates the preferred option</w:t>
      </w:r>
      <w:r w:rsidR="006C684E" w:rsidRPr="006C684E">
        <w:rPr>
          <w:rFonts w:eastAsia="MS Mincho"/>
          <w:spacing w:val="-3"/>
        </w:rPr>
        <w:t xml:space="preserve"> would result in a regulatory cost of $1,276,152.</w:t>
      </w:r>
    </w:p>
    <w:p w14:paraId="4371E661" w14:textId="0E1D01D5" w:rsidR="00474C86" w:rsidRDefault="00D2267D" w:rsidP="00474C86">
      <w:r w:rsidRPr="00D2267D">
        <w:t xml:space="preserve">The </w:t>
      </w:r>
      <w:proofErr w:type="spellStart"/>
      <w:r w:rsidRPr="00D2267D">
        <w:t>Youpla</w:t>
      </w:r>
      <w:proofErr w:type="spellEnd"/>
      <w:r w:rsidRPr="00D2267D">
        <w:t xml:space="preserve"> Group (formerly the Aboriginal Community Benefits Fund) was a funeral expenses insurer that primarily marketed its products to First Nations people, often using misleading and deceptive practices. The </w:t>
      </w:r>
      <w:proofErr w:type="spellStart"/>
      <w:r w:rsidRPr="00D2267D">
        <w:t>Youpla</w:t>
      </w:r>
      <w:proofErr w:type="spellEnd"/>
      <w:r w:rsidRPr="00D2267D">
        <w:t xml:space="preserve"> Group entered into liquidation in March 2022, leaving its policy holders without funeral cover to conduct Sorry Business, a tradition of mourning with deep cultural importance for First Nations peoples. This collapse therefore inflicted significant cultural and emotional harm to many First Na</w:t>
      </w:r>
      <w:r>
        <w:t xml:space="preserve">tions people and communities. </w:t>
      </w:r>
    </w:p>
    <w:p w14:paraId="29648783" w14:textId="77777777" w:rsidR="00D2267D" w:rsidRDefault="00D2267D" w:rsidP="00D2267D">
      <w:r>
        <w:t xml:space="preserve">The proposal aims to deliver a culturally appropriate resolution that reduces financial stress relating to Sorry Business and provides closure on this matter for former </w:t>
      </w:r>
      <w:proofErr w:type="spellStart"/>
      <w:r>
        <w:t>Youpla</w:t>
      </w:r>
      <w:proofErr w:type="spellEnd"/>
      <w:r>
        <w:t xml:space="preserve"> Group policy holders. </w:t>
      </w:r>
    </w:p>
    <w:p w14:paraId="373E0D39" w14:textId="77777777" w:rsidR="00D2267D" w:rsidRDefault="00D2267D" w:rsidP="00D2267D">
      <w:r>
        <w:t xml:space="preserve">Three cohorts of people who held a policy with the former </w:t>
      </w:r>
      <w:proofErr w:type="spellStart"/>
      <w:r>
        <w:t>Youpla</w:t>
      </w:r>
      <w:proofErr w:type="spellEnd"/>
      <w:r>
        <w:t xml:space="preserve"> Group were identified:</w:t>
      </w:r>
    </w:p>
    <w:p w14:paraId="7EC0302B" w14:textId="32241A55" w:rsidR="00D2267D" w:rsidRDefault="00D2267D" w:rsidP="00845013">
      <w:pPr>
        <w:pStyle w:val="ListParagraph"/>
        <w:numPr>
          <w:ilvl w:val="0"/>
          <w:numId w:val="13"/>
        </w:numPr>
      </w:pPr>
      <w:r>
        <w:t>Cohort A</w:t>
      </w:r>
      <w:r w:rsidR="00E711B9">
        <w:t>:</w:t>
      </w:r>
      <w:r>
        <w:t xml:space="preserve"> 2020 policy holders estimated to impact 7,850 policy holders with total premiums paid of $66 million</w:t>
      </w:r>
    </w:p>
    <w:p w14:paraId="2E04E652" w14:textId="1F523E6D" w:rsidR="00D2267D" w:rsidRDefault="00D2267D" w:rsidP="00845013">
      <w:pPr>
        <w:pStyle w:val="ListParagraph"/>
        <w:numPr>
          <w:ilvl w:val="0"/>
          <w:numId w:val="13"/>
        </w:numPr>
      </w:pPr>
      <w:r>
        <w:t>Cohort B</w:t>
      </w:r>
      <w:r w:rsidR="00E711B9">
        <w:t>:</w:t>
      </w:r>
      <w:r>
        <w:t xml:space="preserve"> 2015 policy holders estimated to impact 13,700 policy holders with total premiums paid of $106 million</w:t>
      </w:r>
    </w:p>
    <w:p w14:paraId="0D04A5A5" w14:textId="3ADA126F" w:rsidR="00D2267D" w:rsidRDefault="00D2267D" w:rsidP="00845013">
      <w:pPr>
        <w:pStyle w:val="ListParagraph"/>
        <w:numPr>
          <w:ilvl w:val="0"/>
          <w:numId w:val="13"/>
        </w:numPr>
      </w:pPr>
      <w:r>
        <w:t>Cohort C</w:t>
      </w:r>
      <w:r w:rsidR="00E711B9">
        <w:t>:</w:t>
      </w:r>
      <w:r>
        <w:t xml:space="preserve"> 2001 policy holders estimated to impact 31,400 policy holders with total premiums paid of $164 million.</w:t>
      </w:r>
    </w:p>
    <w:p w14:paraId="065353DB" w14:textId="77777777" w:rsidR="00D2267D" w:rsidRDefault="00D2267D" w:rsidP="00D2267D">
      <w:r>
        <w:t>The proposed resolution payment scheme consists of variations on the implementation of cash payments and/or funeral bonds.</w:t>
      </w:r>
    </w:p>
    <w:p w14:paraId="260B5B4E" w14:textId="223A3253" w:rsidR="00D2267D" w:rsidRDefault="00D2267D" w:rsidP="00845013">
      <w:pPr>
        <w:pStyle w:val="ListParagraph"/>
        <w:numPr>
          <w:ilvl w:val="0"/>
          <w:numId w:val="14"/>
        </w:numPr>
      </w:pPr>
      <w:r>
        <w:t>Option 1</w:t>
      </w:r>
      <w:r w:rsidR="00E711B9">
        <w:t>:</w:t>
      </w:r>
      <w:r>
        <w:t xml:space="preserve"> Choice between cash payment or funeral bonds.</w:t>
      </w:r>
    </w:p>
    <w:p w14:paraId="1CBA7F1A" w14:textId="17615B43" w:rsidR="00D2267D" w:rsidRDefault="00D2267D" w:rsidP="00845013">
      <w:pPr>
        <w:pStyle w:val="ListParagraph"/>
        <w:numPr>
          <w:ilvl w:val="0"/>
          <w:numId w:val="14"/>
        </w:numPr>
      </w:pPr>
      <w:r>
        <w:t>Option 2</w:t>
      </w:r>
      <w:r w:rsidR="00E711B9">
        <w:t>:</w:t>
      </w:r>
      <w:r>
        <w:t xml:space="preserve"> Funeral bonds set as a default; option to receive cash payment</w:t>
      </w:r>
    </w:p>
    <w:p w14:paraId="39AAD207" w14:textId="37E11C11" w:rsidR="00D2267D" w:rsidRDefault="00D2267D" w:rsidP="00845013">
      <w:pPr>
        <w:pStyle w:val="ListParagraph"/>
        <w:numPr>
          <w:ilvl w:val="0"/>
          <w:numId w:val="14"/>
        </w:numPr>
      </w:pPr>
      <w:r>
        <w:t>Option 3</w:t>
      </w:r>
      <w:r w:rsidR="00E711B9">
        <w:t>:</w:t>
      </w:r>
      <w:r>
        <w:t xml:space="preserve"> Funeral bonds are mandated, with specific exemptions.</w:t>
      </w:r>
    </w:p>
    <w:p w14:paraId="7171A214" w14:textId="0EA19D36" w:rsidR="00A36692" w:rsidRPr="00BA4608" w:rsidRDefault="00D2267D" w:rsidP="00BA4608">
      <w:r>
        <w:t xml:space="preserve">The </w:t>
      </w:r>
      <w:r w:rsidR="00FD68F0">
        <w:t>IA</w:t>
      </w:r>
      <w:r>
        <w:t xml:space="preserve"> details the impacts of each resolution payment option across each cohort. Cohort B and Option 2 is identified as the preferred option.</w:t>
      </w:r>
      <w:bookmarkStart w:id="49" w:name="_Toc122424449"/>
      <w:bookmarkStart w:id="50" w:name="_Toc122424450"/>
      <w:bookmarkEnd w:id="49"/>
      <w:bookmarkEnd w:id="50"/>
    </w:p>
    <w:sectPr w:rsidR="00A36692" w:rsidRPr="00BA4608" w:rsidSect="00D02A63">
      <w:headerReference w:type="default" r:id="rId18"/>
      <w:footerReference w:type="default" r:id="rId19"/>
      <w:headerReference w:type="first" r:id="rId20"/>
      <w:pgSz w:w="11906" w:h="16838"/>
      <w:pgMar w:top="1701" w:right="964" w:bottom="1644" w:left="964" w:header="992"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F795D2" w16cex:dateUtc="2024-10-29T03:05:37.899Z"/>
  <w16cex:commentExtensible w16cex:durableId="2A83EA89" w16cex:dateUtc="2024-10-29T03:22:17.7Z"/>
</w16cex:commentsExtensible>
</file>

<file path=word/commentsIds.xml><?xml version="1.0" encoding="utf-8"?>
<w16cid:commentsIds xmlns:mc="http://schemas.openxmlformats.org/markup-compatibility/2006" xmlns:w16cid="http://schemas.microsoft.com/office/word/2016/wordml/cid" mc:Ignorable="w16cid">
  <w16cid:commentId w16cid:paraId="5CA88CAA" w16cid:durableId="6E52F0AD"/>
  <w16cid:commentId w16cid:paraId="6EF2A7DA" w16cid:durableId="07DB9410"/>
  <w16cid:commentId w16cid:paraId="51D63C4B" w16cid:durableId="6D84400F"/>
  <w16cid:commentId w16cid:paraId="4112BD0B" w16cid:durableId="45BCB971"/>
  <w16cid:commentId w16cid:paraId="4E8A3FEA" w16cid:durableId="344B6FF2"/>
  <w16cid:commentId w16cid:paraId="00F24990" w16cid:durableId="13F8D3C2"/>
  <w16cid:commentId w16cid:paraId="582EB431" w16cid:durableId="4F64D4E3"/>
  <w16cid:commentId w16cid:paraId="7BA591A0" w16cid:durableId="33E384AC"/>
  <w16cid:commentId w16cid:paraId="5297455B" w16cid:durableId="47045CD2"/>
  <w16cid:commentId w16cid:paraId="089BB5F5" w16cid:durableId="59A1B7C2"/>
  <w16cid:commentId w16cid:paraId="6957402A" w16cid:durableId="79D869BD"/>
  <w16cid:commentId w16cid:paraId="3FC276CF" w16cid:durableId="63EB57D3"/>
  <w16cid:commentId w16cid:paraId="05099DB0" w16cid:durableId="08F795D2"/>
  <w16cid:commentId w16cid:paraId="360DF662" w16cid:durableId="56A42199"/>
  <w16cid:commentId w16cid:paraId="2C3E922C" w16cid:durableId="5FA93C43"/>
  <w16cid:commentId w16cid:paraId="670C4512" w16cid:durableId="2A83EA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7F6E" w14:textId="77777777" w:rsidR="00B77EBF" w:rsidRDefault="00B77EBF" w:rsidP="00F957C6">
      <w:pPr>
        <w:spacing w:after="0" w:line="240" w:lineRule="auto"/>
      </w:pPr>
      <w:r>
        <w:separator/>
      </w:r>
    </w:p>
  </w:endnote>
  <w:endnote w:type="continuationSeparator" w:id="0">
    <w:p w14:paraId="3A31BEB6" w14:textId="77777777" w:rsidR="00B77EBF" w:rsidRDefault="00B77EBF" w:rsidP="00F957C6">
      <w:pPr>
        <w:spacing w:after="0" w:line="240" w:lineRule="auto"/>
      </w:pPr>
      <w:r>
        <w:continuationSeparator/>
      </w:r>
    </w:p>
  </w:endnote>
  <w:endnote w:type="continuationNotice" w:id="1">
    <w:p w14:paraId="1723972A" w14:textId="77777777" w:rsidR="00B77EBF" w:rsidRDefault="00B77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790A" w14:textId="77777777" w:rsidR="00574AC5" w:rsidRDefault="00574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5"/>
      <w:gridCol w:w="3325"/>
      <w:gridCol w:w="3325"/>
    </w:tblGrid>
    <w:tr w:rsidR="6BBEDA10" w14:paraId="3D25A98D" w14:textId="77777777" w:rsidTr="6BBEDA10">
      <w:trPr>
        <w:trHeight w:val="300"/>
      </w:trPr>
      <w:tc>
        <w:tcPr>
          <w:tcW w:w="3325" w:type="dxa"/>
        </w:tcPr>
        <w:p w14:paraId="7A3F78A8" w14:textId="7842C17E" w:rsidR="6BBEDA10" w:rsidRDefault="6BBEDA10" w:rsidP="6BBEDA10">
          <w:pPr>
            <w:pStyle w:val="Header"/>
            <w:ind w:left="-115"/>
          </w:pPr>
        </w:p>
      </w:tc>
      <w:tc>
        <w:tcPr>
          <w:tcW w:w="3325" w:type="dxa"/>
        </w:tcPr>
        <w:p w14:paraId="65975351" w14:textId="3AE351D6" w:rsidR="6BBEDA10" w:rsidRDefault="6BBEDA10" w:rsidP="6BBEDA10">
          <w:pPr>
            <w:pStyle w:val="Header"/>
            <w:jc w:val="center"/>
          </w:pPr>
        </w:p>
      </w:tc>
      <w:tc>
        <w:tcPr>
          <w:tcW w:w="3325" w:type="dxa"/>
        </w:tcPr>
        <w:p w14:paraId="7F638710" w14:textId="65CB0EAE" w:rsidR="6BBEDA10" w:rsidRDefault="6BBEDA10" w:rsidP="6BBEDA10">
          <w:pPr>
            <w:pStyle w:val="Header"/>
            <w:ind w:right="-115"/>
            <w:jc w:val="right"/>
          </w:pPr>
        </w:p>
      </w:tc>
    </w:tr>
  </w:tbl>
  <w:p w14:paraId="27801FF9" w14:textId="40425CB3" w:rsidR="6BBEDA10" w:rsidRDefault="6BBEDA10" w:rsidP="6BBED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B56A" w14:textId="12F34E1D" w:rsidR="00A02ABA" w:rsidRPr="00303C55" w:rsidRDefault="00A02ABA" w:rsidP="00303C55">
    <w:pPr>
      <w:pStyle w:val="Footer"/>
    </w:pPr>
    <w:r>
      <w:t>Australian Government Regulation Impact Statement Status, 2021-22</w:t>
    </w:r>
    <w:r>
      <w:ptab w:relativeTo="margin" w:alignment="center" w:leader="none"/>
    </w:r>
    <w:r>
      <w:rPr>
        <w:noProof/>
        <w:lang w:eastAsia="en-AU"/>
      </w:rPr>
      <mc:AlternateContent>
        <mc:Choice Requires="wps">
          <w:drawing>
            <wp:anchor distT="0" distB="0" distL="114300" distR="114300" simplePos="0" relativeHeight="251658243" behindDoc="1" locked="0" layoutInCell="1" allowOverlap="1" wp14:anchorId="37C46390" wp14:editId="042C6E12">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39EEF" id="Straight Connector 106"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5211D597AC3940B592065566A352D0E3"/>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58242" behindDoc="0" locked="0" layoutInCell="1" allowOverlap="1" wp14:anchorId="37876B73" wp14:editId="6131FC7B">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55361" id="Straight Connector 10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E942" w14:textId="77777777" w:rsidR="00A02ABA" w:rsidRPr="00285CAF" w:rsidRDefault="00A02ABA" w:rsidP="00D10635">
    <w:pPr>
      <w:jc w:val="center"/>
    </w:pPr>
  </w:p>
  <w:p w14:paraId="7101789E" w14:textId="506C5FC6" w:rsidR="00A02ABA" w:rsidRPr="008046D4" w:rsidRDefault="5F7D9C00" w:rsidP="5F7D9C00">
    <w:pPr>
      <w:pStyle w:val="Header"/>
      <w:rPr>
        <w:rFonts w:ascii="Segoe UI" w:hAnsi="Segoe UI" w:cs="Segoe UI"/>
        <w:color w:val="7F7F7F" w:themeColor="text1" w:themeTint="80"/>
        <w:sz w:val="18"/>
        <w:szCs w:val="18"/>
      </w:rPr>
    </w:pPr>
    <w:r>
      <w:rPr>
        <w:color w:val="7F7F7F" w:themeColor="text1" w:themeTint="80"/>
        <w:sz w:val="18"/>
        <w:szCs w:val="18"/>
      </w:rPr>
      <w:t>PM&amp;C | OIA | Australian Government Impact Analysis Status, 2024-25</w:t>
    </w:r>
    <w:r w:rsidR="00A02ABA">
      <w:ptab w:relativeTo="margin" w:alignment="right" w:leader="none"/>
    </w:r>
    <w:r w:rsidR="00A02ABA" w:rsidRPr="5F7D9C00">
      <w:rPr>
        <w:rFonts w:ascii="Segoe UI" w:hAnsi="Segoe UI" w:cs="Segoe UI"/>
        <w:noProof/>
        <w:color w:val="7F7F7F" w:themeColor="text1" w:themeTint="80"/>
        <w:sz w:val="18"/>
        <w:szCs w:val="18"/>
      </w:rPr>
      <w:fldChar w:fldCharType="begin"/>
    </w:r>
    <w:r w:rsidR="00A02ABA" w:rsidRPr="5F7D9C00">
      <w:rPr>
        <w:rFonts w:ascii="Segoe UI" w:hAnsi="Segoe UI" w:cs="Segoe UI"/>
        <w:color w:val="7F7F7F" w:themeColor="text1" w:themeTint="80"/>
        <w:sz w:val="18"/>
        <w:szCs w:val="18"/>
      </w:rPr>
      <w:instrText xml:space="preserve"> PAGE   \* MERGEFORMAT </w:instrText>
    </w:r>
    <w:r w:rsidR="00A02ABA" w:rsidRPr="5F7D9C00">
      <w:rPr>
        <w:rFonts w:ascii="Segoe UI" w:hAnsi="Segoe UI" w:cs="Segoe UI"/>
        <w:color w:val="7F7F7F" w:themeColor="text1" w:themeTint="80"/>
        <w:sz w:val="18"/>
        <w:szCs w:val="18"/>
      </w:rPr>
      <w:fldChar w:fldCharType="separate"/>
    </w:r>
    <w:r w:rsidR="00574AC5">
      <w:rPr>
        <w:rFonts w:ascii="Segoe UI" w:hAnsi="Segoe UI" w:cs="Segoe UI"/>
        <w:noProof/>
        <w:color w:val="7F7F7F" w:themeColor="text1" w:themeTint="80"/>
        <w:sz w:val="18"/>
        <w:szCs w:val="18"/>
      </w:rPr>
      <w:t>19</w:t>
    </w:r>
    <w:r w:rsidR="00A02ABA" w:rsidRPr="5F7D9C00">
      <w:rPr>
        <w:rFonts w:ascii="Segoe UI" w:hAnsi="Segoe UI" w:cs="Segoe UI"/>
        <w:noProof/>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0AF8" w14:textId="77777777" w:rsidR="00B77EBF" w:rsidRDefault="00B77EBF" w:rsidP="00F957C6">
      <w:pPr>
        <w:spacing w:after="0" w:line="240" w:lineRule="auto"/>
      </w:pPr>
      <w:r>
        <w:separator/>
      </w:r>
    </w:p>
  </w:footnote>
  <w:footnote w:type="continuationSeparator" w:id="0">
    <w:p w14:paraId="086FF815" w14:textId="77777777" w:rsidR="00B77EBF" w:rsidRDefault="00B77EBF" w:rsidP="00F957C6">
      <w:pPr>
        <w:spacing w:after="0" w:line="240" w:lineRule="auto"/>
      </w:pPr>
      <w:r>
        <w:continuationSeparator/>
      </w:r>
    </w:p>
  </w:footnote>
  <w:footnote w:type="continuationNotice" w:id="1">
    <w:p w14:paraId="1D469C42" w14:textId="77777777" w:rsidR="00B77EBF" w:rsidRDefault="00B77E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7845" w14:textId="77777777" w:rsidR="00574AC5" w:rsidRDefault="0057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F4D8" w14:textId="1D142BFB" w:rsidR="00A02ABA" w:rsidRDefault="00A02ABA" w:rsidP="00303C55">
    <w:pPr>
      <w:pStyle w:val="Header"/>
      <w:ind w:left="1134"/>
      <w:rPr>
        <w:noProof/>
        <w:lang w:eastAsia="en-AU"/>
      </w:rPr>
    </w:pPr>
    <w:r>
      <w:rPr>
        <w:noProof/>
        <w:lang w:eastAsia="en-AU"/>
      </w:rPr>
      <w:drawing>
        <wp:anchor distT="0" distB="0" distL="114300" distR="114300" simplePos="0" relativeHeight="251658247" behindDoc="0" locked="0" layoutInCell="1" allowOverlap="1" wp14:anchorId="065A4D19" wp14:editId="0BA4944E">
          <wp:simplePos x="0" y="0"/>
          <wp:positionH relativeFrom="column">
            <wp:posOffset>4069787</wp:posOffset>
          </wp:positionH>
          <wp:positionV relativeFrom="paragraph">
            <wp:posOffset>-450794</wp:posOffset>
          </wp:positionV>
          <wp:extent cx="1411605" cy="1132840"/>
          <wp:effectExtent l="0" t="0" r="0" b="0"/>
          <wp:wrapSquare wrapText="bothSides"/>
          <wp:docPr id="1" name="Picture 1"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411605" cy="1132840"/>
                  </a:xfrm>
                  <a:prstGeom prst="rect">
                    <a:avLst/>
                  </a:prstGeom>
                </pic:spPr>
              </pic:pic>
            </a:graphicData>
          </a:graphic>
          <wp14:sizeRelH relativeFrom="page">
            <wp14:pctWidth>0</wp14:pctWidth>
          </wp14:sizeRelH>
          <wp14:sizeRelV relativeFrom="page">
            <wp14:pctHeight>0</wp14:pctHeight>
          </wp14:sizeRelV>
        </wp:anchor>
      </w:drawing>
    </w:r>
    <w:r w:rsidR="00574AC5">
      <w:rPr>
        <w:noProof/>
      </w:rPr>
      <w:pict w14:anchorId="59544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Australian Government, Department of the Prime Minister and Cabinet" style="position:absolute;left:0;text-align:left;margin-left:0;margin-top:27.5pt;width:254.95pt;height:43.05pt;z-index:251658246;mso-position-horizontal:absolute;mso-position-horizontal-relative:margin;mso-position-vertical:absolute;mso-position-vertical-relative:page;mso-width-relative:page;mso-height-relative:page">
          <v:imagedata r:id="rId2" o:title="PMC_Logo_Primary_CMYK_Black" croptop="15525f" cropbottom="15745f" cropleft="4167f" cropright="4352f"/>
          <w10:wrap type="square" anchorx="margin" anchory="page"/>
        </v:shape>
      </w:pict>
    </w:r>
  </w:p>
  <w:p w14:paraId="1CAA23DF" w14:textId="77777777" w:rsidR="00A02ABA" w:rsidRDefault="00A02ABA"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58240" behindDoc="1" locked="0" layoutInCell="1" allowOverlap="1" wp14:anchorId="5998117B" wp14:editId="39E38ACE">
              <wp:simplePos x="0" y="0"/>
              <wp:positionH relativeFrom="column">
                <wp:posOffset>6334760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094C1"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498.8pt,54.5pt" to="54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" strokecolor="black [3200]" strokeweight=".5pt">
              <v:stroke joinstyle="miter"/>
              <w10:wrap anchory="page"/>
            </v:line>
          </w:pict>
        </mc:Fallback>
      </mc:AlternateContent>
    </w:r>
    <w:r>
      <w:tab/>
    </w:r>
  </w:p>
  <w:p w14:paraId="462EF675" w14:textId="77777777" w:rsidR="00A02ABA" w:rsidRDefault="00A02ABA" w:rsidP="00303C55">
    <w:pPr>
      <w:pStyle w:val="Header"/>
      <w:ind w:left="1134"/>
    </w:pPr>
  </w:p>
  <w:p w14:paraId="12B1B52F" w14:textId="77777777" w:rsidR="00A02ABA" w:rsidRDefault="00A02ABA" w:rsidP="00303C55">
    <w:pPr>
      <w:pStyle w:val="Header"/>
      <w:ind w:left="1134"/>
    </w:pPr>
  </w:p>
  <w:p w14:paraId="468074E9" w14:textId="77777777" w:rsidR="00A02ABA" w:rsidRDefault="00A02ABA" w:rsidP="00303C55">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0F1B" w14:textId="77777777" w:rsidR="00A02ABA" w:rsidRDefault="00A02ABA" w:rsidP="00303C55">
    <w:pPr>
      <w:pStyle w:val="Header"/>
      <w:jc w:val="center"/>
    </w:pPr>
    <w:r>
      <w:rPr>
        <w:noProof/>
        <w:lang w:eastAsia="en-AU"/>
      </w:rPr>
      <mc:AlternateContent>
        <mc:Choice Requires="wps">
          <w:drawing>
            <wp:anchor distT="0" distB="0" distL="114300" distR="114300" simplePos="0" relativeHeight="251658241" behindDoc="1" locked="0" layoutInCell="1" allowOverlap="1" wp14:anchorId="798A30CD" wp14:editId="457F17E4">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4DFE7" id="Straight Connector 102"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6FE6A16A9C4E486DBEA852C178641D1D"/>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764F" w14:textId="77777777" w:rsidR="00A02ABA" w:rsidRPr="00D10635" w:rsidRDefault="00A02ABA" w:rsidP="00D10635">
    <w:pPr>
      <w:jc w:val="center"/>
    </w:pPr>
    <w:r>
      <w:rPr>
        <w:noProof/>
        <w:lang w:eastAsia="en-AU"/>
      </w:rPr>
      <mc:AlternateContent>
        <mc:Choice Requires="wps">
          <w:drawing>
            <wp:anchor distT="0" distB="0" distL="114300" distR="114300" simplePos="0" relativeHeight="251658245" behindDoc="1" locked="0" layoutInCell="1" allowOverlap="1" wp14:anchorId="55AFF57D" wp14:editId="5A69B172">
              <wp:simplePos x="0" y="0"/>
              <wp:positionH relativeFrom="column">
                <wp:posOffset>6329680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29F3E2" id="Straight Connector 4" o:spid="_x0000_s1026" style="position:absolute;z-index:-251658235;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4pt,54.45pt" to="546.3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" strokecolor="black [3200]" strokeweight=".5pt">
              <v:stroke joinstyle="miter"/>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CE3B" w14:textId="77777777" w:rsidR="00A02ABA" w:rsidRDefault="00A02ABA" w:rsidP="00303C55">
    <w:pPr>
      <w:pStyle w:val="Header"/>
      <w:jc w:val="center"/>
    </w:pPr>
    <w:r>
      <w:rPr>
        <w:noProof/>
        <w:lang w:eastAsia="en-AU"/>
      </w:rPr>
      <mc:AlternateContent>
        <mc:Choice Requires="wps">
          <w:drawing>
            <wp:anchor distT="0" distB="0" distL="114300" distR="114300" simplePos="0" relativeHeight="251658244"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CBADD" id="Straight Connector 108" o:spid="_x0000_s1026" style="position:absolute;z-index:-251658236;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B9D1FFE9A19C443E92B61273893E3FEC"/>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1B2"/>
    <w:multiLevelType w:val="hybridMultilevel"/>
    <w:tmpl w:val="3A264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13D00"/>
    <w:multiLevelType w:val="hybridMultilevel"/>
    <w:tmpl w:val="BCCA4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6" w15:restartNumberingAfterBreak="0">
    <w:nsid w:val="19F33BBA"/>
    <w:multiLevelType w:val="multilevel"/>
    <w:tmpl w:val="A77CE726"/>
    <w:lvl w:ilvl="0">
      <w:start w:val="1"/>
      <w:numFmt w:val="decimal"/>
      <w:pStyle w:val="Figure"/>
      <w:suff w:val="space"/>
      <w:lvlText w:val="Figure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F22E27"/>
    <w:multiLevelType w:val="hybridMultilevel"/>
    <w:tmpl w:val="ADE48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1" w15:restartNumberingAfterBreak="0">
    <w:nsid w:val="5BFF1302"/>
    <w:multiLevelType w:val="hybridMultilevel"/>
    <w:tmpl w:val="C4B6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7064C1"/>
    <w:multiLevelType w:val="hybridMultilevel"/>
    <w:tmpl w:val="1BAA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B17C36"/>
    <w:multiLevelType w:val="hybridMultilevel"/>
    <w:tmpl w:val="0B3A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394607"/>
    <w:multiLevelType w:val="hybridMultilevel"/>
    <w:tmpl w:val="610C9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BB1A79"/>
    <w:multiLevelType w:val="hybridMultilevel"/>
    <w:tmpl w:val="8D8A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751CA9"/>
    <w:multiLevelType w:val="hybridMultilevel"/>
    <w:tmpl w:val="5A0CD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833236"/>
    <w:multiLevelType w:val="hybridMultilevel"/>
    <w:tmpl w:val="E76C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9"/>
  </w:num>
  <w:num w:numId="5">
    <w:abstractNumId w:val="18"/>
  </w:num>
  <w:num w:numId="6">
    <w:abstractNumId w:val="10"/>
  </w:num>
  <w:num w:numId="7">
    <w:abstractNumId w:val="5"/>
  </w:num>
  <w:num w:numId="8">
    <w:abstractNumId w:val="8"/>
  </w:num>
  <w:num w:numId="9">
    <w:abstractNumId w:val="4"/>
  </w:num>
  <w:num w:numId="10">
    <w:abstractNumId w:val="6"/>
  </w:num>
  <w:num w:numId="11">
    <w:abstractNumId w:val="0"/>
  </w:num>
  <w:num w:numId="12">
    <w:abstractNumId w:val="7"/>
  </w:num>
  <w:num w:numId="13">
    <w:abstractNumId w:val="13"/>
  </w:num>
  <w:num w:numId="14">
    <w:abstractNumId w:val="12"/>
  </w:num>
  <w:num w:numId="15">
    <w:abstractNumId w:val="15"/>
  </w:num>
  <w:num w:numId="16">
    <w:abstractNumId w:val="11"/>
  </w:num>
  <w:num w:numId="17">
    <w:abstractNumId w:val="14"/>
  </w:num>
  <w:num w:numId="18">
    <w:abstractNumId w:val="17"/>
  </w:num>
  <w:num w:numId="19">
    <w:abstractNumId w:val="19"/>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7"/>
    <w:rsid w:val="000002D2"/>
    <w:rsid w:val="00007E51"/>
    <w:rsid w:val="0001094F"/>
    <w:rsid w:val="00010BE0"/>
    <w:rsid w:val="00011313"/>
    <w:rsid w:val="00013C3B"/>
    <w:rsid w:val="00016A64"/>
    <w:rsid w:val="000244FE"/>
    <w:rsid w:val="00025B5D"/>
    <w:rsid w:val="00027038"/>
    <w:rsid w:val="000302B4"/>
    <w:rsid w:val="0003154E"/>
    <w:rsid w:val="00031D61"/>
    <w:rsid w:val="00032075"/>
    <w:rsid w:val="00037513"/>
    <w:rsid w:val="000376AA"/>
    <w:rsid w:val="00041CA3"/>
    <w:rsid w:val="0004363D"/>
    <w:rsid w:val="00046499"/>
    <w:rsid w:val="000551F4"/>
    <w:rsid w:val="00057A02"/>
    <w:rsid w:val="00061B0B"/>
    <w:rsid w:val="00062F2E"/>
    <w:rsid w:val="00064EF1"/>
    <w:rsid w:val="000658E2"/>
    <w:rsid w:val="0006627F"/>
    <w:rsid w:val="000703D0"/>
    <w:rsid w:val="00071B99"/>
    <w:rsid w:val="00072600"/>
    <w:rsid w:val="000873CB"/>
    <w:rsid w:val="00090846"/>
    <w:rsid w:val="00090C29"/>
    <w:rsid w:val="000920F3"/>
    <w:rsid w:val="00096142"/>
    <w:rsid w:val="000969FE"/>
    <w:rsid w:val="00097792"/>
    <w:rsid w:val="000A1D5E"/>
    <w:rsid w:val="000A3B94"/>
    <w:rsid w:val="000A5596"/>
    <w:rsid w:val="000A59C1"/>
    <w:rsid w:val="000B240E"/>
    <w:rsid w:val="000B3417"/>
    <w:rsid w:val="000B693B"/>
    <w:rsid w:val="000C118B"/>
    <w:rsid w:val="000C1B92"/>
    <w:rsid w:val="000C2F96"/>
    <w:rsid w:val="000C49A1"/>
    <w:rsid w:val="000C6F6D"/>
    <w:rsid w:val="000C741C"/>
    <w:rsid w:val="000D35B6"/>
    <w:rsid w:val="000D749D"/>
    <w:rsid w:val="000D7D70"/>
    <w:rsid w:val="000E0486"/>
    <w:rsid w:val="000E1791"/>
    <w:rsid w:val="000E5D37"/>
    <w:rsid w:val="000E7CE5"/>
    <w:rsid w:val="000F2EA7"/>
    <w:rsid w:val="000F41B9"/>
    <w:rsid w:val="000F7E27"/>
    <w:rsid w:val="00100B14"/>
    <w:rsid w:val="00100FC5"/>
    <w:rsid w:val="00101566"/>
    <w:rsid w:val="001038D4"/>
    <w:rsid w:val="00104B9F"/>
    <w:rsid w:val="00105CC2"/>
    <w:rsid w:val="00106BE1"/>
    <w:rsid w:val="00111056"/>
    <w:rsid w:val="00112423"/>
    <w:rsid w:val="001135BB"/>
    <w:rsid w:val="00117A77"/>
    <w:rsid w:val="001231FF"/>
    <w:rsid w:val="00125BB5"/>
    <w:rsid w:val="001277DC"/>
    <w:rsid w:val="0013055F"/>
    <w:rsid w:val="0013330F"/>
    <w:rsid w:val="00133FB2"/>
    <w:rsid w:val="00136E23"/>
    <w:rsid w:val="001418FA"/>
    <w:rsid w:val="00142110"/>
    <w:rsid w:val="0014296C"/>
    <w:rsid w:val="00144E06"/>
    <w:rsid w:val="00146FF4"/>
    <w:rsid w:val="001512C8"/>
    <w:rsid w:val="001525F8"/>
    <w:rsid w:val="00152949"/>
    <w:rsid w:val="00154581"/>
    <w:rsid w:val="001573D5"/>
    <w:rsid w:val="00161902"/>
    <w:rsid w:val="001664BA"/>
    <w:rsid w:val="001707A0"/>
    <w:rsid w:val="00172A89"/>
    <w:rsid w:val="00173B30"/>
    <w:rsid w:val="0017419E"/>
    <w:rsid w:val="00180574"/>
    <w:rsid w:val="001810A6"/>
    <w:rsid w:val="00194643"/>
    <w:rsid w:val="0019579E"/>
    <w:rsid w:val="00196651"/>
    <w:rsid w:val="001A03AB"/>
    <w:rsid w:val="001A5755"/>
    <w:rsid w:val="001A7674"/>
    <w:rsid w:val="001B1FB2"/>
    <w:rsid w:val="001B2FA0"/>
    <w:rsid w:val="001B69E2"/>
    <w:rsid w:val="001B71EE"/>
    <w:rsid w:val="001C3BF2"/>
    <w:rsid w:val="001D0BF9"/>
    <w:rsid w:val="001D1E2E"/>
    <w:rsid w:val="001D313F"/>
    <w:rsid w:val="001D3FE5"/>
    <w:rsid w:val="001D4C66"/>
    <w:rsid w:val="001D6C3C"/>
    <w:rsid w:val="001D6FF2"/>
    <w:rsid w:val="001E0D42"/>
    <w:rsid w:val="001E2D21"/>
    <w:rsid w:val="001F16CB"/>
    <w:rsid w:val="001F2200"/>
    <w:rsid w:val="001F2ABB"/>
    <w:rsid w:val="001F344D"/>
    <w:rsid w:val="002014C1"/>
    <w:rsid w:val="00201772"/>
    <w:rsid w:val="002061B3"/>
    <w:rsid w:val="00206F93"/>
    <w:rsid w:val="00207A5A"/>
    <w:rsid w:val="002109A5"/>
    <w:rsid w:val="00220DDA"/>
    <w:rsid w:val="002235FF"/>
    <w:rsid w:val="002244CB"/>
    <w:rsid w:val="002245C1"/>
    <w:rsid w:val="00226138"/>
    <w:rsid w:val="00227DB5"/>
    <w:rsid w:val="00230C79"/>
    <w:rsid w:val="00230E29"/>
    <w:rsid w:val="002355D0"/>
    <w:rsid w:val="002431A1"/>
    <w:rsid w:val="0024649C"/>
    <w:rsid w:val="00252FC8"/>
    <w:rsid w:val="00253DC5"/>
    <w:rsid w:val="00254993"/>
    <w:rsid w:val="00254BDF"/>
    <w:rsid w:val="00255FFC"/>
    <w:rsid w:val="00261136"/>
    <w:rsid w:val="00261374"/>
    <w:rsid w:val="00262D7B"/>
    <w:rsid w:val="00264D5F"/>
    <w:rsid w:val="00265A3B"/>
    <w:rsid w:val="002664D2"/>
    <w:rsid w:val="00266CCC"/>
    <w:rsid w:val="002674AA"/>
    <w:rsid w:val="00267D4C"/>
    <w:rsid w:val="0027119B"/>
    <w:rsid w:val="00273F04"/>
    <w:rsid w:val="00274178"/>
    <w:rsid w:val="00274D42"/>
    <w:rsid w:val="002803E6"/>
    <w:rsid w:val="002840FF"/>
    <w:rsid w:val="00284109"/>
    <w:rsid w:val="00285CAF"/>
    <w:rsid w:val="00290473"/>
    <w:rsid w:val="002919C3"/>
    <w:rsid w:val="002A1B54"/>
    <w:rsid w:val="002A1BC7"/>
    <w:rsid w:val="002A1F0F"/>
    <w:rsid w:val="002A5756"/>
    <w:rsid w:val="002A680E"/>
    <w:rsid w:val="002A70E4"/>
    <w:rsid w:val="002B2AFD"/>
    <w:rsid w:val="002B3A70"/>
    <w:rsid w:val="002B3D96"/>
    <w:rsid w:val="002B3DC1"/>
    <w:rsid w:val="002B661A"/>
    <w:rsid w:val="002C4D2F"/>
    <w:rsid w:val="002C6070"/>
    <w:rsid w:val="002C7A05"/>
    <w:rsid w:val="002D083D"/>
    <w:rsid w:val="002D11A9"/>
    <w:rsid w:val="002D1239"/>
    <w:rsid w:val="002D6398"/>
    <w:rsid w:val="002D6B3D"/>
    <w:rsid w:val="002D76D0"/>
    <w:rsid w:val="002E1BCD"/>
    <w:rsid w:val="002E46F4"/>
    <w:rsid w:val="002F1FEC"/>
    <w:rsid w:val="002F2F08"/>
    <w:rsid w:val="002F494C"/>
    <w:rsid w:val="002F541B"/>
    <w:rsid w:val="00301A72"/>
    <w:rsid w:val="00303C55"/>
    <w:rsid w:val="00304824"/>
    <w:rsid w:val="00304D36"/>
    <w:rsid w:val="003053AA"/>
    <w:rsid w:val="003058F5"/>
    <w:rsid w:val="0031018D"/>
    <w:rsid w:val="00310202"/>
    <w:rsid w:val="00310CF5"/>
    <w:rsid w:val="00311C2D"/>
    <w:rsid w:val="00313704"/>
    <w:rsid w:val="003157D7"/>
    <w:rsid w:val="0031604E"/>
    <w:rsid w:val="00317A04"/>
    <w:rsid w:val="003215E0"/>
    <w:rsid w:val="00321626"/>
    <w:rsid w:val="00322B3D"/>
    <w:rsid w:val="00324EEE"/>
    <w:rsid w:val="00327135"/>
    <w:rsid w:val="003322D2"/>
    <w:rsid w:val="003361FC"/>
    <w:rsid w:val="003375EB"/>
    <w:rsid w:val="00337AA3"/>
    <w:rsid w:val="003434FE"/>
    <w:rsid w:val="00344B88"/>
    <w:rsid w:val="00346A3D"/>
    <w:rsid w:val="00350A63"/>
    <w:rsid w:val="00350AEB"/>
    <w:rsid w:val="0035168A"/>
    <w:rsid w:val="00353C61"/>
    <w:rsid w:val="00353E5E"/>
    <w:rsid w:val="00354954"/>
    <w:rsid w:val="00357216"/>
    <w:rsid w:val="003615F1"/>
    <w:rsid w:val="00363240"/>
    <w:rsid w:val="00366C83"/>
    <w:rsid w:val="00366ECA"/>
    <w:rsid w:val="00373873"/>
    <w:rsid w:val="003741C5"/>
    <w:rsid w:val="00374D1E"/>
    <w:rsid w:val="00374D2A"/>
    <w:rsid w:val="00376FE6"/>
    <w:rsid w:val="00384A6D"/>
    <w:rsid w:val="00385BD5"/>
    <w:rsid w:val="00385EAF"/>
    <w:rsid w:val="003867CB"/>
    <w:rsid w:val="003907E2"/>
    <w:rsid w:val="00390BC7"/>
    <w:rsid w:val="00391AAD"/>
    <w:rsid w:val="0039603B"/>
    <w:rsid w:val="003960DB"/>
    <w:rsid w:val="003A3EBC"/>
    <w:rsid w:val="003B210E"/>
    <w:rsid w:val="003B37A9"/>
    <w:rsid w:val="003B3D4E"/>
    <w:rsid w:val="003B4B40"/>
    <w:rsid w:val="003C4CB1"/>
    <w:rsid w:val="003D1FEA"/>
    <w:rsid w:val="003D4B0F"/>
    <w:rsid w:val="003D615B"/>
    <w:rsid w:val="003D676D"/>
    <w:rsid w:val="003D686A"/>
    <w:rsid w:val="003F1438"/>
    <w:rsid w:val="003F1E6B"/>
    <w:rsid w:val="003F23D2"/>
    <w:rsid w:val="003F23E9"/>
    <w:rsid w:val="003F4AF2"/>
    <w:rsid w:val="00405C27"/>
    <w:rsid w:val="004122CC"/>
    <w:rsid w:val="004140B0"/>
    <w:rsid w:val="00417368"/>
    <w:rsid w:val="0042016B"/>
    <w:rsid w:val="00420E05"/>
    <w:rsid w:val="00425E27"/>
    <w:rsid w:val="00430F7B"/>
    <w:rsid w:val="0043140E"/>
    <w:rsid w:val="00432D94"/>
    <w:rsid w:val="0043303E"/>
    <w:rsid w:val="004358FA"/>
    <w:rsid w:val="00436415"/>
    <w:rsid w:val="00437015"/>
    <w:rsid w:val="00440573"/>
    <w:rsid w:val="00441979"/>
    <w:rsid w:val="00446D99"/>
    <w:rsid w:val="00460D57"/>
    <w:rsid w:val="0046179F"/>
    <w:rsid w:val="00461A9F"/>
    <w:rsid w:val="00464C95"/>
    <w:rsid w:val="00474638"/>
    <w:rsid w:val="00474C86"/>
    <w:rsid w:val="0047596B"/>
    <w:rsid w:val="004767A6"/>
    <w:rsid w:val="004768F0"/>
    <w:rsid w:val="0047768A"/>
    <w:rsid w:val="00477B15"/>
    <w:rsid w:val="0048074B"/>
    <w:rsid w:val="00483BAB"/>
    <w:rsid w:val="00487614"/>
    <w:rsid w:val="004912F0"/>
    <w:rsid w:val="0049361D"/>
    <w:rsid w:val="004947E4"/>
    <w:rsid w:val="004A0B07"/>
    <w:rsid w:val="004A17D7"/>
    <w:rsid w:val="004B0D74"/>
    <w:rsid w:val="004B18E1"/>
    <w:rsid w:val="004B18FF"/>
    <w:rsid w:val="004B2C90"/>
    <w:rsid w:val="004B3821"/>
    <w:rsid w:val="004B515A"/>
    <w:rsid w:val="004B54CB"/>
    <w:rsid w:val="004C0CD8"/>
    <w:rsid w:val="004C17DE"/>
    <w:rsid w:val="004C1F82"/>
    <w:rsid w:val="004C28BB"/>
    <w:rsid w:val="004C567E"/>
    <w:rsid w:val="004D2017"/>
    <w:rsid w:val="004D6E03"/>
    <w:rsid w:val="004E1F45"/>
    <w:rsid w:val="004E3ECD"/>
    <w:rsid w:val="004E4AF1"/>
    <w:rsid w:val="004E4B9C"/>
    <w:rsid w:val="004E6DD2"/>
    <w:rsid w:val="004F0DCE"/>
    <w:rsid w:val="004F1812"/>
    <w:rsid w:val="004F2B62"/>
    <w:rsid w:val="004F35B7"/>
    <w:rsid w:val="004F4C4F"/>
    <w:rsid w:val="004F4EEF"/>
    <w:rsid w:val="004F70EA"/>
    <w:rsid w:val="00501820"/>
    <w:rsid w:val="00504E42"/>
    <w:rsid w:val="0050777F"/>
    <w:rsid w:val="005078D9"/>
    <w:rsid w:val="00507F0B"/>
    <w:rsid w:val="00515F09"/>
    <w:rsid w:val="005217D3"/>
    <w:rsid w:val="005226B9"/>
    <w:rsid w:val="005259AD"/>
    <w:rsid w:val="00526860"/>
    <w:rsid w:val="00527019"/>
    <w:rsid w:val="00530BF5"/>
    <w:rsid w:val="00532DE2"/>
    <w:rsid w:val="0053325F"/>
    <w:rsid w:val="00533D90"/>
    <w:rsid w:val="00534FBB"/>
    <w:rsid w:val="00544320"/>
    <w:rsid w:val="00550BBD"/>
    <w:rsid w:val="005526A8"/>
    <w:rsid w:val="00553002"/>
    <w:rsid w:val="0056255E"/>
    <w:rsid w:val="00563969"/>
    <w:rsid w:val="00566F96"/>
    <w:rsid w:val="00574AC5"/>
    <w:rsid w:val="005772D9"/>
    <w:rsid w:val="00580F82"/>
    <w:rsid w:val="00581DBE"/>
    <w:rsid w:val="0058231E"/>
    <w:rsid w:val="00586FEC"/>
    <w:rsid w:val="00591288"/>
    <w:rsid w:val="005917FD"/>
    <w:rsid w:val="00592113"/>
    <w:rsid w:val="00596AEB"/>
    <w:rsid w:val="00596B64"/>
    <w:rsid w:val="005A3E40"/>
    <w:rsid w:val="005A4AA1"/>
    <w:rsid w:val="005A6461"/>
    <w:rsid w:val="005A717A"/>
    <w:rsid w:val="005C0C98"/>
    <w:rsid w:val="005C0EAB"/>
    <w:rsid w:val="005C0F15"/>
    <w:rsid w:val="005C33B9"/>
    <w:rsid w:val="005C513B"/>
    <w:rsid w:val="005C7AFE"/>
    <w:rsid w:val="005C7E15"/>
    <w:rsid w:val="005C89CE"/>
    <w:rsid w:val="005D4706"/>
    <w:rsid w:val="005D7093"/>
    <w:rsid w:val="005E10C5"/>
    <w:rsid w:val="005F03B6"/>
    <w:rsid w:val="005F2B86"/>
    <w:rsid w:val="005F3389"/>
    <w:rsid w:val="005F4B91"/>
    <w:rsid w:val="005F76BA"/>
    <w:rsid w:val="006004C3"/>
    <w:rsid w:val="00601AED"/>
    <w:rsid w:val="00604819"/>
    <w:rsid w:val="00605398"/>
    <w:rsid w:val="0061690C"/>
    <w:rsid w:val="00617B7D"/>
    <w:rsid w:val="006200EB"/>
    <w:rsid w:val="00621EA3"/>
    <w:rsid w:val="00624A49"/>
    <w:rsid w:val="00627879"/>
    <w:rsid w:val="00630241"/>
    <w:rsid w:val="00631858"/>
    <w:rsid w:val="00634FDA"/>
    <w:rsid w:val="00640234"/>
    <w:rsid w:val="0064343A"/>
    <w:rsid w:val="00643487"/>
    <w:rsid w:val="00644EB9"/>
    <w:rsid w:val="00645D09"/>
    <w:rsid w:val="0065185A"/>
    <w:rsid w:val="0065475A"/>
    <w:rsid w:val="006548BB"/>
    <w:rsid w:val="00660A77"/>
    <w:rsid w:val="006614B1"/>
    <w:rsid w:val="00663A48"/>
    <w:rsid w:val="00664975"/>
    <w:rsid w:val="0066706B"/>
    <w:rsid w:val="00675ABD"/>
    <w:rsid w:val="00680DEA"/>
    <w:rsid w:val="00691CC6"/>
    <w:rsid w:val="00695E3C"/>
    <w:rsid w:val="006A008F"/>
    <w:rsid w:val="006A00C0"/>
    <w:rsid w:val="006A2914"/>
    <w:rsid w:val="006A465B"/>
    <w:rsid w:val="006A5AA6"/>
    <w:rsid w:val="006A5AC2"/>
    <w:rsid w:val="006B3940"/>
    <w:rsid w:val="006B4E20"/>
    <w:rsid w:val="006C0042"/>
    <w:rsid w:val="006C3E7F"/>
    <w:rsid w:val="006C684E"/>
    <w:rsid w:val="006D15DA"/>
    <w:rsid w:val="006D26FA"/>
    <w:rsid w:val="006D31BF"/>
    <w:rsid w:val="006D5A7C"/>
    <w:rsid w:val="006D63FF"/>
    <w:rsid w:val="006D708A"/>
    <w:rsid w:val="006D7281"/>
    <w:rsid w:val="006E170D"/>
    <w:rsid w:val="006E2C5E"/>
    <w:rsid w:val="006E461A"/>
    <w:rsid w:val="006E4C8E"/>
    <w:rsid w:val="006E5221"/>
    <w:rsid w:val="006E753E"/>
    <w:rsid w:val="006E7C4C"/>
    <w:rsid w:val="006F3D63"/>
    <w:rsid w:val="006F6078"/>
    <w:rsid w:val="006F639F"/>
    <w:rsid w:val="006F7CA5"/>
    <w:rsid w:val="00701D43"/>
    <w:rsid w:val="00701EA1"/>
    <w:rsid w:val="00704771"/>
    <w:rsid w:val="00705EF0"/>
    <w:rsid w:val="007065C1"/>
    <w:rsid w:val="007101AF"/>
    <w:rsid w:val="00713554"/>
    <w:rsid w:val="0071548B"/>
    <w:rsid w:val="00716CF3"/>
    <w:rsid w:val="007204A9"/>
    <w:rsid w:val="00722874"/>
    <w:rsid w:val="00722C6F"/>
    <w:rsid w:val="00723160"/>
    <w:rsid w:val="00724D88"/>
    <w:rsid w:val="00725547"/>
    <w:rsid w:val="00726DAD"/>
    <w:rsid w:val="007316E7"/>
    <w:rsid w:val="00732A89"/>
    <w:rsid w:val="00734239"/>
    <w:rsid w:val="0073459B"/>
    <w:rsid w:val="0073595F"/>
    <w:rsid w:val="00735EAD"/>
    <w:rsid w:val="0074469B"/>
    <w:rsid w:val="0074520C"/>
    <w:rsid w:val="0075048D"/>
    <w:rsid w:val="00752631"/>
    <w:rsid w:val="00753650"/>
    <w:rsid w:val="00756929"/>
    <w:rsid w:val="007572DE"/>
    <w:rsid w:val="00763166"/>
    <w:rsid w:val="00763563"/>
    <w:rsid w:val="00764FC9"/>
    <w:rsid w:val="00767DBB"/>
    <w:rsid w:val="00767E0A"/>
    <w:rsid w:val="00772A9A"/>
    <w:rsid w:val="00774646"/>
    <w:rsid w:val="00777511"/>
    <w:rsid w:val="00781695"/>
    <w:rsid w:val="00782281"/>
    <w:rsid w:val="0078553F"/>
    <w:rsid w:val="00793CA5"/>
    <w:rsid w:val="00795122"/>
    <w:rsid w:val="007A02A7"/>
    <w:rsid w:val="007A5DE6"/>
    <w:rsid w:val="007A74A5"/>
    <w:rsid w:val="007B1C15"/>
    <w:rsid w:val="007C02A3"/>
    <w:rsid w:val="007C0935"/>
    <w:rsid w:val="007C1FDC"/>
    <w:rsid w:val="007C79BA"/>
    <w:rsid w:val="007D0B59"/>
    <w:rsid w:val="007D1054"/>
    <w:rsid w:val="007D1497"/>
    <w:rsid w:val="007D4303"/>
    <w:rsid w:val="007D697C"/>
    <w:rsid w:val="007E3B9E"/>
    <w:rsid w:val="007E5F53"/>
    <w:rsid w:val="007E6D1A"/>
    <w:rsid w:val="007E70FE"/>
    <w:rsid w:val="007E7E11"/>
    <w:rsid w:val="007F0FDA"/>
    <w:rsid w:val="007F1F8B"/>
    <w:rsid w:val="007F2EE7"/>
    <w:rsid w:val="007F3126"/>
    <w:rsid w:val="007F3CDA"/>
    <w:rsid w:val="007F5B72"/>
    <w:rsid w:val="007F69F4"/>
    <w:rsid w:val="0080006D"/>
    <w:rsid w:val="008008DF"/>
    <w:rsid w:val="008034A6"/>
    <w:rsid w:val="00804169"/>
    <w:rsid w:val="008046D4"/>
    <w:rsid w:val="008059D0"/>
    <w:rsid w:val="00810B07"/>
    <w:rsid w:val="00816FB2"/>
    <w:rsid w:val="00821A47"/>
    <w:rsid w:val="00822723"/>
    <w:rsid w:val="00822D14"/>
    <w:rsid w:val="00822EC3"/>
    <w:rsid w:val="00827845"/>
    <w:rsid w:val="00827A8A"/>
    <w:rsid w:val="008317D4"/>
    <w:rsid w:val="00832318"/>
    <w:rsid w:val="00833792"/>
    <w:rsid w:val="00840D04"/>
    <w:rsid w:val="00841239"/>
    <w:rsid w:val="00845013"/>
    <w:rsid w:val="00845C3D"/>
    <w:rsid w:val="00853F7B"/>
    <w:rsid w:val="0085475D"/>
    <w:rsid w:val="00854D0D"/>
    <w:rsid w:val="0087381D"/>
    <w:rsid w:val="00873BE0"/>
    <w:rsid w:val="00874C57"/>
    <w:rsid w:val="00876B44"/>
    <w:rsid w:val="008770F6"/>
    <w:rsid w:val="00880226"/>
    <w:rsid w:val="00881339"/>
    <w:rsid w:val="0088267D"/>
    <w:rsid w:val="008836A9"/>
    <w:rsid w:val="00884959"/>
    <w:rsid w:val="00886924"/>
    <w:rsid w:val="00887074"/>
    <w:rsid w:val="00890435"/>
    <w:rsid w:val="00890EEC"/>
    <w:rsid w:val="008929E8"/>
    <w:rsid w:val="008930EC"/>
    <w:rsid w:val="00897BE9"/>
    <w:rsid w:val="008A05CE"/>
    <w:rsid w:val="008A0614"/>
    <w:rsid w:val="008A10D6"/>
    <w:rsid w:val="008A165D"/>
    <w:rsid w:val="008A397F"/>
    <w:rsid w:val="008A5C87"/>
    <w:rsid w:val="008A656C"/>
    <w:rsid w:val="008A7622"/>
    <w:rsid w:val="008B19C1"/>
    <w:rsid w:val="008B437C"/>
    <w:rsid w:val="008B4DAD"/>
    <w:rsid w:val="008C3B43"/>
    <w:rsid w:val="008C47A1"/>
    <w:rsid w:val="008C738F"/>
    <w:rsid w:val="008D1EB0"/>
    <w:rsid w:val="008D4E41"/>
    <w:rsid w:val="008D6B9E"/>
    <w:rsid w:val="008D74F6"/>
    <w:rsid w:val="008E09D5"/>
    <w:rsid w:val="008E1024"/>
    <w:rsid w:val="008E4734"/>
    <w:rsid w:val="008F1A67"/>
    <w:rsid w:val="008F79FC"/>
    <w:rsid w:val="00900FE7"/>
    <w:rsid w:val="00907166"/>
    <w:rsid w:val="009113CC"/>
    <w:rsid w:val="0091368A"/>
    <w:rsid w:val="00913ED0"/>
    <w:rsid w:val="00916F8E"/>
    <w:rsid w:val="00927650"/>
    <w:rsid w:val="00932951"/>
    <w:rsid w:val="00936647"/>
    <w:rsid w:val="009366BC"/>
    <w:rsid w:val="00942CB6"/>
    <w:rsid w:val="00942CE9"/>
    <w:rsid w:val="00944B36"/>
    <w:rsid w:val="009525D0"/>
    <w:rsid w:val="0095299E"/>
    <w:rsid w:val="00954FF2"/>
    <w:rsid w:val="00956B7B"/>
    <w:rsid w:val="0095749A"/>
    <w:rsid w:val="00957823"/>
    <w:rsid w:val="0096271F"/>
    <w:rsid w:val="00962EE8"/>
    <w:rsid w:val="009671FC"/>
    <w:rsid w:val="00970640"/>
    <w:rsid w:val="00973410"/>
    <w:rsid w:val="00976EE9"/>
    <w:rsid w:val="00984DAB"/>
    <w:rsid w:val="009903C7"/>
    <w:rsid w:val="009919C6"/>
    <w:rsid w:val="00993B3C"/>
    <w:rsid w:val="00993FBF"/>
    <w:rsid w:val="009978CC"/>
    <w:rsid w:val="009A04BB"/>
    <w:rsid w:val="009A097F"/>
    <w:rsid w:val="009A4A9E"/>
    <w:rsid w:val="009A520A"/>
    <w:rsid w:val="009A6D9C"/>
    <w:rsid w:val="009B1271"/>
    <w:rsid w:val="009B2C42"/>
    <w:rsid w:val="009B464B"/>
    <w:rsid w:val="009C0249"/>
    <w:rsid w:val="009C2CFF"/>
    <w:rsid w:val="009C3571"/>
    <w:rsid w:val="009C37CF"/>
    <w:rsid w:val="009C3EB8"/>
    <w:rsid w:val="009C60F6"/>
    <w:rsid w:val="009C64C9"/>
    <w:rsid w:val="009C7016"/>
    <w:rsid w:val="009C7704"/>
    <w:rsid w:val="009D0BD1"/>
    <w:rsid w:val="009D472D"/>
    <w:rsid w:val="009D6249"/>
    <w:rsid w:val="009E3A80"/>
    <w:rsid w:val="009E6B11"/>
    <w:rsid w:val="009E7FAA"/>
    <w:rsid w:val="009F054E"/>
    <w:rsid w:val="009F0889"/>
    <w:rsid w:val="009F1B6A"/>
    <w:rsid w:val="009F201E"/>
    <w:rsid w:val="009F23B3"/>
    <w:rsid w:val="009F329B"/>
    <w:rsid w:val="009F4A04"/>
    <w:rsid w:val="009F5451"/>
    <w:rsid w:val="009F7780"/>
    <w:rsid w:val="00A008E6"/>
    <w:rsid w:val="00A02ABA"/>
    <w:rsid w:val="00A02B1B"/>
    <w:rsid w:val="00A04C5F"/>
    <w:rsid w:val="00A0604E"/>
    <w:rsid w:val="00A07819"/>
    <w:rsid w:val="00A1211B"/>
    <w:rsid w:val="00A12C83"/>
    <w:rsid w:val="00A16A40"/>
    <w:rsid w:val="00A2545C"/>
    <w:rsid w:val="00A27154"/>
    <w:rsid w:val="00A30981"/>
    <w:rsid w:val="00A326EF"/>
    <w:rsid w:val="00A35606"/>
    <w:rsid w:val="00A35961"/>
    <w:rsid w:val="00A36119"/>
    <w:rsid w:val="00A36692"/>
    <w:rsid w:val="00A414F1"/>
    <w:rsid w:val="00A44E0F"/>
    <w:rsid w:val="00A45118"/>
    <w:rsid w:val="00A451CC"/>
    <w:rsid w:val="00A521CE"/>
    <w:rsid w:val="00A53FB7"/>
    <w:rsid w:val="00A64F7A"/>
    <w:rsid w:val="00A66EF3"/>
    <w:rsid w:val="00A67E1C"/>
    <w:rsid w:val="00A7086D"/>
    <w:rsid w:val="00A7463F"/>
    <w:rsid w:val="00A80066"/>
    <w:rsid w:val="00A82D8D"/>
    <w:rsid w:val="00A8327D"/>
    <w:rsid w:val="00A844EC"/>
    <w:rsid w:val="00A956F2"/>
    <w:rsid w:val="00A974AD"/>
    <w:rsid w:val="00AA1234"/>
    <w:rsid w:val="00AA705F"/>
    <w:rsid w:val="00AB0F87"/>
    <w:rsid w:val="00AB145E"/>
    <w:rsid w:val="00AB3811"/>
    <w:rsid w:val="00AB454C"/>
    <w:rsid w:val="00AB49CE"/>
    <w:rsid w:val="00AB502C"/>
    <w:rsid w:val="00AC086A"/>
    <w:rsid w:val="00AC0D6C"/>
    <w:rsid w:val="00AC134E"/>
    <w:rsid w:val="00AC2EF4"/>
    <w:rsid w:val="00AC4EAA"/>
    <w:rsid w:val="00AD180B"/>
    <w:rsid w:val="00AD2778"/>
    <w:rsid w:val="00AD41B1"/>
    <w:rsid w:val="00AD6CC6"/>
    <w:rsid w:val="00AD7805"/>
    <w:rsid w:val="00AE10E6"/>
    <w:rsid w:val="00AE5FEF"/>
    <w:rsid w:val="00AF0A4D"/>
    <w:rsid w:val="00AF4684"/>
    <w:rsid w:val="00AF55BB"/>
    <w:rsid w:val="00AF5CBE"/>
    <w:rsid w:val="00AF666D"/>
    <w:rsid w:val="00B027A8"/>
    <w:rsid w:val="00B03E90"/>
    <w:rsid w:val="00B25486"/>
    <w:rsid w:val="00B342AA"/>
    <w:rsid w:val="00B35BAB"/>
    <w:rsid w:val="00B35F3C"/>
    <w:rsid w:val="00B363BE"/>
    <w:rsid w:val="00B41B5A"/>
    <w:rsid w:val="00B42188"/>
    <w:rsid w:val="00B42B80"/>
    <w:rsid w:val="00B4414A"/>
    <w:rsid w:val="00B50B05"/>
    <w:rsid w:val="00B53AFF"/>
    <w:rsid w:val="00B5445B"/>
    <w:rsid w:val="00B57CB4"/>
    <w:rsid w:val="00B60057"/>
    <w:rsid w:val="00B604F6"/>
    <w:rsid w:val="00B6596F"/>
    <w:rsid w:val="00B67D5D"/>
    <w:rsid w:val="00B7144B"/>
    <w:rsid w:val="00B73477"/>
    <w:rsid w:val="00B73AAA"/>
    <w:rsid w:val="00B76187"/>
    <w:rsid w:val="00B76652"/>
    <w:rsid w:val="00B76C0F"/>
    <w:rsid w:val="00B775CA"/>
    <w:rsid w:val="00B77EBF"/>
    <w:rsid w:val="00B854FD"/>
    <w:rsid w:val="00B85615"/>
    <w:rsid w:val="00B8583A"/>
    <w:rsid w:val="00B85906"/>
    <w:rsid w:val="00B86102"/>
    <w:rsid w:val="00B94783"/>
    <w:rsid w:val="00B961CA"/>
    <w:rsid w:val="00B96B23"/>
    <w:rsid w:val="00BA0956"/>
    <w:rsid w:val="00BA2254"/>
    <w:rsid w:val="00BA2CD1"/>
    <w:rsid w:val="00BA4608"/>
    <w:rsid w:val="00BA57B6"/>
    <w:rsid w:val="00BA5CF6"/>
    <w:rsid w:val="00BA5E41"/>
    <w:rsid w:val="00BA651F"/>
    <w:rsid w:val="00BA6614"/>
    <w:rsid w:val="00BA6839"/>
    <w:rsid w:val="00BA6B69"/>
    <w:rsid w:val="00BB1BEE"/>
    <w:rsid w:val="00BB5FFD"/>
    <w:rsid w:val="00BB65AC"/>
    <w:rsid w:val="00BB7503"/>
    <w:rsid w:val="00BC11CA"/>
    <w:rsid w:val="00BC156E"/>
    <w:rsid w:val="00BC1F2A"/>
    <w:rsid w:val="00BC4D45"/>
    <w:rsid w:val="00BC5639"/>
    <w:rsid w:val="00BD1FDD"/>
    <w:rsid w:val="00BD2C69"/>
    <w:rsid w:val="00BD57F5"/>
    <w:rsid w:val="00BD6794"/>
    <w:rsid w:val="00BD6F65"/>
    <w:rsid w:val="00BD731E"/>
    <w:rsid w:val="00BE0119"/>
    <w:rsid w:val="00BE05C0"/>
    <w:rsid w:val="00BE451B"/>
    <w:rsid w:val="00BE48A4"/>
    <w:rsid w:val="00BE4A4B"/>
    <w:rsid w:val="00BE56F0"/>
    <w:rsid w:val="00BF318B"/>
    <w:rsid w:val="00BF4331"/>
    <w:rsid w:val="00BF703E"/>
    <w:rsid w:val="00C006DD"/>
    <w:rsid w:val="00C065ED"/>
    <w:rsid w:val="00C12EA8"/>
    <w:rsid w:val="00C12F1A"/>
    <w:rsid w:val="00C141C1"/>
    <w:rsid w:val="00C2147A"/>
    <w:rsid w:val="00C22DA5"/>
    <w:rsid w:val="00C22F2D"/>
    <w:rsid w:val="00C2545A"/>
    <w:rsid w:val="00C256B0"/>
    <w:rsid w:val="00C25FAA"/>
    <w:rsid w:val="00C271AF"/>
    <w:rsid w:val="00C321C6"/>
    <w:rsid w:val="00C32D4E"/>
    <w:rsid w:val="00C33ABF"/>
    <w:rsid w:val="00C35D23"/>
    <w:rsid w:val="00C36564"/>
    <w:rsid w:val="00C37506"/>
    <w:rsid w:val="00C406F4"/>
    <w:rsid w:val="00C41305"/>
    <w:rsid w:val="00C438FB"/>
    <w:rsid w:val="00C4610A"/>
    <w:rsid w:val="00C47620"/>
    <w:rsid w:val="00C47BA6"/>
    <w:rsid w:val="00C5375B"/>
    <w:rsid w:val="00C54D1F"/>
    <w:rsid w:val="00C568C8"/>
    <w:rsid w:val="00C57FC8"/>
    <w:rsid w:val="00C6206B"/>
    <w:rsid w:val="00C627E9"/>
    <w:rsid w:val="00C708FA"/>
    <w:rsid w:val="00C7321F"/>
    <w:rsid w:val="00C73784"/>
    <w:rsid w:val="00C77476"/>
    <w:rsid w:val="00C77B32"/>
    <w:rsid w:val="00C86F41"/>
    <w:rsid w:val="00C90806"/>
    <w:rsid w:val="00C9369C"/>
    <w:rsid w:val="00C93B0D"/>
    <w:rsid w:val="00C95B68"/>
    <w:rsid w:val="00CA0B86"/>
    <w:rsid w:val="00CB03F1"/>
    <w:rsid w:val="00CB5D91"/>
    <w:rsid w:val="00CB6B51"/>
    <w:rsid w:val="00CC08D4"/>
    <w:rsid w:val="00CC09A0"/>
    <w:rsid w:val="00CC1963"/>
    <w:rsid w:val="00CC6110"/>
    <w:rsid w:val="00CC63E1"/>
    <w:rsid w:val="00CD062C"/>
    <w:rsid w:val="00CD6310"/>
    <w:rsid w:val="00CE3AFB"/>
    <w:rsid w:val="00CE7B06"/>
    <w:rsid w:val="00CF1E1D"/>
    <w:rsid w:val="00CF5C1E"/>
    <w:rsid w:val="00CF65F6"/>
    <w:rsid w:val="00D01088"/>
    <w:rsid w:val="00D02495"/>
    <w:rsid w:val="00D02A63"/>
    <w:rsid w:val="00D03799"/>
    <w:rsid w:val="00D03A87"/>
    <w:rsid w:val="00D04701"/>
    <w:rsid w:val="00D04E61"/>
    <w:rsid w:val="00D04F1F"/>
    <w:rsid w:val="00D05944"/>
    <w:rsid w:val="00D05F8A"/>
    <w:rsid w:val="00D061BD"/>
    <w:rsid w:val="00D10635"/>
    <w:rsid w:val="00D10C64"/>
    <w:rsid w:val="00D14F98"/>
    <w:rsid w:val="00D2267D"/>
    <w:rsid w:val="00D22B6F"/>
    <w:rsid w:val="00D23133"/>
    <w:rsid w:val="00D3515C"/>
    <w:rsid w:val="00D35A91"/>
    <w:rsid w:val="00D409F8"/>
    <w:rsid w:val="00D4624D"/>
    <w:rsid w:val="00D501A2"/>
    <w:rsid w:val="00D51E35"/>
    <w:rsid w:val="00D525B8"/>
    <w:rsid w:val="00D622EC"/>
    <w:rsid w:val="00D6621B"/>
    <w:rsid w:val="00D7073D"/>
    <w:rsid w:val="00D72303"/>
    <w:rsid w:val="00D75186"/>
    <w:rsid w:val="00D755E3"/>
    <w:rsid w:val="00D75837"/>
    <w:rsid w:val="00D75E97"/>
    <w:rsid w:val="00D8387B"/>
    <w:rsid w:val="00D84169"/>
    <w:rsid w:val="00D86652"/>
    <w:rsid w:val="00D86DB0"/>
    <w:rsid w:val="00D87523"/>
    <w:rsid w:val="00D90604"/>
    <w:rsid w:val="00D922FC"/>
    <w:rsid w:val="00D92BDE"/>
    <w:rsid w:val="00D93859"/>
    <w:rsid w:val="00DA18A2"/>
    <w:rsid w:val="00DA3422"/>
    <w:rsid w:val="00DA4272"/>
    <w:rsid w:val="00DB0E6B"/>
    <w:rsid w:val="00DB180B"/>
    <w:rsid w:val="00DC000A"/>
    <w:rsid w:val="00DC3979"/>
    <w:rsid w:val="00DC6355"/>
    <w:rsid w:val="00DC7124"/>
    <w:rsid w:val="00DD072E"/>
    <w:rsid w:val="00DD0C1D"/>
    <w:rsid w:val="00DD6563"/>
    <w:rsid w:val="00DD6EBD"/>
    <w:rsid w:val="00DE0E0C"/>
    <w:rsid w:val="00DE18CB"/>
    <w:rsid w:val="00DE246D"/>
    <w:rsid w:val="00DE6108"/>
    <w:rsid w:val="00DE6598"/>
    <w:rsid w:val="00DE6ACB"/>
    <w:rsid w:val="00DE7B6E"/>
    <w:rsid w:val="00DF0E85"/>
    <w:rsid w:val="00DF2F8D"/>
    <w:rsid w:val="00DF3EE7"/>
    <w:rsid w:val="00DF664E"/>
    <w:rsid w:val="00E009FD"/>
    <w:rsid w:val="00E00C21"/>
    <w:rsid w:val="00E02AA2"/>
    <w:rsid w:val="00E05E93"/>
    <w:rsid w:val="00E06CCB"/>
    <w:rsid w:val="00E1281D"/>
    <w:rsid w:val="00E12874"/>
    <w:rsid w:val="00E17AF6"/>
    <w:rsid w:val="00E202EE"/>
    <w:rsid w:val="00E224F4"/>
    <w:rsid w:val="00E23560"/>
    <w:rsid w:val="00E23AB4"/>
    <w:rsid w:val="00E2753F"/>
    <w:rsid w:val="00E278CA"/>
    <w:rsid w:val="00E31F98"/>
    <w:rsid w:val="00E414DE"/>
    <w:rsid w:val="00E47434"/>
    <w:rsid w:val="00E50961"/>
    <w:rsid w:val="00E50D43"/>
    <w:rsid w:val="00E5307B"/>
    <w:rsid w:val="00E55F30"/>
    <w:rsid w:val="00E57098"/>
    <w:rsid w:val="00E60984"/>
    <w:rsid w:val="00E612BB"/>
    <w:rsid w:val="00E67EE1"/>
    <w:rsid w:val="00E711B9"/>
    <w:rsid w:val="00E73E81"/>
    <w:rsid w:val="00E745F5"/>
    <w:rsid w:val="00E771E1"/>
    <w:rsid w:val="00E8277E"/>
    <w:rsid w:val="00E84F06"/>
    <w:rsid w:val="00E8522F"/>
    <w:rsid w:val="00E8568A"/>
    <w:rsid w:val="00E86E7B"/>
    <w:rsid w:val="00E87081"/>
    <w:rsid w:val="00E87339"/>
    <w:rsid w:val="00E90024"/>
    <w:rsid w:val="00E9084D"/>
    <w:rsid w:val="00E92551"/>
    <w:rsid w:val="00E92D5B"/>
    <w:rsid w:val="00E92F6A"/>
    <w:rsid w:val="00E93E0F"/>
    <w:rsid w:val="00E940F1"/>
    <w:rsid w:val="00E956AB"/>
    <w:rsid w:val="00E96433"/>
    <w:rsid w:val="00E96B87"/>
    <w:rsid w:val="00EA3698"/>
    <w:rsid w:val="00EA6AF1"/>
    <w:rsid w:val="00EA6FFE"/>
    <w:rsid w:val="00EB0EE1"/>
    <w:rsid w:val="00EB39DF"/>
    <w:rsid w:val="00EB6C48"/>
    <w:rsid w:val="00EC13D2"/>
    <w:rsid w:val="00EC2C57"/>
    <w:rsid w:val="00EC32EC"/>
    <w:rsid w:val="00EC3C89"/>
    <w:rsid w:val="00ED04A9"/>
    <w:rsid w:val="00ED0697"/>
    <w:rsid w:val="00ED0743"/>
    <w:rsid w:val="00ED3D8E"/>
    <w:rsid w:val="00ED3E43"/>
    <w:rsid w:val="00EE0074"/>
    <w:rsid w:val="00EE05B5"/>
    <w:rsid w:val="00EE1697"/>
    <w:rsid w:val="00EE4752"/>
    <w:rsid w:val="00EE47EB"/>
    <w:rsid w:val="00EE6974"/>
    <w:rsid w:val="00EF1366"/>
    <w:rsid w:val="00EF3670"/>
    <w:rsid w:val="00F0159E"/>
    <w:rsid w:val="00F01B98"/>
    <w:rsid w:val="00F03073"/>
    <w:rsid w:val="00F038B5"/>
    <w:rsid w:val="00F03E83"/>
    <w:rsid w:val="00F1099F"/>
    <w:rsid w:val="00F11D75"/>
    <w:rsid w:val="00F1407B"/>
    <w:rsid w:val="00F16466"/>
    <w:rsid w:val="00F21A82"/>
    <w:rsid w:val="00F221FB"/>
    <w:rsid w:val="00F23AF6"/>
    <w:rsid w:val="00F3004A"/>
    <w:rsid w:val="00F30AB4"/>
    <w:rsid w:val="00F323C0"/>
    <w:rsid w:val="00F32E5A"/>
    <w:rsid w:val="00F503E5"/>
    <w:rsid w:val="00F53F97"/>
    <w:rsid w:val="00F57CCC"/>
    <w:rsid w:val="00F60916"/>
    <w:rsid w:val="00F6101F"/>
    <w:rsid w:val="00F64814"/>
    <w:rsid w:val="00F6724C"/>
    <w:rsid w:val="00F73CDA"/>
    <w:rsid w:val="00F747D0"/>
    <w:rsid w:val="00F9307E"/>
    <w:rsid w:val="00F93E35"/>
    <w:rsid w:val="00F957C6"/>
    <w:rsid w:val="00F95B8C"/>
    <w:rsid w:val="00FA0A1F"/>
    <w:rsid w:val="00FA3F64"/>
    <w:rsid w:val="00FA74ED"/>
    <w:rsid w:val="00FA74FE"/>
    <w:rsid w:val="00FA77AD"/>
    <w:rsid w:val="00FB050D"/>
    <w:rsid w:val="00FB3838"/>
    <w:rsid w:val="00FB4473"/>
    <w:rsid w:val="00FC0A61"/>
    <w:rsid w:val="00FC10AE"/>
    <w:rsid w:val="00FC36D9"/>
    <w:rsid w:val="00FC39F1"/>
    <w:rsid w:val="00FC43F0"/>
    <w:rsid w:val="00FC49D0"/>
    <w:rsid w:val="00FC5BE7"/>
    <w:rsid w:val="00FC5D32"/>
    <w:rsid w:val="00FD0211"/>
    <w:rsid w:val="00FD1B6F"/>
    <w:rsid w:val="00FD2C22"/>
    <w:rsid w:val="00FD68F0"/>
    <w:rsid w:val="00FE2C7F"/>
    <w:rsid w:val="00FE600D"/>
    <w:rsid w:val="00FF1E81"/>
    <w:rsid w:val="00FF3BE5"/>
    <w:rsid w:val="00FF5074"/>
    <w:rsid w:val="00FF54F5"/>
    <w:rsid w:val="00FF6295"/>
    <w:rsid w:val="011DDF9A"/>
    <w:rsid w:val="01A1BA16"/>
    <w:rsid w:val="01C29489"/>
    <w:rsid w:val="0215B27D"/>
    <w:rsid w:val="0253751F"/>
    <w:rsid w:val="02E3DBB9"/>
    <w:rsid w:val="03051D12"/>
    <w:rsid w:val="032D977E"/>
    <w:rsid w:val="03460268"/>
    <w:rsid w:val="0351887C"/>
    <w:rsid w:val="0365F222"/>
    <w:rsid w:val="03C3B373"/>
    <w:rsid w:val="053B9981"/>
    <w:rsid w:val="05F51D44"/>
    <w:rsid w:val="05F59819"/>
    <w:rsid w:val="068C8A0F"/>
    <w:rsid w:val="06B5B7F0"/>
    <w:rsid w:val="0790E64D"/>
    <w:rsid w:val="07D21C34"/>
    <w:rsid w:val="08142E3C"/>
    <w:rsid w:val="081E6A61"/>
    <w:rsid w:val="0843FB0D"/>
    <w:rsid w:val="08580717"/>
    <w:rsid w:val="090A12F8"/>
    <w:rsid w:val="095EAEDA"/>
    <w:rsid w:val="09D4CD81"/>
    <w:rsid w:val="0A975719"/>
    <w:rsid w:val="0BEEACBD"/>
    <w:rsid w:val="0C4B8A2C"/>
    <w:rsid w:val="0D1D60B5"/>
    <w:rsid w:val="0D98877A"/>
    <w:rsid w:val="0DC71E4F"/>
    <w:rsid w:val="0E565C3C"/>
    <w:rsid w:val="0EE19523"/>
    <w:rsid w:val="0F2EBA57"/>
    <w:rsid w:val="0F35DE5E"/>
    <w:rsid w:val="0F52458E"/>
    <w:rsid w:val="10111903"/>
    <w:rsid w:val="101C3B0E"/>
    <w:rsid w:val="10260683"/>
    <w:rsid w:val="1030E897"/>
    <w:rsid w:val="107ED88F"/>
    <w:rsid w:val="10CF4F7D"/>
    <w:rsid w:val="10EE6620"/>
    <w:rsid w:val="115FD783"/>
    <w:rsid w:val="11C6396C"/>
    <w:rsid w:val="11E9A917"/>
    <w:rsid w:val="11EF5523"/>
    <w:rsid w:val="12E66F20"/>
    <w:rsid w:val="12E7D7D9"/>
    <w:rsid w:val="136B28A8"/>
    <w:rsid w:val="136CE864"/>
    <w:rsid w:val="13ADF0C3"/>
    <w:rsid w:val="13EA4B47"/>
    <w:rsid w:val="13F0C309"/>
    <w:rsid w:val="13FA94B7"/>
    <w:rsid w:val="14859EA0"/>
    <w:rsid w:val="14D9EA33"/>
    <w:rsid w:val="1521882D"/>
    <w:rsid w:val="15401E42"/>
    <w:rsid w:val="155033C6"/>
    <w:rsid w:val="169E3C4D"/>
    <w:rsid w:val="169F4258"/>
    <w:rsid w:val="16FBFB02"/>
    <w:rsid w:val="17242D05"/>
    <w:rsid w:val="183B1990"/>
    <w:rsid w:val="1882918F"/>
    <w:rsid w:val="189E373F"/>
    <w:rsid w:val="1933EEC6"/>
    <w:rsid w:val="19FD89F4"/>
    <w:rsid w:val="1A5000ED"/>
    <w:rsid w:val="1A81092C"/>
    <w:rsid w:val="1A95658E"/>
    <w:rsid w:val="1A95C1BA"/>
    <w:rsid w:val="1AC93927"/>
    <w:rsid w:val="1B41C28C"/>
    <w:rsid w:val="1BBB885A"/>
    <w:rsid w:val="1C6D96CD"/>
    <w:rsid w:val="1CA01939"/>
    <w:rsid w:val="1CEFCCBF"/>
    <w:rsid w:val="1D0245C2"/>
    <w:rsid w:val="1D088B77"/>
    <w:rsid w:val="1D0F1D1E"/>
    <w:rsid w:val="1D13D435"/>
    <w:rsid w:val="1D2A1525"/>
    <w:rsid w:val="1D6D28A5"/>
    <w:rsid w:val="1DAAF388"/>
    <w:rsid w:val="1E51408F"/>
    <w:rsid w:val="1ECCE0E8"/>
    <w:rsid w:val="1F074D72"/>
    <w:rsid w:val="1F55995A"/>
    <w:rsid w:val="1F772571"/>
    <w:rsid w:val="1F85C81A"/>
    <w:rsid w:val="1FD599F0"/>
    <w:rsid w:val="1FD64D88"/>
    <w:rsid w:val="2004F4E3"/>
    <w:rsid w:val="20EDEE12"/>
    <w:rsid w:val="21B049AB"/>
    <w:rsid w:val="21E34FD0"/>
    <w:rsid w:val="224AFE55"/>
    <w:rsid w:val="225F5FA3"/>
    <w:rsid w:val="22F13677"/>
    <w:rsid w:val="236461E8"/>
    <w:rsid w:val="23685AB4"/>
    <w:rsid w:val="2382FE45"/>
    <w:rsid w:val="24B25414"/>
    <w:rsid w:val="24BB07B2"/>
    <w:rsid w:val="24F6DF93"/>
    <w:rsid w:val="254DE296"/>
    <w:rsid w:val="25A92EDB"/>
    <w:rsid w:val="2631A216"/>
    <w:rsid w:val="26C66576"/>
    <w:rsid w:val="27754A29"/>
    <w:rsid w:val="27E6DE57"/>
    <w:rsid w:val="27EF9D9E"/>
    <w:rsid w:val="27EFE04F"/>
    <w:rsid w:val="2842B0B3"/>
    <w:rsid w:val="28614391"/>
    <w:rsid w:val="2895B76C"/>
    <w:rsid w:val="28C5AFFE"/>
    <w:rsid w:val="28CEF631"/>
    <w:rsid w:val="290CBD9E"/>
    <w:rsid w:val="2934F050"/>
    <w:rsid w:val="2953703B"/>
    <w:rsid w:val="2B3A150E"/>
    <w:rsid w:val="2C2742DC"/>
    <w:rsid w:val="2C515A06"/>
    <w:rsid w:val="2C731AE7"/>
    <w:rsid w:val="2CDCB38B"/>
    <w:rsid w:val="2D4DAEBD"/>
    <w:rsid w:val="2E54093F"/>
    <w:rsid w:val="2E91102A"/>
    <w:rsid w:val="2E99E7D1"/>
    <w:rsid w:val="2EACBE2B"/>
    <w:rsid w:val="2EAF0AF0"/>
    <w:rsid w:val="2F794297"/>
    <w:rsid w:val="2FC3A3FD"/>
    <w:rsid w:val="305D8740"/>
    <w:rsid w:val="30A90B3C"/>
    <w:rsid w:val="30C80A5C"/>
    <w:rsid w:val="30DBC3F3"/>
    <w:rsid w:val="3127B391"/>
    <w:rsid w:val="314459D2"/>
    <w:rsid w:val="3221E9CB"/>
    <w:rsid w:val="32AD2AC2"/>
    <w:rsid w:val="32AEB9FA"/>
    <w:rsid w:val="33267B5B"/>
    <w:rsid w:val="33288243"/>
    <w:rsid w:val="33764991"/>
    <w:rsid w:val="33D037D9"/>
    <w:rsid w:val="349B2862"/>
    <w:rsid w:val="34FD77AB"/>
    <w:rsid w:val="366127B8"/>
    <w:rsid w:val="36818D3E"/>
    <w:rsid w:val="36A6A487"/>
    <w:rsid w:val="37AB9789"/>
    <w:rsid w:val="37DE6C55"/>
    <w:rsid w:val="383E4D38"/>
    <w:rsid w:val="384FFA81"/>
    <w:rsid w:val="39A690B2"/>
    <w:rsid w:val="3A680449"/>
    <w:rsid w:val="3B8F6146"/>
    <w:rsid w:val="3BE0D497"/>
    <w:rsid w:val="3C1A3B2D"/>
    <w:rsid w:val="3C5A9957"/>
    <w:rsid w:val="3C60FDDB"/>
    <w:rsid w:val="3E10AAA4"/>
    <w:rsid w:val="3E89633C"/>
    <w:rsid w:val="3EC45913"/>
    <w:rsid w:val="3ED83A70"/>
    <w:rsid w:val="3F39998D"/>
    <w:rsid w:val="3FD2570F"/>
    <w:rsid w:val="40121421"/>
    <w:rsid w:val="40EF9CC3"/>
    <w:rsid w:val="41D2A4DA"/>
    <w:rsid w:val="42FAC43B"/>
    <w:rsid w:val="434FA59D"/>
    <w:rsid w:val="435FBD51"/>
    <w:rsid w:val="4364BAA0"/>
    <w:rsid w:val="4429A125"/>
    <w:rsid w:val="44533939"/>
    <w:rsid w:val="4463BEDF"/>
    <w:rsid w:val="4475E023"/>
    <w:rsid w:val="4528CA9A"/>
    <w:rsid w:val="4585937B"/>
    <w:rsid w:val="45B39559"/>
    <w:rsid w:val="461E5112"/>
    <w:rsid w:val="46794B09"/>
    <w:rsid w:val="4720BA1F"/>
    <w:rsid w:val="474E839F"/>
    <w:rsid w:val="47C78987"/>
    <w:rsid w:val="4872FE41"/>
    <w:rsid w:val="4886A61E"/>
    <w:rsid w:val="48A2C64D"/>
    <w:rsid w:val="48DE14CC"/>
    <w:rsid w:val="48F2AB9E"/>
    <w:rsid w:val="4997F578"/>
    <w:rsid w:val="49A26BD7"/>
    <w:rsid w:val="49C3466B"/>
    <w:rsid w:val="4A2EF25A"/>
    <w:rsid w:val="4AFD82CF"/>
    <w:rsid w:val="4B03A126"/>
    <w:rsid w:val="4B266A66"/>
    <w:rsid w:val="4B3E6FCA"/>
    <w:rsid w:val="4B495CA9"/>
    <w:rsid w:val="4BE0FD86"/>
    <w:rsid w:val="4BFFF7D3"/>
    <w:rsid w:val="4C7DF772"/>
    <w:rsid w:val="4CC79053"/>
    <w:rsid w:val="4CDAC978"/>
    <w:rsid w:val="4CEAC944"/>
    <w:rsid w:val="4CF97AC9"/>
    <w:rsid w:val="4D32D6FE"/>
    <w:rsid w:val="4D34068B"/>
    <w:rsid w:val="4DAABC16"/>
    <w:rsid w:val="4DE21905"/>
    <w:rsid w:val="4DED84DD"/>
    <w:rsid w:val="4E0AC77D"/>
    <w:rsid w:val="4EEB3E01"/>
    <w:rsid w:val="4F0A19C5"/>
    <w:rsid w:val="4FE9A117"/>
    <w:rsid w:val="5081F3C9"/>
    <w:rsid w:val="508B0CF3"/>
    <w:rsid w:val="50A962E8"/>
    <w:rsid w:val="50AF39E6"/>
    <w:rsid w:val="50F45A66"/>
    <w:rsid w:val="5142BD78"/>
    <w:rsid w:val="515C4B4D"/>
    <w:rsid w:val="51A5B43F"/>
    <w:rsid w:val="523218C3"/>
    <w:rsid w:val="523E57BB"/>
    <w:rsid w:val="53084261"/>
    <w:rsid w:val="5329F1EA"/>
    <w:rsid w:val="53329AC5"/>
    <w:rsid w:val="53A03BB8"/>
    <w:rsid w:val="53BE5024"/>
    <w:rsid w:val="53F68906"/>
    <w:rsid w:val="5526D175"/>
    <w:rsid w:val="5571491A"/>
    <w:rsid w:val="55919301"/>
    <w:rsid w:val="56594916"/>
    <w:rsid w:val="566E60CB"/>
    <w:rsid w:val="5673C852"/>
    <w:rsid w:val="57DB09F5"/>
    <w:rsid w:val="5819330E"/>
    <w:rsid w:val="581F6911"/>
    <w:rsid w:val="58451E98"/>
    <w:rsid w:val="5885A296"/>
    <w:rsid w:val="5ADD8E71"/>
    <w:rsid w:val="5B72AE6D"/>
    <w:rsid w:val="5BA18526"/>
    <w:rsid w:val="5BBFBF72"/>
    <w:rsid w:val="5C61D415"/>
    <w:rsid w:val="5C868A6C"/>
    <w:rsid w:val="5CAB270E"/>
    <w:rsid w:val="5CCF6F70"/>
    <w:rsid w:val="5CD03FE3"/>
    <w:rsid w:val="5CD8056D"/>
    <w:rsid w:val="5D3D59D8"/>
    <w:rsid w:val="5DFADA93"/>
    <w:rsid w:val="5E1D5BE4"/>
    <w:rsid w:val="5E788DE2"/>
    <w:rsid w:val="5E82748F"/>
    <w:rsid w:val="5EAFE3D3"/>
    <w:rsid w:val="5EE4BA03"/>
    <w:rsid w:val="5EEDFE8D"/>
    <w:rsid w:val="5F1628AA"/>
    <w:rsid w:val="5F7D9C00"/>
    <w:rsid w:val="5FDD7609"/>
    <w:rsid w:val="6084F5A3"/>
    <w:rsid w:val="60E7CD1D"/>
    <w:rsid w:val="611EBA50"/>
    <w:rsid w:val="62580377"/>
    <w:rsid w:val="62BEAFC7"/>
    <w:rsid w:val="6562F6B6"/>
    <w:rsid w:val="65F48033"/>
    <w:rsid w:val="6638B2DD"/>
    <w:rsid w:val="665AF47E"/>
    <w:rsid w:val="66AA5F3D"/>
    <w:rsid w:val="66FAB0E6"/>
    <w:rsid w:val="67286DA7"/>
    <w:rsid w:val="676CB6B7"/>
    <w:rsid w:val="68846B88"/>
    <w:rsid w:val="689FFEF1"/>
    <w:rsid w:val="68A59799"/>
    <w:rsid w:val="68AFA6E3"/>
    <w:rsid w:val="68E345C3"/>
    <w:rsid w:val="6951891A"/>
    <w:rsid w:val="6A31EA4D"/>
    <w:rsid w:val="6A522FC8"/>
    <w:rsid w:val="6AE9EB2D"/>
    <w:rsid w:val="6B4E44DA"/>
    <w:rsid w:val="6B881D8C"/>
    <w:rsid w:val="6BBEDA10"/>
    <w:rsid w:val="6C2FB716"/>
    <w:rsid w:val="6C796F94"/>
    <w:rsid w:val="6D08485B"/>
    <w:rsid w:val="6D49FC47"/>
    <w:rsid w:val="6DD7A2BB"/>
    <w:rsid w:val="6E850D05"/>
    <w:rsid w:val="6ED0ECE9"/>
    <w:rsid w:val="6F9DF58E"/>
    <w:rsid w:val="6FB8CD82"/>
    <w:rsid w:val="6FD93DC4"/>
    <w:rsid w:val="6FE68E5C"/>
    <w:rsid w:val="70193BC4"/>
    <w:rsid w:val="7019C9B6"/>
    <w:rsid w:val="7159E009"/>
    <w:rsid w:val="72B812FA"/>
    <w:rsid w:val="72C5504E"/>
    <w:rsid w:val="7321F6F9"/>
    <w:rsid w:val="733177D3"/>
    <w:rsid w:val="734AF285"/>
    <w:rsid w:val="73644DF4"/>
    <w:rsid w:val="7444769E"/>
    <w:rsid w:val="74BAC83B"/>
    <w:rsid w:val="74EA2A7C"/>
    <w:rsid w:val="7504C01E"/>
    <w:rsid w:val="7543B27C"/>
    <w:rsid w:val="75806486"/>
    <w:rsid w:val="76284064"/>
    <w:rsid w:val="77465279"/>
    <w:rsid w:val="78DEA646"/>
    <w:rsid w:val="796A0B3F"/>
    <w:rsid w:val="7980163F"/>
    <w:rsid w:val="79A06BA0"/>
    <w:rsid w:val="7A253075"/>
    <w:rsid w:val="7AACEC28"/>
    <w:rsid w:val="7B693C6C"/>
    <w:rsid w:val="7B955789"/>
    <w:rsid w:val="7BABA24B"/>
    <w:rsid w:val="7C4CC9C9"/>
    <w:rsid w:val="7CD86E2C"/>
    <w:rsid w:val="7CEB02D9"/>
    <w:rsid w:val="7CEBEBBE"/>
    <w:rsid w:val="7D414EE4"/>
    <w:rsid w:val="7D76FA53"/>
    <w:rsid w:val="7DB82141"/>
    <w:rsid w:val="7DBB3512"/>
    <w:rsid w:val="7DF27CD1"/>
    <w:rsid w:val="7DF82822"/>
    <w:rsid w:val="7E22E91C"/>
    <w:rsid w:val="7E2761C4"/>
    <w:rsid w:val="7E357B2F"/>
    <w:rsid w:val="7E3B3EBD"/>
    <w:rsid w:val="7EEEDF9E"/>
    <w:rsid w:val="7F5909AD"/>
    <w:rsid w:val="7FA1F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B067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92D56"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92D56" w:themeColor="accent1"/>
      <w:sz w:val="32"/>
      <w:szCs w:val="28"/>
    </w:rPr>
  </w:style>
  <w:style w:type="paragraph" w:styleId="Heading3">
    <w:name w:val="heading 3"/>
    <w:basedOn w:val="Heading4"/>
    <w:next w:val="Normal"/>
    <w:link w:val="Heading3Char"/>
    <w:uiPriority w:val="2"/>
    <w:qFormat/>
    <w:rsid w:val="00FE2C7F"/>
    <w:pPr>
      <w:outlineLvl w:val="2"/>
    </w:pPr>
    <w:rPr>
      <w:color w:val="192D56"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92D56" w:themeColor="accent1"/>
      <w:sz w:val="40"/>
      <w:szCs w:val="40"/>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92D56" w:themeColor="accent1"/>
      <w:sz w:val="32"/>
      <w:szCs w:val="28"/>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92D56" w:themeColor="accent1"/>
      <w:sz w:val="26"/>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F0159E"/>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570C9" w:themeColor="accent1" w:themeTint="99"/>
        <w:left w:val="single" w:sz="4" w:space="0" w:color="4570C9" w:themeColor="accent1" w:themeTint="99"/>
        <w:bottom w:val="single" w:sz="4" w:space="0" w:color="4570C9" w:themeColor="accent1" w:themeTint="99"/>
        <w:right w:val="single" w:sz="4" w:space="0" w:color="4570C9" w:themeColor="accent1" w:themeTint="99"/>
        <w:insideH w:val="single" w:sz="4" w:space="0" w:color="4570C9" w:themeColor="accent1" w:themeTint="99"/>
      </w:tblBorders>
    </w:tblPr>
    <w:tblStylePr w:type="firstRow">
      <w:rPr>
        <w:b/>
        <w:bCs/>
        <w:color w:val="FFFFFF" w:themeColor="background1"/>
      </w:rPr>
      <w:tblPr/>
      <w:tcPr>
        <w:tcBorders>
          <w:top w:val="single" w:sz="4" w:space="0" w:color="192D56" w:themeColor="accent1"/>
          <w:left w:val="single" w:sz="4" w:space="0" w:color="192D56" w:themeColor="accent1"/>
          <w:bottom w:val="single" w:sz="4" w:space="0" w:color="192D56" w:themeColor="accent1"/>
          <w:right w:val="single" w:sz="4" w:space="0" w:color="192D56" w:themeColor="accent1"/>
          <w:insideH w:val="nil"/>
        </w:tcBorders>
        <w:shd w:val="clear" w:color="auto" w:fill="192D56" w:themeFill="accent1"/>
      </w:tcPr>
    </w:tblStylePr>
    <w:tblStylePr w:type="lastRow">
      <w:rPr>
        <w:b/>
        <w:bCs/>
      </w:rPr>
      <w:tblPr/>
      <w:tcPr>
        <w:tcBorders>
          <w:top w:val="double" w:sz="4" w:space="0" w:color="4570C9" w:themeColor="accent1" w:themeTint="99"/>
        </w:tcBorders>
      </w:tcPr>
    </w:tblStylePr>
    <w:tblStylePr w:type="firstCol">
      <w:rPr>
        <w:b/>
        <w:bCs/>
      </w:rPr>
    </w:tblStylePr>
    <w:tblStylePr w:type="lastCol">
      <w:rPr>
        <w:b/>
        <w:bCs/>
      </w:rPr>
    </w:tblStylePr>
    <w:tblStylePr w:type="band1Vert">
      <w:tblPr/>
      <w:tcPr>
        <w:shd w:val="clear" w:color="auto" w:fill="C1CFED" w:themeFill="accent1" w:themeFillTint="33"/>
      </w:tcPr>
    </w:tblStylePr>
    <w:tblStylePr w:type="band1Horz">
      <w:tblPr/>
      <w:tcPr>
        <w:shd w:val="clear" w:color="auto" w:fill="C1CFED" w:themeFill="accent1" w:themeFillTint="33"/>
      </w:tcPr>
    </w:tblStylePr>
  </w:style>
  <w:style w:type="paragraph" w:customStyle="1" w:styleId="Figure">
    <w:name w:val="Figure"/>
    <w:basedOn w:val="Normal"/>
    <w:uiPriority w:val="2"/>
    <w:qFormat/>
    <w:rsid w:val="006200EB"/>
    <w:pPr>
      <w:numPr>
        <w:numId w:val="10"/>
      </w:numPr>
      <w:spacing w:before="240"/>
    </w:pPr>
    <w:rPr>
      <w:rFonts w:ascii="Segoe UI" w:hAnsi="Segoe UI" w:cs="Segoe UI"/>
      <w:noProof/>
      <w:color w:val="3266AB"/>
    </w:rPr>
  </w:style>
  <w:style w:type="paragraph" w:customStyle="1" w:styleId="TBLHeading">
    <w:name w:val="TBL Heading"/>
    <w:basedOn w:val="Normal"/>
    <w:autoRedefine/>
    <w:uiPriority w:val="11"/>
    <w:qFormat/>
    <w:rsid w:val="007F69F4"/>
    <w:pPr>
      <w:spacing w:line="240" w:lineRule="auto"/>
      <w:jc w:val="center"/>
    </w:pPr>
    <w:rPr>
      <w:rFonts w:ascii="Segoe UI" w:hAnsi="Segoe UI" w:cs="Segoe UI"/>
      <w:b/>
      <w:bCs/>
      <w:noProof/>
      <w:color w:val="FFFFFF" w:themeColor="background1"/>
      <w:sz w:val="16"/>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uiPriority w:val="1"/>
    <w:qFormat/>
    <w:rsid w:val="00962EE8"/>
    <w:pPr>
      <w:numPr>
        <w:numId w:val="8"/>
      </w:numPr>
    </w:pPr>
  </w:style>
  <w:style w:type="paragraph" w:customStyle="1" w:styleId="BulletedList-Level3">
    <w:name w:val="Bulleted List - Level 3"/>
    <w:basedOn w:val="ListParagraph"/>
    <w:uiPriority w:val="1"/>
    <w:qFormat/>
    <w:rsid w:val="00962EE8"/>
    <w:pPr>
      <w:numPr>
        <w:numId w:val="9"/>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92D56" w:themeColor="accent1"/>
        <w:left w:val="single" w:sz="48" w:space="4" w:color="192D56" w:themeColor="accent1"/>
        <w:bottom w:val="single" w:sz="48" w:space="1" w:color="192D56" w:themeColor="accent1"/>
        <w:right w:val="single" w:sz="48" w:space="4" w:color="192D56" w:themeColor="accent1"/>
      </w:pBdr>
      <w:shd w:val="clear" w:color="auto" w:fill="192D56"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192D56" w:themeColor="accent1"/>
        <w:left w:val="single" w:sz="48" w:space="4" w:color="192D56" w:themeColor="accent1"/>
        <w:bottom w:val="single" w:sz="48" w:space="1" w:color="192D56" w:themeColor="accent1"/>
        <w:right w:val="single" w:sz="48" w:space="4" w:color="192D56" w:themeColor="accent1"/>
      </w:pBdr>
      <w:shd w:val="clear" w:color="auto" w:fill="192D56" w:themeFill="accent1"/>
    </w:pPr>
    <w:rPr>
      <w:color w:val="FFFFFF" w:themeColor="background1"/>
    </w:rPr>
  </w:style>
  <w:style w:type="paragraph" w:customStyle="1" w:styleId="BoxDark-Text">
    <w:name w:val="Box Dark - Text"/>
    <w:basedOn w:val="BOXText"/>
    <w:uiPriority w:val="7"/>
    <w:rsid w:val="00FE2C7F"/>
    <w:pPr>
      <w:pBdr>
        <w:top w:val="single" w:sz="48" w:space="1" w:color="192D56" w:themeColor="accent1"/>
        <w:left w:val="single" w:sz="48" w:space="4" w:color="192D56" w:themeColor="accent1"/>
        <w:bottom w:val="single" w:sz="48" w:space="1" w:color="192D56" w:themeColor="accent1"/>
        <w:right w:val="single" w:sz="48" w:space="4" w:color="192D56" w:themeColor="accent1"/>
      </w:pBdr>
      <w:shd w:val="clear" w:color="auto" w:fill="192D56"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92D56" w:themeColor="accent1"/>
        <w:left w:val="single" w:sz="48" w:space="4" w:color="192D56" w:themeColor="accent1"/>
        <w:bottom w:val="single" w:sz="48" w:space="1" w:color="192D56" w:themeColor="accent1"/>
        <w:right w:val="single" w:sz="48" w:space="4" w:color="192D56" w:themeColor="accent1"/>
      </w:pBdr>
      <w:shd w:val="clear" w:color="auto" w:fill="192D56" w:themeFill="accent1"/>
    </w:pPr>
    <w:rPr>
      <w:rFonts w:ascii="Segoe UI Semilight" w:hAnsi="Segoe UI Semilight"/>
    </w:rPr>
  </w:style>
  <w:style w:type="paragraph" w:customStyle="1" w:styleId="BOXNumberedList">
    <w:name w:val="BOX Numbered List"/>
    <w:basedOn w:val="BOXText"/>
    <w:uiPriority w:val="5"/>
    <w:qFormat/>
    <w:rsid w:val="00FE2C7F"/>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192D56" w:themeColor="accent1"/>
        <w:left w:val="single" w:sz="48" w:space="4" w:color="192D56" w:themeColor="accent1"/>
        <w:bottom w:val="single" w:sz="48" w:space="1" w:color="192D56" w:themeColor="accent1"/>
        <w:right w:val="single" w:sz="48" w:space="4" w:color="192D56" w:themeColor="accent1"/>
      </w:pBdr>
      <w:shd w:val="clear" w:color="auto" w:fill="192D56" w:themeFill="accent1"/>
      <w:ind w:left="584" w:hanging="357"/>
    </w:pPr>
  </w:style>
  <w:style w:type="paragraph" w:styleId="BodyText">
    <w:name w:val="Body Text"/>
    <w:basedOn w:val="Normal"/>
    <w:link w:val="BodyTextChar"/>
    <w:uiPriority w:val="1"/>
    <w:qFormat/>
    <w:rsid w:val="00AD2778"/>
    <w:pPr>
      <w:widowControl w:val="0"/>
      <w:autoSpaceDE w:val="0"/>
      <w:autoSpaceDN w:val="0"/>
      <w:spacing w:after="0" w:line="240" w:lineRule="auto"/>
    </w:pPr>
    <w:rPr>
      <w:rFonts w:ascii="Arial" w:eastAsia="Arial" w:hAnsi="Arial" w:cs="Arial"/>
      <w:sz w:val="18"/>
      <w:szCs w:val="18"/>
      <w:lang w:eastAsia="en-AU" w:bidi="en-AU"/>
    </w:rPr>
  </w:style>
  <w:style w:type="character" w:customStyle="1" w:styleId="BodyTextChar">
    <w:name w:val="Body Text Char"/>
    <w:basedOn w:val="DefaultParagraphFont"/>
    <w:link w:val="BodyText"/>
    <w:uiPriority w:val="1"/>
    <w:rsid w:val="00AD2778"/>
    <w:rPr>
      <w:rFonts w:ascii="Arial" w:eastAsia="Arial" w:hAnsi="Arial" w:cs="Arial"/>
      <w:sz w:val="18"/>
      <w:szCs w:val="18"/>
      <w:lang w:eastAsia="en-AU" w:bidi="en-AU"/>
    </w:rPr>
  </w:style>
  <w:style w:type="paragraph" w:styleId="NormalWeb">
    <w:name w:val="Normal (Web)"/>
    <w:basedOn w:val="Normal"/>
    <w:uiPriority w:val="99"/>
    <w:unhideWhenUsed/>
    <w:rsid w:val="00AD27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691CC6"/>
  </w:style>
  <w:style w:type="paragraph" w:styleId="TOC4">
    <w:name w:val="toc 4"/>
    <w:basedOn w:val="Normal"/>
    <w:next w:val="Normal"/>
    <w:autoRedefine/>
    <w:uiPriority w:val="39"/>
    <w:unhideWhenUsed/>
    <w:rsid w:val="00C065ED"/>
    <w:pPr>
      <w:spacing w:after="100" w:line="259" w:lineRule="auto"/>
      <w:ind w:left="660"/>
    </w:pPr>
    <w:rPr>
      <w:szCs w:val="22"/>
      <w:lang w:eastAsia="en-AU"/>
    </w:rPr>
  </w:style>
  <w:style w:type="paragraph" w:styleId="TOC5">
    <w:name w:val="toc 5"/>
    <w:basedOn w:val="Normal"/>
    <w:next w:val="Normal"/>
    <w:autoRedefine/>
    <w:uiPriority w:val="39"/>
    <w:unhideWhenUsed/>
    <w:rsid w:val="00C065ED"/>
    <w:pPr>
      <w:spacing w:after="100" w:line="259" w:lineRule="auto"/>
      <w:ind w:left="880"/>
    </w:pPr>
    <w:rPr>
      <w:szCs w:val="22"/>
      <w:lang w:eastAsia="en-AU"/>
    </w:rPr>
  </w:style>
  <w:style w:type="paragraph" w:styleId="TOC6">
    <w:name w:val="toc 6"/>
    <w:basedOn w:val="Normal"/>
    <w:next w:val="Normal"/>
    <w:autoRedefine/>
    <w:uiPriority w:val="39"/>
    <w:unhideWhenUsed/>
    <w:rsid w:val="00C065ED"/>
    <w:pPr>
      <w:spacing w:after="100" w:line="259" w:lineRule="auto"/>
      <w:ind w:left="1100"/>
    </w:pPr>
    <w:rPr>
      <w:szCs w:val="22"/>
      <w:lang w:eastAsia="en-AU"/>
    </w:rPr>
  </w:style>
  <w:style w:type="paragraph" w:styleId="TOC7">
    <w:name w:val="toc 7"/>
    <w:basedOn w:val="Normal"/>
    <w:next w:val="Normal"/>
    <w:autoRedefine/>
    <w:uiPriority w:val="39"/>
    <w:unhideWhenUsed/>
    <w:rsid w:val="00C065ED"/>
    <w:pPr>
      <w:spacing w:after="100" w:line="259" w:lineRule="auto"/>
      <w:ind w:left="1320"/>
    </w:pPr>
    <w:rPr>
      <w:szCs w:val="22"/>
      <w:lang w:eastAsia="en-AU"/>
    </w:rPr>
  </w:style>
  <w:style w:type="paragraph" w:styleId="TOC8">
    <w:name w:val="toc 8"/>
    <w:basedOn w:val="Normal"/>
    <w:next w:val="Normal"/>
    <w:autoRedefine/>
    <w:uiPriority w:val="39"/>
    <w:unhideWhenUsed/>
    <w:rsid w:val="00C065ED"/>
    <w:pPr>
      <w:spacing w:after="100" w:line="259" w:lineRule="auto"/>
      <w:ind w:left="1540"/>
    </w:pPr>
    <w:rPr>
      <w:szCs w:val="22"/>
      <w:lang w:eastAsia="en-AU"/>
    </w:rPr>
  </w:style>
  <w:style w:type="paragraph" w:styleId="TOC9">
    <w:name w:val="toc 9"/>
    <w:basedOn w:val="Normal"/>
    <w:next w:val="Normal"/>
    <w:autoRedefine/>
    <w:uiPriority w:val="39"/>
    <w:unhideWhenUsed/>
    <w:rsid w:val="00C065ED"/>
    <w:pPr>
      <w:spacing w:after="100" w:line="259" w:lineRule="auto"/>
      <w:ind w:left="1760"/>
    </w:pPr>
    <w:rPr>
      <w:szCs w:val="22"/>
      <w:lang w:eastAsia="en-AU"/>
    </w:rPr>
  </w:style>
  <w:style w:type="character" w:customStyle="1" w:styleId="ui-provider">
    <w:name w:val="ui-provider"/>
    <w:basedOn w:val="DefaultParagraphFont"/>
    <w:rsid w:val="00ED04A9"/>
  </w:style>
  <w:style w:type="character" w:styleId="CommentReference">
    <w:name w:val="annotation reference"/>
    <w:basedOn w:val="DefaultParagraphFont"/>
    <w:uiPriority w:val="99"/>
    <w:semiHidden/>
    <w:unhideWhenUsed/>
    <w:rsid w:val="00432D94"/>
    <w:rPr>
      <w:sz w:val="16"/>
      <w:szCs w:val="16"/>
    </w:rPr>
  </w:style>
  <w:style w:type="paragraph" w:styleId="CommentText">
    <w:name w:val="annotation text"/>
    <w:basedOn w:val="Normal"/>
    <w:link w:val="CommentTextChar"/>
    <w:uiPriority w:val="99"/>
    <w:semiHidden/>
    <w:unhideWhenUsed/>
    <w:rsid w:val="00432D94"/>
    <w:pPr>
      <w:spacing w:line="240" w:lineRule="auto"/>
    </w:pPr>
    <w:rPr>
      <w:sz w:val="20"/>
      <w:szCs w:val="20"/>
    </w:rPr>
  </w:style>
  <w:style w:type="character" w:customStyle="1" w:styleId="CommentTextChar">
    <w:name w:val="Comment Text Char"/>
    <w:basedOn w:val="DefaultParagraphFont"/>
    <w:link w:val="CommentText"/>
    <w:uiPriority w:val="99"/>
    <w:semiHidden/>
    <w:rsid w:val="00432D94"/>
    <w:rPr>
      <w:sz w:val="20"/>
      <w:szCs w:val="20"/>
    </w:rPr>
  </w:style>
  <w:style w:type="paragraph" w:styleId="CommentSubject">
    <w:name w:val="annotation subject"/>
    <w:basedOn w:val="CommentText"/>
    <w:next w:val="CommentText"/>
    <w:link w:val="CommentSubjectChar"/>
    <w:uiPriority w:val="99"/>
    <w:semiHidden/>
    <w:unhideWhenUsed/>
    <w:rsid w:val="00432D94"/>
    <w:rPr>
      <w:b/>
      <w:bCs/>
    </w:rPr>
  </w:style>
  <w:style w:type="character" w:customStyle="1" w:styleId="CommentSubjectChar">
    <w:name w:val="Comment Subject Char"/>
    <w:basedOn w:val="CommentTextChar"/>
    <w:link w:val="CommentSubject"/>
    <w:uiPriority w:val="99"/>
    <w:semiHidden/>
    <w:rsid w:val="00432D94"/>
    <w:rPr>
      <w:b/>
      <w:bCs/>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sid w:val="004C1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F82"/>
    <w:rPr>
      <w:sz w:val="20"/>
      <w:szCs w:val="20"/>
    </w:rPr>
  </w:style>
  <w:style w:type="paragraph" w:customStyle="1" w:styleId="TBLFootnote">
    <w:name w:val="TBL Footnote"/>
    <w:basedOn w:val="Normal"/>
    <w:link w:val="TBLFootnoteChar"/>
    <w:uiPriority w:val="1"/>
    <w:qFormat/>
    <w:rsid w:val="00993B3C"/>
    <w:pPr>
      <w:spacing w:line="240" w:lineRule="auto"/>
      <w:contextualSpacing/>
    </w:pPr>
    <w:rPr>
      <w:sz w:val="14"/>
      <w:szCs w:val="14"/>
    </w:rPr>
  </w:style>
  <w:style w:type="character" w:customStyle="1" w:styleId="TBLFootnoteChar">
    <w:name w:val="TBL Footnote Char"/>
    <w:basedOn w:val="DefaultParagraphFont"/>
    <w:link w:val="TBLFootnote"/>
    <w:uiPriority w:val="1"/>
    <w:rsid w:val="00993B3C"/>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17">
      <w:bodyDiv w:val="1"/>
      <w:marLeft w:val="0"/>
      <w:marRight w:val="0"/>
      <w:marTop w:val="0"/>
      <w:marBottom w:val="0"/>
      <w:divBdr>
        <w:top w:val="none" w:sz="0" w:space="0" w:color="auto"/>
        <w:left w:val="none" w:sz="0" w:space="0" w:color="auto"/>
        <w:bottom w:val="none" w:sz="0" w:space="0" w:color="auto"/>
        <w:right w:val="none" w:sz="0" w:space="0" w:color="auto"/>
      </w:divBdr>
    </w:div>
    <w:div w:id="11609059">
      <w:bodyDiv w:val="1"/>
      <w:marLeft w:val="0"/>
      <w:marRight w:val="0"/>
      <w:marTop w:val="0"/>
      <w:marBottom w:val="0"/>
      <w:divBdr>
        <w:top w:val="none" w:sz="0" w:space="0" w:color="auto"/>
        <w:left w:val="none" w:sz="0" w:space="0" w:color="auto"/>
        <w:bottom w:val="none" w:sz="0" w:space="0" w:color="auto"/>
        <w:right w:val="none" w:sz="0" w:space="0" w:color="auto"/>
      </w:divBdr>
    </w:div>
    <w:div w:id="18548435">
      <w:bodyDiv w:val="1"/>
      <w:marLeft w:val="0"/>
      <w:marRight w:val="0"/>
      <w:marTop w:val="0"/>
      <w:marBottom w:val="0"/>
      <w:divBdr>
        <w:top w:val="none" w:sz="0" w:space="0" w:color="auto"/>
        <w:left w:val="none" w:sz="0" w:space="0" w:color="auto"/>
        <w:bottom w:val="none" w:sz="0" w:space="0" w:color="auto"/>
        <w:right w:val="none" w:sz="0" w:space="0" w:color="auto"/>
      </w:divBdr>
    </w:div>
    <w:div w:id="29261790">
      <w:bodyDiv w:val="1"/>
      <w:marLeft w:val="0"/>
      <w:marRight w:val="0"/>
      <w:marTop w:val="0"/>
      <w:marBottom w:val="0"/>
      <w:divBdr>
        <w:top w:val="none" w:sz="0" w:space="0" w:color="auto"/>
        <w:left w:val="none" w:sz="0" w:space="0" w:color="auto"/>
        <w:bottom w:val="none" w:sz="0" w:space="0" w:color="auto"/>
        <w:right w:val="none" w:sz="0" w:space="0" w:color="auto"/>
      </w:divBdr>
    </w:div>
    <w:div w:id="55473454">
      <w:bodyDiv w:val="1"/>
      <w:marLeft w:val="0"/>
      <w:marRight w:val="0"/>
      <w:marTop w:val="0"/>
      <w:marBottom w:val="0"/>
      <w:divBdr>
        <w:top w:val="none" w:sz="0" w:space="0" w:color="auto"/>
        <w:left w:val="none" w:sz="0" w:space="0" w:color="auto"/>
        <w:bottom w:val="none" w:sz="0" w:space="0" w:color="auto"/>
        <w:right w:val="none" w:sz="0" w:space="0" w:color="auto"/>
      </w:divBdr>
    </w:div>
    <w:div w:id="55931410">
      <w:bodyDiv w:val="1"/>
      <w:marLeft w:val="0"/>
      <w:marRight w:val="0"/>
      <w:marTop w:val="0"/>
      <w:marBottom w:val="0"/>
      <w:divBdr>
        <w:top w:val="none" w:sz="0" w:space="0" w:color="auto"/>
        <w:left w:val="none" w:sz="0" w:space="0" w:color="auto"/>
        <w:bottom w:val="none" w:sz="0" w:space="0" w:color="auto"/>
        <w:right w:val="none" w:sz="0" w:space="0" w:color="auto"/>
      </w:divBdr>
    </w:div>
    <w:div w:id="112600469">
      <w:bodyDiv w:val="1"/>
      <w:marLeft w:val="0"/>
      <w:marRight w:val="0"/>
      <w:marTop w:val="0"/>
      <w:marBottom w:val="0"/>
      <w:divBdr>
        <w:top w:val="none" w:sz="0" w:space="0" w:color="auto"/>
        <w:left w:val="none" w:sz="0" w:space="0" w:color="auto"/>
        <w:bottom w:val="none" w:sz="0" w:space="0" w:color="auto"/>
        <w:right w:val="none" w:sz="0" w:space="0" w:color="auto"/>
      </w:divBdr>
      <w:divsChild>
        <w:div w:id="268440818">
          <w:marLeft w:val="0"/>
          <w:marRight w:val="0"/>
          <w:marTop w:val="0"/>
          <w:marBottom w:val="0"/>
          <w:divBdr>
            <w:top w:val="none" w:sz="0" w:space="0" w:color="auto"/>
            <w:left w:val="none" w:sz="0" w:space="0" w:color="auto"/>
            <w:bottom w:val="none" w:sz="0" w:space="0" w:color="auto"/>
            <w:right w:val="none" w:sz="0" w:space="0" w:color="auto"/>
          </w:divBdr>
        </w:div>
      </w:divsChild>
    </w:div>
    <w:div w:id="140118376">
      <w:bodyDiv w:val="1"/>
      <w:marLeft w:val="0"/>
      <w:marRight w:val="0"/>
      <w:marTop w:val="0"/>
      <w:marBottom w:val="0"/>
      <w:divBdr>
        <w:top w:val="none" w:sz="0" w:space="0" w:color="auto"/>
        <w:left w:val="none" w:sz="0" w:space="0" w:color="auto"/>
        <w:bottom w:val="none" w:sz="0" w:space="0" w:color="auto"/>
        <w:right w:val="none" w:sz="0" w:space="0" w:color="auto"/>
      </w:divBdr>
    </w:div>
    <w:div w:id="181821278">
      <w:bodyDiv w:val="1"/>
      <w:marLeft w:val="0"/>
      <w:marRight w:val="0"/>
      <w:marTop w:val="0"/>
      <w:marBottom w:val="0"/>
      <w:divBdr>
        <w:top w:val="none" w:sz="0" w:space="0" w:color="auto"/>
        <w:left w:val="none" w:sz="0" w:space="0" w:color="auto"/>
        <w:bottom w:val="none" w:sz="0" w:space="0" w:color="auto"/>
        <w:right w:val="none" w:sz="0" w:space="0" w:color="auto"/>
      </w:divBdr>
    </w:div>
    <w:div w:id="184179141">
      <w:bodyDiv w:val="1"/>
      <w:marLeft w:val="0"/>
      <w:marRight w:val="0"/>
      <w:marTop w:val="0"/>
      <w:marBottom w:val="0"/>
      <w:divBdr>
        <w:top w:val="none" w:sz="0" w:space="0" w:color="auto"/>
        <w:left w:val="none" w:sz="0" w:space="0" w:color="auto"/>
        <w:bottom w:val="none" w:sz="0" w:space="0" w:color="auto"/>
        <w:right w:val="none" w:sz="0" w:space="0" w:color="auto"/>
      </w:divBdr>
    </w:div>
    <w:div w:id="198469398">
      <w:bodyDiv w:val="1"/>
      <w:marLeft w:val="0"/>
      <w:marRight w:val="0"/>
      <w:marTop w:val="0"/>
      <w:marBottom w:val="0"/>
      <w:divBdr>
        <w:top w:val="none" w:sz="0" w:space="0" w:color="auto"/>
        <w:left w:val="none" w:sz="0" w:space="0" w:color="auto"/>
        <w:bottom w:val="none" w:sz="0" w:space="0" w:color="auto"/>
        <w:right w:val="none" w:sz="0" w:space="0" w:color="auto"/>
      </w:divBdr>
    </w:div>
    <w:div w:id="228269344">
      <w:bodyDiv w:val="1"/>
      <w:marLeft w:val="0"/>
      <w:marRight w:val="0"/>
      <w:marTop w:val="0"/>
      <w:marBottom w:val="0"/>
      <w:divBdr>
        <w:top w:val="none" w:sz="0" w:space="0" w:color="auto"/>
        <w:left w:val="none" w:sz="0" w:space="0" w:color="auto"/>
        <w:bottom w:val="none" w:sz="0" w:space="0" w:color="auto"/>
        <w:right w:val="none" w:sz="0" w:space="0" w:color="auto"/>
      </w:divBdr>
    </w:div>
    <w:div w:id="228804349">
      <w:bodyDiv w:val="1"/>
      <w:marLeft w:val="0"/>
      <w:marRight w:val="0"/>
      <w:marTop w:val="0"/>
      <w:marBottom w:val="0"/>
      <w:divBdr>
        <w:top w:val="none" w:sz="0" w:space="0" w:color="auto"/>
        <w:left w:val="none" w:sz="0" w:space="0" w:color="auto"/>
        <w:bottom w:val="none" w:sz="0" w:space="0" w:color="auto"/>
        <w:right w:val="none" w:sz="0" w:space="0" w:color="auto"/>
      </w:divBdr>
    </w:div>
    <w:div w:id="256250011">
      <w:bodyDiv w:val="1"/>
      <w:marLeft w:val="0"/>
      <w:marRight w:val="0"/>
      <w:marTop w:val="0"/>
      <w:marBottom w:val="0"/>
      <w:divBdr>
        <w:top w:val="none" w:sz="0" w:space="0" w:color="auto"/>
        <w:left w:val="none" w:sz="0" w:space="0" w:color="auto"/>
        <w:bottom w:val="none" w:sz="0" w:space="0" w:color="auto"/>
        <w:right w:val="none" w:sz="0" w:space="0" w:color="auto"/>
      </w:divBdr>
    </w:div>
    <w:div w:id="271325512">
      <w:bodyDiv w:val="1"/>
      <w:marLeft w:val="0"/>
      <w:marRight w:val="0"/>
      <w:marTop w:val="0"/>
      <w:marBottom w:val="0"/>
      <w:divBdr>
        <w:top w:val="none" w:sz="0" w:space="0" w:color="auto"/>
        <w:left w:val="none" w:sz="0" w:space="0" w:color="auto"/>
        <w:bottom w:val="none" w:sz="0" w:space="0" w:color="auto"/>
        <w:right w:val="none" w:sz="0" w:space="0" w:color="auto"/>
      </w:divBdr>
    </w:div>
    <w:div w:id="301808260">
      <w:bodyDiv w:val="1"/>
      <w:marLeft w:val="0"/>
      <w:marRight w:val="0"/>
      <w:marTop w:val="0"/>
      <w:marBottom w:val="0"/>
      <w:divBdr>
        <w:top w:val="none" w:sz="0" w:space="0" w:color="auto"/>
        <w:left w:val="none" w:sz="0" w:space="0" w:color="auto"/>
        <w:bottom w:val="none" w:sz="0" w:space="0" w:color="auto"/>
        <w:right w:val="none" w:sz="0" w:space="0" w:color="auto"/>
      </w:divBdr>
    </w:div>
    <w:div w:id="316032910">
      <w:bodyDiv w:val="1"/>
      <w:marLeft w:val="0"/>
      <w:marRight w:val="0"/>
      <w:marTop w:val="0"/>
      <w:marBottom w:val="0"/>
      <w:divBdr>
        <w:top w:val="none" w:sz="0" w:space="0" w:color="auto"/>
        <w:left w:val="none" w:sz="0" w:space="0" w:color="auto"/>
        <w:bottom w:val="none" w:sz="0" w:space="0" w:color="auto"/>
        <w:right w:val="none" w:sz="0" w:space="0" w:color="auto"/>
      </w:divBdr>
    </w:div>
    <w:div w:id="318310527">
      <w:bodyDiv w:val="1"/>
      <w:marLeft w:val="0"/>
      <w:marRight w:val="0"/>
      <w:marTop w:val="0"/>
      <w:marBottom w:val="0"/>
      <w:divBdr>
        <w:top w:val="none" w:sz="0" w:space="0" w:color="auto"/>
        <w:left w:val="none" w:sz="0" w:space="0" w:color="auto"/>
        <w:bottom w:val="none" w:sz="0" w:space="0" w:color="auto"/>
        <w:right w:val="none" w:sz="0" w:space="0" w:color="auto"/>
      </w:divBdr>
      <w:divsChild>
        <w:div w:id="625311496">
          <w:marLeft w:val="0"/>
          <w:marRight w:val="0"/>
          <w:marTop w:val="0"/>
          <w:marBottom w:val="0"/>
          <w:divBdr>
            <w:top w:val="none" w:sz="0" w:space="0" w:color="auto"/>
            <w:left w:val="none" w:sz="0" w:space="0" w:color="auto"/>
            <w:bottom w:val="none" w:sz="0" w:space="0" w:color="auto"/>
            <w:right w:val="none" w:sz="0" w:space="0" w:color="auto"/>
          </w:divBdr>
        </w:div>
      </w:divsChild>
    </w:div>
    <w:div w:id="352850654">
      <w:bodyDiv w:val="1"/>
      <w:marLeft w:val="0"/>
      <w:marRight w:val="0"/>
      <w:marTop w:val="0"/>
      <w:marBottom w:val="0"/>
      <w:divBdr>
        <w:top w:val="none" w:sz="0" w:space="0" w:color="auto"/>
        <w:left w:val="none" w:sz="0" w:space="0" w:color="auto"/>
        <w:bottom w:val="none" w:sz="0" w:space="0" w:color="auto"/>
        <w:right w:val="none" w:sz="0" w:space="0" w:color="auto"/>
      </w:divBdr>
    </w:div>
    <w:div w:id="414012474">
      <w:bodyDiv w:val="1"/>
      <w:marLeft w:val="0"/>
      <w:marRight w:val="0"/>
      <w:marTop w:val="0"/>
      <w:marBottom w:val="0"/>
      <w:divBdr>
        <w:top w:val="none" w:sz="0" w:space="0" w:color="auto"/>
        <w:left w:val="none" w:sz="0" w:space="0" w:color="auto"/>
        <w:bottom w:val="none" w:sz="0" w:space="0" w:color="auto"/>
        <w:right w:val="none" w:sz="0" w:space="0" w:color="auto"/>
      </w:divBdr>
    </w:div>
    <w:div w:id="433205493">
      <w:bodyDiv w:val="1"/>
      <w:marLeft w:val="0"/>
      <w:marRight w:val="0"/>
      <w:marTop w:val="0"/>
      <w:marBottom w:val="0"/>
      <w:divBdr>
        <w:top w:val="none" w:sz="0" w:space="0" w:color="auto"/>
        <w:left w:val="none" w:sz="0" w:space="0" w:color="auto"/>
        <w:bottom w:val="none" w:sz="0" w:space="0" w:color="auto"/>
        <w:right w:val="none" w:sz="0" w:space="0" w:color="auto"/>
      </w:divBdr>
    </w:div>
    <w:div w:id="435559863">
      <w:bodyDiv w:val="1"/>
      <w:marLeft w:val="0"/>
      <w:marRight w:val="0"/>
      <w:marTop w:val="0"/>
      <w:marBottom w:val="0"/>
      <w:divBdr>
        <w:top w:val="none" w:sz="0" w:space="0" w:color="auto"/>
        <w:left w:val="none" w:sz="0" w:space="0" w:color="auto"/>
        <w:bottom w:val="none" w:sz="0" w:space="0" w:color="auto"/>
        <w:right w:val="none" w:sz="0" w:space="0" w:color="auto"/>
      </w:divBdr>
    </w:div>
    <w:div w:id="447772896">
      <w:bodyDiv w:val="1"/>
      <w:marLeft w:val="0"/>
      <w:marRight w:val="0"/>
      <w:marTop w:val="0"/>
      <w:marBottom w:val="0"/>
      <w:divBdr>
        <w:top w:val="none" w:sz="0" w:space="0" w:color="auto"/>
        <w:left w:val="none" w:sz="0" w:space="0" w:color="auto"/>
        <w:bottom w:val="none" w:sz="0" w:space="0" w:color="auto"/>
        <w:right w:val="none" w:sz="0" w:space="0" w:color="auto"/>
      </w:divBdr>
    </w:div>
    <w:div w:id="473568979">
      <w:bodyDiv w:val="1"/>
      <w:marLeft w:val="0"/>
      <w:marRight w:val="0"/>
      <w:marTop w:val="0"/>
      <w:marBottom w:val="0"/>
      <w:divBdr>
        <w:top w:val="none" w:sz="0" w:space="0" w:color="auto"/>
        <w:left w:val="none" w:sz="0" w:space="0" w:color="auto"/>
        <w:bottom w:val="none" w:sz="0" w:space="0" w:color="auto"/>
        <w:right w:val="none" w:sz="0" w:space="0" w:color="auto"/>
      </w:divBdr>
    </w:div>
    <w:div w:id="478764121">
      <w:bodyDiv w:val="1"/>
      <w:marLeft w:val="0"/>
      <w:marRight w:val="0"/>
      <w:marTop w:val="0"/>
      <w:marBottom w:val="0"/>
      <w:divBdr>
        <w:top w:val="none" w:sz="0" w:space="0" w:color="auto"/>
        <w:left w:val="none" w:sz="0" w:space="0" w:color="auto"/>
        <w:bottom w:val="none" w:sz="0" w:space="0" w:color="auto"/>
        <w:right w:val="none" w:sz="0" w:space="0" w:color="auto"/>
      </w:divBdr>
    </w:div>
    <w:div w:id="544607245">
      <w:bodyDiv w:val="1"/>
      <w:marLeft w:val="0"/>
      <w:marRight w:val="0"/>
      <w:marTop w:val="0"/>
      <w:marBottom w:val="0"/>
      <w:divBdr>
        <w:top w:val="none" w:sz="0" w:space="0" w:color="auto"/>
        <w:left w:val="none" w:sz="0" w:space="0" w:color="auto"/>
        <w:bottom w:val="none" w:sz="0" w:space="0" w:color="auto"/>
        <w:right w:val="none" w:sz="0" w:space="0" w:color="auto"/>
      </w:divBdr>
    </w:div>
    <w:div w:id="565260878">
      <w:bodyDiv w:val="1"/>
      <w:marLeft w:val="0"/>
      <w:marRight w:val="0"/>
      <w:marTop w:val="0"/>
      <w:marBottom w:val="0"/>
      <w:divBdr>
        <w:top w:val="none" w:sz="0" w:space="0" w:color="auto"/>
        <w:left w:val="none" w:sz="0" w:space="0" w:color="auto"/>
        <w:bottom w:val="none" w:sz="0" w:space="0" w:color="auto"/>
        <w:right w:val="none" w:sz="0" w:space="0" w:color="auto"/>
      </w:divBdr>
      <w:divsChild>
        <w:div w:id="248663813">
          <w:marLeft w:val="0"/>
          <w:marRight w:val="0"/>
          <w:marTop w:val="0"/>
          <w:marBottom w:val="0"/>
          <w:divBdr>
            <w:top w:val="none" w:sz="0" w:space="0" w:color="auto"/>
            <w:left w:val="none" w:sz="0" w:space="0" w:color="auto"/>
            <w:bottom w:val="none" w:sz="0" w:space="0" w:color="auto"/>
            <w:right w:val="none" w:sz="0" w:space="0" w:color="auto"/>
          </w:divBdr>
        </w:div>
      </w:divsChild>
    </w:div>
    <w:div w:id="567348582">
      <w:bodyDiv w:val="1"/>
      <w:marLeft w:val="0"/>
      <w:marRight w:val="0"/>
      <w:marTop w:val="0"/>
      <w:marBottom w:val="0"/>
      <w:divBdr>
        <w:top w:val="none" w:sz="0" w:space="0" w:color="auto"/>
        <w:left w:val="none" w:sz="0" w:space="0" w:color="auto"/>
        <w:bottom w:val="none" w:sz="0" w:space="0" w:color="auto"/>
        <w:right w:val="none" w:sz="0" w:space="0" w:color="auto"/>
      </w:divBdr>
    </w:div>
    <w:div w:id="592666131">
      <w:bodyDiv w:val="1"/>
      <w:marLeft w:val="0"/>
      <w:marRight w:val="0"/>
      <w:marTop w:val="0"/>
      <w:marBottom w:val="0"/>
      <w:divBdr>
        <w:top w:val="none" w:sz="0" w:space="0" w:color="auto"/>
        <w:left w:val="none" w:sz="0" w:space="0" w:color="auto"/>
        <w:bottom w:val="none" w:sz="0" w:space="0" w:color="auto"/>
        <w:right w:val="none" w:sz="0" w:space="0" w:color="auto"/>
      </w:divBdr>
    </w:div>
    <w:div w:id="596866691">
      <w:bodyDiv w:val="1"/>
      <w:marLeft w:val="0"/>
      <w:marRight w:val="0"/>
      <w:marTop w:val="0"/>
      <w:marBottom w:val="0"/>
      <w:divBdr>
        <w:top w:val="none" w:sz="0" w:space="0" w:color="auto"/>
        <w:left w:val="none" w:sz="0" w:space="0" w:color="auto"/>
        <w:bottom w:val="none" w:sz="0" w:space="0" w:color="auto"/>
        <w:right w:val="none" w:sz="0" w:space="0" w:color="auto"/>
      </w:divBdr>
      <w:divsChild>
        <w:div w:id="1558783426">
          <w:marLeft w:val="0"/>
          <w:marRight w:val="0"/>
          <w:marTop w:val="0"/>
          <w:marBottom w:val="0"/>
          <w:divBdr>
            <w:top w:val="none" w:sz="0" w:space="0" w:color="auto"/>
            <w:left w:val="none" w:sz="0" w:space="0" w:color="auto"/>
            <w:bottom w:val="none" w:sz="0" w:space="0" w:color="auto"/>
            <w:right w:val="none" w:sz="0" w:space="0" w:color="auto"/>
          </w:divBdr>
        </w:div>
      </w:divsChild>
    </w:div>
    <w:div w:id="652754573">
      <w:bodyDiv w:val="1"/>
      <w:marLeft w:val="0"/>
      <w:marRight w:val="0"/>
      <w:marTop w:val="0"/>
      <w:marBottom w:val="0"/>
      <w:divBdr>
        <w:top w:val="none" w:sz="0" w:space="0" w:color="auto"/>
        <w:left w:val="none" w:sz="0" w:space="0" w:color="auto"/>
        <w:bottom w:val="none" w:sz="0" w:space="0" w:color="auto"/>
        <w:right w:val="none" w:sz="0" w:space="0" w:color="auto"/>
      </w:divBdr>
    </w:div>
    <w:div w:id="659114147">
      <w:bodyDiv w:val="1"/>
      <w:marLeft w:val="0"/>
      <w:marRight w:val="0"/>
      <w:marTop w:val="0"/>
      <w:marBottom w:val="0"/>
      <w:divBdr>
        <w:top w:val="none" w:sz="0" w:space="0" w:color="auto"/>
        <w:left w:val="none" w:sz="0" w:space="0" w:color="auto"/>
        <w:bottom w:val="none" w:sz="0" w:space="0" w:color="auto"/>
        <w:right w:val="none" w:sz="0" w:space="0" w:color="auto"/>
      </w:divBdr>
    </w:div>
    <w:div w:id="678042242">
      <w:bodyDiv w:val="1"/>
      <w:marLeft w:val="0"/>
      <w:marRight w:val="0"/>
      <w:marTop w:val="0"/>
      <w:marBottom w:val="0"/>
      <w:divBdr>
        <w:top w:val="none" w:sz="0" w:space="0" w:color="auto"/>
        <w:left w:val="none" w:sz="0" w:space="0" w:color="auto"/>
        <w:bottom w:val="none" w:sz="0" w:space="0" w:color="auto"/>
        <w:right w:val="none" w:sz="0" w:space="0" w:color="auto"/>
      </w:divBdr>
    </w:div>
    <w:div w:id="686516279">
      <w:bodyDiv w:val="1"/>
      <w:marLeft w:val="0"/>
      <w:marRight w:val="0"/>
      <w:marTop w:val="0"/>
      <w:marBottom w:val="0"/>
      <w:divBdr>
        <w:top w:val="none" w:sz="0" w:space="0" w:color="auto"/>
        <w:left w:val="none" w:sz="0" w:space="0" w:color="auto"/>
        <w:bottom w:val="none" w:sz="0" w:space="0" w:color="auto"/>
        <w:right w:val="none" w:sz="0" w:space="0" w:color="auto"/>
      </w:divBdr>
    </w:div>
    <w:div w:id="760837981">
      <w:bodyDiv w:val="1"/>
      <w:marLeft w:val="0"/>
      <w:marRight w:val="0"/>
      <w:marTop w:val="0"/>
      <w:marBottom w:val="0"/>
      <w:divBdr>
        <w:top w:val="none" w:sz="0" w:space="0" w:color="auto"/>
        <w:left w:val="none" w:sz="0" w:space="0" w:color="auto"/>
        <w:bottom w:val="none" w:sz="0" w:space="0" w:color="auto"/>
        <w:right w:val="none" w:sz="0" w:space="0" w:color="auto"/>
      </w:divBdr>
    </w:div>
    <w:div w:id="822351692">
      <w:bodyDiv w:val="1"/>
      <w:marLeft w:val="0"/>
      <w:marRight w:val="0"/>
      <w:marTop w:val="0"/>
      <w:marBottom w:val="0"/>
      <w:divBdr>
        <w:top w:val="none" w:sz="0" w:space="0" w:color="auto"/>
        <w:left w:val="none" w:sz="0" w:space="0" w:color="auto"/>
        <w:bottom w:val="none" w:sz="0" w:space="0" w:color="auto"/>
        <w:right w:val="none" w:sz="0" w:space="0" w:color="auto"/>
      </w:divBdr>
    </w:div>
    <w:div w:id="823164622">
      <w:bodyDiv w:val="1"/>
      <w:marLeft w:val="0"/>
      <w:marRight w:val="0"/>
      <w:marTop w:val="0"/>
      <w:marBottom w:val="0"/>
      <w:divBdr>
        <w:top w:val="none" w:sz="0" w:space="0" w:color="auto"/>
        <w:left w:val="none" w:sz="0" w:space="0" w:color="auto"/>
        <w:bottom w:val="none" w:sz="0" w:space="0" w:color="auto"/>
        <w:right w:val="none" w:sz="0" w:space="0" w:color="auto"/>
      </w:divBdr>
    </w:div>
    <w:div w:id="847255330">
      <w:bodyDiv w:val="1"/>
      <w:marLeft w:val="0"/>
      <w:marRight w:val="0"/>
      <w:marTop w:val="0"/>
      <w:marBottom w:val="0"/>
      <w:divBdr>
        <w:top w:val="none" w:sz="0" w:space="0" w:color="auto"/>
        <w:left w:val="none" w:sz="0" w:space="0" w:color="auto"/>
        <w:bottom w:val="none" w:sz="0" w:space="0" w:color="auto"/>
        <w:right w:val="none" w:sz="0" w:space="0" w:color="auto"/>
      </w:divBdr>
    </w:div>
    <w:div w:id="892666126">
      <w:bodyDiv w:val="1"/>
      <w:marLeft w:val="0"/>
      <w:marRight w:val="0"/>
      <w:marTop w:val="0"/>
      <w:marBottom w:val="0"/>
      <w:divBdr>
        <w:top w:val="none" w:sz="0" w:space="0" w:color="auto"/>
        <w:left w:val="none" w:sz="0" w:space="0" w:color="auto"/>
        <w:bottom w:val="none" w:sz="0" w:space="0" w:color="auto"/>
        <w:right w:val="none" w:sz="0" w:space="0" w:color="auto"/>
      </w:divBdr>
    </w:div>
    <w:div w:id="895707160">
      <w:bodyDiv w:val="1"/>
      <w:marLeft w:val="0"/>
      <w:marRight w:val="0"/>
      <w:marTop w:val="0"/>
      <w:marBottom w:val="0"/>
      <w:divBdr>
        <w:top w:val="none" w:sz="0" w:space="0" w:color="auto"/>
        <w:left w:val="none" w:sz="0" w:space="0" w:color="auto"/>
        <w:bottom w:val="none" w:sz="0" w:space="0" w:color="auto"/>
        <w:right w:val="none" w:sz="0" w:space="0" w:color="auto"/>
      </w:divBdr>
    </w:div>
    <w:div w:id="931670310">
      <w:bodyDiv w:val="1"/>
      <w:marLeft w:val="0"/>
      <w:marRight w:val="0"/>
      <w:marTop w:val="0"/>
      <w:marBottom w:val="0"/>
      <w:divBdr>
        <w:top w:val="none" w:sz="0" w:space="0" w:color="auto"/>
        <w:left w:val="none" w:sz="0" w:space="0" w:color="auto"/>
        <w:bottom w:val="none" w:sz="0" w:space="0" w:color="auto"/>
        <w:right w:val="none" w:sz="0" w:space="0" w:color="auto"/>
      </w:divBdr>
    </w:div>
    <w:div w:id="933438666">
      <w:bodyDiv w:val="1"/>
      <w:marLeft w:val="0"/>
      <w:marRight w:val="0"/>
      <w:marTop w:val="0"/>
      <w:marBottom w:val="0"/>
      <w:divBdr>
        <w:top w:val="none" w:sz="0" w:space="0" w:color="auto"/>
        <w:left w:val="none" w:sz="0" w:space="0" w:color="auto"/>
        <w:bottom w:val="none" w:sz="0" w:space="0" w:color="auto"/>
        <w:right w:val="none" w:sz="0" w:space="0" w:color="auto"/>
      </w:divBdr>
    </w:div>
    <w:div w:id="1011756567">
      <w:bodyDiv w:val="1"/>
      <w:marLeft w:val="0"/>
      <w:marRight w:val="0"/>
      <w:marTop w:val="0"/>
      <w:marBottom w:val="0"/>
      <w:divBdr>
        <w:top w:val="none" w:sz="0" w:space="0" w:color="auto"/>
        <w:left w:val="none" w:sz="0" w:space="0" w:color="auto"/>
        <w:bottom w:val="none" w:sz="0" w:space="0" w:color="auto"/>
        <w:right w:val="none" w:sz="0" w:space="0" w:color="auto"/>
      </w:divBdr>
    </w:div>
    <w:div w:id="1025447764">
      <w:bodyDiv w:val="1"/>
      <w:marLeft w:val="0"/>
      <w:marRight w:val="0"/>
      <w:marTop w:val="0"/>
      <w:marBottom w:val="0"/>
      <w:divBdr>
        <w:top w:val="none" w:sz="0" w:space="0" w:color="auto"/>
        <w:left w:val="none" w:sz="0" w:space="0" w:color="auto"/>
        <w:bottom w:val="none" w:sz="0" w:space="0" w:color="auto"/>
        <w:right w:val="none" w:sz="0" w:space="0" w:color="auto"/>
      </w:divBdr>
    </w:div>
    <w:div w:id="1078016410">
      <w:bodyDiv w:val="1"/>
      <w:marLeft w:val="0"/>
      <w:marRight w:val="0"/>
      <w:marTop w:val="0"/>
      <w:marBottom w:val="0"/>
      <w:divBdr>
        <w:top w:val="none" w:sz="0" w:space="0" w:color="auto"/>
        <w:left w:val="none" w:sz="0" w:space="0" w:color="auto"/>
        <w:bottom w:val="none" w:sz="0" w:space="0" w:color="auto"/>
        <w:right w:val="none" w:sz="0" w:space="0" w:color="auto"/>
      </w:divBdr>
    </w:div>
    <w:div w:id="1088501018">
      <w:bodyDiv w:val="1"/>
      <w:marLeft w:val="0"/>
      <w:marRight w:val="0"/>
      <w:marTop w:val="0"/>
      <w:marBottom w:val="0"/>
      <w:divBdr>
        <w:top w:val="none" w:sz="0" w:space="0" w:color="auto"/>
        <w:left w:val="none" w:sz="0" w:space="0" w:color="auto"/>
        <w:bottom w:val="none" w:sz="0" w:space="0" w:color="auto"/>
        <w:right w:val="none" w:sz="0" w:space="0" w:color="auto"/>
      </w:divBdr>
    </w:div>
    <w:div w:id="1089040515">
      <w:bodyDiv w:val="1"/>
      <w:marLeft w:val="0"/>
      <w:marRight w:val="0"/>
      <w:marTop w:val="0"/>
      <w:marBottom w:val="0"/>
      <w:divBdr>
        <w:top w:val="none" w:sz="0" w:space="0" w:color="auto"/>
        <w:left w:val="none" w:sz="0" w:space="0" w:color="auto"/>
        <w:bottom w:val="none" w:sz="0" w:space="0" w:color="auto"/>
        <w:right w:val="none" w:sz="0" w:space="0" w:color="auto"/>
      </w:divBdr>
    </w:div>
    <w:div w:id="1118450733">
      <w:bodyDiv w:val="1"/>
      <w:marLeft w:val="0"/>
      <w:marRight w:val="0"/>
      <w:marTop w:val="0"/>
      <w:marBottom w:val="0"/>
      <w:divBdr>
        <w:top w:val="none" w:sz="0" w:space="0" w:color="auto"/>
        <w:left w:val="none" w:sz="0" w:space="0" w:color="auto"/>
        <w:bottom w:val="none" w:sz="0" w:space="0" w:color="auto"/>
        <w:right w:val="none" w:sz="0" w:space="0" w:color="auto"/>
      </w:divBdr>
    </w:div>
    <w:div w:id="1159540040">
      <w:bodyDiv w:val="1"/>
      <w:marLeft w:val="0"/>
      <w:marRight w:val="0"/>
      <w:marTop w:val="0"/>
      <w:marBottom w:val="0"/>
      <w:divBdr>
        <w:top w:val="none" w:sz="0" w:space="0" w:color="auto"/>
        <w:left w:val="none" w:sz="0" w:space="0" w:color="auto"/>
        <w:bottom w:val="none" w:sz="0" w:space="0" w:color="auto"/>
        <w:right w:val="none" w:sz="0" w:space="0" w:color="auto"/>
      </w:divBdr>
    </w:div>
    <w:div w:id="1215459878">
      <w:bodyDiv w:val="1"/>
      <w:marLeft w:val="0"/>
      <w:marRight w:val="0"/>
      <w:marTop w:val="0"/>
      <w:marBottom w:val="0"/>
      <w:divBdr>
        <w:top w:val="none" w:sz="0" w:space="0" w:color="auto"/>
        <w:left w:val="none" w:sz="0" w:space="0" w:color="auto"/>
        <w:bottom w:val="none" w:sz="0" w:space="0" w:color="auto"/>
        <w:right w:val="none" w:sz="0" w:space="0" w:color="auto"/>
      </w:divBdr>
      <w:divsChild>
        <w:div w:id="154955392">
          <w:marLeft w:val="0"/>
          <w:marRight w:val="0"/>
          <w:marTop w:val="0"/>
          <w:marBottom w:val="0"/>
          <w:divBdr>
            <w:top w:val="none" w:sz="0" w:space="0" w:color="auto"/>
            <w:left w:val="none" w:sz="0" w:space="0" w:color="auto"/>
            <w:bottom w:val="none" w:sz="0" w:space="0" w:color="auto"/>
            <w:right w:val="none" w:sz="0" w:space="0" w:color="auto"/>
          </w:divBdr>
        </w:div>
      </w:divsChild>
    </w:div>
    <w:div w:id="1243414736">
      <w:bodyDiv w:val="1"/>
      <w:marLeft w:val="0"/>
      <w:marRight w:val="0"/>
      <w:marTop w:val="0"/>
      <w:marBottom w:val="0"/>
      <w:divBdr>
        <w:top w:val="none" w:sz="0" w:space="0" w:color="auto"/>
        <w:left w:val="none" w:sz="0" w:space="0" w:color="auto"/>
        <w:bottom w:val="none" w:sz="0" w:space="0" w:color="auto"/>
        <w:right w:val="none" w:sz="0" w:space="0" w:color="auto"/>
      </w:divBdr>
    </w:div>
    <w:div w:id="1267735090">
      <w:bodyDiv w:val="1"/>
      <w:marLeft w:val="0"/>
      <w:marRight w:val="0"/>
      <w:marTop w:val="0"/>
      <w:marBottom w:val="0"/>
      <w:divBdr>
        <w:top w:val="none" w:sz="0" w:space="0" w:color="auto"/>
        <w:left w:val="none" w:sz="0" w:space="0" w:color="auto"/>
        <w:bottom w:val="none" w:sz="0" w:space="0" w:color="auto"/>
        <w:right w:val="none" w:sz="0" w:space="0" w:color="auto"/>
      </w:divBdr>
    </w:div>
    <w:div w:id="1300922135">
      <w:bodyDiv w:val="1"/>
      <w:marLeft w:val="0"/>
      <w:marRight w:val="0"/>
      <w:marTop w:val="0"/>
      <w:marBottom w:val="0"/>
      <w:divBdr>
        <w:top w:val="none" w:sz="0" w:space="0" w:color="auto"/>
        <w:left w:val="none" w:sz="0" w:space="0" w:color="auto"/>
        <w:bottom w:val="none" w:sz="0" w:space="0" w:color="auto"/>
        <w:right w:val="none" w:sz="0" w:space="0" w:color="auto"/>
      </w:divBdr>
    </w:div>
    <w:div w:id="1301612060">
      <w:bodyDiv w:val="1"/>
      <w:marLeft w:val="0"/>
      <w:marRight w:val="0"/>
      <w:marTop w:val="0"/>
      <w:marBottom w:val="0"/>
      <w:divBdr>
        <w:top w:val="none" w:sz="0" w:space="0" w:color="auto"/>
        <w:left w:val="none" w:sz="0" w:space="0" w:color="auto"/>
        <w:bottom w:val="none" w:sz="0" w:space="0" w:color="auto"/>
        <w:right w:val="none" w:sz="0" w:space="0" w:color="auto"/>
      </w:divBdr>
    </w:div>
    <w:div w:id="1308507194">
      <w:bodyDiv w:val="1"/>
      <w:marLeft w:val="0"/>
      <w:marRight w:val="0"/>
      <w:marTop w:val="0"/>
      <w:marBottom w:val="0"/>
      <w:divBdr>
        <w:top w:val="none" w:sz="0" w:space="0" w:color="auto"/>
        <w:left w:val="none" w:sz="0" w:space="0" w:color="auto"/>
        <w:bottom w:val="none" w:sz="0" w:space="0" w:color="auto"/>
        <w:right w:val="none" w:sz="0" w:space="0" w:color="auto"/>
      </w:divBdr>
    </w:div>
    <w:div w:id="1309483070">
      <w:bodyDiv w:val="1"/>
      <w:marLeft w:val="0"/>
      <w:marRight w:val="0"/>
      <w:marTop w:val="0"/>
      <w:marBottom w:val="0"/>
      <w:divBdr>
        <w:top w:val="none" w:sz="0" w:space="0" w:color="auto"/>
        <w:left w:val="none" w:sz="0" w:space="0" w:color="auto"/>
        <w:bottom w:val="none" w:sz="0" w:space="0" w:color="auto"/>
        <w:right w:val="none" w:sz="0" w:space="0" w:color="auto"/>
      </w:divBdr>
    </w:div>
    <w:div w:id="1320038346">
      <w:bodyDiv w:val="1"/>
      <w:marLeft w:val="0"/>
      <w:marRight w:val="0"/>
      <w:marTop w:val="0"/>
      <w:marBottom w:val="0"/>
      <w:divBdr>
        <w:top w:val="none" w:sz="0" w:space="0" w:color="auto"/>
        <w:left w:val="none" w:sz="0" w:space="0" w:color="auto"/>
        <w:bottom w:val="none" w:sz="0" w:space="0" w:color="auto"/>
        <w:right w:val="none" w:sz="0" w:space="0" w:color="auto"/>
      </w:divBdr>
    </w:div>
    <w:div w:id="1387220056">
      <w:bodyDiv w:val="1"/>
      <w:marLeft w:val="0"/>
      <w:marRight w:val="0"/>
      <w:marTop w:val="0"/>
      <w:marBottom w:val="0"/>
      <w:divBdr>
        <w:top w:val="none" w:sz="0" w:space="0" w:color="auto"/>
        <w:left w:val="none" w:sz="0" w:space="0" w:color="auto"/>
        <w:bottom w:val="none" w:sz="0" w:space="0" w:color="auto"/>
        <w:right w:val="none" w:sz="0" w:space="0" w:color="auto"/>
      </w:divBdr>
    </w:div>
    <w:div w:id="1439372990">
      <w:bodyDiv w:val="1"/>
      <w:marLeft w:val="0"/>
      <w:marRight w:val="0"/>
      <w:marTop w:val="0"/>
      <w:marBottom w:val="0"/>
      <w:divBdr>
        <w:top w:val="none" w:sz="0" w:space="0" w:color="auto"/>
        <w:left w:val="none" w:sz="0" w:space="0" w:color="auto"/>
        <w:bottom w:val="none" w:sz="0" w:space="0" w:color="auto"/>
        <w:right w:val="none" w:sz="0" w:space="0" w:color="auto"/>
      </w:divBdr>
    </w:div>
    <w:div w:id="1445341184">
      <w:bodyDiv w:val="1"/>
      <w:marLeft w:val="0"/>
      <w:marRight w:val="0"/>
      <w:marTop w:val="0"/>
      <w:marBottom w:val="0"/>
      <w:divBdr>
        <w:top w:val="none" w:sz="0" w:space="0" w:color="auto"/>
        <w:left w:val="none" w:sz="0" w:space="0" w:color="auto"/>
        <w:bottom w:val="none" w:sz="0" w:space="0" w:color="auto"/>
        <w:right w:val="none" w:sz="0" w:space="0" w:color="auto"/>
      </w:divBdr>
    </w:div>
    <w:div w:id="1462109143">
      <w:bodyDiv w:val="1"/>
      <w:marLeft w:val="0"/>
      <w:marRight w:val="0"/>
      <w:marTop w:val="0"/>
      <w:marBottom w:val="0"/>
      <w:divBdr>
        <w:top w:val="none" w:sz="0" w:space="0" w:color="auto"/>
        <w:left w:val="none" w:sz="0" w:space="0" w:color="auto"/>
        <w:bottom w:val="none" w:sz="0" w:space="0" w:color="auto"/>
        <w:right w:val="none" w:sz="0" w:space="0" w:color="auto"/>
      </w:divBdr>
    </w:div>
    <w:div w:id="1491865653">
      <w:bodyDiv w:val="1"/>
      <w:marLeft w:val="0"/>
      <w:marRight w:val="0"/>
      <w:marTop w:val="0"/>
      <w:marBottom w:val="0"/>
      <w:divBdr>
        <w:top w:val="none" w:sz="0" w:space="0" w:color="auto"/>
        <w:left w:val="none" w:sz="0" w:space="0" w:color="auto"/>
        <w:bottom w:val="none" w:sz="0" w:space="0" w:color="auto"/>
        <w:right w:val="none" w:sz="0" w:space="0" w:color="auto"/>
      </w:divBdr>
      <w:divsChild>
        <w:div w:id="443697803">
          <w:marLeft w:val="0"/>
          <w:marRight w:val="0"/>
          <w:marTop w:val="0"/>
          <w:marBottom w:val="0"/>
          <w:divBdr>
            <w:top w:val="none" w:sz="0" w:space="0" w:color="auto"/>
            <w:left w:val="none" w:sz="0" w:space="0" w:color="auto"/>
            <w:bottom w:val="none" w:sz="0" w:space="0" w:color="auto"/>
            <w:right w:val="none" w:sz="0" w:space="0" w:color="auto"/>
          </w:divBdr>
        </w:div>
      </w:divsChild>
    </w:div>
    <w:div w:id="1501652249">
      <w:bodyDiv w:val="1"/>
      <w:marLeft w:val="0"/>
      <w:marRight w:val="0"/>
      <w:marTop w:val="0"/>
      <w:marBottom w:val="0"/>
      <w:divBdr>
        <w:top w:val="none" w:sz="0" w:space="0" w:color="auto"/>
        <w:left w:val="none" w:sz="0" w:space="0" w:color="auto"/>
        <w:bottom w:val="none" w:sz="0" w:space="0" w:color="auto"/>
        <w:right w:val="none" w:sz="0" w:space="0" w:color="auto"/>
      </w:divBdr>
    </w:div>
    <w:div w:id="1504204867">
      <w:bodyDiv w:val="1"/>
      <w:marLeft w:val="0"/>
      <w:marRight w:val="0"/>
      <w:marTop w:val="0"/>
      <w:marBottom w:val="0"/>
      <w:divBdr>
        <w:top w:val="none" w:sz="0" w:space="0" w:color="auto"/>
        <w:left w:val="none" w:sz="0" w:space="0" w:color="auto"/>
        <w:bottom w:val="none" w:sz="0" w:space="0" w:color="auto"/>
        <w:right w:val="none" w:sz="0" w:space="0" w:color="auto"/>
      </w:divBdr>
    </w:div>
    <w:div w:id="1505707315">
      <w:bodyDiv w:val="1"/>
      <w:marLeft w:val="0"/>
      <w:marRight w:val="0"/>
      <w:marTop w:val="0"/>
      <w:marBottom w:val="0"/>
      <w:divBdr>
        <w:top w:val="none" w:sz="0" w:space="0" w:color="auto"/>
        <w:left w:val="none" w:sz="0" w:space="0" w:color="auto"/>
        <w:bottom w:val="none" w:sz="0" w:space="0" w:color="auto"/>
        <w:right w:val="none" w:sz="0" w:space="0" w:color="auto"/>
      </w:divBdr>
    </w:div>
    <w:div w:id="1529292554">
      <w:bodyDiv w:val="1"/>
      <w:marLeft w:val="0"/>
      <w:marRight w:val="0"/>
      <w:marTop w:val="0"/>
      <w:marBottom w:val="0"/>
      <w:divBdr>
        <w:top w:val="none" w:sz="0" w:space="0" w:color="auto"/>
        <w:left w:val="none" w:sz="0" w:space="0" w:color="auto"/>
        <w:bottom w:val="none" w:sz="0" w:space="0" w:color="auto"/>
        <w:right w:val="none" w:sz="0" w:space="0" w:color="auto"/>
      </w:divBdr>
    </w:div>
    <w:div w:id="1554001609">
      <w:bodyDiv w:val="1"/>
      <w:marLeft w:val="0"/>
      <w:marRight w:val="0"/>
      <w:marTop w:val="0"/>
      <w:marBottom w:val="0"/>
      <w:divBdr>
        <w:top w:val="none" w:sz="0" w:space="0" w:color="auto"/>
        <w:left w:val="none" w:sz="0" w:space="0" w:color="auto"/>
        <w:bottom w:val="none" w:sz="0" w:space="0" w:color="auto"/>
        <w:right w:val="none" w:sz="0" w:space="0" w:color="auto"/>
      </w:divBdr>
      <w:divsChild>
        <w:div w:id="461385599">
          <w:marLeft w:val="0"/>
          <w:marRight w:val="0"/>
          <w:marTop w:val="0"/>
          <w:marBottom w:val="0"/>
          <w:divBdr>
            <w:top w:val="none" w:sz="0" w:space="0" w:color="auto"/>
            <w:left w:val="none" w:sz="0" w:space="0" w:color="auto"/>
            <w:bottom w:val="none" w:sz="0" w:space="0" w:color="auto"/>
            <w:right w:val="none" w:sz="0" w:space="0" w:color="auto"/>
          </w:divBdr>
          <w:divsChild>
            <w:div w:id="373819777">
              <w:marLeft w:val="0"/>
              <w:marRight w:val="0"/>
              <w:marTop w:val="0"/>
              <w:marBottom w:val="0"/>
              <w:divBdr>
                <w:top w:val="none" w:sz="0" w:space="0" w:color="auto"/>
                <w:left w:val="none" w:sz="0" w:space="0" w:color="auto"/>
                <w:bottom w:val="none" w:sz="0" w:space="0" w:color="auto"/>
                <w:right w:val="none" w:sz="0" w:space="0" w:color="auto"/>
              </w:divBdr>
            </w:div>
          </w:divsChild>
        </w:div>
        <w:div w:id="765804077">
          <w:marLeft w:val="0"/>
          <w:marRight w:val="0"/>
          <w:marTop w:val="0"/>
          <w:marBottom w:val="0"/>
          <w:divBdr>
            <w:top w:val="none" w:sz="0" w:space="0" w:color="auto"/>
            <w:left w:val="none" w:sz="0" w:space="0" w:color="auto"/>
            <w:bottom w:val="none" w:sz="0" w:space="0" w:color="auto"/>
            <w:right w:val="none" w:sz="0" w:space="0" w:color="auto"/>
          </w:divBdr>
          <w:divsChild>
            <w:div w:id="465196529">
              <w:marLeft w:val="0"/>
              <w:marRight w:val="0"/>
              <w:marTop w:val="0"/>
              <w:marBottom w:val="0"/>
              <w:divBdr>
                <w:top w:val="none" w:sz="0" w:space="0" w:color="auto"/>
                <w:left w:val="none" w:sz="0" w:space="0" w:color="auto"/>
                <w:bottom w:val="none" w:sz="0" w:space="0" w:color="auto"/>
                <w:right w:val="none" w:sz="0" w:space="0" w:color="auto"/>
              </w:divBdr>
              <w:divsChild>
                <w:div w:id="1048532642">
                  <w:marLeft w:val="0"/>
                  <w:marRight w:val="0"/>
                  <w:marTop w:val="0"/>
                  <w:marBottom w:val="0"/>
                  <w:divBdr>
                    <w:top w:val="none" w:sz="0" w:space="0" w:color="auto"/>
                    <w:left w:val="none" w:sz="0" w:space="0" w:color="auto"/>
                    <w:bottom w:val="none" w:sz="0" w:space="0" w:color="auto"/>
                    <w:right w:val="none" w:sz="0" w:space="0" w:color="auto"/>
                  </w:divBdr>
                  <w:divsChild>
                    <w:div w:id="9290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60934">
      <w:bodyDiv w:val="1"/>
      <w:marLeft w:val="0"/>
      <w:marRight w:val="0"/>
      <w:marTop w:val="0"/>
      <w:marBottom w:val="0"/>
      <w:divBdr>
        <w:top w:val="none" w:sz="0" w:space="0" w:color="auto"/>
        <w:left w:val="none" w:sz="0" w:space="0" w:color="auto"/>
        <w:bottom w:val="none" w:sz="0" w:space="0" w:color="auto"/>
        <w:right w:val="none" w:sz="0" w:space="0" w:color="auto"/>
      </w:divBdr>
    </w:div>
    <w:div w:id="1562251280">
      <w:bodyDiv w:val="1"/>
      <w:marLeft w:val="0"/>
      <w:marRight w:val="0"/>
      <w:marTop w:val="0"/>
      <w:marBottom w:val="0"/>
      <w:divBdr>
        <w:top w:val="none" w:sz="0" w:space="0" w:color="auto"/>
        <w:left w:val="none" w:sz="0" w:space="0" w:color="auto"/>
        <w:bottom w:val="none" w:sz="0" w:space="0" w:color="auto"/>
        <w:right w:val="none" w:sz="0" w:space="0" w:color="auto"/>
      </w:divBdr>
    </w:div>
    <w:div w:id="1582569894">
      <w:bodyDiv w:val="1"/>
      <w:marLeft w:val="0"/>
      <w:marRight w:val="0"/>
      <w:marTop w:val="0"/>
      <w:marBottom w:val="0"/>
      <w:divBdr>
        <w:top w:val="none" w:sz="0" w:space="0" w:color="auto"/>
        <w:left w:val="none" w:sz="0" w:space="0" w:color="auto"/>
        <w:bottom w:val="none" w:sz="0" w:space="0" w:color="auto"/>
        <w:right w:val="none" w:sz="0" w:space="0" w:color="auto"/>
      </w:divBdr>
    </w:div>
    <w:div w:id="1612081872">
      <w:bodyDiv w:val="1"/>
      <w:marLeft w:val="0"/>
      <w:marRight w:val="0"/>
      <w:marTop w:val="0"/>
      <w:marBottom w:val="0"/>
      <w:divBdr>
        <w:top w:val="none" w:sz="0" w:space="0" w:color="auto"/>
        <w:left w:val="none" w:sz="0" w:space="0" w:color="auto"/>
        <w:bottom w:val="none" w:sz="0" w:space="0" w:color="auto"/>
        <w:right w:val="none" w:sz="0" w:space="0" w:color="auto"/>
      </w:divBdr>
    </w:div>
    <w:div w:id="1633368744">
      <w:bodyDiv w:val="1"/>
      <w:marLeft w:val="0"/>
      <w:marRight w:val="0"/>
      <w:marTop w:val="0"/>
      <w:marBottom w:val="0"/>
      <w:divBdr>
        <w:top w:val="none" w:sz="0" w:space="0" w:color="auto"/>
        <w:left w:val="none" w:sz="0" w:space="0" w:color="auto"/>
        <w:bottom w:val="none" w:sz="0" w:space="0" w:color="auto"/>
        <w:right w:val="none" w:sz="0" w:space="0" w:color="auto"/>
      </w:divBdr>
    </w:div>
    <w:div w:id="1634872316">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676035293">
      <w:bodyDiv w:val="1"/>
      <w:marLeft w:val="0"/>
      <w:marRight w:val="0"/>
      <w:marTop w:val="0"/>
      <w:marBottom w:val="0"/>
      <w:divBdr>
        <w:top w:val="none" w:sz="0" w:space="0" w:color="auto"/>
        <w:left w:val="none" w:sz="0" w:space="0" w:color="auto"/>
        <w:bottom w:val="none" w:sz="0" w:space="0" w:color="auto"/>
        <w:right w:val="none" w:sz="0" w:space="0" w:color="auto"/>
      </w:divBdr>
    </w:div>
    <w:div w:id="1679500354">
      <w:bodyDiv w:val="1"/>
      <w:marLeft w:val="0"/>
      <w:marRight w:val="0"/>
      <w:marTop w:val="0"/>
      <w:marBottom w:val="0"/>
      <w:divBdr>
        <w:top w:val="none" w:sz="0" w:space="0" w:color="auto"/>
        <w:left w:val="none" w:sz="0" w:space="0" w:color="auto"/>
        <w:bottom w:val="none" w:sz="0" w:space="0" w:color="auto"/>
        <w:right w:val="none" w:sz="0" w:space="0" w:color="auto"/>
      </w:divBdr>
    </w:div>
    <w:div w:id="1703628675">
      <w:bodyDiv w:val="1"/>
      <w:marLeft w:val="0"/>
      <w:marRight w:val="0"/>
      <w:marTop w:val="0"/>
      <w:marBottom w:val="0"/>
      <w:divBdr>
        <w:top w:val="none" w:sz="0" w:space="0" w:color="auto"/>
        <w:left w:val="none" w:sz="0" w:space="0" w:color="auto"/>
        <w:bottom w:val="none" w:sz="0" w:space="0" w:color="auto"/>
        <w:right w:val="none" w:sz="0" w:space="0" w:color="auto"/>
      </w:divBdr>
    </w:div>
    <w:div w:id="1730808649">
      <w:bodyDiv w:val="1"/>
      <w:marLeft w:val="0"/>
      <w:marRight w:val="0"/>
      <w:marTop w:val="0"/>
      <w:marBottom w:val="0"/>
      <w:divBdr>
        <w:top w:val="none" w:sz="0" w:space="0" w:color="auto"/>
        <w:left w:val="none" w:sz="0" w:space="0" w:color="auto"/>
        <w:bottom w:val="none" w:sz="0" w:space="0" w:color="auto"/>
        <w:right w:val="none" w:sz="0" w:space="0" w:color="auto"/>
      </w:divBdr>
    </w:div>
    <w:div w:id="1751727884">
      <w:bodyDiv w:val="1"/>
      <w:marLeft w:val="0"/>
      <w:marRight w:val="0"/>
      <w:marTop w:val="0"/>
      <w:marBottom w:val="0"/>
      <w:divBdr>
        <w:top w:val="none" w:sz="0" w:space="0" w:color="auto"/>
        <w:left w:val="none" w:sz="0" w:space="0" w:color="auto"/>
        <w:bottom w:val="none" w:sz="0" w:space="0" w:color="auto"/>
        <w:right w:val="none" w:sz="0" w:space="0" w:color="auto"/>
      </w:divBdr>
    </w:div>
    <w:div w:id="1762526934">
      <w:bodyDiv w:val="1"/>
      <w:marLeft w:val="0"/>
      <w:marRight w:val="0"/>
      <w:marTop w:val="0"/>
      <w:marBottom w:val="0"/>
      <w:divBdr>
        <w:top w:val="none" w:sz="0" w:space="0" w:color="auto"/>
        <w:left w:val="none" w:sz="0" w:space="0" w:color="auto"/>
        <w:bottom w:val="none" w:sz="0" w:space="0" w:color="auto"/>
        <w:right w:val="none" w:sz="0" w:space="0" w:color="auto"/>
      </w:divBdr>
    </w:div>
    <w:div w:id="1789665072">
      <w:bodyDiv w:val="1"/>
      <w:marLeft w:val="0"/>
      <w:marRight w:val="0"/>
      <w:marTop w:val="0"/>
      <w:marBottom w:val="0"/>
      <w:divBdr>
        <w:top w:val="none" w:sz="0" w:space="0" w:color="auto"/>
        <w:left w:val="none" w:sz="0" w:space="0" w:color="auto"/>
        <w:bottom w:val="none" w:sz="0" w:space="0" w:color="auto"/>
        <w:right w:val="none" w:sz="0" w:space="0" w:color="auto"/>
      </w:divBdr>
    </w:div>
    <w:div w:id="1808279939">
      <w:bodyDiv w:val="1"/>
      <w:marLeft w:val="0"/>
      <w:marRight w:val="0"/>
      <w:marTop w:val="0"/>
      <w:marBottom w:val="0"/>
      <w:divBdr>
        <w:top w:val="none" w:sz="0" w:space="0" w:color="auto"/>
        <w:left w:val="none" w:sz="0" w:space="0" w:color="auto"/>
        <w:bottom w:val="none" w:sz="0" w:space="0" w:color="auto"/>
        <w:right w:val="none" w:sz="0" w:space="0" w:color="auto"/>
      </w:divBdr>
    </w:div>
    <w:div w:id="1845700240">
      <w:bodyDiv w:val="1"/>
      <w:marLeft w:val="0"/>
      <w:marRight w:val="0"/>
      <w:marTop w:val="0"/>
      <w:marBottom w:val="0"/>
      <w:divBdr>
        <w:top w:val="none" w:sz="0" w:space="0" w:color="auto"/>
        <w:left w:val="none" w:sz="0" w:space="0" w:color="auto"/>
        <w:bottom w:val="none" w:sz="0" w:space="0" w:color="auto"/>
        <w:right w:val="none" w:sz="0" w:space="0" w:color="auto"/>
      </w:divBdr>
    </w:div>
    <w:div w:id="1871528252">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77157792">
      <w:bodyDiv w:val="1"/>
      <w:marLeft w:val="0"/>
      <w:marRight w:val="0"/>
      <w:marTop w:val="0"/>
      <w:marBottom w:val="0"/>
      <w:divBdr>
        <w:top w:val="none" w:sz="0" w:space="0" w:color="auto"/>
        <w:left w:val="none" w:sz="0" w:space="0" w:color="auto"/>
        <w:bottom w:val="none" w:sz="0" w:space="0" w:color="auto"/>
        <w:right w:val="none" w:sz="0" w:space="0" w:color="auto"/>
      </w:divBdr>
    </w:div>
    <w:div w:id="1879196212">
      <w:bodyDiv w:val="1"/>
      <w:marLeft w:val="0"/>
      <w:marRight w:val="0"/>
      <w:marTop w:val="0"/>
      <w:marBottom w:val="0"/>
      <w:divBdr>
        <w:top w:val="none" w:sz="0" w:space="0" w:color="auto"/>
        <w:left w:val="none" w:sz="0" w:space="0" w:color="auto"/>
        <w:bottom w:val="none" w:sz="0" w:space="0" w:color="auto"/>
        <w:right w:val="none" w:sz="0" w:space="0" w:color="auto"/>
      </w:divBdr>
    </w:div>
    <w:div w:id="1909345736">
      <w:bodyDiv w:val="1"/>
      <w:marLeft w:val="0"/>
      <w:marRight w:val="0"/>
      <w:marTop w:val="0"/>
      <w:marBottom w:val="0"/>
      <w:divBdr>
        <w:top w:val="none" w:sz="0" w:space="0" w:color="auto"/>
        <w:left w:val="none" w:sz="0" w:space="0" w:color="auto"/>
        <w:bottom w:val="none" w:sz="0" w:space="0" w:color="auto"/>
        <w:right w:val="none" w:sz="0" w:space="0" w:color="auto"/>
      </w:divBdr>
    </w:div>
    <w:div w:id="1946302045">
      <w:bodyDiv w:val="1"/>
      <w:marLeft w:val="0"/>
      <w:marRight w:val="0"/>
      <w:marTop w:val="0"/>
      <w:marBottom w:val="0"/>
      <w:divBdr>
        <w:top w:val="none" w:sz="0" w:space="0" w:color="auto"/>
        <w:left w:val="none" w:sz="0" w:space="0" w:color="auto"/>
        <w:bottom w:val="none" w:sz="0" w:space="0" w:color="auto"/>
        <w:right w:val="none" w:sz="0" w:space="0" w:color="auto"/>
      </w:divBdr>
    </w:div>
    <w:div w:id="1949728597">
      <w:bodyDiv w:val="1"/>
      <w:marLeft w:val="0"/>
      <w:marRight w:val="0"/>
      <w:marTop w:val="0"/>
      <w:marBottom w:val="0"/>
      <w:divBdr>
        <w:top w:val="none" w:sz="0" w:space="0" w:color="auto"/>
        <w:left w:val="none" w:sz="0" w:space="0" w:color="auto"/>
        <w:bottom w:val="none" w:sz="0" w:space="0" w:color="auto"/>
        <w:right w:val="none" w:sz="0" w:space="0" w:color="auto"/>
      </w:divBdr>
    </w:div>
    <w:div w:id="1981376211">
      <w:bodyDiv w:val="1"/>
      <w:marLeft w:val="0"/>
      <w:marRight w:val="0"/>
      <w:marTop w:val="0"/>
      <w:marBottom w:val="0"/>
      <w:divBdr>
        <w:top w:val="none" w:sz="0" w:space="0" w:color="auto"/>
        <w:left w:val="none" w:sz="0" w:space="0" w:color="auto"/>
        <w:bottom w:val="none" w:sz="0" w:space="0" w:color="auto"/>
        <w:right w:val="none" w:sz="0" w:space="0" w:color="auto"/>
      </w:divBdr>
    </w:div>
    <w:div w:id="1986079700">
      <w:bodyDiv w:val="1"/>
      <w:marLeft w:val="0"/>
      <w:marRight w:val="0"/>
      <w:marTop w:val="0"/>
      <w:marBottom w:val="0"/>
      <w:divBdr>
        <w:top w:val="none" w:sz="0" w:space="0" w:color="auto"/>
        <w:left w:val="none" w:sz="0" w:space="0" w:color="auto"/>
        <w:bottom w:val="none" w:sz="0" w:space="0" w:color="auto"/>
        <w:right w:val="none" w:sz="0" w:space="0" w:color="auto"/>
      </w:divBdr>
    </w:div>
    <w:div w:id="1989940810">
      <w:bodyDiv w:val="1"/>
      <w:marLeft w:val="0"/>
      <w:marRight w:val="0"/>
      <w:marTop w:val="0"/>
      <w:marBottom w:val="0"/>
      <w:divBdr>
        <w:top w:val="none" w:sz="0" w:space="0" w:color="auto"/>
        <w:left w:val="none" w:sz="0" w:space="0" w:color="auto"/>
        <w:bottom w:val="none" w:sz="0" w:space="0" w:color="auto"/>
        <w:right w:val="none" w:sz="0" w:space="0" w:color="auto"/>
      </w:divBdr>
    </w:div>
    <w:div w:id="2011371638">
      <w:bodyDiv w:val="1"/>
      <w:marLeft w:val="0"/>
      <w:marRight w:val="0"/>
      <w:marTop w:val="0"/>
      <w:marBottom w:val="0"/>
      <w:divBdr>
        <w:top w:val="none" w:sz="0" w:space="0" w:color="auto"/>
        <w:left w:val="none" w:sz="0" w:space="0" w:color="auto"/>
        <w:bottom w:val="none" w:sz="0" w:space="0" w:color="auto"/>
        <w:right w:val="none" w:sz="0" w:space="0" w:color="auto"/>
      </w:divBdr>
    </w:div>
    <w:div w:id="2023239686">
      <w:bodyDiv w:val="1"/>
      <w:marLeft w:val="0"/>
      <w:marRight w:val="0"/>
      <w:marTop w:val="0"/>
      <w:marBottom w:val="0"/>
      <w:divBdr>
        <w:top w:val="none" w:sz="0" w:space="0" w:color="auto"/>
        <w:left w:val="none" w:sz="0" w:space="0" w:color="auto"/>
        <w:bottom w:val="none" w:sz="0" w:space="0" w:color="auto"/>
        <w:right w:val="none" w:sz="0" w:space="0" w:color="auto"/>
      </w:divBdr>
    </w:div>
    <w:div w:id="2046245711">
      <w:bodyDiv w:val="1"/>
      <w:marLeft w:val="0"/>
      <w:marRight w:val="0"/>
      <w:marTop w:val="0"/>
      <w:marBottom w:val="0"/>
      <w:divBdr>
        <w:top w:val="none" w:sz="0" w:space="0" w:color="auto"/>
        <w:left w:val="none" w:sz="0" w:space="0" w:color="auto"/>
        <w:bottom w:val="none" w:sz="0" w:space="0" w:color="auto"/>
        <w:right w:val="none" w:sz="0" w:space="0" w:color="auto"/>
      </w:divBdr>
    </w:div>
    <w:div w:id="2076391791">
      <w:bodyDiv w:val="1"/>
      <w:marLeft w:val="0"/>
      <w:marRight w:val="0"/>
      <w:marTop w:val="0"/>
      <w:marBottom w:val="0"/>
      <w:divBdr>
        <w:top w:val="none" w:sz="0" w:space="0" w:color="auto"/>
        <w:left w:val="none" w:sz="0" w:space="0" w:color="auto"/>
        <w:bottom w:val="none" w:sz="0" w:space="0" w:color="auto"/>
        <w:right w:val="none" w:sz="0" w:space="0" w:color="auto"/>
      </w:divBdr>
    </w:div>
    <w:div w:id="2085562773">
      <w:bodyDiv w:val="1"/>
      <w:marLeft w:val="0"/>
      <w:marRight w:val="0"/>
      <w:marTop w:val="0"/>
      <w:marBottom w:val="0"/>
      <w:divBdr>
        <w:top w:val="none" w:sz="0" w:space="0" w:color="auto"/>
        <w:left w:val="none" w:sz="0" w:space="0" w:color="auto"/>
        <w:bottom w:val="none" w:sz="0" w:space="0" w:color="auto"/>
        <w:right w:val="none" w:sz="0" w:space="0" w:color="auto"/>
      </w:divBdr>
    </w:div>
    <w:div w:id="2092967624">
      <w:bodyDiv w:val="1"/>
      <w:marLeft w:val="0"/>
      <w:marRight w:val="0"/>
      <w:marTop w:val="0"/>
      <w:marBottom w:val="0"/>
      <w:divBdr>
        <w:top w:val="none" w:sz="0" w:space="0" w:color="auto"/>
        <w:left w:val="none" w:sz="0" w:space="0" w:color="auto"/>
        <w:bottom w:val="none" w:sz="0" w:space="0" w:color="auto"/>
        <w:right w:val="none" w:sz="0" w:space="0" w:color="auto"/>
      </w:divBdr>
    </w:div>
    <w:div w:id="2096130024">
      <w:bodyDiv w:val="1"/>
      <w:marLeft w:val="0"/>
      <w:marRight w:val="0"/>
      <w:marTop w:val="0"/>
      <w:marBottom w:val="0"/>
      <w:divBdr>
        <w:top w:val="none" w:sz="0" w:space="0" w:color="auto"/>
        <w:left w:val="none" w:sz="0" w:space="0" w:color="auto"/>
        <w:bottom w:val="none" w:sz="0" w:space="0" w:color="auto"/>
        <w:right w:val="none" w:sz="0" w:space="0" w:color="auto"/>
      </w:divBdr>
    </w:div>
    <w:div w:id="2107918361">
      <w:bodyDiv w:val="1"/>
      <w:marLeft w:val="0"/>
      <w:marRight w:val="0"/>
      <w:marTop w:val="0"/>
      <w:marBottom w:val="0"/>
      <w:divBdr>
        <w:top w:val="none" w:sz="0" w:space="0" w:color="auto"/>
        <w:left w:val="none" w:sz="0" w:space="0" w:color="auto"/>
        <w:bottom w:val="none" w:sz="0" w:space="0" w:color="auto"/>
        <w:right w:val="none" w:sz="0" w:space="0" w:color="auto"/>
      </w:divBdr>
    </w:div>
    <w:div w:id="21265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fea0c65978624a7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d8de320bd847417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6A16A9C4E486DBEA852C178641D1D"/>
        <w:category>
          <w:name w:val="General"/>
          <w:gallery w:val="placeholder"/>
        </w:category>
        <w:types>
          <w:type w:val="bbPlcHdr"/>
        </w:types>
        <w:behaviors>
          <w:behavior w:val="content"/>
        </w:behaviors>
        <w:guid w:val="{4BCFFC7B-5AC7-477B-9263-9B55C01087F1}"/>
      </w:docPartPr>
      <w:docPartBody>
        <w:p w:rsidR="00AD66D9" w:rsidRDefault="001B1FB2">
          <w:pPr>
            <w:pStyle w:val="6FE6A16A9C4E486DBEA852C178641D1D"/>
          </w:pPr>
          <w:r w:rsidRPr="00B6525C">
            <w:rPr>
              <w:rStyle w:val="PlaceholderText"/>
            </w:rPr>
            <w:t>Choose an item.</w:t>
          </w:r>
        </w:p>
      </w:docPartBody>
    </w:docPart>
    <w:docPart>
      <w:docPartPr>
        <w:name w:val="5211D597AC3940B592065566A352D0E3"/>
        <w:category>
          <w:name w:val="General"/>
          <w:gallery w:val="placeholder"/>
        </w:category>
        <w:types>
          <w:type w:val="bbPlcHdr"/>
        </w:types>
        <w:behaviors>
          <w:behavior w:val="content"/>
        </w:behaviors>
        <w:guid w:val="{BB4D3058-256A-4ED3-A677-9D33318302CC}"/>
      </w:docPartPr>
      <w:docPartBody>
        <w:p w:rsidR="00AD66D9" w:rsidRDefault="001B1FB2">
          <w:pPr>
            <w:pStyle w:val="5211D597AC3940B592065566A352D0E3"/>
          </w:pPr>
          <w:r w:rsidRPr="00B6525C">
            <w:rPr>
              <w:rStyle w:val="PlaceholderText"/>
            </w:rPr>
            <w:t>Choose an item.</w:t>
          </w:r>
        </w:p>
      </w:docPartBody>
    </w:docPart>
    <w:docPart>
      <w:docPartPr>
        <w:name w:val="B9D1FFE9A19C443E92B61273893E3FEC"/>
        <w:category>
          <w:name w:val="General"/>
          <w:gallery w:val="placeholder"/>
        </w:category>
        <w:types>
          <w:type w:val="bbPlcHdr"/>
        </w:types>
        <w:behaviors>
          <w:behavior w:val="content"/>
        </w:behaviors>
        <w:guid w:val="{029FF96E-C7BC-47C1-B795-B2BCFD5FDB34}"/>
      </w:docPartPr>
      <w:docPartBody>
        <w:p w:rsidR="00AD66D9" w:rsidRDefault="001B1FB2">
          <w:pPr>
            <w:pStyle w:val="B9D1FFE9A19C443E92B61273893E3FEC"/>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B2"/>
    <w:rsid w:val="00030AAE"/>
    <w:rsid w:val="0004626F"/>
    <w:rsid w:val="00051EA0"/>
    <w:rsid w:val="0005488C"/>
    <w:rsid w:val="001313DA"/>
    <w:rsid w:val="0013698A"/>
    <w:rsid w:val="001B1FB2"/>
    <w:rsid w:val="00203800"/>
    <w:rsid w:val="00204C46"/>
    <w:rsid w:val="00204CC9"/>
    <w:rsid w:val="002F5E54"/>
    <w:rsid w:val="00353656"/>
    <w:rsid w:val="0037649E"/>
    <w:rsid w:val="00381C0B"/>
    <w:rsid w:val="003909B0"/>
    <w:rsid w:val="003B725A"/>
    <w:rsid w:val="003F1AE7"/>
    <w:rsid w:val="00411A05"/>
    <w:rsid w:val="0046644D"/>
    <w:rsid w:val="004802A7"/>
    <w:rsid w:val="004A02E3"/>
    <w:rsid w:val="004A492F"/>
    <w:rsid w:val="004A5623"/>
    <w:rsid w:val="004C15E9"/>
    <w:rsid w:val="004C63EE"/>
    <w:rsid w:val="00504B7D"/>
    <w:rsid w:val="005258F2"/>
    <w:rsid w:val="00534901"/>
    <w:rsid w:val="005370B6"/>
    <w:rsid w:val="00537A24"/>
    <w:rsid w:val="00554F08"/>
    <w:rsid w:val="005A0A9A"/>
    <w:rsid w:val="005A11FB"/>
    <w:rsid w:val="005C6F59"/>
    <w:rsid w:val="005D1399"/>
    <w:rsid w:val="0060565C"/>
    <w:rsid w:val="00610A6C"/>
    <w:rsid w:val="0063235B"/>
    <w:rsid w:val="00690A42"/>
    <w:rsid w:val="00691B0B"/>
    <w:rsid w:val="006A5FF2"/>
    <w:rsid w:val="006D24E3"/>
    <w:rsid w:val="00753CE2"/>
    <w:rsid w:val="007A0B61"/>
    <w:rsid w:val="007D33E8"/>
    <w:rsid w:val="007E503E"/>
    <w:rsid w:val="00815F68"/>
    <w:rsid w:val="008169CE"/>
    <w:rsid w:val="00833631"/>
    <w:rsid w:val="00862A2A"/>
    <w:rsid w:val="00887B8A"/>
    <w:rsid w:val="008B084D"/>
    <w:rsid w:val="008B4D3F"/>
    <w:rsid w:val="008F137E"/>
    <w:rsid w:val="00914142"/>
    <w:rsid w:val="009510A0"/>
    <w:rsid w:val="009A7BC0"/>
    <w:rsid w:val="009B706E"/>
    <w:rsid w:val="009D0EA4"/>
    <w:rsid w:val="009E2581"/>
    <w:rsid w:val="00AA1BC8"/>
    <w:rsid w:val="00AA7077"/>
    <w:rsid w:val="00AD66D9"/>
    <w:rsid w:val="00B86397"/>
    <w:rsid w:val="00BD09FF"/>
    <w:rsid w:val="00BE5DF5"/>
    <w:rsid w:val="00C02E3B"/>
    <w:rsid w:val="00C116D8"/>
    <w:rsid w:val="00C40411"/>
    <w:rsid w:val="00C62D08"/>
    <w:rsid w:val="00C75349"/>
    <w:rsid w:val="00CA630B"/>
    <w:rsid w:val="00CB1780"/>
    <w:rsid w:val="00CC5FDF"/>
    <w:rsid w:val="00CE3B2C"/>
    <w:rsid w:val="00D22BCE"/>
    <w:rsid w:val="00D30F41"/>
    <w:rsid w:val="00D477DD"/>
    <w:rsid w:val="00D47E13"/>
    <w:rsid w:val="00D52529"/>
    <w:rsid w:val="00D56FC3"/>
    <w:rsid w:val="00D80E33"/>
    <w:rsid w:val="00DA3B9C"/>
    <w:rsid w:val="00DA5621"/>
    <w:rsid w:val="00DB75AB"/>
    <w:rsid w:val="00E17648"/>
    <w:rsid w:val="00E34456"/>
    <w:rsid w:val="00E8185C"/>
    <w:rsid w:val="00E85846"/>
    <w:rsid w:val="00E96D36"/>
    <w:rsid w:val="00EC73CE"/>
    <w:rsid w:val="00F916AA"/>
    <w:rsid w:val="00F92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FB1DBD6674A118FB71DC02971D595">
    <w:name w:val="B02FB1DBD6674A118FB71DC02971D595"/>
  </w:style>
  <w:style w:type="paragraph" w:customStyle="1" w:styleId="CD1027D90386429C81AA0C7E21484294">
    <w:name w:val="CD1027D90386429C81AA0C7E21484294"/>
  </w:style>
  <w:style w:type="paragraph" w:customStyle="1" w:styleId="2A474DCD2D8B431AB894BDF07E1F17F1">
    <w:name w:val="2A474DCD2D8B431AB894BDF07E1F17F1"/>
  </w:style>
  <w:style w:type="paragraph" w:customStyle="1" w:styleId="6FE6A16A9C4E486DBEA852C178641D1D">
    <w:name w:val="6FE6A16A9C4E486DBEA852C178641D1D"/>
  </w:style>
  <w:style w:type="paragraph" w:customStyle="1" w:styleId="5211D597AC3940B592065566A352D0E3">
    <w:name w:val="5211D597AC3940B592065566A352D0E3"/>
  </w:style>
  <w:style w:type="paragraph" w:customStyle="1" w:styleId="AFF638AED00743E6ACF90F4D97EF2AC3">
    <w:name w:val="AFF638AED00743E6ACF90F4D97EF2AC3"/>
  </w:style>
  <w:style w:type="paragraph" w:customStyle="1" w:styleId="295C971A144B439DB3ED2980F15CD888">
    <w:name w:val="295C971A144B439DB3ED2980F15CD888"/>
  </w:style>
  <w:style w:type="paragraph" w:customStyle="1" w:styleId="B9D1FFE9A19C443E92B61273893E3FEC">
    <w:name w:val="B9D1FFE9A19C443E92B61273893E3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2">
      <a:dk1>
        <a:srgbClr val="000000"/>
      </a:dk1>
      <a:lt1>
        <a:srgbClr val="FFFFFF"/>
      </a:lt1>
      <a:dk2>
        <a:srgbClr val="0F1F35"/>
      </a:dk2>
      <a:lt2>
        <a:srgbClr val="E0E8F2"/>
      </a:lt2>
      <a:accent1>
        <a:srgbClr val="192D56"/>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6f2632c98b9fe42eb81994e8d2abddf">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751393e4de6e4a8446aef94a08607de6"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PMCdoc-213507164-59611</_dlc_DocId>
    <_dlc_DocIdPersistId xmlns="d0dfa800-9ef0-44cb-8a12-633e29de1e0b" xsi:nil="true"/>
    <_dlc_DocIdUrl xmlns="d0dfa800-9ef0-44cb-8a12-633e29de1e0b">
      <Url>https://pmc01.sharepoint.com/sites/pmc-ms-cb/_layouts/15/DocIdRedir.aspx?ID=PMCdoc-213507164-59611</Url>
      <Description>PMCdoc-213507164-59611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AD5D-9A63-4B16-8994-B222673E3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84699-B5AF-487E-BA1C-3F3EB7FCBEFE}">
  <ds:schemaRefs>
    <ds:schemaRef ds:uri="http://schemas.microsoft.com/sharepoint/events"/>
  </ds:schemaRefs>
</ds:datastoreItem>
</file>

<file path=customXml/itemProps3.xml><?xml version="1.0" encoding="utf-8"?>
<ds:datastoreItem xmlns:ds="http://schemas.openxmlformats.org/officeDocument/2006/customXml" ds:itemID="{32F9D509-998C-43F4-9081-4775FE7A620E}">
  <ds:schemaRefs>
    <ds:schemaRef ds:uri="http://schemas.microsoft.com/sharepoint/v3/contenttype/forms"/>
  </ds:schemaRefs>
</ds:datastoreItem>
</file>

<file path=customXml/itemProps4.xml><?xml version="1.0" encoding="utf-8"?>
<ds:datastoreItem xmlns:ds="http://schemas.openxmlformats.org/officeDocument/2006/customXml" ds:itemID="{27D83224-BDE8-40F8-B60D-FC4F27C937D6}">
  <ds:schemaRefs>
    <ds:schemaRef ds:uri="http://schemas.microsoft.com/sharepoint/v3"/>
    <ds:schemaRef ds:uri="http://purl.org/dc/terms/"/>
    <ds:schemaRef ds:uri="e771ab56-0c5d-40e7-b080-2686d2b8962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e530a30-1469-477c-a42f-e412a5d2cfe7"/>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CE1ABD1F-587C-423D-8035-46CACFDD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6266</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Impact Analysis status, 2024-25</dc:title>
  <dc:subject/>
  <dc:creator/>
  <cp:keywords/>
  <dc:description/>
  <cp:lastModifiedBy/>
  <dcterms:created xsi:type="dcterms:W3CDTF">2024-11-07T22:05:00Z</dcterms:created>
  <dcterms:modified xsi:type="dcterms:W3CDTF">2024-11-07T22:05:00Z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8" name="MediaServiceImageTags">
    <vt:lpwstr/>
  </property>
  <property fmtid="{D5CDD505-2E9C-101B-9397-08002B2CF9AE}" pid="9" name="SecurityClassification">
    <vt:lpwstr>4;#OFFICIAL|9e0ec9cb-4e7f-4d4a-bd32-1ee7525c6d87</vt:lpwstr>
  </property>
  <property fmtid="{D5CDD505-2E9C-101B-9397-08002B2CF9AE}" pid="21" name="InformationMarker">
    <vt:lpwstr/>
  </property>
  <property fmtid="{D5CDD505-2E9C-101B-9397-08002B2CF9AE}" pid="22" name="_dlc_DocIdItemGuid">
    <vt:lpwstr>741c152f-ee42-42a9-876a-84957f2146d0</vt:lpwstr>
  </property>
</Properties>
</file>