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34826" w14:textId="37E8D34B" w:rsidR="00C63449" w:rsidRPr="00C63E98" w:rsidRDefault="000B71D3" w:rsidP="00C634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 </w:t>
      </w:r>
      <w:r w:rsidR="00E92AD8" w:rsidRPr="00E92AD8">
        <w:rPr>
          <w:rFonts w:ascii="Times New Roman" w:hAnsi="Times New Roman" w:cs="Times New Roman"/>
          <w:sz w:val="24"/>
          <w:szCs w:val="24"/>
        </w:rPr>
        <w:t>Joanna Abhayaratna</w:t>
      </w:r>
    </w:p>
    <w:p w14:paraId="37434827" w14:textId="79FEC619" w:rsidR="00C63449" w:rsidRPr="00C63E98" w:rsidRDefault="00C63449" w:rsidP="00C63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3E98">
        <w:rPr>
          <w:rFonts w:ascii="Times New Roman" w:hAnsi="Times New Roman" w:cs="Times New Roman"/>
          <w:sz w:val="24"/>
          <w:szCs w:val="24"/>
        </w:rPr>
        <w:t>Executive Director</w:t>
      </w:r>
    </w:p>
    <w:p w14:paraId="37434828" w14:textId="77777777" w:rsidR="00C63449" w:rsidRPr="00C63E98" w:rsidRDefault="00C63449" w:rsidP="00C63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3E98">
        <w:rPr>
          <w:rFonts w:ascii="Times New Roman" w:hAnsi="Times New Roman" w:cs="Times New Roman"/>
          <w:sz w:val="24"/>
          <w:szCs w:val="24"/>
        </w:rPr>
        <w:t>Office of Impact Analysis</w:t>
      </w:r>
    </w:p>
    <w:p w14:paraId="37434829" w14:textId="5E8CC55E" w:rsidR="00C63449" w:rsidRDefault="00C63449" w:rsidP="00C63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3E98">
        <w:rPr>
          <w:rFonts w:ascii="Times New Roman" w:hAnsi="Times New Roman" w:cs="Times New Roman"/>
          <w:sz w:val="24"/>
          <w:szCs w:val="24"/>
        </w:rPr>
        <w:t>Department of the Prime Minister and Cabinet</w:t>
      </w:r>
    </w:p>
    <w:p w14:paraId="25C9D465" w14:textId="77777777" w:rsidR="00986114" w:rsidRDefault="00986114" w:rsidP="009861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National Circuit</w:t>
      </w:r>
    </w:p>
    <w:p w14:paraId="4AE5F54A" w14:textId="77777777" w:rsidR="00986114" w:rsidRDefault="00986114" w:rsidP="009861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BARTON ACT 2600</w:t>
      </w:r>
    </w:p>
    <w:p w14:paraId="597CA314" w14:textId="77777777" w:rsidR="00986114" w:rsidRPr="00C63E98" w:rsidRDefault="00986114" w:rsidP="001634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43482B" w14:textId="61745E2D" w:rsidR="00C63449" w:rsidRPr="00C63E98" w:rsidRDefault="00C63449" w:rsidP="001634C7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C63E98">
        <w:rPr>
          <w:rFonts w:ascii="Times New Roman" w:hAnsi="Times New Roman" w:cs="Times New Roman"/>
          <w:sz w:val="24"/>
          <w:szCs w:val="24"/>
        </w:rPr>
        <w:t xml:space="preserve">Email: </w:t>
      </w:r>
      <w:r w:rsidR="007E2B8C">
        <w:rPr>
          <w:rFonts w:ascii="Times New Roman" w:hAnsi="Times New Roman" w:cs="Times New Roman"/>
          <w:sz w:val="24"/>
          <w:szCs w:val="24"/>
        </w:rPr>
        <w:t>H</w:t>
      </w:r>
      <w:r w:rsidRPr="00C63E98">
        <w:rPr>
          <w:rFonts w:ascii="Times New Roman" w:hAnsi="Times New Roman" w:cs="Times New Roman"/>
          <w:sz w:val="24"/>
          <w:szCs w:val="24"/>
        </w:rPr>
        <w:t>elpdesk-OIA@pmc.gov.au</w:t>
      </w:r>
    </w:p>
    <w:p w14:paraId="3743482C" w14:textId="09064C87" w:rsidR="00C63449" w:rsidRPr="00C63E98" w:rsidRDefault="00C63449" w:rsidP="00C63449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C63E98">
        <w:rPr>
          <w:rFonts w:ascii="Times New Roman" w:hAnsi="Times New Roman" w:cs="Times New Roman"/>
          <w:sz w:val="24"/>
          <w:szCs w:val="24"/>
        </w:rPr>
        <w:t xml:space="preserve">Dear </w:t>
      </w:r>
      <w:r w:rsidR="000B71D3">
        <w:rPr>
          <w:rFonts w:ascii="Times New Roman" w:hAnsi="Times New Roman" w:cs="Times New Roman"/>
          <w:sz w:val="24"/>
          <w:szCs w:val="24"/>
        </w:rPr>
        <w:t>Ms</w:t>
      </w:r>
      <w:r w:rsidR="000B71D3" w:rsidRPr="00E92AD8">
        <w:rPr>
          <w:rFonts w:ascii="Times New Roman" w:hAnsi="Times New Roman" w:cs="Times New Roman"/>
          <w:sz w:val="24"/>
          <w:szCs w:val="24"/>
        </w:rPr>
        <w:t xml:space="preserve"> Abhayaratna</w:t>
      </w:r>
    </w:p>
    <w:p w14:paraId="3743482D" w14:textId="5944B169" w:rsidR="00C63449" w:rsidRPr="00C63E98" w:rsidRDefault="002642B7" w:rsidP="00C63449">
      <w:pPr>
        <w:pStyle w:val="Heading3"/>
        <w:rPr>
          <w:rFonts w:ascii="Arial" w:hAnsi="Arial" w:cs="Arial"/>
          <w:b/>
        </w:rPr>
      </w:pPr>
      <w:bookmarkStart w:id="0" w:name="_GoBack"/>
      <w:r w:rsidRPr="00C63E98">
        <w:rPr>
          <w:rFonts w:ascii="Arial" w:hAnsi="Arial" w:cs="Arial"/>
          <w:b/>
        </w:rPr>
        <w:t xml:space="preserve">Seeking </w:t>
      </w:r>
      <w:r w:rsidR="00AB56B6" w:rsidRPr="00C63E98">
        <w:rPr>
          <w:rFonts w:ascii="Arial" w:hAnsi="Arial" w:cs="Arial"/>
          <w:b/>
        </w:rPr>
        <w:t>agreement</w:t>
      </w:r>
      <w:r w:rsidRPr="00C63E98">
        <w:rPr>
          <w:rFonts w:ascii="Arial" w:hAnsi="Arial" w:cs="Arial"/>
          <w:b/>
        </w:rPr>
        <w:t xml:space="preserve"> to certify </w:t>
      </w:r>
      <w:r w:rsidR="00C63449" w:rsidRPr="00C63E98">
        <w:rPr>
          <w:rFonts w:ascii="Arial" w:hAnsi="Arial" w:cs="Arial"/>
          <w:b/>
        </w:rPr>
        <w:t>Impact Analysis Equivalent</w:t>
      </w:r>
      <w:r w:rsidR="0043594D" w:rsidRPr="00C63E98">
        <w:rPr>
          <w:rFonts w:ascii="Arial" w:hAnsi="Arial" w:cs="Arial"/>
          <w:b/>
        </w:rPr>
        <w:t xml:space="preserve"> (IAE)</w:t>
      </w:r>
      <w:bookmarkEnd w:id="0"/>
      <w:r w:rsidR="00C63449" w:rsidRPr="00C63E98">
        <w:rPr>
          <w:rFonts w:ascii="Arial" w:hAnsi="Arial" w:cs="Arial"/>
          <w:b/>
        </w:rPr>
        <w:t xml:space="preserve">: </w:t>
      </w:r>
      <w:r w:rsidR="00C63E98" w:rsidRPr="00C63E98">
        <w:rPr>
          <w:rFonts w:ascii="Arial" w:hAnsi="Arial" w:cs="Arial"/>
          <w:b/>
          <w:color w:val="FF0000"/>
        </w:rPr>
        <w:t>[Title]</w:t>
      </w:r>
    </w:p>
    <w:p w14:paraId="3743482E" w14:textId="77777777" w:rsidR="00C63449" w:rsidRPr="00C63E98" w:rsidRDefault="00A45DC1" w:rsidP="00C63449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63E98">
        <w:rPr>
          <w:rFonts w:ascii="Times New Roman" w:hAnsi="Times New Roman" w:cs="Times New Roman"/>
          <w:sz w:val="24"/>
          <w:szCs w:val="24"/>
        </w:rPr>
        <w:t xml:space="preserve">I am writing to seek </w:t>
      </w:r>
      <w:r w:rsidR="00AB56B6" w:rsidRPr="00C63E98">
        <w:rPr>
          <w:rFonts w:ascii="Times New Roman" w:hAnsi="Times New Roman" w:cs="Times New Roman"/>
          <w:sz w:val="24"/>
          <w:szCs w:val="24"/>
        </w:rPr>
        <w:t>agreement</w:t>
      </w:r>
      <w:r w:rsidRPr="00C63E98">
        <w:rPr>
          <w:rFonts w:ascii="Times New Roman" w:hAnsi="Times New Roman" w:cs="Times New Roman"/>
          <w:sz w:val="24"/>
          <w:szCs w:val="24"/>
        </w:rPr>
        <w:t xml:space="preserve"> to certify the attached review </w:t>
      </w:r>
      <w:r w:rsidRPr="00C63E98">
        <w:rPr>
          <w:rFonts w:ascii="Times New Roman" w:hAnsi="Times New Roman" w:cs="Times New Roman"/>
          <w:color w:val="FF0000"/>
          <w:sz w:val="24"/>
          <w:szCs w:val="24"/>
        </w:rPr>
        <w:t>&lt;or other similar mechanism&gt;</w:t>
      </w:r>
      <w:r w:rsidRPr="00C63E98">
        <w:rPr>
          <w:rFonts w:ascii="Times New Roman" w:hAnsi="Times New Roman" w:cs="Times New Roman"/>
          <w:sz w:val="24"/>
          <w:szCs w:val="24"/>
        </w:rPr>
        <w:t xml:space="preserve"> of </w:t>
      </w:r>
      <w:r w:rsidRPr="00C63E98">
        <w:rPr>
          <w:rFonts w:ascii="Times New Roman" w:hAnsi="Times New Roman" w:cs="Times New Roman"/>
          <w:color w:val="FF0000"/>
          <w:sz w:val="24"/>
          <w:szCs w:val="24"/>
        </w:rPr>
        <w:t>&lt;proposal&gt;</w:t>
      </w:r>
      <w:r w:rsidRPr="00C63E98">
        <w:rPr>
          <w:rFonts w:ascii="Times New Roman" w:hAnsi="Times New Roman" w:cs="Times New Roman"/>
          <w:sz w:val="24"/>
          <w:szCs w:val="24"/>
        </w:rPr>
        <w:t xml:space="preserve"> has undertaken a process and analysis equivalent to an Impact Analysis (IA).</w:t>
      </w:r>
    </w:p>
    <w:p w14:paraId="3743482F" w14:textId="32E41598" w:rsidR="00C63449" w:rsidRPr="00C63E98" w:rsidRDefault="003A4BB1" w:rsidP="00C63449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63E98">
        <w:rPr>
          <w:rFonts w:ascii="Times New Roman" w:hAnsi="Times New Roman" w:cs="Times New Roman"/>
          <w:sz w:val="24"/>
          <w:szCs w:val="24"/>
        </w:rPr>
        <w:t xml:space="preserve">I consider </w:t>
      </w:r>
      <w:r w:rsidR="00C63E98" w:rsidRPr="00C63E98">
        <w:rPr>
          <w:rFonts w:ascii="Times New Roman" w:hAnsi="Times New Roman" w:cs="Times New Roman"/>
          <w:color w:val="FF0000"/>
          <w:sz w:val="24"/>
          <w:szCs w:val="24"/>
        </w:rPr>
        <w:t>&lt;</w:t>
      </w:r>
      <w:r w:rsidR="00C63449" w:rsidRPr="00C63E98">
        <w:rPr>
          <w:rFonts w:ascii="Times New Roman" w:hAnsi="Times New Roman" w:cs="Times New Roman"/>
          <w:color w:val="FF0000"/>
          <w:sz w:val="24"/>
          <w:szCs w:val="24"/>
        </w:rPr>
        <w:t>this document adequately addresses / the</w:t>
      </w:r>
      <w:r w:rsidR="00C63E98" w:rsidRPr="00C63E98">
        <w:rPr>
          <w:rFonts w:ascii="Times New Roman" w:hAnsi="Times New Roman" w:cs="Times New Roman"/>
          <w:color w:val="FF0000"/>
          <w:sz w:val="24"/>
          <w:szCs w:val="24"/>
        </w:rPr>
        <w:t>se documents adequately address&gt;</w:t>
      </w:r>
      <w:r w:rsidR="00C63449" w:rsidRPr="00C63E98">
        <w:rPr>
          <w:rFonts w:ascii="Times New Roman" w:hAnsi="Times New Roman" w:cs="Times New Roman"/>
          <w:sz w:val="24"/>
          <w:szCs w:val="24"/>
        </w:rPr>
        <w:t xml:space="preserve"> all seven IA</w:t>
      </w:r>
      <w:r w:rsidR="00A45DC1" w:rsidRPr="00C63E98">
        <w:rPr>
          <w:rFonts w:ascii="Times New Roman" w:hAnsi="Times New Roman" w:cs="Times New Roman"/>
          <w:sz w:val="24"/>
          <w:szCs w:val="24"/>
        </w:rPr>
        <w:t xml:space="preserve"> questions</w:t>
      </w:r>
      <w:r w:rsidR="00C63449" w:rsidRPr="00C63E98">
        <w:rPr>
          <w:rFonts w:ascii="Times New Roman" w:hAnsi="Times New Roman" w:cs="Times New Roman"/>
          <w:sz w:val="24"/>
          <w:szCs w:val="24"/>
        </w:rPr>
        <w:t>.</w:t>
      </w:r>
      <w:r w:rsidRPr="00C63E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34830" w14:textId="77777777" w:rsidR="003A4BB1" w:rsidRPr="00C63E98" w:rsidRDefault="003A4BB1" w:rsidP="00C63449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63E98">
        <w:rPr>
          <w:rFonts w:ascii="Times New Roman" w:hAnsi="Times New Roman" w:cs="Times New Roman"/>
          <w:sz w:val="24"/>
          <w:szCs w:val="24"/>
          <w:highlight w:val="yellow"/>
        </w:rPr>
        <w:t>OR</w:t>
      </w:r>
    </w:p>
    <w:p w14:paraId="37434831" w14:textId="4908C708" w:rsidR="003A4BB1" w:rsidRPr="00C63E98" w:rsidRDefault="00783F3E" w:rsidP="00C63449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63E98">
        <w:rPr>
          <w:rFonts w:ascii="Times New Roman" w:hAnsi="Times New Roman" w:cs="Times New Roman"/>
          <w:sz w:val="24"/>
          <w:szCs w:val="24"/>
        </w:rPr>
        <w:t xml:space="preserve">The </w:t>
      </w:r>
      <w:r w:rsidR="00C63E98" w:rsidRPr="00C63E98">
        <w:rPr>
          <w:rFonts w:ascii="Times New Roman" w:hAnsi="Times New Roman" w:cs="Times New Roman"/>
          <w:color w:val="FF0000"/>
          <w:sz w:val="24"/>
          <w:szCs w:val="24"/>
        </w:rPr>
        <w:t>&lt;</w:t>
      </w:r>
      <w:r w:rsidR="0043594D" w:rsidRPr="00C63E98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="003A4BB1" w:rsidRPr="00C63E98">
        <w:rPr>
          <w:rFonts w:ascii="Times New Roman" w:hAnsi="Times New Roman" w:cs="Times New Roman"/>
          <w:color w:val="FF0000"/>
          <w:sz w:val="24"/>
          <w:szCs w:val="24"/>
        </w:rPr>
        <w:t>epartment</w:t>
      </w:r>
      <w:r w:rsidR="00C63E98" w:rsidRPr="00C63E98">
        <w:rPr>
          <w:rFonts w:ascii="Times New Roman" w:hAnsi="Times New Roman" w:cs="Times New Roman"/>
          <w:color w:val="FF0000"/>
          <w:sz w:val="24"/>
          <w:szCs w:val="24"/>
        </w:rPr>
        <w:t>/agency&gt;</w:t>
      </w:r>
      <w:r w:rsidR="003A4BB1" w:rsidRPr="00C63E98">
        <w:rPr>
          <w:rFonts w:ascii="Times New Roman" w:hAnsi="Times New Roman" w:cs="Times New Roman"/>
          <w:sz w:val="24"/>
          <w:szCs w:val="24"/>
        </w:rPr>
        <w:t xml:space="preserve"> considers the review/report adequately addresses IA questions </w:t>
      </w:r>
      <w:r w:rsidR="003A4BB1" w:rsidRPr="00C63E98">
        <w:rPr>
          <w:rFonts w:ascii="Times New Roman" w:hAnsi="Times New Roman" w:cs="Times New Roman"/>
          <w:sz w:val="24"/>
          <w:szCs w:val="24"/>
          <w:highlight w:val="yellow"/>
        </w:rPr>
        <w:t>#, # and #</w:t>
      </w:r>
      <w:r w:rsidR="003A4BB1" w:rsidRPr="00C63E98">
        <w:rPr>
          <w:rFonts w:ascii="Times New Roman" w:hAnsi="Times New Roman" w:cs="Times New Roman"/>
          <w:sz w:val="24"/>
          <w:szCs w:val="24"/>
        </w:rPr>
        <w:t xml:space="preserve">. </w:t>
      </w:r>
      <w:r w:rsidRPr="00C63E98">
        <w:rPr>
          <w:rFonts w:ascii="Times New Roman" w:hAnsi="Times New Roman" w:cs="Times New Roman"/>
          <w:sz w:val="24"/>
          <w:szCs w:val="24"/>
        </w:rPr>
        <w:t xml:space="preserve">The </w:t>
      </w:r>
      <w:r w:rsidR="00C63E98" w:rsidRPr="00C63E98">
        <w:rPr>
          <w:rFonts w:ascii="Times New Roman" w:hAnsi="Times New Roman" w:cs="Times New Roman"/>
          <w:color w:val="FF0000"/>
          <w:sz w:val="24"/>
          <w:szCs w:val="24"/>
        </w:rPr>
        <w:t>&lt;Department/agency&gt;</w:t>
      </w:r>
      <w:r w:rsidR="003A4BB1" w:rsidRPr="00C63E98">
        <w:rPr>
          <w:rFonts w:ascii="Times New Roman" w:hAnsi="Times New Roman" w:cs="Times New Roman"/>
          <w:sz w:val="24"/>
          <w:szCs w:val="24"/>
        </w:rPr>
        <w:t xml:space="preserve"> will provide additional analysis to address </w:t>
      </w:r>
      <w:r w:rsidR="0043594D" w:rsidRPr="00C63E98">
        <w:rPr>
          <w:rFonts w:ascii="Times New Roman" w:hAnsi="Times New Roman" w:cs="Times New Roman"/>
          <w:sz w:val="24"/>
          <w:szCs w:val="24"/>
        </w:rPr>
        <w:t xml:space="preserve">IA </w:t>
      </w:r>
      <w:r w:rsidR="003A4BB1" w:rsidRPr="00C63E98">
        <w:rPr>
          <w:rFonts w:ascii="Times New Roman" w:hAnsi="Times New Roman" w:cs="Times New Roman"/>
          <w:sz w:val="24"/>
          <w:szCs w:val="24"/>
        </w:rPr>
        <w:t xml:space="preserve">questions </w:t>
      </w:r>
      <w:r w:rsidR="003A4BB1" w:rsidRPr="00C63E98">
        <w:rPr>
          <w:rFonts w:ascii="Times New Roman" w:hAnsi="Times New Roman" w:cs="Times New Roman"/>
          <w:sz w:val="24"/>
          <w:szCs w:val="24"/>
          <w:highlight w:val="yellow"/>
        </w:rPr>
        <w:t>#, # and #</w:t>
      </w:r>
      <w:r w:rsidR="00287ED3" w:rsidRPr="00C63E98">
        <w:rPr>
          <w:rFonts w:ascii="Times New Roman" w:hAnsi="Times New Roman" w:cs="Times New Roman"/>
          <w:sz w:val="24"/>
          <w:szCs w:val="24"/>
        </w:rPr>
        <w:t xml:space="preserve"> prior to a final decision or announcement</w:t>
      </w:r>
      <w:r w:rsidR="00C63E98">
        <w:rPr>
          <w:rFonts w:ascii="Times New Roman" w:hAnsi="Times New Roman" w:cs="Times New Roman"/>
          <w:sz w:val="24"/>
          <w:szCs w:val="24"/>
        </w:rPr>
        <w:t>.</w:t>
      </w:r>
    </w:p>
    <w:p w14:paraId="37434832" w14:textId="484DD557" w:rsidR="00C63449" w:rsidRPr="00C63E98" w:rsidRDefault="003A4BB1" w:rsidP="00C63449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63E98">
        <w:rPr>
          <w:rFonts w:ascii="Times New Roman" w:hAnsi="Times New Roman" w:cs="Times New Roman"/>
          <w:sz w:val="24"/>
          <w:szCs w:val="24"/>
        </w:rPr>
        <w:t xml:space="preserve">To assist </w:t>
      </w:r>
      <w:r w:rsidR="007E2B8C">
        <w:rPr>
          <w:rFonts w:ascii="Times New Roman" w:hAnsi="Times New Roman" w:cs="Times New Roman"/>
          <w:sz w:val="24"/>
          <w:szCs w:val="24"/>
        </w:rPr>
        <w:t>the Office of Impact Analysis</w:t>
      </w:r>
      <w:r w:rsidRPr="00C63E98">
        <w:rPr>
          <w:rFonts w:ascii="Times New Roman" w:hAnsi="Times New Roman" w:cs="Times New Roman"/>
          <w:sz w:val="24"/>
          <w:szCs w:val="24"/>
        </w:rPr>
        <w:t xml:space="preserve"> in assessing the relevance of the </w:t>
      </w:r>
      <w:r w:rsidR="00C63E98" w:rsidRPr="00C63E98">
        <w:rPr>
          <w:rFonts w:ascii="Times New Roman" w:hAnsi="Times New Roman" w:cs="Times New Roman"/>
          <w:color w:val="FF0000"/>
          <w:sz w:val="24"/>
          <w:szCs w:val="24"/>
        </w:rPr>
        <w:t>&lt;</w:t>
      </w:r>
      <w:r w:rsidRPr="00C63E98">
        <w:rPr>
          <w:rFonts w:ascii="Times New Roman" w:hAnsi="Times New Roman" w:cs="Times New Roman"/>
          <w:color w:val="FF0000"/>
          <w:sz w:val="24"/>
          <w:szCs w:val="24"/>
        </w:rPr>
        <w:t>review/report</w:t>
      </w:r>
      <w:r w:rsidR="00C63E98" w:rsidRPr="00C63E98"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Pr="00C63E98">
        <w:rPr>
          <w:rFonts w:ascii="Times New Roman" w:hAnsi="Times New Roman" w:cs="Times New Roman"/>
          <w:sz w:val="24"/>
          <w:szCs w:val="24"/>
        </w:rPr>
        <w:t xml:space="preserve">, the </w:t>
      </w:r>
      <w:r w:rsidR="00C63E98" w:rsidRPr="00C63E98">
        <w:rPr>
          <w:rFonts w:ascii="Times New Roman" w:hAnsi="Times New Roman" w:cs="Times New Roman"/>
          <w:color w:val="FF0000"/>
          <w:sz w:val="24"/>
          <w:szCs w:val="24"/>
        </w:rPr>
        <w:t>&lt;Department/agency&gt;</w:t>
      </w:r>
      <w:r w:rsidRPr="00C63E98">
        <w:rPr>
          <w:rFonts w:ascii="Times New Roman" w:hAnsi="Times New Roman" w:cs="Times New Roman"/>
          <w:sz w:val="24"/>
          <w:szCs w:val="24"/>
        </w:rPr>
        <w:t xml:space="preserve"> has </w:t>
      </w:r>
      <w:r w:rsidR="0043594D" w:rsidRPr="00C63E98">
        <w:rPr>
          <w:rFonts w:ascii="Times New Roman" w:hAnsi="Times New Roman" w:cs="Times New Roman"/>
          <w:sz w:val="24"/>
          <w:szCs w:val="24"/>
        </w:rPr>
        <w:t xml:space="preserve">summarised </w:t>
      </w:r>
      <w:r w:rsidRPr="00C63E98">
        <w:rPr>
          <w:rFonts w:ascii="Times New Roman" w:hAnsi="Times New Roman" w:cs="Times New Roman"/>
          <w:sz w:val="24"/>
          <w:szCs w:val="24"/>
        </w:rPr>
        <w:t>how the review/report has</w:t>
      </w:r>
      <w:r w:rsidR="008876AB" w:rsidRPr="00C63E98">
        <w:rPr>
          <w:rFonts w:ascii="Times New Roman" w:hAnsi="Times New Roman" w:cs="Times New Roman"/>
          <w:sz w:val="24"/>
          <w:szCs w:val="24"/>
        </w:rPr>
        <w:t xml:space="preserve"> addressed the IA questions in </w:t>
      </w:r>
      <w:r w:rsidR="008876AB" w:rsidRPr="00C63E98">
        <w:rPr>
          <w:rFonts w:ascii="Times New Roman" w:hAnsi="Times New Roman" w:cs="Times New Roman"/>
          <w:b/>
          <w:sz w:val="24"/>
          <w:szCs w:val="24"/>
        </w:rPr>
        <w:t>Attachment A</w:t>
      </w:r>
      <w:r w:rsidR="008876AB" w:rsidRPr="00C63E98">
        <w:rPr>
          <w:rFonts w:ascii="Times New Roman" w:hAnsi="Times New Roman" w:cs="Times New Roman"/>
          <w:sz w:val="24"/>
          <w:szCs w:val="24"/>
        </w:rPr>
        <w:t>.</w:t>
      </w:r>
    </w:p>
    <w:p w14:paraId="37434833" w14:textId="77777777" w:rsidR="00C63449" w:rsidRPr="00C63E98" w:rsidRDefault="00C63449" w:rsidP="008876AB">
      <w:pPr>
        <w:spacing w:before="360" w:after="1080"/>
        <w:rPr>
          <w:rFonts w:ascii="Times New Roman" w:hAnsi="Times New Roman" w:cs="Times New Roman"/>
          <w:sz w:val="24"/>
          <w:szCs w:val="24"/>
        </w:rPr>
      </w:pPr>
      <w:r w:rsidRPr="00C63E98">
        <w:rPr>
          <w:rFonts w:ascii="Times New Roman" w:hAnsi="Times New Roman" w:cs="Times New Roman"/>
          <w:sz w:val="24"/>
          <w:szCs w:val="24"/>
        </w:rPr>
        <w:t>Yours sincerely</w:t>
      </w:r>
    </w:p>
    <w:p w14:paraId="37434834" w14:textId="77777777" w:rsidR="00C63449" w:rsidRPr="00C63E98" w:rsidRDefault="00C63449" w:rsidP="008876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3E98">
        <w:rPr>
          <w:rFonts w:ascii="Times New Roman" w:hAnsi="Times New Roman" w:cs="Times New Roman"/>
          <w:sz w:val="24"/>
          <w:szCs w:val="24"/>
        </w:rPr>
        <w:t>[Name]</w:t>
      </w:r>
    </w:p>
    <w:p w14:paraId="37434835" w14:textId="77777777" w:rsidR="00C63449" w:rsidRPr="00C63E98" w:rsidRDefault="00C63449" w:rsidP="008876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3E98">
        <w:rPr>
          <w:rFonts w:ascii="Times New Roman" w:hAnsi="Times New Roman" w:cs="Times New Roman"/>
          <w:sz w:val="24"/>
          <w:szCs w:val="24"/>
        </w:rPr>
        <w:t>[Title]</w:t>
      </w:r>
      <w:r w:rsidR="00AB56B6" w:rsidRPr="00C63E98">
        <w:rPr>
          <w:rFonts w:ascii="Times New Roman" w:hAnsi="Times New Roman" w:cs="Times New Roman"/>
          <w:sz w:val="24"/>
          <w:szCs w:val="24"/>
        </w:rPr>
        <w:t xml:space="preserve"> </w:t>
      </w:r>
      <w:r w:rsidR="00AB56B6" w:rsidRPr="00C63E98">
        <w:rPr>
          <w:rFonts w:ascii="Times New Roman" w:hAnsi="Times New Roman" w:cs="Times New Roman"/>
          <w:sz w:val="24"/>
          <w:szCs w:val="24"/>
          <w:highlight w:val="yellow"/>
        </w:rPr>
        <w:t>{EL2 or SES Band 1 level is sufficient}</w:t>
      </w:r>
    </w:p>
    <w:p w14:paraId="37434836" w14:textId="77777777" w:rsidR="00C63449" w:rsidRPr="00C63E98" w:rsidRDefault="00C63449" w:rsidP="008876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3E98">
        <w:rPr>
          <w:rFonts w:ascii="Times New Roman" w:hAnsi="Times New Roman" w:cs="Times New Roman"/>
          <w:sz w:val="24"/>
          <w:szCs w:val="24"/>
        </w:rPr>
        <w:t>[Agency]</w:t>
      </w:r>
    </w:p>
    <w:p w14:paraId="37434837" w14:textId="77777777" w:rsidR="00BD171D" w:rsidRPr="00C63E98" w:rsidRDefault="00C63449" w:rsidP="008876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3E98">
        <w:rPr>
          <w:rFonts w:ascii="Times New Roman" w:hAnsi="Times New Roman" w:cs="Times New Roman"/>
          <w:sz w:val="24"/>
          <w:szCs w:val="24"/>
        </w:rPr>
        <w:t>[Date]</w:t>
      </w:r>
    </w:p>
    <w:p w14:paraId="37434838" w14:textId="77777777" w:rsidR="008876AB" w:rsidRPr="00C63E98" w:rsidRDefault="008876AB">
      <w:pPr>
        <w:spacing w:after="200" w:line="288" w:lineRule="auto"/>
        <w:rPr>
          <w:rFonts w:ascii="Times New Roman" w:hAnsi="Times New Roman" w:cs="Times New Roman"/>
          <w:sz w:val="24"/>
          <w:szCs w:val="24"/>
        </w:rPr>
      </w:pPr>
      <w:r w:rsidRPr="00C63E98">
        <w:rPr>
          <w:rFonts w:ascii="Times New Roman" w:hAnsi="Times New Roman" w:cs="Times New Roman"/>
          <w:sz w:val="24"/>
          <w:szCs w:val="24"/>
        </w:rPr>
        <w:br w:type="page"/>
      </w:r>
    </w:p>
    <w:p w14:paraId="37434839" w14:textId="77777777" w:rsidR="008876AB" w:rsidRPr="00C63E98" w:rsidRDefault="008876AB" w:rsidP="008876AB">
      <w:pPr>
        <w:pStyle w:val="Heading3"/>
        <w:jc w:val="right"/>
        <w:rPr>
          <w:rFonts w:ascii="Arial" w:hAnsi="Arial" w:cs="Arial"/>
          <w:b/>
        </w:rPr>
      </w:pPr>
      <w:r w:rsidRPr="00C63E98">
        <w:rPr>
          <w:rFonts w:ascii="Arial" w:hAnsi="Arial" w:cs="Arial"/>
          <w:b/>
        </w:rPr>
        <w:lastRenderedPageBreak/>
        <w:t>Attachment A</w:t>
      </w:r>
    </w:p>
    <w:p w14:paraId="3743483A" w14:textId="77777777" w:rsidR="008876AB" w:rsidRPr="00C63E98" w:rsidRDefault="008876AB" w:rsidP="00C63449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63E98">
        <w:rPr>
          <w:rFonts w:ascii="Times New Roman" w:hAnsi="Times New Roman" w:cs="Times New Roman"/>
          <w:sz w:val="24"/>
          <w:szCs w:val="24"/>
          <w:highlight w:val="yellow"/>
        </w:rPr>
        <w:t xml:space="preserve">Indicate (in a few paragraphs) how/where the inquiry report/s address each of the IA questions (some page or paragraph references would be particularly helpful) – this will assist OIA </w:t>
      </w:r>
      <w:r w:rsidR="000D320F" w:rsidRPr="00C63E98">
        <w:rPr>
          <w:rFonts w:ascii="Times New Roman" w:hAnsi="Times New Roman" w:cs="Times New Roman"/>
          <w:sz w:val="24"/>
          <w:szCs w:val="24"/>
          <w:highlight w:val="yellow"/>
        </w:rPr>
        <w:t>to more quickly determine</w:t>
      </w:r>
      <w:r w:rsidRPr="00C63E98">
        <w:rPr>
          <w:rFonts w:ascii="Times New Roman" w:hAnsi="Times New Roman" w:cs="Times New Roman"/>
          <w:sz w:val="24"/>
          <w:szCs w:val="24"/>
          <w:highlight w:val="yellow"/>
        </w:rPr>
        <w:t xml:space="preserve"> the threshold question of whether the report/s are sufficiently relevant, and can therefore be used as an IA equivalent.</w:t>
      </w:r>
    </w:p>
    <w:sectPr w:rsidR="008876AB" w:rsidRPr="00C63E98" w:rsidSect="00D832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843" w:left="1134" w:header="99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2E43D" w14:textId="77777777" w:rsidR="00C90F27" w:rsidRDefault="00C90F27" w:rsidP="00F957C6">
      <w:pPr>
        <w:spacing w:after="0" w:line="240" w:lineRule="auto"/>
      </w:pPr>
      <w:r>
        <w:separator/>
      </w:r>
    </w:p>
  </w:endnote>
  <w:endnote w:type="continuationSeparator" w:id="0">
    <w:p w14:paraId="16D1C382" w14:textId="77777777" w:rsidR="00C90F27" w:rsidRDefault="00C90F27" w:rsidP="00F9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roman"/>
    <w:pitch w:val="variable"/>
    <w:sig w:usb0="E40008FF" w:usb1="5201E0FB" w:usb2="04608000" w:usb3="00000000" w:csb0="000000B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1EDDF" w14:textId="77777777" w:rsidR="00543263" w:rsidRDefault="005432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298CE" w14:textId="77777777" w:rsidR="00543263" w:rsidRDefault="005432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65561" w14:textId="77777777" w:rsidR="00543263" w:rsidRDefault="00543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D7F02" w14:textId="77777777" w:rsidR="00C90F27" w:rsidRDefault="00C90F27" w:rsidP="00F957C6">
      <w:pPr>
        <w:spacing w:after="0" w:line="240" w:lineRule="auto"/>
      </w:pPr>
      <w:r>
        <w:separator/>
      </w:r>
    </w:p>
  </w:footnote>
  <w:footnote w:type="continuationSeparator" w:id="0">
    <w:p w14:paraId="10537B4B" w14:textId="77777777" w:rsidR="00C90F27" w:rsidRDefault="00C90F27" w:rsidP="00F9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34CD6" w14:textId="77777777" w:rsidR="00543263" w:rsidRDefault="005432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162C3" w14:textId="77777777" w:rsidR="00543263" w:rsidRDefault="005432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60557" w14:textId="77777777" w:rsidR="00543263" w:rsidRDefault="005432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04592A"/>
    <w:lvl w:ilvl="0">
      <w:start w:val="1"/>
      <w:numFmt w:val="decimal"/>
      <w:lvlText w:val="%1."/>
      <w:lvlJc w:val="left"/>
      <w:pPr>
        <w:tabs>
          <w:tab w:val="num" w:pos="2060"/>
        </w:tabs>
        <w:ind w:left="2060" w:hanging="360"/>
      </w:pPr>
    </w:lvl>
  </w:abstractNum>
  <w:abstractNum w:abstractNumId="1" w15:restartNumberingAfterBreak="0">
    <w:nsid w:val="FFFFFF7D"/>
    <w:multiLevelType w:val="singleLevel"/>
    <w:tmpl w:val="35487F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50D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D612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146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F01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FE08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981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620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428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75033"/>
    <w:multiLevelType w:val="hybridMultilevel"/>
    <w:tmpl w:val="C6DC8A2C"/>
    <w:lvl w:ilvl="0" w:tplc="458A1C2C">
      <w:start w:val="1"/>
      <w:numFmt w:val="bullet"/>
      <w:pStyle w:val="TBL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14CCD"/>
    <w:multiLevelType w:val="hybridMultilevel"/>
    <w:tmpl w:val="D0E0AE74"/>
    <w:lvl w:ilvl="0" w:tplc="42CAA44A">
      <w:start w:val="1"/>
      <w:numFmt w:val="bullet"/>
      <w:pStyle w:val="BOXBulletedLis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AFD06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F6F03"/>
    <w:multiLevelType w:val="hybridMultilevel"/>
    <w:tmpl w:val="4CF49542"/>
    <w:lvl w:ilvl="0" w:tplc="6C069990">
      <w:start w:val="1"/>
      <w:numFmt w:val="bullet"/>
      <w:pStyle w:val="BulletedList-Level3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3A3105B"/>
    <w:multiLevelType w:val="hybridMultilevel"/>
    <w:tmpl w:val="2F88CC68"/>
    <w:lvl w:ilvl="0" w:tplc="93300146">
      <w:start w:val="1"/>
      <w:numFmt w:val="decimal"/>
      <w:pStyle w:val="BoxDark-NumberedList"/>
      <w:lvlText w:val="%1."/>
      <w:lvlJc w:val="left"/>
      <w:pPr>
        <w:ind w:left="947" w:hanging="360"/>
      </w:pPr>
    </w:lvl>
    <w:lvl w:ilvl="1" w:tplc="0C090019" w:tentative="1">
      <w:start w:val="1"/>
      <w:numFmt w:val="lowerLetter"/>
      <w:lvlText w:val="%2."/>
      <w:lvlJc w:val="left"/>
      <w:pPr>
        <w:ind w:left="1667" w:hanging="360"/>
      </w:pPr>
    </w:lvl>
    <w:lvl w:ilvl="2" w:tplc="0C09001B" w:tentative="1">
      <w:start w:val="1"/>
      <w:numFmt w:val="lowerRoman"/>
      <w:lvlText w:val="%3."/>
      <w:lvlJc w:val="right"/>
      <w:pPr>
        <w:ind w:left="2387" w:hanging="180"/>
      </w:pPr>
    </w:lvl>
    <w:lvl w:ilvl="3" w:tplc="0C09000F" w:tentative="1">
      <w:start w:val="1"/>
      <w:numFmt w:val="decimal"/>
      <w:lvlText w:val="%4."/>
      <w:lvlJc w:val="left"/>
      <w:pPr>
        <w:ind w:left="3107" w:hanging="360"/>
      </w:pPr>
    </w:lvl>
    <w:lvl w:ilvl="4" w:tplc="0C090019" w:tentative="1">
      <w:start w:val="1"/>
      <w:numFmt w:val="lowerLetter"/>
      <w:lvlText w:val="%5."/>
      <w:lvlJc w:val="left"/>
      <w:pPr>
        <w:ind w:left="3827" w:hanging="360"/>
      </w:pPr>
    </w:lvl>
    <w:lvl w:ilvl="5" w:tplc="0C09001B" w:tentative="1">
      <w:start w:val="1"/>
      <w:numFmt w:val="lowerRoman"/>
      <w:lvlText w:val="%6."/>
      <w:lvlJc w:val="right"/>
      <w:pPr>
        <w:ind w:left="4547" w:hanging="180"/>
      </w:pPr>
    </w:lvl>
    <w:lvl w:ilvl="6" w:tplc="0C09000F" w:tentative="1">
      <w:start w:val="1"/>
      <w:numFmt w:val="decimal"/>
      <w:lvlText w:val="%7."/>
      <w:lvlJc w:val="left"/>
      <w:pPr>
        <w:ind w:left="5267" w:hanging="360"/>
      </w:pPr>
    </w:lvl>
    <w:lvl w:ilvl="7" w:tplc="0C090019" w:tentative="1">
      <w:start w:val="1"/>
      <w:numFmt w:val="lowerLetter"/>
      <w:lvlText w:val="%8."/>
      <w:lvlJc w:val="left"/>
      <w:pPr>
        <w:ind w:left="5987" w:hanging="360"/>
      </w:pPr>
    </w:lvl>
    <w:lvl w:ilvl="8" w:tplc="0C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19F33BBA"/>
    <w:multiLevelType w:val="hybridMultilevel"/>
    <w:tmpl w:val="0812E2DE"/>
    <w:lvl w:ilvl="0" w:tplc="E1AE5D66">
      <w:start w:val="1"/>
      <w:numFmt w:val="decimal"/>
      <w:pStyle w:val="Figure"/>
      <w:suff w:val="space"/>
      <w:lvlText w:val="Figure 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07AC4"/>
    <w:multiLevelType w:val="hybridMultilevel"/>
    <w:tmpl w:val="6FFA548C"/>
    <w:lvl w:ilvl="0" w:tplc="E7066796">
      <w:start w:val="1"/>
      <w:numFmt w:val="bullet"/>
      <w:pStyle w:val="BulletedList-Level2"/>
      <w:lvlText w:val="−"/>
      <w:lvlJc w:val="left"/>
      <w:pPr>
        <w:ind w:left="851" w:hanging="284"/>
      </w:pPr>
      <w:rPr>
        <w:rFonts w:ascii="Cardo" w:hAnsi="Card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7854A54"/>
    <w:multiLevelType w:val="hybridMultilevel"/>
    <w:tmpl w:val="253E2E62"/>
    <w:lvl w:ilvl="0" w:tplc="B2AA9F56">
      <w:start w:val="1"/>
      <w:numFmt w:val="bullet"/>
      <w:pStyle w:val="BulletedList-Level1"/>
      <w:lvlText w:val=""/>
      <w:lvlJc w:val="left"/>
      <w:pPr>
        <w:ind w:left="425" w:hanging="283"/>
      </w:pPr>
      <w:rPr>
        <w:rFonts w:ascii="Symbol" w:hAnsi="Symbol" w:hint="default"/>
      </w:rPr>
    </w:lvl>
    <w:lvl w:ilvl="1" w:tplc="4BB4D094">
      <w:start w:val="1"/>
      <w:numFmt w:val="bullet"/>
      <w:lvlText w:val="o"/>
      <w:lvlJc w:val="left"/>
      <w:pPr>
        <w:ind w:left="709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1EFC13BC">
      <w:start w:val="1"/>
      <w:numFmt w:val="bullet"/>
      <w:lvlText w:val=""/>
      <w:lvlJc w:val="left"/>
      <w:pPr>
        <w:ind w:left="992" w:hanging="283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0914C81"/>
    <w:multiLevelType w:val="hybridMultilevel"/>
    <w:tmpl w:val="4718D6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C7FF6"/>
    <w:multiLevelType w:val="hybridMultilevel"/>
    <w:tmpl w:val="4D4A750C"/>
    <w:lvl w:ilvl="0" w:tplc="D6643B58">
      <w:start w:val="1"/>
      <w:numFmt w:val="decimal"/>
      <w:pStyle w:val="BOXNumberedList"/>
      <w:lvlText w:val="%1."/>
      <w:lvlJc w:val="left"/>
      <w:pPr>
        <w:ind w:left="840" w:hanging="360"/>
      </w:p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4E781EDD"/>
    <w:multiLevelType w:val="hybridMultilevel"/>
    <w:tmpl w:val="6B225E28"/>
    <w:lvl w:ilvl="0" w:tplc="1B58674C">
      <w:start w:val="1"/>
      <w:numFmt w:val="bullet"/>
      <w:lvlText w:val="–"/>
      <w:lvlJc w:val="left"/>
      <w:pPr>
        <w:ind w:left="851" w:hanging="284"/>
      </w:pPr>
      <w:rPr>
        <w:rFonts w:ascii="Arial Black" w:hAnsi="Arial Black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ABF0286"/>
    <w:multiLevelType w:val="hybridMultilevel"/>
    <w:tmpl w:val="70C6C990"/>
    <w:lvl w:ilvl="0" w:tplc="56D0C19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51B32"/>
    <w:multiLevelType w:val="hybridMultilevel"/>
    <w:tmpl w:val="F2CE71E2"/>
    <w:lvl w:ilvl="0" w:tplc="5E348A7E">
      <w:start w:val="1"/>
      <w:numFmt w:val="decimal"/>
      <w:pStyle w:val="TBL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170D5"/>
    <w:multiLevelType w:val="hybridMultilevel"/>
    <w:tmpl w:val="38E03EE6"/>
    <w:lvl w:ilvl="0" w:tplc="9C7CCF60">
      <w:start w:val="1"/>
      <w:numFmt w:val="decimal"/>
      <w:pStyle w:val="NumberedList-Level1"/>
      <w:lvlText w:val="%1."/>
      <w:lvlJc w:val="left"/>
      <w:pPr>
        <w:ind w:left="567" w:hanging="283"/>
      </w:pPr>
      <w:rPr>
        <w:rFonts w:hint="default"/>
      </w:rPr>
    </w:lvl>
    <w:lvl w:ilvl="1" w:tplc="1FAA0FEC">
      <w:start w:val="1"/>
      <w:numFmt w:val="lowerLetter"/>
      <w:pStyle w:val="NumberedList-level2"/>
      <w:lvlText w:val="%2."/>
      <w:lvlJc w:val="left"/>
      <w:pPr>
        <w:ind w:left="851" w:hanging="284"/>
      </w:pPr>
      <w:rPr>
        <w:rFonts w:hint="default"/>
      </w:rPr>
    </w:lvl>
    <w:lvl w:ilvl="2" w:tplc="65FAA32A">
      <w:start w:val="1"/>
      <w:numFmt w:val="lowerRoman"/>
      <w:pStyle w:val="NumberedList-Level3"/>
      <w:lvlText w:val="%3."/>
      <w:lvlJc w:val="right"/>
      <w:pPr>
        <w:ind w:left="1134" w:hanging="17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21"/>
  </w:num>
  <w:num w:numId="14">
    <w:abstractNumId w:val="16"/>
  </w:num>
  <w:num w:numId="15">
    <w:abstractNumId w:val="16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9"/>
  </w:num>
  <w:num w:numId="20">
    <w:abstractNumId w:val="19"/>
    <w:lvlOverride w:ilvl="0">
      <w:startOverride w:val="1"/>
    </w:lvlOverride>
  </w:num>
  <w:num w:numId="21">
    <w:abstractNumId w:val="22"/>
  </w:num>
  <w:num w:numId="22">
    <w:abstractNumId w:val="20"/>
  </w:num>
  <w:num w:numId="23">
    <w:abstractNumId w:val="11"/>
    <w:lvlOverride w:ilvl="0">
      <w:startOverride w:val="1"/>
    </w:lvlOverride>
  </w:num>
  <w:num w:numId="24">
    <w:abstractNumId w:val="22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20"/>
    <w:lvlOverride w:ilvl="0">
      <w:startOverride w:val="1"/>
    </w:lvlOverride>
  </w:num>
  <w:num w:numId="27">
    <w:abstractNumId w:val="14"/>
  </w:num>
  <w:num w:numId="28">
    <w:abstractNumId w:val="18"/>
  </w:num>
  <w:num w:numId="29">
    <w:abstractNumId w:val="13"/>
  </w:num>
  <w:num w:numId="30">
    <w:abstractNumId w:val="15"/>
  </w:num>
  <w:num w:numId="31">
    <w:abstractNumId w:val="12"/>
  </w:num>
  <w:num w:numId="32">
    <w:abstractNumId w:val="22"/>
    <w:lvlOverride w:ilvl="0">
      <w:startOverride w:val="1"/>
    </w:lvlOverride>
  </w:num>
  <w:num w:numId="33">
    <w:abstractNumId w:val="22"/>
    <w:lvlOverride w:ilvl="0">
      <w:startOverride w:val="1"/>
    </w:lvlOverride>
  </w:num>
  <w:num w:numId="34">
    <w:abstractNumId w:val="22"/>
    <w:lvlOverride w:ilvl="0">
      <w:startOverride w:val="1"/>
    </w:lvlOverride>
  </w:num>
  <w:num w:numId="35">
    <w:abstractNumId w:val="21"/>
    <w:lvlOverride w:ilvl="0">
      <w:startOverride w:val="1"/>
    </w:lvlOverride>
  </w:num>
  <w:num w:numId="36">
    <w:abstractNumId w:val="21"/>
    <w:lvlOverride w:ilvl="0">
      <w:startOverride w:val="1"/>
    </w:lvlOverride>
  </w:num>
  <w:num w:numId="37">
    <w:abstractNumId w:val="21"/>
    <w:lvlOverride w:ilvl="0">
      <w:startOverride w:val="1"/>
    </w:lvlOverride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removePersonalInformation/>
  <w:removeDateAndTime/>
  <w:activeWritingStyle w:appName="MSWord" w:lang="en-AU" w:vendorID="64" w:dllVersion="131078" w:nlCheck="1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23"/>
    <w:rsid w:val="00027038"/>
    <w:rsid w:val="0003154E"/>
    <w:rsid w:val="00037513"/>
    <w:rsid w:val="00050E86"/>
    <w:rsid w:val="0006627F"/>
    <w:rsid w:val="000B3417"/>
    <w:rsid w:val="000B6A28"/>
    <w:rsid w:val="000B71D3"/>
    <w:rsid w:val="000D320F"/>
    <w:rsid w:val="000D749D"/>
    <w:rsid w:val="000F5F7A"/>
    <w:rsid w:val="00115264"/>
    <w:rsid w:val="00116555"/>
    <w:rsid w:val="00117A77"/>
    <w:rsid w:val="001611BF"/>
    <w:rsid w:val="0016139C"/>
    <w:rsid w:val="001634C7"/>
    <w:rsid w:val="0017436A"/>
    <w:rsid w:val="001954B4"/>
    <w:rsid w:val="001B2D56"/>
    <w:rsid w:val="00212443"/>
    <w:rsid w:val="00220DDA"/>
    <w:rsid w:val="00225730"/>
    <w:rsid w:val="00227DB5"/>
    <w:rsid w:val="00255D9F"/>
    <w:rsid w:val="002642B7"/>
    <w:rsid w:val="00266CCC"/>
    <w:rsid w:val="00274D42"/>
    <w:rsid w:val="00285CAF"/>
    <w:rsid w:val="00287ED3"/>
    <w:rsid w:val="00292BFC"/>
    <w:rsid w:val="002B661A"/>
    <w:rsid w:val="002C7A05"/>
    <w:rsid w:val="002D6B3D"/>
    <w:rsid w:val="002E5916"/>
    <w:rsid w:val="00303C55"/>
    <w:rsid w:val="00311C2D"/>
    <w:rsid w:val="003159CB"/>
    <w:rsid w:val="00317030"/>
    <w:rsid w:val="00333C8F"/>
    <w:rsid w:val="00353E5E"/>
    <w:rsid w:val="00361020"/>
    <w:rsid w:val="00370B8B"/>
    <w:rsid w:val="00374D2A"/>
    <w:rsid w:val="00376FE6"/>
    <w:rsid w:val="003775DC"/>
    <w:rsid w:val="00385BD5"/>
    <w:rsid w:val="003A4BB1"/>
    <w:rsid w:val="003C181D"/>
    <w:rsid w:val="003C5A22"/>
    <w:rsid w:val="003D676D"/>
    <w:rsid w:val="003F23E9"/>
    <w:rsid w:val="0043594D"/>
    <w:rsid w:val="00443F97"/>
    <w:rsid w:val="00446B02"/>
    <w:rsid w:val="00464D89"/>
    <w:rsid w:val="00485F8E"/>
    <w:rsid w:val="00490B90"/>
    <w:rsid w:val="004B2C90"/>
    <w:rsid w:val="004C17DE"/>
    <w:rsid w:val="004C3F06"/>
    <w:rsid w:val="004E5759"/>
    <w:rsid w:val="004F4C4F"/>
    <w:rsid w:val="00501E18"/>
    <w:rsid w:val="005226B9"/>
    <w:rsid w:val="00534803"/>
    <w:rsid w:val="00543263"/>
    <w:rsid w:val="005575FF"/>
    <w:rsid w:val="00561FB9"/>
    <w:rsid w:val="00570152"/>
    <w:rsid w:val="0058379F"/>
    <w:rsid w:val="00591288"/>
    <w:rsid w:val="005917FD"/>
    <w:rsid w:val="005A4AA1"/>
    <w:rsid w:val="005B3358"/>
    <w:rsid w:val="005C0F15"/>
    <w:rsid w:val="005C3C13"/>
    <w:rsid w:val="005D4706"/>
    <w:rsid w:val="0060011C"/>
    <w:rsid w:val="006147EB"/>
    <w:rsid w:val="006200EB"/>
    <w:rsid w:val="00621EA3"/>
    <w:rsid w:val="00630F75"/>
    <w:rsid w:val="00640234"/>
    <w:rsid w:val="0064184C"/>
    <w:rsid w:val="0064343A"/>
    <w:rsid w:val="00665FB6"/>
    <w:rsid w:val="006A008F"/>
    <w:rsid w:val="006A5AA6"/>
    <w:rsid w:val="006E170D"/>
    <w:rsid w:val="006E698B"/>
    <w:rsid w:val="0070782B"/>
    <w:rsid w:val="0071548B"/>
    <w:rsid w:val="007203E4"/>
    <w:rsid w:val="007204A9"/>
    <w:rsid w:val="00756929"/>
    <w:rsid w:val="00767DBB"/>
    <w:rsid w:val="00774646"/>
    <w:rsid w:val="00781695"/>
    <w:rsid w:val="00783F3E"/>
    <w:rsid w:val="007A02A7"/>
    <w:rsid w:val="007C0935"/>
    <w:rsid w:val="007E2B8C"/>
    <w:rsid w:val="007F4E93"/>
    <w:rsid w:val="007F575F"/>
    <w:rsid w:val="008046D4"/>
    <w:rsid w:val="00815583"/>
    <w:rsid w:val="00826C51"/>
    <w:rsid w:val="00833792"/>
    <w:rsid w:val="00837256"/>
    <w:rsid w:val="00852F35"/>
    <w:rsid w:val="00857363"/>
    <w:rsid w:val="00880485"/>
    <w:rsid w:val="00883248"/>
    <w:rsid w:val="008876AB"/>
    <w:rsid w:val="008A0614"/>
    <w:rsid w:val="008B44F5"/>
    <w:rsid w:val="008C30B9"/>
    <w:rsid w:val="008C47A1"/>
    <w:rsid w:val="008C738F"/>
    <w:rsid w:val="008D6B9E"/>
    <w:rsid w:val="008E1024"/>
    <w:rsid w:val="00912C03"/>
    <w:rsid w:val="00913ED0"/>
    <w:rsid w:val="00925FD0"/>
    <w:rsid w:val="00927650"/>
    <w:rsid w:val="00942CB6"/>
    <w:rsid w:val="00942CE9"/>
    <w:rsid w:val="00954FF2"/>
    <w:rsid w:val="009615D2"/>
    <w:rsid w:val="00962EE8"/>
    <w:rsid w:val="00976EE9"/>
    <w:rsid w:val="00984376"/>
    <w:rsid w:val="00986114"/>
    <w:rsid w:val="009869BC"/>
    <w:rsid w:val="00996B61"/>
    <w:rsid w:val="009A6D9C"/>
    <w:rsid w:val="009C60F6"/>
    <w:rsid w:val="009D2DBC"/>
    <w:rsid w:val="009F0889"/>
    <w:rsid w:val="009F53B7"/>
    <w:rsid w:val="009F6A0F"/>
    <w:rsid w:val="00A008E6"/>
    <w:rsid w:val="00A12C83"/>
    <w:rsid w:val="00A138D5"/>
    <w:rsid w:val="00A45DC1"/>
    <w:rsid w:val="00A62EF3"/>
    <w:rsid w:val="00A77F7A"/>
    <w:rsid w:val="00A918A7"/>
    <w:rsid w:val="00AA12EC"/>
    <w:rsid w:val="00AA705F"/>
    <w:rsid w:val="00AB0931"/>
    <w:rsid w:val="00AB4923"/>
    <w:rsid w:val="00AB56B6"/>
    <w:rsid w:val="00AC2CDC"/>
    <w:rsid w:val="00AC76B7"/>
    <w:rsid w:val="00AD7805"/>
    <w:rsid w:val="00B56736"/>
    <w:rsid w:val="00B6596F"/>
    <w:rsid w:val="00BB1526"/>
    <w:rsid w:val="00BD171D"/>
    <w:rsid w:val="00BD57F5"/>
    <w:rsid w:val="00BE48A4"/>
    <w:rsid w:val="00BE56F0"/>
    <w:rsid w:val="00C12D35"/>
    <w:rsid w:val="00C43253"/>
    <w:rsid w:val="00C47620"/>
    <w:rsid w:val="00C61D53"/>
    <w:rsid w:val="00C63449"/>
    <w:rsid w:val="00C63E98"/>
    <w:rsid w:val="00C70947"/>
    <w:rsid w:val="00C823E5"/>
    <w:rsid w:val="00C90F27"/>
    <w:rsid w:val="00CC6110"/>
    <w:rsid w:val="00CD2896"/>
    <w:rsid w:val="00D03799"/>
    <w:rsid w:val="00D04E61"/>
    <w:rsid w:val="00D10635"/>
    <w:rsid w:val="00D500C1"/>
    <w:rsid w:val="00D525B8"/>
    <w:rsid w:val="00D55354"/>
    <w:rsid w:val="00D83264"/>
    <w:rsid w:val="00DA18A2"/>
    <w:rsid w:val="00DF2F8D"/>
    <w:rsid w:val="00DF3FBA"/>
    <w:rsid w:val="00E023DA"/>
    <w:rsid w:val="00E05FA4"/>
    <w:rsid w:val="00E224F4"/>
    <w:rsid w:val="00E2753F"/>
    <w:rsid w:val="00E84F06"/>
    <w:rsid w:val="00E92551"/>
    <w:rsid w:val="00E92AD8"/>
    <w:rsid w:val="00E9516C"/>
    <w:rsid w:val="00EA558C"/>
    <w:rsid w:val="00ED0697"/>
    <w:rsid w:val="00ED0C9E"/>
    <w:rsid w:val="00EE5E8A"/>
    <w:rsid w:val="00F03073"/>
    <w:rsid w:val="00F05263"/>
    <w:rsid w:val="00F4464D"/>
    <w:rsid w:val="00F61776"/>
    <w:rsid w:val="00F630E3"/>
    <w:rsid w:val="00F66078"/>
    <w:rsid w:val="00F8025E"/>
    <w:rsid w:val="00F86700"/>
    <w:rsid w:val="00F87586"/>
    <w:rsid w:val="00F957C6"/>
    <w:rsid w:val="00FD20A5"/>
    <w:rsid w:val="00FD2C22"/>
    <w:rsid w:val="00FE2C7F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434826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6" w:qFormat="1"/>
    <w:lsdException w:name="Intense Quote" w:uiPriority="1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D89"/>
    <w:pPr>
      <w:spacing w:after="160" w:line="264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292BFC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olor w:val="1C2B39" w:themeColor="accent1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2"/>
    <w:qFormat/>
    <w:rsid w:val="006147EB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color w:val="1C2B39" w:themeColor="accent1"/>
      <w:sz w:val="36"/>
      <w:szCs w:val="28"/>
    </w:rPr>
  </w:style>
  <w:style w:type="paragraph" w:styleId="Heading3">
    <w:name w:val="heading 3"/>
    <w:basedOn w:val="Heading4"/>
    <w:next w:val="Normal"/>
    <w:link w:val="Heading3Char"/>
    <w:uiPriority w:val="2"/>
    <w:qFormat/>
    <w:rsid w:val="006147EB"/>
    <w:pPr>
      <w:outlineLvl w:val="2"/>
    </w:pPr>
    <w:rPr>
      <w:color w:val="1C2B39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qFormat/>
    <w:rsid w:val="00F8025E"/>
    <w:pPr>
      <w:keepNext/>
      <w:keepLines/>
      <w:spacing w:before="240"/>
      <w:outlineLvl w:val="3"/>
    </w:pPr>
    <w:rPr>
      <w:rFonts w:asciiTheme="majorHAnsi" w:eastAsiaTheme="majorEastAsia" w:hAnsiTheme="majorHAnsi" w:cstheme="minorHAnsi"/>
      <w:color w:val="004261" w:themeColor="text2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F8025E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Cs/>
      <w:color w:val="8D2625" w:themeColor="accent6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2"/>
    <w:unhideWhenUsed/>
    <w:rsid w:val="00F8025E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color w:val="A65815" w:themeColor="accent4" w:themeShade="BF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292BFC"/>
    <w:pPr>
      <w:keepNext/>
      <w:keepLines/>
      <w:spacing w:before="240"/>
      <w:outlineLvl w:val="6"/>
    </w:pPr>
    <w:rPr>
      <w:rFonts w:asciiTheme="majorHAnsi" w:eastAsiaTheme="majorEastAsia" w:hAnsiTheme="majorHAnsi" w:cstheme="majorBidi"/>
      <w:b/>
      <w:bCs/>
      <w:color w:val="004261" w:themeColor="text2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292BFC"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bCs/>
      <w:i/>
      <w:iCs/>
      <w:color w:val="004261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2"/>
    <w:unhideWhenUsed/>
    <w:rsid w:val="00292BFC"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/>
      <w:iCs/>
      <w:color w:val="004261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92BFC"/>
    <w:rPr>
      <w:rFonts w:asciiTheme="majorHAnsi" w:eastAsiaTheme="majorEastAsia" w:hAnsiTheme="majorHAnsi" w:cstheme="majorBidi"/>
      <w:color w:val="1C2B39" w:themeColor="accent1"/>
      <w:sz w:val="48"/>
      <w:szCs w:val="40"/>
    </w:rPr>
  </w:style>
  <w:style w:type="paragraph" w:styleId="Title">
    <w:name w:val="Title"/>
    <w:basedOn w:val="Normal"/>
    <w:next w:val="Normal"/>
    <w:link w:val="TitleChar"/>
    <w:uiPriority w:val="18"/>
    <w:rsid w:val="005226B9"/>
    <w:pPr>
      <w:spacing w:after="240" w:line="240" w:lineRule="auto"/>
      <w:contextualSpacing/>
    </w:pPr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TitleChar">
    <w:name w:val="Title Char"/>
    <w:basedOn w:val="DefaultParagraphFont"/>
    <w:link w:val="Title"/>
    <w:uiPriority w:val="18"/>
    <w:rsid w:val="00E2753F"/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Heading2Char">
    <w:name w:val="Heading 2 Char"/>
    <w:basedOn w:val="DefaultParagraphFont"/>
    <w:link w:val="Heading2"/>
    <w:uiPriority w:val="2"/>
    <w:rsid w:val="006147EB"/>
    <w:rPr>
      <w:rFonts w:asciiTheme="majorHAnsi" w:eastAsiaTheme="majorEastAsia" w:hAnsiTheme="majorHAnsi" w:cstheme="majorBidi"/>
      <w:color w:val="1C2B39" w:themeColor="accent1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2"/>
    <w:rsid w:val="006147EB"/>
    <w:rPr>
      <w:rFonts w:eastAsiaTheme="majorEastAsia" w:cstheme="minorHAnsi"/>
      <w:b/>
      <w:color w:val="1C2B39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F8025E"/>
    <w:rPr>
      <w:rFonts w:asciiTheme="majorHAnsi" w:eastAsiaTheme="majorEastAsia" w:hAnsiTheme="majorHAnsi" w:cstheme="minorHAnsi"/>
      <w:color w:val="004261" w:themeColor="text2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2"/>
    <w:rsid w:val="00F8025E"/>
    <w:rPr>
      <w:rFonts w:asciiTheme="majorHAnsi" w:eastAsiaTheme="majorEastAsia" w:hAnsiTheme="majorHAnsi" w:cstheme="majorBidi"/>
      <w:iCs/>
      <w:color w:val="8D2625" w:themeColor="accent6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F8025E"/>
    <w:rPr>
      <w:rFonts w:asciiTheme="majorHAnsi" w:eastAsiaTheme="majorEastAsia" w:hAnsiTheme="majorHAnsi" w:cstheme="majorBidi"/>
      <w:color w:val="A65815" w:themeColor="accent4" w:themeShade="BF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rsid w:val="00292BFC"/>
    <w:rPr>
      <w:rFonts w:asciiTheme="majorHAnsi" w:eastAsiaTheme="majorEastAsia" w:hAnsiTheme="majorHAnsi" w:cstheme="majorBidi"/>
      <w:b/>
      <w:bCs/>
      <w:color w:val="004261" w:themeColor="text2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rsid w:val="00292BFC"/>
    <w:rPr>
      <w:rFonts w:asciiTheme="majorHAnsi" w:eastAsiaTheme="majorEastAsia" w:hAnsiTheme="majorHAnsi" w:cstheme="majorBidi"/>
      <w:b/>
      <w:bCs/>
      <w:i/>
      <w:iCs/>
      <w:color w:val="004261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292BFC"/>
    <w:rPr>
      <w:rFonts w:asciiTheme="majorHAnsi" w:eastAsiaTheme="majorEastAsia" w:hAnsiTheme="majorHAnsi" w:cstheme="majorBidi"/>
      <w:i/>
      <w:iCs/>
      <w:color w:val="004261" w:themeColor="text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9"/>
    <w:rsid w:val="00F957C6"/>
    <w:pPr>
      <w:numPr>
        <w:ilvl w:val="1"/>
      </w:numPr>
      <w:spacing w:line="240" w:lineRule="auto"/>
    </w:pPr>
    <w:rPr>
      <w:rFonts w:eastAsiaTheme="majorEastAsia" w:cstheme="minorHAnsi"/>
      <w:noProof/>
      <w:sz w:val="28"/>
      <w:szCs w:val="30"/>
    </w:rPr>
  </w:style>
  <w:style w:type="character" w:customStyle="1" w:styleId="SubtitleChar">
    <w:name w:val="Subtitle Char"/>
    <w:basedOn w:val="DefaultParagraphFont"/>
    <w:link w:val="Subtitle"/>
    <w:uiPriority w:val="19"/>
    <w:rsid w:val="00E2753F"/>
    <w:rPr>
      <w:rFonts w:eastAsiaTheme="majorEastAsia" w:cstheme="minorHAnsi"/>
      <w:noProof/>
      <w:sz w:val="28"/>
      <w:szCs w:val="30"/>
    </w:rPr>
  </w:style>
  <w:style w:type="paragraph" w:styleId="NoSpacing">
    <w:name w:val="No Spacing"/>
    <w:uiPriority w:val="98"/>
    <w:unhideWhenUsed/>
    <w:qFormat/>
    <w:rsid w:val="00D525B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525B8"/>
    <w:pPr>
      <w:spacing w:line="240" w:lineRule="auto"/>
    </w:pPr>
    <w:rPr>
      <w:b/>
      <w:bCs/>
      <w:smallCaps/>
      <w:color w:val="4D759C" w:themeColor="text1" w:themeTint="A6"/>
    </w:rPr>
  </w:style>
  <w:style w:type="character" w:styleId="Strong">
    <w:name w:val="Strong"/>
    <w:basedOn w:val="DefaultParagraphFont"/>
    <w:uiPriority w:val="22"/>
    <w:unhideWhenUsed/>
    <w:rsid w:val="00D525B8"/>
    <w:rPr>
      <w:b/>
      <w:bCs/>
    </w:rPr>
  </w:style>
  <w:style w:type="character" w:styleId="Emphasis">
    <w:name w:val="Emphasis"/>
    <w:basedOn w:val="DefaultParagraphFont"/>
    <w:uiPriority w:val="20"/>
    <w:unhideWhenUsed/>
    <w:qFormat/>
    <w:rsid w:val="005C0F15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16"/>
    <w:qFormat/>
    <w:rsid w:val="00292BFC"/>
    <w:pPr>
      <w:spacing w:before="240"/>
      <w:ind w:left="720" w:right="720"/>
    </w:pPr>
    <w:rPr>
      <w:i/>
      <w:iCs/>
      <w:color w:val="004261" w:themeColor="text2"/>
    </w:rPr>
  </w:style>
  <w:style w:type="character" w:customStyle="1" w:styleId="QuoteChar">
    <w:name w:val="Quote Char"/>
    <w:basedOn w:val="DefaultParagraphFont"/>
    <w:link w:val="Quote"/>
    <w:uiPriority w:val="16"/>
    <w:rsid w:val="00292BFC"/>
    <w:rPr>
      <w:i/>
      <w:iCs/>
      <w:color w:val="004261" w:themeColor="text2"/>
      <w:sz w:val="22"/>
    </w:rPr>
  </w:style>
  <w:style w:type="paragraph" w:styleId="IntenseQuote">
    <w:name w:val="Intense Quote"/>
    <w:basedOn w:val="Normal"/>
    <w:next w:val="Normal"/>
    <w:link w:val="IntenseQuoteChar"/>
    <w:uiPriority w:val="17"/>
    <w:qFormat/>
    <w:rsid w:val="00292BFC"/>
    <w:pPr>
      <w:spacing w:before="120"/>
      <w:ind w:left="720" w:right="720"/>
    </w:pPr>
    <w:rPr>
      <w:rFonts w:asciiTheme="majorHAnsi" w:eastAsiaTheme="majorEastAsia" w:hAnsiTheme="majorHAnsi" w:cstheme="majorBidi"/>
      <w:i/>
      <w:iCs/>
      <w:color w:val="004261" w:themeColor="text2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17"/>
    <w:rsid w:val="00292BFC"/>
    <w:rPr>
      <w:rFonts w:asciiTheme="majorHAnsi" w:eastAsiaTheme="majorEastAsia" w:hAnsiTheme="majorHAnsi" w:cstheme="majorBidi"/>
      <w:i/>
      <w:iCs/>
      <w:color w:val="004261" w:themeColor="text2"/>
      <w:sz w:val="32"/>
      <w:szCs w:val="32"/>
    </w:rPr>
  </w:style>
  <w:style w:type="character" w:styleId="SubtleEmphasis">
    <w:name w:val="Subtle Emphasis"/>
    <w:basedOn w:val="DefaultParagraphFont"/>
    <w:uiPriority w:val="19"/>
    <w:unhideWhenUsed/>
    <w:rsid w:val="00D525B8"/>
    <w:rPr>
      <w:i/>
      <w:iCs/>
    </w:rPr>
  </w:style>
  <w:style w:type="character" w:styleId="IntenseEmphasis">
    <w:name w:val="Intense Emphasis"/>
    <w:basedOn w:val="DefaultParagraphFont"/>
    <w:uiPriority w:val="21"/>
    <w:unhideWhenUsed/>
    <w:rsid w:val="00D525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unhideWhenUsed/>
    <w:rsid w:val="00F05263"/>
    <w:rPr>
      <w:rFonts w:asciiTheme="minorHAnsi" w:hAnsiTheme="minorHAnsi"/>
      <w:caps w:val="0"/>
      <w:smallCaps w:val="0"/>
      <w:color w:val="004261" w:themeColor="text2"/>
    </w:rPr>
  </w:style>
  <w:style w:type="character" w:styleId="IntenseReference">
    <w:name w:val="Intense Reference"/>
    <w:basedOn w:val="DefaultParagraphFont"/>
    <w:uiPriority w:val="32"/>
    <w:unhideWhenUsed/>
    <w:rsid w:val="00F05263"/>
    <w:rPr>
      <w:rFonts w:asciiTheme="majorHAnsi" w:hAnsiTheme="majorHAnsi"/>
      <w:b/>
      <w:bCs/>
      <w:caps w:val="0"/>
      <w:smallCaps w:val="0"/>
      <w:color w:val="004261" w:themeColor="text2"/>
    </w:rPr>
  </w:style>
  <w:style w:type="paragraph" w:styleId="TOCHeading">
    <w:name w:val="TOC Heading"/>
    <w:basedOn w:val="Heading1"/>
    <w:next w:val="Normal"/>
    <w:uiPriority w:val="39"/>
    <w:unhideWhenUsed/>
    <w:rsid w:val="00D525B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7C6"/>
  </w:style>
  <w:style w:type="paragraph" w:styleId="Footer">
    <w:name w:val="footer"/>
    <w:basedOn w:val="Normal"/>
    <w:link w:val="Foot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C6"/>
  </w:style>
  <w:style w:type="character" w:styleId="PlaceholderText">
    <w:name w:val="Placeholder Text"/>
    <w:basedOn w:val="DefaultParagraphFont"/>
    <w:uiPriority w:val="99"/>
    <w:semiHidden/>
    <w:rsid w:val="005226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B9"/>
    <w:rPr>
      <w:rFonts w:ascii="Segoe UI" w:hAnsi="Segoe UI" w:cs="Segoe UI"/>
      <w:sz w:val="18"/>
      <w:szCs w:val="18"/>
    </w:rPr>
  </w:style>
  <w:style w:type="paragraph" w:customStyle="1" w:styleId="CLASSIFICATION">
    <w:name w:val="CLASSIFICATION"/>
    <w:basedOn w:val="Normal"/>
    <w:link w:val="CLASSIFICATIONChar"/>
    <w:autoRedefine/>
    <w:uiPriority w:val="99"/>
    <w:unhideWhenUsed/>
    <w:rsid w:val="00292BFC"/>
    <w:pPr>
      <w:jc w:val="center"/>
    </w:pPr>
    <w:rPr>
      <w:rFonts w:ascii="Segoe UI" w:hAnsi="Segoe UI"/>
      <w:caps/>
      <w:color w:val="BD3432" w:themeColor="accent6"/>
      <w:sz w:val="18"/>
    </w:rPr>
  </w:style>
  <w:style w:type="paragraph" w:customStyle="1" w:styleId="BOXHeading2">
    <w:name w:val="BOX Heading 2"/>
    <w:basedOn w:val="Heading2"/>
    <w:next w:val="BOXText"/>
    <w:uiPriority w:val="6"/>
    <w:qFormat/>
    <w:rsid w:val="00857363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ind w:left="227" w:right="227"/>
    </w:pPr>
  </w:style>
  <w:style w:type="character" w:customStyle="1" w:styleId="CLASSIFICATIONChar">
    <w:name w:val="CLASSIFICATION Char"/>
    <w:basedOn w:val="DefaultParagraphFont"/>
    <w:link w:val="CLASSIFICATION"/>
    <w:uiPriority w:val="99"/>
    <w:rsid w:val="00292BFC"/>
    <w:rPr>
      <w:rFonts w:ascii="Segoe UI" w:hAnsi="Segoe UI"/>
      <w:caps/>
      <w:color w:val="BD3432" w:themeColor="accent6"/>
      <w:sz w:val="18"/>
    </w:rPr>
  </w:style>
  <w:style w:type="paragraph" w:customStyle="1" w:styleId="BOXText">
    <w:name w:val="BOX Text"/>
    <w:basedOn w:val="Normal"/>
    <w:uiPriority w:val="4"/>
    <w:qFormat/>
    <w:rsid w:val="00292BFC"/>
    <w:pPr>
      <w:pBdr>
        <w:top w:val="single" w:sz="48" w:space="1" w:color="E1E9F0" w:themeColor="text1" w:themeTint="1A"/>
        <w:left w:val="single" w:sz="48" w:space="4" w:color="E1E9F0" w:themeColor="text1" w:themeTint="1A"/>
        <w:bottom w:val="single" w:sz="48" w:space="1" w:color="E1E9F0" w:themeColor="text1" w:themeTint="1A"/>
        <w:right w:val="single" w:sz="48" w:space="4" w:color="E1E9F0" w:themeColor="text1" w:themeTint="1A"/>
      </w:pBdr>
      <w:shd w:val="clear" w:color="auto" w:fill="E0E8F2"/>
      <w:tabs>
        <w:tab w:val="left" w:pos="3300"/>
      </w:tabs>
      <w:ind w:left="227" w:right="227"/>
    </w:pPr>
    <w:rPr>
      <w:color w:val="1C2B39" w:themeColor="text1"/>
    </w:rPr>
  </w:style>
  <w:style w:type="paragraph" w:customStyle="1" w:styleId="BOXBulletedList">
    <w:name w:val="BOX Bulleted List"/>
    <w:basedOn w:val="BOXText"/>
    <w:uiPriority w:val="5"/>
    <w:qFormat/>
    <w:rsid w:val="00BD171D"/>
    <w:pPr>
      <w:numPr>
        <w:numId w:val="1"/>
      </w:numPr>
      <w:ind w:left="511"/>
    </w:pPr>
  </w:style>
  <w:style w:type="table" w:styleId="TableGrid">
    <w:name w:val="Table Grid"/>
    <w:basedOn w:val="TableNormal"/>
    <w:uiPriority w:val="39"/>
    <w:rsid w:val="00B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BD57F5"/>
    <w:pPr>
      <w:spacing w:after="0" w:line="240" w:lineRule="auto"/>
    </w:pPr>
    <w:tblPr>
      <w:tblStyleRowBandSize w:val="1"/>
      <w:tblStyleColBandSize w:val="1"/>
      <w:tblBorders>
        <w:top w:val="single" w:sz="4" w:space="0" w:color="5480AB" w:themeColor="accent1" w:themeTint="99"/>
        <w:left w:val="single" w:sz="4" w:space="0" w:color="5480AB" w:themeColor="accent1" w:themeTint="99"/>
        <w:bottom w:val="single" w:sz="4" w:space="0" w:color="5480AB" w:themeColor="accent1" w:themeTint="99"/>
        <w:right w:val="single" w:sz="4" w:space="0" w:color="5480AB" w:themeColor="accent1" w:themeTint="99"/>
        <w:insideH w:val="single" w:sz="4" w:space="0" w:color="5480A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2B39" w:themeColor="accent1"/>
          <w:left w:val="single" w:sz="4" w:space="0" w:color="1C2B39" w:themeColor="accent1"/>
          <w:bottom w:val="single" w:sz="4" w:space="0" w:color="1C2B39" w:themeColor="accent1"/>
          <w:right w:val="single" w:sz="4" w:space="0" w:color="1C2B39" w:themeColor="accent1"/>
          <w:insideH w:val="nil"/>
        </w:tcBorders>
        <w:shd w:val="clear" w:color="auto" w:fill="1C2B39" w:themeFill="accent1"/>
      </w:tcPr>
    </w:tblStylePr>
    <w:tblStylePr w:type="lastRow">
      <w:rPr>
        <w:b/>
        <w:bCs/>
      </w:rPr>
      <w:tblPr/>
      <w:tcPr>
        <w:tcBorders>
          <w:top w:val="double" w:sz="4" w:space="0" w:color="5480A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4E3" w:themeFill="accent1" w:themeFillTint="33"/>
      </w:tcPr>
    </w:tblStylePr>
    <w:tblStylePr w:type="band1Horz">
      <w:tblPr/>
      <w:tcPr>
        <w:shd w:val="clear" w:color="auto" w:fill="C6D4E3" w:themeFill="accent1" w:themeFillTint="33"/>
      </w:tcPr>
    </w:tblStylePr>
  </w:style>
  <w:style w:type="paragraph" w:customStyle="1" w:styleId="Figure">
    <w:name w:val="Figure"/>
    <w:basedOn w:val="Normal"/>
    <w:uiPriority w:val="2"/>
    <w:qFormat/>
    <w:rsid w:val="00F8025E"/>
    <w:pPr>
      <w:numPr>
        <w:numId w:val="27"/>
      </w:numPr>
      <w:spacing w:before="240"/>
    </w:pPr>
    <w:rPr>
      <w:rFonts w:asciiTheme="majorHAnsi" w:hAnsiTheme="majorHAnsi" w:cs="Segoe UI"/>
      <w:color w:val="004261" w:themeColor="text2"/>
    </w:rPr>
  </w:style>
  <w:style w:type="paragraph" w:customStyle="1" w:styleId="TBLHeading">
    <w:name w:val="TBL Heading"/>
    <w:basedOn w:val="Normal"/>
    <w:autoRedefine/>
    <w:uiPriority w:val="11"/>
    <w:qFormat/>
    <w:rsid w:val="009615D2"/>
    <w:pPr>
      <w:spacing w:after="0" w:line="240" w:lineRule="auto"/>
    </w:pPr>
    <w:rPr>
      <w:rFonts w:ascii="Segoe UI" w:hAnsi="Segoe UI" w:cs="Segoe UI"/>
      <w:color w:val="FFFFFF" w:themeColor="background1"/>
      <w:sz w:val="18"/>
    </w:rPr>
  </w:style>
  <w:style w:type="paragraph" w:customStyle="1" w:styleId="TBLText">
    <w:name w:val="TBL Text"/>
    <w:basedOn w:val="Normal"/>
    <w:uiPriority w:val="9"/>
    <w:qFormat/>
    <w:rsid w:val="009615D2"/>
    <w:pPr>
      <w:spacing w:after="0" w:line="240" w:lineRule="auto"/>
    </w:pPr>
    <w:rPr>
      <w:sz w:val="18"/>
      <w:szCs w:val="18"/>
    </w:rPr>
  </w:style>
  <w:style w:type="paragraph" w:customStyle="1" w:styleId="TBLBulletedList">
    <w:name w:val="TBL Bulleted List"/>
    <w:basedOn w:val="TBLText"/>
    <w:uiPriority w:val="10"/>
    <w:qFormat/>
    <w:rsid w:val="001B2D56"/>
    <w:pPr>
      <w:numPr>
        <w:numId w:val="12"/>
      </w:numPr>
      <w:ind w:left="206" w:hanging="206"/>
    </w:pPr>
  </w:style>
  <w:style w:type="paragraph" w:customStyle="1" w:styleId="TBLNumberedList">
    <w:name w:val="TBL Numbered List"/>
    <w:basedOn w:val="TBLText"/>
    <w:uiPriority w:val="10"/>
    <w:qFormat/>
    <w:rsid w:val="00E05FA4"/>
    <w:pPr>
      <w:numPr>
        <w:numId w:val="13"/>
      </w:numPr>
      <w:ind w:left="270" w:hanging="270"/>
    </w:pPr>
  </w:style>
  <w:style w:type="paragraph" w:customStyle="1" w:styleId="BOXHeading3">
    <w:name w:val="BOX Heading 3"/>
    <w:basedOn w:val="BOXHeading2"/>
    <w:next w:val="BOXText"/>
    <w:uiPriority w:val="6"/>
    <w:qFormat/>
    <w:rsid w:val="00F8025E"/>
    <w:pPr>
      <w:outlineLvl w:val="2"/>
    </w:pPr>
    <w:rPr>
      <w:rFonts w:cstheme="minorHAnsi"/>
      <w:sz w:val="24"/>
      <w:szCs w:val="26"/>
    </w:rPr>
  </w:style>
  <w:style w:type="paragraph" w:styleId="ListParagraph">
    <w:name w:val="List Paragraph"/>
    <w:basedOn w:val="Normal"/>
    <w:uiPriority w:val="34"/>
    <w:unhideWhenUsed/>
    <w:rsid w:val="005917FD"/>
    <w:pPr>
      <w:ind w:left="720"/>
      <w:contextualSpacing/>
    </w:pPr>
  </w:style>
  <w:style w:type="paragraph" w:customStyle="1" w:styleId="BulletedList-Level1">
    <w:name w:val="Bulleted List - Level 1"/>
    <w:basedOn w:val="ListParagraph"/>
    <w:uiPriority w:val="1"/>
    <w:qFormat/>
    <w:rsid w:val="00BD171D"/>
    <w:pPr>
      <w:numPr>
        <w:numId w:val="14"/>
      </w:numPr>
      <w:ind w:left="568" w:hanging="284"/>
    </w:pPr>
  </w:style>
  <w:style w:type="paragraph" w:customStyle="1" w:styleId="BulletedList-Level2">
    <w:name w:val="Bulleted List - Level 2"/>
    <w:basedOn w:val="BulletedList-Level1"/>
    <w:uiPriority w:val="1"/>
    <w:qFormat/>
    <w:rsid w:val="00BD171D"/>
    <w:pPr>
      <w:numPr>
        <w:numId w:val="30"/>
      </w:numPr>
    </w:pPr>
  </w:style>
  <w:style w:type="paragraph" w:customStyle="1" w:styleId="BulletedList-Level3">
    <w:name w:val="Bulleted List - Level 3"/>
    <w:basedOn w:val="ListParagraph"/>
    <w:uiPriority w:val="1"/>
    <w:qFormat/>
    <w:rsid w:val="00BD171D"/>
    <w:pPr>
      <w:numPr>
        <w:numId w:val="31"/>
      </w:numPr>
      <w:ind w:left="1135" w:hanging="284"/>
    </w:pPr>
  </w:style>
  <w:style w:type="paragraph" w:customStyle="1" w:styleId="NumberedList-Level1">
    <w:name w:val="Numbered List - Level 1"/>
    <w:basedOn w:val="ListParagraph"/>
    <w:uiPriority w:val="1"/>
    <w:qFormat/>
    <w:rsid w:val="00BD171D"/>
    <w:pPr>
      <w:numPr>
        <w:numId w:val="21"/>
      </w:numPr>
      <w:ind w:left="568" w:hanging="284"/>
    </w:pPr>
  </w:style>
  <w:style w:type="paragraph" w:customStyle="1" w:styleId="NumberedList-level2">
    <w:name w:val="Numbered List - level 2"/>
    <w:basedOn w:val="ListParagraph"/>
    <w:uiPriority w:val="1"/>
    <w:qFormat/>
    <w:rsid w:val="00BD171D"/>
    <w:pPr>
      <w:numPr>
        <w:ilvl w:val="1"/>
        <w:numId w:val="21"/>
      </w:numPr>
    </w:pPr>
  </w:style>
  <w:style w:type="paragraph" w:customStyle="1" w:styleId="NumberedList-Level3">
    <w:name w:val="Numbered List - Level 3"/>
    <w:basedOn w:val="ListParagraph"/>
    <w:uiPriority w:val="1"/>
    <w:qFormat/>
    <w:rsid w:val="00BD171D"/>
    <w:pPr>
      <w:numPr>
        <w:ilvl w:val="2"/>
        <w:numId w:val="21"/>
      </w:numPr>
    </w:pPr>
  </w:style>
  <w:style w:type="paragraph" w:customStyle="1" w:styleId="BoxDark-HeadingLevel1">
    <w:name w:val="Box Dark - Heading Level 1"/>
    <w:basedOn w:val="BOXHeading2"/>
    <w:uiPriority w:val="9"/>
    <w:rsid w:val="00311C2D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117A7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7A7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17A7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B0931"/>
    <w:rPr>
      <w:color w:val="5E1919" w:themeColor="accent6" w:themeShade="80"/>
      <w:u w:val="single"/>
    </w:rPr>
  </w:style>
  <w:style w:type="paragraph" w:customStyle="1" w:styleId="BoxDark-HeadingLevel3">
    <w:name w:val="Box Dark - Heading Level 3"/>
    <w:basedOn w:val="BOXHeading3"/>
    <w:uiPriority w:val="9"/>
    <w:rsid w:val="00311C2D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color w:val="FFFFFF" w:themeColor="background1"/>
    </w:rPr>
  </w:style>
  <w:style w:type="paragraph" w:customStyle="1" w:styleId="BoxDark-Text">
    <w:name w:val="Box Dark - Text"/>
    <w:basedOn w:val="BOXText"/>
    <w:uiPriority w:val="7"/>
    <w:rsid w:val="00FE2C7F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rFonts w:ascii="Segoe UI Semilight" w:hAnsi="Segoe UI Semilight"/>
      <w:color w:val="FFFFFF" w:themeColor="background1"/>
    </w:rPr>
  </w:style>
  <w:style w:type="paragraph" w:customStyle="1" w:styleId="BoxDark-BulletedList">
    <w:name w:val="Box Dark - Bulleted List"/>
    <w:basedOn w:val="BOXBulletedList"/>
    <w:uiPriority w:val="8"/>
    <w:rsid w:val="00FE2C7F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rFonts w:ascii="Segoe UI Semilight" w:hAnsi="Segoe UI Semilight"/>
    </w:rPr>
  </w:style>
  <w:style w:type="paragraph" w:customStyle="1" w:styleId="BOXNumberedList">
    <w:name w:val="BOX Numbered List"/>
    <w:basedOn w:val="BOXText"/>
    <w:uiPriority w:val="5"/>
    <w:qFormat/>
    <w:rsid w:val="00BD171D"/>
    <w:pPr>
      <w:numPr>
        <w:numId w:val="28"/>
      </w:numPr>
      <w:ind w:left="584" w:hanging="357"/>
    </w:pPr>
  </w:style>
  <w:style w:type="paragraph" w:customStyle="1" w:styleId="BoxDark-NumberedList">
    <w:name w:val="Box Dark - Numbered List"/>
    <w:basedOn w:val="BOXNumberedList"/>
    <w:uiPriority w:val="8"/>
    <w:rsid w:val="00FE2C7F"/>
    <w:pPr>
      <w:numPr>
        <w:numId w:val="29"/>
      </w:num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  <w:ind w:left="584" w:hanging="357"/>
    </w:pPr>
  </w:style>
  <w:style w:type="table" w:customStyle="1" w:styleId="Custom1">
    <w:name w:val="Custom 1"/>
    <w:basedOn w:val="TableNormal"/>
    <w:uiPriority w:val="99"/>
    <w:rsid w:val="00665FB6"/>
    <w:pPr>
      <w:spacing w:after="0" w:line="240" w:lineRule="auto"/>
    </w:pPr>
    <w:rPr>
      <w:sz w:val="18"/>
    </w:rPr>
    <w:tblPr>
      <w:tblStyleRowBandSize w:val="1"/>
      <w:tblBorders>
        <w:top w:val="single" w:sz="4" w:space="0" w:color="1C2B39" w:themeColor="accent1"/>
        <w:bottom w:val="single" w:sz="12" w:space="0" w:color="1C2B39" w:themeColor="accent1"/>
        <w:insideH w:val="single" w:sz="4" w:space="0" w:color="1C2B39" w:themeColor="accent1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1C2B39" w:themeFill="accent1"/>
      </w:tcPr>
    </w:tblStylePr>
    <w:tblStylePr w:type="band1Horz">
      <w:tblPr/>
      <w:tcPr>
        <w:shd w:val="clear" w:color="auto" w:fill="FFFFFF" w:themeFill="background2"/>
      </w:tcPr>
    </w:tblStylePr>
  </w:style>
  <w:style w:type="table" w:customStyle="1" w:styleId="Style1">
    <w:name w:val="Style1"/>
    <w:basedOn w:val="Custom1"/>
    <w:uiPriority w:val="99"/>
    <w:rsid w:val="00815583"/>
    <w:tblPr>
      <w:tblBorders>
        <w:top w:val="none" w:sz="0" w:space="0" w:color="auto"/>
        <w:left w:val="single" w:sz="4" w:space="0" w:color="1C2B39" w:themeColor="accent1"/>
        <w:bottom w:val="single" w:sz="4" w:space="0" w:color="1C2B39" w:themeColor="accent1"/>
        <w:right w:val="single" w:sz="4" w:space="0" w:color="1C2B39" w:themeColor="accent1"/>
        <w:insideH w:val="none" w:sz="0" w:space="0" w:color="auto"/>
        <w:insideV w:val="single" w:sz="4" w:space="0" w:color="1C2B39" w:themeColor="accent1"/>
      </w:tblBorders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1C2B39" w:themeFill="accent1"/>
      </w:tcPr>
    </w:tblStylePr>
    <w:tblStylePr w:type="firstCol">
      <w:rPr>
        <w:b/>
      </w:rPr>
      <w:tblPr/>
      <w:tcPr>
        <w:shd w:val="clear" w:color="auto" w:fill="1C2B39" w:themeFill="accent1"/>
      </w:tcPr>
    </w:tblStylePr>
    <w:tblStylePr w:type="band1Horz">
      <w:tblPr/>
      <w:tcPr>
        <w:shd w:val="clear" w:color="auto" w:fill="FFFFFF" w:themeFill="background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B4923"/>
    <w:rPr>
      <w:color w:val="DE761C" w:themeColor="followedHyperlink"/>
      <w:u w:val="single"/>
    </w:rPr>
  </w:style>
  <w:style w:type="table" w:styleId="LightGrid-Accent2">
    <w:name w:val="Light Grid Accent 2"/>
    <w:basedOn w:val="TableNormal"/>
    <w:uiPriority w:val="62"/>
    <w:semiHidden/>
    <w:unhideWhenUsed/>
    <w:rsid w:val="00C63449"/>
    <w:pPr>
      <w:spacing w:after="0" w:line="240" w:lineRule="auto"/>
    </w:pPr>
    <w:tblPr>
      <w:tblStyleRowBandSize w:val="1"/>
      <w:tblStyleColBandSize w:val="1"/>
      <w:tblBorders>
        <w:top w:val="single" w:sz="8" w:space="0" w:color="004261" w:themeColor="accent2"/>
        <w:left w:val="single" w:sz="8" w:space="0" w:color="004261" w:themeColor="accent2"/>
        <w:bottom w:val="single" w:sz="8" w:space="0" w:color="004261" w:themeColor="accent2"/>
        <w:right w:val="single" w:sz="8" w:space="0" w:color="004261" w:themeColor="accent2"/>
        <w:insideH w:val="single" w:sz="8" w:space="0" w:color="004261" w:themeColor="accent2"/>
        <w:insideV w:val="single" w:sz="8" w:space="0" w:color="0042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261" w:themeColor="accent2"/>
          <w:left w:val="single" w:sz="8" w:space="0" w:color="004261" w:themeColor="accent2"/>
          <w:bottom w:val="single" w:sz="18" w:space="0" w:color="004261" w:themeColor="accent2"/>
          <w:right w:val="single" w:sz="8" w:space="0" w:color="004261" w:themeColor="accent2"/>
          <w:insideH w:val="nil"/>
          <w:insideV w:val="single" w:sz="8" w:space="0" w:color="0042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261" w:themeColor="accent2"/>
          <w:left w:val="single" w:sz="8" w:space="0" w:color="004261" w:themeColor="accent2"/>
          <w:bottom w:val="single" w:sz="8" w:space="0" w:color="004261" w:themeColor="accent2"/>
          <w:right w:val="single" w:sz="8" w:space="0" w:color="004261" w:themeColor="accent2"/>
          <w:insideH w:val="nil"/>
          <w:insideV w:val="single" w:sz="8" w:space="0" w:color="0042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261" w:themeColor="accent2"/>
          <w:left w:val="single" w:sz="8" w:space="0" w:color="004261" w:themeColor="accent2"/>
          <w:bottom w:val="single" w:sz="8" w:space="0" w:color="004261" w:themeColor="accent2"/>
          <w:right w:val="single" w:sz="8" w:space="0" w:color="004261" w:themeColor="accent2"/>
        </w:tcBorders>
      </w:tcPr>
    </w:tblStylePr>
    <w:tblStylePr w:type="band1Vert">
      <w:tblPr/>
      <w:tcPr>
        <w:tcBorders>
          <w:top w:val="single" w:sz="8" w:space="0" w:color="004261" w:themeColor="accent2"/>
          <w:left w:val="single" w:sz="8" w:space="0" w:color="004261" w:themeColor="accent2"/>
          <w:bottom w:val="single" w:sz="8" w:space="0" w:color="004261" w:themeColor="accent2"/>
          <w:right w:val="single" w:sz="8" w:space="0" w:color="004261" w:themeColor="accent2"/>
        </w:tcBorders>
        <w:shd w:val="clear" w:color="auto" w:fill="98DEFF" w:themeFill="accent2" w:themeFillTint="3F"/>
      </w:tcPr>
    </w:tblStylePr>
    <w:tblStylePr w:type="band1Horz">
      <w:tblPr/>
      <w:tcPr>
        <w:tcBorders>
          <w:top w:val="single" w:sz="8" w:space="0" w:color="004261" w:themeColor="accent2"/>
          <w:left w:val="single" w:sz="8" w:space="0" w:color="004261" w:themeColor="accent2"/>
          <w:bottom w:val="single" w:sz="8" w:space="0" w:color="004261" w:themeColor="accent2"/>
          <w:right w:val="single" w:sz="8" w:space="0" w:color="004261" w:themeColor="accent2"/>
          <w:insideV w:val="single" w:sz="8" w:space="0" w:color="004261" w:themeColor="accent2"/>
        </w:tcBorders>
        <w:shd w:val="clear" w:color="auto" w:fill="98DEFF" w:themeFill="accent2" w:themeFillTint="3F"/>
      </w:tcPr>
    </w:tblStylePr>
    <w:tblStylePr w:type="band2Horz">
      <w:tblPr/>
      <w:tcPr>
        <w:tcBorders>
          <w:top w:val="single" w:sz="8" w:space="0" w:color="004261" w:themeColor="accent2"/>
          <w:left w:val="single" w:sz="8" w:space="0" w:color="004261" w:themeColor="accent2"/>
          <w:bottom w:val="single" w:sz="8" w:space="0" w:color="004261" w:themeColor="accent2"/>
          <w:right w:val="single" w:sz="8" w:space="0" w:color="004261" w:themeColor="accent2"/>
          <w:insideV w:val="single" w:sz="8" w:space="0" w:color="00426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8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IA Colours">
      <a:dk1>
        <a:srgbClr val="1C2B39"/>
      </a:dk1>
      <a:lt1>
        <a:srgbClr val="FFFFFF"/>
      </a:lt1>
      <a:dk2>
        <a:srgbClr val="004261"/>
      </a:dk2>
      <a:lt2>
        <a:srgbClr val="FFFFFF"/>
      </a:lt2>
      <a:accent1>
        <a:srgbClr val="1C2B39"/>
      </a:accent1>
      <a:accent2>
        <a:srgbClr val="004261"/>
      </a:accent2>
      <a:accent3>
        <a:srgbClr val="007279"/>
      </a:accent3>
      <a:accent4>
        <a:srgbClr val="DE761C"/>
      </a:accent4>
      <a:accent5>
        <a:srgbClr val="C85C1A"/>
      </a:accent5>
      <a:accent6>
        <a:srgbClr val="BD3432"/>
      </a:accent6>
      <a:hlink>
        <a:srgbClr val="DE761C"/>
      </a:hlink>
      <a:folHlink>
        <a:srgbClr val="DE761C"/>
      </a:folHlink>
    </a:clrScheme>
    <a:fontScheme name="OIA">
      <a:majorFont>
        <a:latin typeface="Segoe UI Semibold"/>
        <a:ea typeface=""/>
        <a:cs typeface=""/>
      </a:majorFont>
      <a:minorFont>
        <a:latin typeface="Segoe UI Symbo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5619428CBE4886618267E9F1076D" ma:contentTypeVersion="33" ma:contentTypeDescription="Create a new document." ma:contentTypeScope="" ma:versionID="57397adc744e7436a08adf0d9d67afac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ce530a30-1469-477c-a42f-e412a5d2cfe7" targetNamespace="http://schemas.microsoft.com/office/2006/metadata/properties" ma:root="true" ma:fieldsID="9ad62d7b73460f0f4dc353dffe08b559" ns1:_="" ns2:_="" ns3:_="" ns4:_="">
    <xsd:import namespace="http://schemas.microsoft.com/sharepoint/v3"/>
    <xsd:import namespace="d0dfa800-9ef0-44cb-8a12-633e29de1e0b"/>
    <xsd:import namespace="e771ab56-0c5d-40e7-b080-2686d2b89623"/>
    <xsd:import namespace="ce530a30-1469-477c-a42f-e412a5d2c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readOnly="false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30a30-1469-477c-a42f-e412a5d2cf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d0dfa800-9ef0-44cb-8a12-633e29de1e0b">
      <Terms xmlns="http://schemas.microsoft.com/office/infopath/2007/PartnerControls"/>
    </TaxKeywordTaxHTField>
    <TaxCatchAll xmlns="d0dfa800-9ef0-44cb-8a12-633e29de1e0b">
      <Value>4</Value>
    </TaxCatchAll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ShareHubID xmlns="e771ab56-0c5d-40e7-b080-2686d2b89623" xsi:nil="true"/>
    <lcf76f155ced4ddcb4097134ff3c332f xmlns="ce530a30-1469-477c-a42f-e412a5d2cfe7">
      <Terms xmlns="http://schemas.microsoft.com/office/infopath/2007/PartnerControls"/>
    </lcf76f155ced4ddcb4097134ff3c332f>
    <b3c0f3586e914200b73ee5084f8aea6e xmlns="d0dfa800-9ef0-44cb-8a12-633e29de1e0b">
      <Terms xmlns="http://schemas.microsoft.com/office/infopath/2007/PartnerControls"/>
    </b3c0f3586e914200b73ee5084f8aea6e>
    <Comments xmlns="http://schemas.microsoft.com/sharepoint/v3" xsi:nil="true"/>
    <_dlc_DocId xmlns="d0dfa800-9ef0-44cb-8a12-633e29de1e0b">PMCdoc-213507164-58398</_dlc_DocId>
    <_dlc_DocIdUrl xmlns="d0dfa800-9ef0-44cb-8a12-633e29de1e0b">
      <Url>https://pmc01.sharepoint.com/sites/pmc-ms-cb/_layouts/15/DocIdRedir.aspx?ID=PMCdoc-213507164-58398</Url>
      <Description>PMCdoc-213507164-58398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AA977-5CA1-4454-9A61-9139879DA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fa800-9ef0-44cb-8a12-633e29de1e0b"/>
    <ds:schemaRef ds:uri="e771ab56-0c5d-40e7-b080-2686d2b89623"/>
    <ds:schemaRef ds:uri="ce530a30-1469-477c-a42f-e412a5d2c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74507C-8FC2-4036-987C-DC9CD1DD789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F9BD812-197D-4B06-A629-31FCD34EC7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5F7DE9-A13B-435C-AD56-F38204AE7DFA}">
  <ds:schemaRefs>
    <ds:schemaRef ds:uri="http://schemas.microsoft.com/office/2006/documentManagement/types"/>
    <ds:schemaRef ds:uri="ce530a30-1469-477c-a42f-e412a5d2cfe7"/>
    <ds:schemaRef ds:uri="http://purl.org/dc/elements/1.1/"/>
    <ds:schemaRef ds:uri="http://schemas.microsoft.com/office/2006/metadata/properties"/>
    <ds:schemaRef ds:uri="e771ab56-0c5d-40e7-b080-2686d2b89623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d0dfa800-9ef0-44cb-8a12-633e29de1e0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1F5766E-988E-481B-A242-C8EC2445B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Seeking agreement to certify Impact Analysis Equivalent (IAE)</dc:title>
  <dc:subject/>
  <dc:creator/>
  <cp:keywords/>
  <dc:description/>
  <cp:lastModifiedBy/>
  <cp:revision>1</cp:revision>
  <dcterms:created xsi:type="dcterms:W3CDTF">2024-09-17T08:31:00Z</dcterms:created>
  <dcterms:modified xsi:type="dcterms:W3CDTF">2024-09-17T08:31:00Z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0x0101004F285619428CBE4886618267E9F1076D</vt:lpwstr>
  </property>
  <property fmtid="{D5CDD505-2E9C-101B-9397-08002B2CF9AE}" pid="3" name="TaxKeyword">
    <vt:lpwstr/>
  </property>
  <property fmtid="{D5CDD505-2E9C-101B-9397-08002B2CF9AE}" pid="6" name="MediaServiceImageTags">
    <vt:lpwstr/>
  </property>
  <property fmtid="{D5CDD505-2E9C-101B-9397-08002B2CF9AE}" pid="7" name="SecurityClassification">
    <vt:lpwstr>4;#OFFICIAL|9e0ec9cb-4e7f-4d4a-bd32-1ee7525c6d87</vt:lpwstr>
  </property>
  <property fmtid="{D5CDD505-2E9C-101B-9397-08002B2CF9AE}" pid="11" name="InformationMarker">
    <vt:lpwstr/>
  </property>
  <property fmtid="{D5CDD505-2E9C-101B-9397-08002B2CF9AE}" pid="12" name="_dlc_DocIdItemGuid">
    <vt:lpwstr>9ff18b1a-2a1d-49ed-af26-819d3dce9714</vt:lpwstr>
  </property>
</Properties>
</file>