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5B390" w14:textId="77777777" w:rsidR="00936886" w:rsidRDefault="00936886" w:rsidP="00936886">
      <w:pPr>
        <w:rPr>
          <w:noProof/>
        </w:rPr>
      </w:pPr>
    </w:p>
    <w:p w14:paraId="65A691FF" w14:textId="69367CFB" w:rsidR="00936886" w:rsidRDefault="00936886" w:rsidP="00936886">
      <w:pPr>
        <w:pStyle w:val="Title"/>
        <w:tabs>
          <w:tab w:val="left" w:pos="7938"/>
        </w:tabs>
        <w:rPr>
          <w:rFonts w:asciiTheme="minorHAnsi" w:eastAsiaTheme="minorEastAsia" w:hAnsiTheme="minorHAnsi" w:cstheme="minorBidi"/>
          <w:noProof w:val="0"/>
          <w:spacing w:val="0"/>
          <w:sz w:val="22"/>
          <w:szCs w:val="21"/>
        </w:rPr>
      </w:pPr>
      <w:r>
        <w:t>Value of statistical life</w:t>
      </w:r>
    </w:p>
    <w:p w14:paraId="71924576" w14:textId="77777777" w:rsidR="00E33111" w:rsidRDefault="00E33111" w:rsidP="00E33111">
      <w:bookmarkStart w:id="0" w:name="_GoBack"/>
      <w:r>
        <w:t>October 2023</w:t>
      </w:r>
    </w:p>
    <w:bookmarkEnd w:id="0"/>
    <w:p w14:paraId="137FA998" w14:textId="1D98E0A3" w:rsidR="00E33111" w:rsidRDefault="00E33111" w:rsidP="00A5771D">
      <w:pPr>
        <w:pStyle w:val="BOXHeading3"/>
        <w:spacing w:after="0"/>
        <w:outlineLvl w:val="1"/>
      </w:pPr>
      <w:r>
        <w:t xml:space="preserve">Key </w:t>
      </w:r>
      <w:r w:rsidR="007F10BC">
        <w:t>points</w:t>
      </w:r>
      <w:r>
        <w:t>:</w:t>
      </w:r>
    </w:p>
    <w:p w14:paraId="2399EB16" w14:textId="77777777" w:rsidR="00E33111" w:rsidRPr="00555896" w:rsidRDefault="00E33111" w:rsidP="00E33111">
      <w:pPr>
        <w:pStyle w:val="BOXBulletedList"/>
      </w:pPr>
      <w:r w:rsidRPr="00555896">
        <w:t xml:space="preserve">Willingness to pay is the appropriate way to estimate the value of reductions in the risk of </w:t>
      </w:r>
      <w:r>
        <w:t xml:space="preserve">unforeseen fatality by chance </w:t>
      </w:r>
      <w:r w:rsidRPr="00555896">
        <w:t>– known as the value of statistical life.</w:t>
      </w:r>
    </w:p>
    <w:p w14:paraId="62DC6DAD" w14:textId="77777777" w:rsidR="00E33111" w:rsidRPr="00555896" w:rsidRDefault="00E33111" w:rsidP="00E33111">
      <w:pPr>
        <w:pStyle w:val="BOXBulletedList"/>
      </w:pPr>
      <w:r w:rsidRPr="00555896">
        <w:t>Based on international and Australian research a credible estimate of the value of statistical life is $5.</w:t>
      </w:r>
      <w:r>
        <w:t>4</w:t>
      </w:r>
      <w:r w:rsidRPr="00555896">
        <w:t>m and the value of statistical life year is $2</w:t>
      </w:r>
      <w:r>
        <w:t>35</w:t>
      </w:r>
      <w:r w:rsidRPr="00555896">
        <w:t>,000 in 202</w:t>
      </w:r>
      <w:r>
        <w:t>3</w:t>
      </w:r>
      <w:r w:rsidRPr="00555896">
        <w:t xml:space="preserve"> dollars.</w:t>
      </w:r>
    </w:p>
    <w:p w14:paraId="3D687903" w14:textId="77777777" w:rsidR="00E33111" w:rsidRPr="00555896" w:rsidRDefault="00E33111" w:rsidP="00E33111">
      <w:pPr>
        <w:pStyle w:val="BOXBulletedList"/>
      </w:pPr>
      <w:r w:rsidRPr="00555896">
        <w:t xml:space="preserve">There are </w:t>
      </w:r>
      <w:r w:rsidRPr="00E240A9">
        <w:t>complicating</w:t>
      </w:r>
      <w:r w:rsidRPr="00555896">
        <w:t xml:space="preserve"> assumptions used to derive these estimates so a sensitivity analysis should be undertaken as part of the cost-benefit analysis.</w:t>
      </w:r>
    </w:p>
    <w:p w14:paraId="6BF748E5" w14:textId="77777777" w:rsidR="00E33111" w:rsidRDefault="00E33111" w:rsidP="00E33111">
      <w:r>
        <w:t>This note provides guidance on how officers preparing the cost-benefit analysis in Impact Analyses should treat the benefits of policies designed to reduce the risk of fatality or physical harm.</w:t>
      </w:r>
    </w:p>
    <w:p w14:paraId="08B46D1C" w14:textId="77777777" w:rsidR="00E33111" w:rsidRDefault="00E33111" w:rsidP="00E33111">
      <w:r>
        <w:t>A number of policy proposals are aimed at reducing the risk of fatality or physical harm, for example, workplace health and safety laws, warning labels on tobacco products and transport safety measures such as seat belt laws. This raises the issue of how to measure and articulate this benefit in Impact Analysis. Different methods have been proposed for valuing reductions in the risk of physical harm and this note sets out a method most appropriate for the best practice policy process.</w:t>
      </w:r>
    </w:p>
    <w:p w14:paraId="0CCA7EA7" w14:textId="41844416" w:rsidR="00E33111" w:rsidRDefault="00E33111" w:rsidP="00E33111">
      <w:pPr>
        <w:pStyle w:val="Heading2"/>
      </w:pPr>
      <w:r>
        <w:t xml:space="preserve">Value of </w:t>
      </w:r>
      <w:r w:rsidR="007F10BC">
        <w:t>s</w:t>
      </w:r>
      <w:r w:rsidR="007F10BC" w:rsidRPr="00555896">
        <w:t>tatistical</w:t>
      </w:r>
      <w:r w:rsidR="007F10BC">
        <w:t xml:space="preserve"> life</w:t>
      </w:r>
    </w:p>
    <w:p w14:paraId="4F6977FA" w14:textId="77777777" w:rsidR="00E33111" w:rsidRPr="00555896" w:rsidRDefault="00E33111" w:rsidP="00E33111">
      <w:pPr>
        <w:rPr>
          <w:rFonts w:eastAsiaTheme="majorEastAsia"/>
          <w:noProof/>
        </w:rPr>
      </w:pPr>
      <w:r w:rsidRPr="00555896">
        <w:rPr>
          <w:rFonts w:eastAsiaTheme="majorEastAsia"/>
          <w:noProof/>
        </w:rPr>
        <w:t xml:space="preserve">A key concept is the </w:t>
      </w:r>
      <w:r w:rsidRPr="00555896">
        <w:rPr>
          <w:rFonts w:eastAsiaTheme="majorEastAsia"/>
          <w:i/>
          <w:iCs/>
          <w:noProof/>
        </w:rPr>
        <w:t>value of a statistical life</w:t>
      </w:r>
      <w:r w:rsidRPr="00555896">
        <w:rPr>
          <w:rFonts w:eastAsiaTheme="majorEastAsia"/>
          <w:noProof/>
        </w:rPr>
        <w:t xml:space="preserve"> (VSL) which is an estimate of the value society places on reducing the risk of dying. By convention the life is assumed to be the life of a young adult with at least 40 years of life ahead. It is a statistical life because it is not the life of any particular person.</w:t>
      </w:r>
      <w:r w:rsidRPr="00555896">
        <w:rPr>
          <w:rFonts w:eastAsiaTheme="majorEastAsia"/>
          <w:noProof/>
          <w:lang w:val="en"/>
        </w:rPr>
        <w:t xml:space="preserve"> A related concept is the </w:t>
      </w:r>
      <w:r w:rsidRPr="00555896">
        <w:rPr>
          <w:rFonts w:eastAsiaTheme="majorEastAsia"/>
          <w:i/>
          <w:iCs/>
          <w:noProof/>
          <w:lang w:val="en"/>
        </w:rPr>
        <w:t>value of a statistical life year (VLY)</w:t>
      </w:r>
      <w:r w:rsidRPr="00555896">
        <w:rPr>
          <w:rFonts w:eastAsiaTheme="majorEastAsia"/>
          <w:noProof/>
          <w:lang w:val="en"/>
        </w:rPr>
        <w:t xml:space="preserve">, which is an estimate of the value society places on a year of life. The value of a statistical life is most appropriately measured by estimating how much society is willing to pay to reduce the risk of death. However, there are different methods of measuring society’s willingness to pay to reduce the risk of death.  </w:t>
      </w:r>
    </w:p>
    <w:p w14:paraId="1C2C8B36" w14:textId="77777777" w:rsidR="00E33111" w:rsidRPr="00555896" w:rsidRDefault="00E33111" w:rsidP="00E33111">
      <w:pPr>
        <w:pStyle w:val="BulletedList-Level1"/>
        <w:contextualSpacing w:val="0"/>
        <w:rPr>
          <w:rFonts w:eastAsiaTheme="majorEastAsia"/>
          <w:noProof/>
        </w:rPr>
      </w:pPr>
      <w:r w:rsidRPr="00555896">
        <w:rPr>
          <w:rFonts w:eastAsiaTheme="majorEastAsia"/>
          <w:noProof/>
        </w:rPr>
        <w:t xml:space="preserve">One direct method is to ask individuals through a survey what they would pay to reduce the risk of dying. </w:t>
      </w:r>
      <w:r>
        <w:rPr>
          <w:rFonts w:eastAsiaTheme="majorEastAsia"/>
          <w:noProof/>
        </w:rPr>
        <w:t xml:space="preserve">This is referred to as a ‘stated preference’ method. </w:t>
      </w:r>
      <w:r w:rsidRPr="00555896">
        <w:rPr>
          <w:rFonts w:eastAsiaTheme="majorEastAsia"/>
          <w:noProof/>
        </w:rPr>
        <w:t xml:space="preserve">There is evidence that willingness to pay surveys overestimate willingness to pay when compared to actual </w:t>
      </w:r>
      <w:r w:rsidRPr="00555896">
        <w:rPr>
          <w:rFonts w:eastAsiaTheme="majorEastAsia"/>
          <w:noProof/>
        </w:rPr>
        <w:lastRenderedPageBreak/>
        <w:t xml:space="preserve">consumer choices subject to a budget constraint (Brown et al., 1996; Neill et al., 1994; Bishop and Heberlein, 1979). </w:t>
      </w:r>
    </w:p>
    <w:p w14:paraId="73E564D7" w14:textId="77777777" w:rsidR="00E33111" w:rsidRPr="00555896" w:rsidRDefault="00E33111" w:rsidP="00E33111">
      <w:pPr>
        <w:pStyle w:val="BulletedList-Level1"/>
        <w:contextualSpacing w:val="0"/>
        <w:rPr>
          <w:rFonts w:eastAsiaTheme="majorEastAsia"/>
          <w:noProof/>
        </w:rPr>
      </w:pPr>
      <w:r w:rsidRPr="00555896">
        <w:rPr>
          <w:rFonts w:eastAsiaTheme="majorEastAsia"/>
          <w:noProof/>
        </w:rPr>
        <w:t xml:space="preserve">One method which incorporates a budget constraint is to observe how much consumers pay for products that reduce the risk of death or injury, for example, the purchase of safety items in a car. </w:t>
      </w:r>
      <w:r>
        <w:rPr>
          <w:rFonts w:eastAsiaTheme="majorEastAsia"/>
          <w:noProof/>
        </w:rPr>
        <w:t>This is referred to as a ‘revealed preference’ method.</w:t>
      </w:r>
    </w:p>
    <w:p w14:paraId="425A7E39" w14:textId="77777777" w:rsidR="00E33111" w:rsidRPr="00555896" w:rsidRDefault="00E33111" w:rsidP="00E33111">
      <w:pPr>
        <w:pStyle w:val="BulletedList-Level1"/>
        <w:contextualSpacing w:val="0"/>
        <w:rPr>
          <w:rFonts w:eastAsiaTheme="majorEastAsia"/>
          <w:noProof/>
        </w:rPr>
      </w:pPr>
      <w:r w:rsidRPr="00555896">
        <w:rPr>
          <w:rFonts w:eastAsiaTheme="majorEastAsia"/>
          <w:noProof/>
        </w:rPr>
        <w:t>Another indirect method is to observe how much workers are willing to pay (through reduced wages) for an improvement in workplace safety.</w:t>
      </w:r>
      <w:r>
        <w:rPr>
          <w:rFonts w:eastAsiaTheme="majorEastAsia"/>
          <w:noProof/>
        </w:rPr>
        <w:t xml:space="preserve"> This is also a ‘revealed preference’.</w:t>
      </w:r>
    </w:p>
    <w:p w14:paraId="24A91CC3" w14:textId="77777777" w:rsidR="00E33111" w:rsidRPr="00555896" w:rsidRDefault="00E33111" w:rsidP="00E33111">
      <w:pPr>
        <w:rPr>
          <w:rFonts w:eastAsiaTheme="majorEastAsia"/>
          <w:noProof/>
        </w:rPr>
      </w:pPr>
      <w:r w:rsidRPr="00555896">
        <w:rPr>
          <w:rFonts w:eastAsiaTheme="majorEastAsia"/>
          <w:noProof/>
        </w:rPr>
        <w:t>Following a review of research into VSL and VLY and of international guidelines for life and health values, Abelson (2007) suggested public agencies adopt a VSL of $3.5m, a constant VLY of $151,000 which is independent of age, and age-specific VSLs for older persons equal to the present value of future VLYs of $151,000 discounted by a private time preference discount rate of 3 per cent per annum. Each of these are measured in 2007 dollars.</w:t>
      </w:r>
    </w:p>
    <w:p w14:paraId="06C12655" w14:textId="77777777" w:rsidR="00E33111" w:rsidRPr="00555896" w:rsidRDefault="00E33111" w:rsidP="00E33111">
      <w:pPr>
        <w:rPr>
          <w:rFonts w:eastAsiaTheme="majorEastAsia"/>
          <w:noProof/>
        </w:rPr>
      </w:pPr>
      <w:r w:rsidRPr="00555896">
        <w:rPr>
          <w:rFonts w:eastAsiaTheme="majorEastAsia"/>
          <w:noProof/>
        </w:rPr>
        <w:t xml:space="preserve">Importantly, the research into VSL and VLY, including Abelson (2007), argues that the estimates should vary according to the characteristics of the people affected and the nature of the risk or hazard. For example, society may be willing to forgo more to prevent the death of a young person, or to avoid conditions that significantly reduce quality of life.  </w:t>
      </w:r>
    </w:p>
    <w:p w14:paraId="3AE834EA" w14:textId="77777777" w:rsidR="00E33111" w:rsidRPr="00555896" w:rsidRDefault="00E33111" w:rsidP="00E33111">
      <w:pPr>
        <w:pStyle w:val="Heading2"/>
      </w:pPr>
      <w:r w:rsidRPr="00555896">
        <w:t>Guidance for preparing Impact Analysis</w:t>
      </w:r>
    </w:p>
    <w:p w14:paraId="7942CB06" w14:textId="77777777" w:rsidR="00E33111" w:rsidRPr="00555896" w:rsidRDefault="00E33111" w:rsidP="00E33111">
      <w:r w:rsidRPr="00555896">
        <w:t xml:space="preserve">Ideally the value of statistical life would be estimated for each policy proposal taking into account the types of risks addressed and the people affected. However, as noted by the US EPA, this is likely to be too costly for most proposals. </w:t>
      </w:r>
    </w:p>
    <w:p w14:paraId="1273931A" w14:textId="77777777" w:rsidR="00E33111" w:rsidRPr="00555896" w:rsidRDefault="00E33111" w:rsidP="00E33111">
      <w:r w:rsidRPr="00555896">
        <w:t>For this reason, and consistent with the advice of international regulatory agencies (USEPA 2000), the Office of Impact Analysis (OIA)</w:t>
      </w:r>
      <w:r>
        <w:t xml:space="preserve"> </w:t>
      </w:r>
      <w:r w:rsidRPr="00555896">
        <w:t>advises officers preparing Impact Analyses to use estimates derived from previous studies. Although now dated, the Abelson estimates of VSL and VLY were based on empirical evidence that had been assessed to ensure that it was comprehensive and rigorous, and remain the best estimates of VSL and VLY for public agencies to use. Using ABS Wage Price Index data</w:t>
      </w:r>
      <w:r w:rsidRPr="00555896">
        <w:rPr>
          <w:vertAlign w:val="superscript"/>
        </w:rPr>
        <w:footnoteReference w:id="1"/>
      </w:r>
      <w:r w:rsidRPr="00555896">
        <w:t xml:space="preserve"> to express these estimates in 202</w:t>
      </w:r>
      <w:r>
        <w:t>3</w:t>
      </w:r>
      <w:r w:rsidRPr="00555896">
        <w:t xml:space="preserve"> dollars gives a VSL of $5.</w:t>
      </w:r>
      <w:r>
        <w:t>4</w:t>
      </w:r>
      <w:r w:rsidRPr="00555896">
        <w:t xml:space="preserve"> million, and a VLY of $2</w:t>
      </w:r>
      <w:r>
        <w:t>35</w:t>
      </w:r>
      <w:r w:rsidRPr="00555896">
        <w:t>,000 based on a private time preference discount rate of 3 per cent.</w:t>
      </w:r>
    </w:p>
    <w:p w14:paraId="76DF11E7" w14:textId="77777777" w:rsidR="00E33111" w:rsidRPr="00555896" w:rsidRDefault="00E33111" w:rsidP="00E33111">
      <w:pPr>
        <w:rPr>
          <w:b/>
          <w:bCs/>
        </w:rPr>
      </w:pPr>
      <w:r w:rsidRPr="00555896">
        <w:rPr>
          <w:b/>
          <w:bCs/>
        </w:rPr>
        <w:br w:type="page"/>
      </w:r>
    </w:p>
    <w:p w14:paraId="66BEB35E" w14:textId="77777777" w:rsidR="00E33111" w:rsidRPr="00555896" w:rsidRDefault="00E33111" w:rsidP="00E33111">
      <w:pPr>
        <w:pStyle w:val="Heading2"/>
      </w:pPr>
      <w:r w:rsidRPr="00555896">
        <w:t>Applying the estimate</w:t>
      </w:r>
    </w:p>
    <w:p w14:paraId="3CF3FF15" w14:textId="77777777" w:rsidR="00E33111" w:rsidRPr="00555896" w:rsidRDefault="00E33111" w:rsidP="00E33111">
      <w:r w:rsidRPr="00555896">
        <w:t>A policy proposal is expected to reduce the number of workplace fatalities. It will take two years for industry to implement. It will prevent one death in the first year, two deaths in the second year and three deaths each year when it has been fully implemented. It is expected to cost industry $5</w:t>
      </w:r>
      <w:r>
        <w:t> </w:t>
      </w:r>
      <w:r w:rsidRPr="00555896">
        <w:t>million each year during implementation and $2 million each year after it is fully implemented. The policy is expected to be reviewed after nine years. The steps to estimate the net present value of the proposal are set out in Table 1 below (a 7 per cent real discount rate is used in this hypothetical example). The base year of the proposal is 202</w:t>
      </w:r>
      <w:r>
        <w:t>3</w:t>
      </w:r>
      <w:r w:rsidRPr="00555896">
        <w:t>.</w:t>
      </w:r>
    </w:p>
    <w:p w14:paraId="778D8B9D" w14:textId="77777777" w:rsidR="00E33111" w:rsidRPr="00555896" w:rsidRDefault="00E33111" w:rsidP="00E33111">
      <w:r w:rsidRPr="00555896">
        <w:t>Over the life of the proposal (nine years), the proposal will prevent 24 deaths. It will cost industry $24 million to comply with the proposal. The net present value is</w:t>
      </w:r>
      <w:r w:rsidRPr="00555896">
        <w:br/>
        <w:t>[0.</w:t>
      </w:r>
      <w:r>
        <w:t>4</w:t>
      </w:r>
      <w:r w:rsidRPr="00555896">
        <w:t>+5.</w:t>
      </w:r>
      <w:r>
        <w:t>4</w:t>
      </w:r>
      <w:r w:rsidRPr="00555896">
        <w:t>+12.</w:t>
      </w:r>
      <w:r>
        <w:t>4</w:t>
      </w:r>
      <w:r w:rsidRPr="00555896">
        <w:t>+11.</w:t>
      </w:r>
      <w:r>
        <w:t>6</w:t>
      </w:r>
      <w:r w:rsidRPr="00555896">
        <w:t>+10.</w:t>
      </w:r>
      <w:r>
        <w:t>8</w:t>
      </w:r>
      <w:r w:rsidRPr="00555896">
        <w:t>+</w:t>
      </w:r>
      <w:r>
        <w:t>10.1</w:t>
      </w:r>
      <w:r w:rsidRPr="00555896">
        <w:t>+9.</w:t>
      </w:r>
      <w:r>
        <w:t>5</w:t>
      </w:r>
      <w:r w:rsidRPr="00555896">
        <w:t>+8.</w:t>
      </w:r>
      <w:r>
        <w:t>8</w:t>
      </w:r>
      <w:r w:rsidRPr="00555896">
        <w:t>+8.</w:t>
      </w:r>
      <w:r>
        <w:t>3</w:t>
      </w:r>
      <w:r w:rsidRPr="00555896">
        <w:t xml:space="preserve"> =] $7</w:t>
      </w:r>
      <w:r>
        <w:t>7</w:t>
      </w:r>
      <w:r w:rsidRPr="00555896">
        <w:t>.</w:t>
      </w:r>
      <w:r>
        <w:t>3</w:t>
      </w:r>
      <w:r w:rsidRPr="00555896">
        <w:t xml:space="preserve"> million.</w:t>
      </w:r>
    </w:p>
    <w:p w14:paraId="0C31EEB7" w14:textId="77777777" w:rsidR="00E33111" w:rsidRDefault="00E33111" w:rsidP="00E33111">
      <w:pPr>
        <w:pStyle w:val="Figure"/>
        <w:numPr>
          <w:ilvl w:val="0"/>
          <w:numId w:val="0"/>
        </w:numPr>
      </w:pPr>
      <w:r>
        <w:t>Table 1: Application of discount rates to value a statistical life</w:t>
      </w:r>
    </w:p>
    <w:tbl>
      <w:tblPr>
        <w:tblStyle w:val="Custom1"/>
        <w:tblW w:w="0" w:type="auto"/>
        <w:tblLayout w:type="fixed"/>
        <w:tblLook w:val="04A0" w:firstRow="1" w:lastRow="0" w:firstColumn="1" w:lastColumn="0" w:noHBand="0" w:noVBand="1"/>
      </w:tblPr>
      <w:tblGrid>
        <w:gridCol w:w="1276"/>
        <w:gridCol w:w="929"/>
        <w:gridCol w:w="929"/>
        <w:gridCol w:w="929"/>
        <w:gridCol w:w="929"/>
        <w:gridCol w:w="929"/>
        <w:gridCol w:w="929"/>
        <w:gridCol w:w="929"/>
        <w:gridCol w:w="929"/>
        <w:gridCol w:w="930"/>
      </w:tblGrid>
      <w:tr w:rsidR="00E33111" w14:paraId="07B1397A" w14:textId="77777777" w:rsidTr="00A5771D">
        <w:trPr>
          <w:cnfStyle w:val="100000000000" w:firstRow="1" w:lastRow="0" w:firstColumn="0" w:lastColumn="0" w:oddVBand="0" w:evenVBand="0" w:oddHBand="0" w:evenHBand="0" w:firstRowFirstColumn="0" w:firstRowLastColumn="0" w:lastRowFirstColumn="0" w:lastRowLastColumn="0"/>
          <w:tblHeader/>
        </w:trPr>
        <w:tc>
          <w:tcPr>
            <w:tcW w:w="1276" w:type="dxa"/>
          </w:tcPr>
          <w:p w14:paraId="729F8C83" w14:textId="77777777" w:rsidR="00E33111" w:rsidRDefault="00E33111" w:rsidP="00993010">
            <w:pPr>
              <w:pStyle w:val="TBLHeading"/>
            </w:pPr>
            <w:r>
              <w:t>Year</w:t>
            </w:r>
          </w:p>
        </w:tc>
        <w:tc>
          <w:tcPr>
            <w:tcW w:w="929" w:type="dxa"/>
            <w:vAlign w:val="center"/>
          </w:tcPr>
          <w:p w14:paraId="6DDE79F8" w14:textId="77777777" w:rsidR="00E33111" w:rsidRDefault="00E33111" w:rsidP="00993010">
            <w:pPr>
              <w:pStyle w:val="TBLHeading"/>
              <w:jc w:val="center"/>
            </w:pPr>
            <w:r w:rsidRPr="00B377C3">
              <w:t>2023</w:t>
            </w:r>
          </w:p>
        </w:tc>
        <w:tc>
          <w:tcPr>
            <w:tcW w:w="929" w:type="dxa"/>
            <w:vAlign w:val="center"/>
          </w:tcPr>
          <w:p w14:paraId="0AFA0D04" w14:textId="77777777" w:rsidR="00E33111" w:rsidRDefault="00E33111" w:rsidP="00993010">
            <w:pPr>
              <w:pStyle w:val="TBLHeading"/>
              <w:jc w:val="center"/>
            </w:pPr>
            <w:r w:rsidRPr="00B377C3">
              <w:t>2024</w:t>
            </w:r>
          </w:p>
        </w:tc>
        <w:tc>
          <w:tcPr>
            <w:tcW w:w="929" w:type="dxa"/>
            <w:vAlign w:val="center"/>
          </w:tcPr>
          <w:p w14:paraId="35D217EA" w14:textId="77777777" w:rsidR="00E33111" w:rsidRDefault="00E33111" w:rsidP="00993010">
            <w:pPr>
              <w:pStyle w:val="TBLHeading"/>
              <w:jc w:val="center"/>
            </w:pPr>
            <w:r w:rsidRPr="00B377C3">
              <w:t>2025</w:t>
            </w:r>
          </w:p>
        </w:tc>
        <w:tc>
          <w:tcPr>
            <w:tcW w:w="929" w:type="dxa"/>
            <w:vAlign w:val="center"/>
          </w:tcPr>
          <w:p w14:paraId="57EC2E18" w14:textId="77777777" w:rsidR="00E33111" w:rsidRDefault="00E33111" w:rsidP="00993010">
            <w:pPr>
              <w:pStyle w:val="TBLHeading"/>
              <w:jc w:val="center"/>
            </w:pPr>
            <w:r w:rsidRPr="00B377C3">
              <w:t>2026</w:t>
            </w:r>
          </w:p>
        </w:tc>
        <w:tc>
          <w:tcPr>
            <w:tcW w:w="929" w:type="dxa"/>
            <w:vAlign w:val="center"/>
          </w:tcPr>
          <w:p w14:paraId="1AB13081" w14:textId="77777777" w:rsidR="00E33111" w:rsidRDefault="00E33111" w:rsidP="00993010">
            <w:pPr>
              <w:pStyle w:val="TBLHeading"/>
              <w:jc w:val="center"/>
            </w:pPr>
            <w:r w:rsidRPr="00B377C3">
              <w:t>2027</w:t>
            </w:r>
          </w:p>
        </w:tc>
        <w:tc>
          <w:tcPr>
            <w:tcW w:w="929" w:type="dxa"/>
            <w:vAlign w:val="center"/>
          </w:tcPr>
          <w:p w14:paraId="1A9E79EA" w14:textId="77777777" w:rsidR="00E33111" w:rsidRDefault="00E33111" w:rsidP="00993010">
            <w:pPr>
              <w:pStyle w:val="TBLHeading"/>
              <w:jc w:val="center"/>
            </w:pPr>
            <w:r w:rsidRPr="00B377C3">
              <w:t>2028</w:t>
            </w:r>
          </w:p>
        </w:tc>
        <w:tc>
          <w:tcPr>
            <w:tcW w:w="929" w:type="dxa"/>
            <w:vAlign w:val="center"/>
          </w:tcPr>
          <w:p w14:paraId="4CB7D090" w14:textId="77777777" w:rsidR="00E33111" w:rsidRDefault="00E33111" w:rsidP="00993010">
            <w:pPr>
              <w:pStyle w:val="TBLHeading"/>
              <w:jc w:val="center"/>
            </w:pPr>
            <w:r w:rsidRPr="00B377C3">
              <w:t>2029</w:t>
            </w:r>
          </w:p>
        </w:tc>
        <w:tc>
          <w:tcPr>
            <w:tcW w:w="929" w:type="dxa"/>
            <w:vAlign w:val="center"/>
          </w:tcPr>
          <w:p w14:paraId="42C8F3E3" w14:textId="77777777" w:rsidR="00E33111" w:rsidRDefault="00E33111" w:rsidP="00993010">
            <w:pPr>
              <w:pStyle w:val="TBLHeading"/>
              <w:jc w:val="center"/>
            </w:pPr>
            <w:r w:rsidRPr="00B377C3">
              <w:t>2030</w:t>
            </w:r>
          </w:p>
        </w:tc>
        <w:tc>
          <w:tcPr>
            <w:tcW w:w="930" w:type="dxa"/>
            <w:vAlign w:val="center"/>
          </w:tcPr>
          <w:p w14:paraId="3241218F" w14:textId="77777777" w:rsidR="00E33111" w:rsidRDefault="00E33111" w:rsidP="00993010">
            <w:pPr>
              <w:pStyle w:val="TBLHeading"/>
              <w:jc w:val="center"/>
            </w:pPr>
            <w:r w:rsidRPr="00B377C3">
              <w:t>2031</w:t>
            </w:r>
          </w:p>
        </w:tc>
      </w:tr>
      <w:tr w:rsidR="00E33111" w14:paraId="7C8B9703" w14:textId="77777777" w:rsidTr="00993010">
        <w:trPr>
          <w:cnfStyle w:val="000000100000" w:firstRow="0" w:lastRow="0" w:firstColumn="0" w:lastColumn="0" w:oddVBand="0" w:evenVBand="0" w:oddHBand="1" w:evenHBand="0" w:firstRowFirstColumn="0" w:firstRowLastColumn="0" w:lastRowFirstColumn="0" w:lastRowLastColumn="0"/>
        </w:trPr>
        <w:tc>
          <w:tcPr>
            <w:tcW w:w="1276" w:type="dxa"/>
          </w:tcPr>
          <w:p w14:paraId="34F6BE95" w14:textId="77777777" w:rsidR="00E33111" w:rsidRDefault="00E33111" w:rsidP="00993010">
            <w:pPr>
              <w:pStyle w:val="TBLText"/>
            </w:pPr>
            <w:r>
              <w:t>Deaths prevented</w:t>
            </w:r>
          </w:p>
        </w:tc>
        <w:tc>
          <w:tcPr>
            <w:tcW w:w="929" w:type="dxa"/>
            <w:vAlign w:val="center"/>
          </w:tcPr>
          <w:p w14:paraId="78FA3BFB" w14:textId="77777777" w:rsidR="00E33111" w:rsidRDefault="00E33111" w:rsidP="00993010">
            <w:pPr>
              <w:pStyle w:val="TBLText"/>
              <w:jc w:val="center"/>
            </w:pPr>
            <w:r w:rsidRPr="00E23ECB">
              <w:t>1</w:t>
            </w:r>
          </w:p>
        </w:tc>
        <w:tc>
          <w:tcPr>
            <w:tcW w:w="929" w:type="dxa"/>
            <w:vAlign w:val="center"/>
          </w:tcPr>
          <w:p w14:paraId="32DC14EE" w14:textId="77777777" w:rsidR="00E33111" w:rsidRDefault="00E33111" w:rsidP="00993010">
            <w:pPr>
              <w:pStyle w:val="TBLText"/>
              <w:jc w:val="center"/>
            </w:pPr>
            <w:r w:rsidRPr="00E23ECB">
              <w:t>2</w:t>
            </w:r>
          </w:p>
        </w:tc>
        <w:tc>
          <w:tcPr>
            <w:tcW w:w="929" w:type="dxa"/>
            <w:vAlign w:val="center"/>
          </w:tcPr>
          <w:p w14:paraId="401BB4F8" w14:textId="77777777" w:rsidR="00E33111" w:rsidRDefault="00E33111" w:rsidP="00993010">
            <w:pPr>
              <w:pStyle w:val="TBLText"/>
              <w:jc w:val="center"/>
            </w:pPr>
            <w:r w:rsidRPr="00E23ECB">
              <w:t>3</w:t>
            </w:r>
          </w:p>
        </w:tc>
        <w:tc>
          <w:tcPr>
            <w:tcW w:w="929" w:type="dxa"/>
            <w:vAlign w:val="center"/>
          </w:tcPr>
          <w:p w14:paraId="01FA6504" w14:textId="77777777" w:rsidR="00E33111" w:rsidRDefault="00E33111" w:rsidP="00993010">
            <w:pPr>
              <w:pStyle w:val="TBLText"/>
              <w:jc w:val="center"/>
            </w:pPr>
            <w:r w:rsidRPr="00E23ECB">
              <w:t>3</w:t>
            </w:r>
          </w:p>
        </w:tc>
        <w:tc>
          <w:tcPr>
            <w:tcW w:w="929" w:type="dxa"/>
            <w:vAlign w:val="center"/>
          </w:tcPr>
          <w:p w14:paraId="7E01F289" w14:textId="77777777" w:rsidR="00E33111" w:rsidRDefault="00E33111" w:rsidP="00993010">
            <w:pPr>
              <w:pStyle w:val="TBLText"/>
              <w:jc w:val="center"/>
            </w:pPr>
            <w:r w:rsidRPr="00E23ECB">
              <w:t>3</w:t>
            </w:r>
          </w:p>
        </w:tc>
        <w:tc>
          <w:tcPr>
            <w:tcW w:w="929" w:type="dxa"/>
            <w:vAlign w:val="center"/>
          </w:tcPr>
          <w:p w14:paraId="2BC278CB" w14:textId="77777777" w:rsidR="00E33111" w:rsidRDefault="00E33111" w:rsidP="00993010">
            <w:pPr>
              <w:pStyle w:val="TBLText"/>
              <w:jc w:val="center"/>
            </w:pPr>
            <w:r w:rsidRPr="00E23ECB">
              <w:t>3</w:t>
            </w:r>
          </w:p>
        </w:tc>
        <w:tc>
          <w:tcPr>
            <w:tcW w:w="929" w:type="dxa"/>
            <w:vAlign w:val="center"/>
          </w:tcPr>
          <w:p w14:paraId="5EA0DA70" w14:textId="77777777" w:rsidR="00E33111" w:rsidRDefault="00E33111" w:rsidP="00993010">
            <w:pPr>
              <w:pStyle w:val="TBLText"/>
              <w:jc w:val="center"/>
            </w:pPr>
            <w:r w:rsidRPr="00E23ECB">
              <w:t>3</w:t>
            </w:r>
          </w:p>
        </w:tc>
        <w:tc>
          <w:tcPr>
            <w:tcW w:w="929" w:type="dxa"/>
            <w:vAlign w:val="center"/>
          </w:tcPr>
          <w:p w14:paraId="5BE8DA98" w14:textId="77777777" w:rsidR="00E33111" w:rsidRDefault="00E33111" w:rsidP="00993010">
            <w:pPr>
              <w:pStyle w:val="TBLText"/>
              <w:jc w:val="center"/>
            </w:pPr>
            <w:r w:rsidRPr="00E23ECB">
              <w:t>3</w:t>
            </w:r>
          </w:p>
        </w:tc>
        <w:tc>
          <w:tcPr>
            <w:tcW w:w="930" w:type="dxa"/>
            <w:vAlign w:val="center"/>
          </w:tcPr>
          <w:p w14:paraId="0F16E63E" w14:textId="77777777" w:rsidR="00E33111" w:rsidRDefault="00E33111" w:rsidP="00993010">
            <w:pPr>
              <w:pStyle w:val="TBLText"/>
              <w:jc w:val="center"/>
            </w:pPr>
            <w:r w:rsidRPr="00E23ECB">
              <w:t>3</w:t>
            </w:r>
          </w:p>
        </w:tc>
      </w:tr>
      <w:tr w:rsidR="00E33111" w14:paraId="71604D76" w14:textId="77777777" w:rsidTr="00993010">
        <w:tc>
          <w:tcPr>
            <w:tcW w:w="1276" w:type="dxa"/>
          </w:tcPr>
          <w:p w14:paraId="122D3AAA" w14:textId="77777777" w:rsidR="00E33111" w:rsidRDefault="00E33111" w:rsidP="00993010">
            <w:pPr>
              <w:pStyle w:val="TBLText"/>
            </w:pPr>
            <w:r>
              <w:t>VSL ($m)</w:t>
            </w:r>
          </w:p>
        </w:tc>
        <w:tc>
          <w:tcPr>
            <w:tcW w:w="929" w:type="dxa"/>
            <w:vAlign w:val="center"/>
          </w:tcPr>
          <w:p w14:paraId="6C3046E0"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131BE548"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3037AFD5"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63614C74"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26BEE252"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03FD3803"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245A84DD"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3FA7C77C" w14:textId="77777777" w:rsidR="00E33111" w:rsidRPr="0037353B" w:rsidRDefault="00E33111" w:rsidP="00993010">
            <w:pPr>
              <w:pStyle w:val="TBLText"/>
              <w:jc w:val="center"/>
              <w:rPr>
                <w:color w:val="1C2B39" w:themeColor="text1"/>
              </w:rPr>
            </w:pPr>
            <w:r w:rsidRPr="00E23ECB">
              <w:t>5.4</w:t>
            </w:r>
          </w:p>
        </w:tc>
        <w:tc>
          <w:tcPr>
            <w:tcW w:w="930" w:type="dxa"/>
            <w:vAlign w:val="center"/>
          </w:tcPr>
          <w:p w14:paraId="229CB88A" w14:textId="77777777" w:rsidR="00E33111" w:rsidRPr="0037353B" w:rsidRDefault="00E33111" w:rsidP="00993010">
            <w:pPr>
              <w:pStyle w:val="TBLText"/>
              <w:jc w:val="center"/>
              <w:rPr>
                <w:color w:val="1C2B39" w:themeColor="text1"/>
              </w:rPr>
            </w:pPr>
            <w:r w:rsidRPr="00E23ECB">
              <w:t>5.4</w:t>
            </w:r>
          </w:p>
        </w:tc>
      </w:tr>
      <w:tr w:rsidR="00E33111" w14:paraId="79D3F49A" w14:textId="77777777" w:rsidTr="00993010">
        <w:trPr>
          <w:cnfStyle w:val="000000100000" w:firstRow="0" w:lastRow="0" w:firstColumn="0" w:lastColumn="0" w:oddVBand="0" w:evenVBand="0" w:oddHBand="1" w:evenHBand="0" w:firstRowFirstColumn="0" w:firstRowLastColumn="0" w:lastRowFirstColumn="0" w:lastRowLastColumn="0"/>
        </w:trPr>
        <w:tc>
          <w:tcPr>
            <w:tcW w:w="1276" w:type="dxa"/>
          </w:tcPr>
          <w:p w14:paraId="1688A513" w14:textId="77777777" w:rsidR="00E33111" w:rsidRDefault="00E33111" w:rsidP="00993010">
            <w:pPr>
              <w:pStyle w:val="TBLText"/>
            </w:pPr>
            <w:r w:rsidRPr="00555896">
              <w:t>Benefits</w:t>
            </w:r>
            <w:r w:rsidRPr="003E3619">
              <w:rPr>
                <w:b/>
                <w:sz w:val="24"/>
                <w:vertAlign w:val="superscript"/>
              </w:rPr>
              <w:t>a</w:t>
            </w:r>
            <w:r w:rsidRPr="00555896">
              <w:rPr>
                <w:b/>
                <w:bCs/>
              </w:rPr>
              <w:t xml:space="preserve"> </w:t>
            </w:r>
            <w:r w:rsidRPr="00555896">
              <w:t>($m)</w:t>
            </w:r>
          </w:p>
        </w:tc>
        <w:tc>
          <w:tcPr>
            <w:tcW w:w="929" w:type="dxa"/>
            <w:vAlign w:val="center"/>
          </w:tcPr>
          <w:p w14:paraId="13319176"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6FA62140" w14:textId="77777777" w:rsidR="00E33111" w:rsidRPr="0037353B" w:rsidRDefault="00E33111" w:rsidP="00993010">
            <w:pPr>
              <w:pStyle w:val="TBLText"/>
              <w:jc w:val="center"/>
              <w:rPr>
                <w:color w:val="1C2B39" w:themeColor="text1"/>
              </w:rPr>
            </w:pPr>
            <w:r w:rsidRPr="00E23ECB">
              <w:t>10.8</w:t>
            </w:r>
          </w:p>
        </w:tc>
        <w:tc>
          <w:tcPr>
            <w:tcW w:w="929" w:type="dxa"/>
            <w:vAlign w:val="center"/>
          </w:tcPr>
          <w:p w14:paraId="535675BB" w14:textId="77777777" w:rsidR="00E33111" w:rsidRPr="0037353B" w:rsidRDefault="00E33111" w:rsidP="00993010">
            <w:pPr>
              <w:pStyle w:val="TBLText"/>
              <w:jc w:val="center"/>
              <w:rPr>
                <w:color w:val="1C2B39" w:themeColor="text1"/>
              </w:rPr>
            </w:pPr>
            <w:r w:rsidRPr="00E23ECB">
              <w:t>16.2</w:t>
            </w:r>
          </w:p>
        </w:tc>
        <w:tc>
          <w:tcPr>
            <w:tcW w:w="929" w:type="dxa"/>
            <w:vAlign w:val="center"/>
          </w:tcPr>
          <w:p w14:paraId="36EF6CE9" w14:textId="77777777" w:rsidR="00E33111" w:rsidRPr="0037353B" w:rsidRDefault="00E33111" w:rsidP="00993010">
            <w:pPr>
              <w:pStyle w:val="TBLText"/>
              <w:jc w:val="center"/>
              <w:rPr>
                <w:color w:val="1C2B39" w:themeColor="text1"/>
              </w:rPr>
            </w:pPr>
            <w:r w:rsidRPr="00E23ECB">
              <w:t>16.2</w:t>
            </w:r>
          </w:p>
        </w:tc>
        <w:tc>
          <w:tcPr>
            <w:tcW w:w="929" w:type="dxa"/>
            <w:vAlign w:val="center"/>
          </w:tcPr>
          <w:p w14:paraId="1A3208A7" w14:textId="77777777" w:rsidR="00E33111" w:rsidRPr="0037353B" w:rsidRDefault="00E33111" w:rsidP="00993010">
            <w:pPr>
              <w:pStyle w:val="TBLText"/>
              <w:jc w:val="center"/>
              <w:rPr>
                <w:color w:val="1C2B39" w:themeColor="text1"/>
              </w:rPr>
            </w:pPr>
            <w:r w:rsidRPr="00E23ECB">
              <w:t>16.2</w:t>
            </w:r>
          </w:p>
        </w:tc>
        <w:tc>
          <w:tcPr>
            <w:tcW w:w="929" w:type="dxa"/>
            <w:vAlign w:val="center"/>
          </w:tcPr>
          <w:p w14:paraId="0C82B8A0" w14:textId="77777777" w:rsidR="00E33111" w:rsidRPr="0037353B" w:rsidRDefault="00E33111" w:rsidP="00993010">
            <w:pPr>
              <w:pStyle w:val="TBLText"/>
              <w:jc w:val="center"/>
              <w:rPr>
                <w:color w:val="1C2B39" w:themeColor="text1"/>
              </w:rPr>
            </w:pPr>
            <w:r w:rsidRPr="00E23ECB">
              <w:t>16.2</w:t>
            </w:r>
          </w:p>
        </w:tc>
        <w:tc>
          <w:tcPr>
            <w:tcW w:w="929" w:type="dxa"/>
            <w:vAlign w:val="center"/>
          </w:tcPr>
          <w:p w14:paraId="0DF19052" w14:textId="77777777" w:rsidR="00E33111" w:rsidRPr="0037353B" w:rsidRDefault="00E33111" w:rsidP="00993010">
            <w:pPr>
              <w:pStyle w:val="TBLText"/>
              <w:jc w:val="center"/>
              <w:rPr>
                <w:color w:val="1C2B39" w:themeColor="text1"/>
              </w:rPr>
            </w:pPr>
            <w:r w:rsidRPr="00E23ECB">
              <w:t>16.2</w:t>
            </w:r>
          </w:p>
        </w:tc>
        <w:tc>
          <w:tcPr>
            <w:tcW w:w="929" w:type="dxa"/>
            <w:vAlign w:val="center"/>
          </w:tcPr>
          <w:p w14:paraId="073A4421" w14:textId="77777777" w:rsidR="00E33111" w:rsidRPr="0037353B" w:rsidRDefault="00E33111" w:rsidP="00993010">
            <w:pPr>
              <w:pStyle w:val="TBLText"/>
              <w:jc w:val="center"/>
              <w:rPr>
                <w:color w:val="1C2B39" w:themeColor="text1"/>
              </w:rPr>
            </w:pPr>
            <w:r w:rsidRPr="00E23ECB">
              <w:t>16.2</w:t>
            </w:r>
          </w:p>
        </w:tc>
        <w:tc>
          <w:tcPr>
            <w:tcW w:w="930" w:type="dxa"/>
            <w:vAlign w:val="center"/>
          </w:tcPr>
          <w:p w14:paraId="61544B27" w14:textId="77777777" w:rsidR="00E33111" w:rsidRPr="0037353B" w:rsidRDefault="00E33111" w:rsidP="00993010">
            <w:pPr>
              <w:pStyle w:val="TBLText"/>
              <w:jc w:val="center"/>
              <w:rPr>
                <w:color w:val="1C2B39" w:themeColor="text1"/>
              </w:rPr>
            </w:pPr>
            <w:r w:rsidRPr="00E23ECB">
              <w:t>16.2</w:t>
            </w:r>
          </w:p>
        </w:tc>
      </w:tr>
      <w:tr w:rsidR="00E33111" w14:paraId="3DBBA07B" w14:textId="77777777" w:rsidTr="00993010">
        <w:tc>
          <w:tcPr>
            <w:tcW w:w="1276" w:type="dxa"/>
          </w:tcPr>
          <w:p w14:paraId="535BA531" w14:textId="77777777" w:rsidR="00E33111" w:rsidRDefault="00E33111" w:rsidP="00993010">
            <w:pPr>
              <w:pStyle w:val="TBLText"/>
            </w:pPr>
            <w:r>
              <w:t>Costs ($m)</w:t>
            </w:r>
          </w:p>
        </w:tc>
        <w:tc>
          <w:tcPr>
            <w:tcW w:w="929" w:type="dxa"/>
            <w:vAlign w:val="center"/>
          </w:tcPr>
          <w:p w14:paraId="7DDD1C58" w14:textId="77777777" w:rsidR="00E33111" w:rsidRPr="0037353B" w:rsidRDefault="00E33111" w:rsidP="00993010">
            <w:pPr>
              <w:pStyle w:val="TBLText"/>
              <w:jc w:val="center"/>
              <w:rPr>
                <w:color w:val="1C2B39" w:themeColor="text1"/>
              </w:rPr>
            </w:pPr>
            <w:r w:rsidRPr="00E23ECB">
              <w:t>5.0</w:t>
            </w:r>
          </w:p>
        </w:tc>
        <w:tc>
          <w:tcPr>
            <w:tcW w:w="929" w:type="dxa"/>
            <w:vAlign w:val="center"/>
          </w:tcPr>
          <w:p w14:paraId="26954A1D" w14:textId="77777777" w:rsidR="00E33111" w:rsidRPr="0037353B" w:rsidRDefault="00E33111" w:rsidP="00993010">
            <w:pPr>
              <w:pStyle w:val="TBLText"/>
              <w:jc w:val="center"/>
              <w:rPr>
                <w:color w:val="1C2B39" w:themeColor="text1"/>
              </w:rPr>
            </w:pPr>
            <w:r w:rsidRPr="00E23ECB">
              <w:t>5.0</w:t>
            </w:r>
          </w:p>
        </w:tc>
        <w:tc>
          <w:tcPr>
            <w:tcW w:w="929" w:type="dxa"/>
            <w:vAlign w:val="center"/>
          </w:tcPr>
          <w:p w14:paraId="484914F9" w14:textId="77777777" w:rsidR="00E33111" w:rsidRPr="0037353B" w:rsidRDefault="00E33111" w:rsidP="00993010">
            <w:pPr>
              <w:pStyle w:val="TBLText"/>
              <w:jc w:val="center"/>
              <w:rPr>
                <w:color w:val="1C2B39" w:themeColor="text1"/>
              </w:rPr>
            </w:pPr>
            <w:r w:rsidRPr="00E23ECB">
              <w:t>2.0</w:t>
            </w:r>
          </w:p>
        </w:tc>
        <w:tc>
          <w:tcPr>
            <w:tcW w:w="929" w:type="dxa"/>
            <w:vAlign w:val="center"/>
          </w:tcPr>
          <w:p w14:paraId="36B67783" w14:textId="77777777" w:rsidR="00E33111" w:rsidRPr="0037353B" w:rsidRDefault="00E33111" w:rsidP="00993010">
            <w:pPr>
              <w:pStyle w:val="TBLText"/>
              <w:jc w:val="center"/>
              <w:rPr>
                <w:color w:val="1C2B39" w:themeColor="text1"/>
              </w:rPr>
            </w:pPr>
            <w:r w:rsidRPr="00E23ECB">
              <w:t>2.0</w:t>
            </w:r>
          </w:p>
        </w:tc>
        <w:tc>
          <w:tcPr>
            <w:tcW w:w="929" w:type="dxa"/>
            <w:vAlign w:val="center"/>
          </w:tcPr>
          <w:p w14:paraId="1113BB61" w14:textId="77777777" w:rsidR="00E33111" w:rsidRPr="0037353B" w:rsidRDefault="00E33111" w:rsidP="00993010">
            <w:pPr>
              <w:pStyle w:val="TBLText"/>
              <w:jc w:val="center"/>
              <w:rPr>
                <w:color w:val="1C2B39" w:themeColor="text1"/>
              </w:rPr>
            </w:pPr>
            <w:r w:rsidRPr="00E23ECB">
              <w:t>2.0</w:t>
            </w:r>
          </w:p>
        </w:tc>
        <w:tc>
          <w:tcPr>
            <w:tcW w:w="929" w:type="dxa"/>
            <w:vAlign w:val="center"/>
          </w:tcPr>
          <w:p w14:paraId="3D082319" w14:textId="77777777" w:rsidR="00E33111" w:rsidRPr="0037353B" w:rsidRDefault="00E33111" w:rsidP="00993010">
            <w:pPr>
              <w:pStyle w:val="TBLText"/>
              <w:jc w:val="center"/>
              <w:rPr>
                <w:color w:val="1C2B39" w:themeColor="text1"/>
              </w:rPr>
            </w:pPr>
            <w:r w:rsidRPr="00E23ECB">
              <w:t>2.0</w:t>
            </w:r>
          </w:p>
        </w:tc>
        <w:tc>
          <w:tcPr>
            <w:tcW w:w="929" w:type="dxa"/>
            <w:vAlign w:val="center"/>
          </w:tcPr>
          <w:p w14:paraId="7C374C05" w14:textId="77777777" w:rsidR="00E33111" w:rsidRPr="0037353B" w:rsidRDefault="00E33111" w:rsidP="00993010">
            <w:pPr>
              <w:pStyle w:val="TBLText"/>
              <w:jc w:val="center"/>
              <w:rPr>
                <w:color w:val="1C2B39" w:themeColor="text1"/>
              </w:rPr>
            </w:pPr>
            <w:r w:rsidRPr="00E23ECB">
              <w:t>2.0</w:t>
            </w:r>
          </w:p>
        </w:tc>
        <w:tc>
          <w:tcPr>
            <w:tcW w:w="929" w:type="dxa"/>
            <w:vAlign w:val="center"/>
          </w:tcPr>
          <w:p w14:paraId="706C6921" w14:textId="77777777" w:rsidR="00E33111" w:rsidRPr="0037353B" w:rsidRDefault="00E33111" w:rsidP="00993010">
            <w:pPr>
              <w:pStyle w:val="TBLText"/>
              <w:jc w:val="center"/>
              <w:rPr>
                <w:color w:val="1C2B39" w:themeColor="text1"/>
              </w:rPr>
            </w:pPr>
            <w:r w:rsidRPr="00E23ECB">
              <w:t>2.0</w:t>
            </w:r>
          </w:p>
        </w:tc>
        <w:tc>
          <w:tcPr>
            <w:tcW w:w="930" w:type="dxa"/>
            <w:vAlign w:val="center"/>
          </w:tcPr>
          <w:p w14:paraId="0A0A0702" w14:textId="77777777" w:rsidR="00E33111" w:rsidRPr="0037353B" w:rsidRDefault="00E33111" w:rsidP="00993010">
            <w:pPr>
              <w:pStyle w:val="TBLText"/>
              <w:jc w:val="center"/>
              <w:rPr>
                <w:color w:val="1C2B39" w:themeColor="text1"/>
              </w:rPr>
            </w:pPr>
            <w:r w:rsidRPr="00E23ECB">
              <w:t>2.0</w:t>
            </w:r>
          </w:p>
        </w:tc>
      </w:tr>
      <w:tr w:rsidR="00E33111" w14:paraId="14732E04" w14:textId="77777777" w:rsidTr="00993010">
        <w:trPr>
          <w:cnfStyle w:val="000000100000" w:firstRow="0" w:lastRow="0" w:firstColumn="0" w:lastColumn="0" w:oddVBand="0" w:evenVBand="0" w:oddHBand="1" w:evenHBand="0" w:firstRowFirstColumn="0" w:firstRowLastColumn="0" w:lastRowFirstColumn="0" w:lastRowLastColumn="0"/>
        </w:trPr>
        <w:tc>
          <w:tcPr>
            <w:tcW w:w="1276" w:type="dxa"/>
          </w:tcPr>
          <w:p w14:paraId="620876D5" w14:textId="77777777" w:rsidR="00E33111" w:rsidRDefault="00E33111" w:rsidP="00993010">
            <w:pPr>
              <w:pStyle w:val="TBLText"/>
            </w:pPr>
            <w:r>
              <w:t>Net Benefit ($m)</w:t>
            </w:r>
          </w:p>
        </w:tc>
        <w:tc>
          <w:tcPr>
            <w:tcW w:w="929" w:type="dxa"/>
            <w:vAlign w:val="center"/>
          </w:tcPr>
          <w:p w14:paraId="79C3B5A6" w14:textId="77777777" w:rsidR="00E33111" w:rsidRPr="0037353B" w:rsidRDefault="00E33111" w:rsidP="00993010">
            <w:pPr>
              <w:pStyle w:val="TBLText"/>
              <w:jc w:val="center"/>
              <w:rPr>
                <w:color w:val="1C2B39" w:themeColor="text1"/>
              </w:rPr>
            </w:pPr>
            <w:r w:rsidRPr="00E23ECB">
              <w:t>0.4</w:t>
            </w:r>
          </w:p>
        </w:tc>
        <w:tc>
          <w:tcPr>
            <w:tcW w:w="929" w:type="dxa"/>
            <w:vAlign w:val="center"/>
          </w:tcPr>
          <w:p w14:paraId="641C8D33" w14:textId="77777777" w:rsidR="00E33111" w:rsidRPr="0037353B" w:rsidRDefault="00E33111" w:rsidP="00993010">
            <w:pPr>
              <w:pStyle w:val="TBLText"/>
              <w:jc w:val="center"/>
              <w:rPr>
                <w:color w:val="1C2B39" w:themeColor="text1"/>
              </w:rPr>
            </w:pPr>
            <w:r w:rsidRPr="00E23ECB">
              <w:t>5.8</w:t>
            </w:r>
          </w:p>
        </w:tc>
        <w:tc>
          <w:tcPr>
            <w:tcW w:w="929" w:type="dxa"/>
            <w:vAlign w:val="center"/>
          </w:tcPr>
          <w:p w14:paraId="3661CCF2" w14:textId="77777777" w:rsidR="00E33111" w:rsidRPr="0037353B" w:rsidRDefault="00E33111" w:rsidP="00993010">
            <w:pPr>
              <w:pStyle w:val="TBLText"/>
              <w:jc w:val="center"/>
              <w:rPr>
                <w:color w:val="1C2B39" w:themeColor="text1"/>
              </w:rPr>
            </w:pPr>
            <w:r w:rsidRPr="00E23ECB">
              <w:t>14.2</w:t>
            </w:r>
          </w:p>
        </w:tc>
        <w:tc>
          <w:tcPr>
            <w:tcW w:w="929" w:type="dxa"/>
            <w:vAlign w:val="center"/>
          </w:tcPr>
          <w:p w14:paraId="61003D93" w14:textId="77777777" w:rsidR="00E33111" w:rsidRPr="0037353B" w:rsidRDefault="00E33111" w:rsidP="00993010">
            <w:pPr>
              <w:pStyle w:val="TBLText"/>
              <w:jc w:val="center"/>
              <w:rPr>
                <w:color w:val="1C2B39" w:themeColor="text1"/>
              </w:rPr>
            </w:pPr>
            <w:r w:rsidRPr="00E23ECB">
              <w:t>14.2</w:t>
            </w:r>
          </w:p>
        </w:tc>
        <w:tc>
          <w:tcPr>
            <w:tcW w:w="929" w:type="dxa"/>
            <w:vAlign w:val="center"/>
          </w:tcPr>
          <w:p w14:paraId="61470C30" w14:textId="77777777" w:rsidR="00E33111" w:rsidRPr="0037353B" w:rsidRDefault="00E33111" w:rsidP="00993010">
            <w:pPr>
              <w:pStyle w:val="TBLText"/>
              <w:jc w:val="center"/>
              <w:rPr>
                <w:color w:val="1C2B39" w:themeColor="text1"/>
              </w:rPr>
            </w:pPr>
            <w:r w:rsidRPr="00E23ECB">
              <w:t>14.2</w:t>
            </w:r>
          </w:p>
        </w:tc>
        <w:tc>
          <w:tcPr>
            <w:tcW w:w="929" w:type="dxa"/>
            <w:vAlign w:val="center"/>
          </w:tcPr>
          <w:p w14:paraId="7DAB7AD4" w14:textId="77777777" w:rsidR="00E33111" w:rsidRPr="0037353B" w:rsidRDefault="00E33111" w:rsidP="00993010">
            <w:pPr>
              <w:pStyle w:val="TBLText"/>
              <w:jc w:val="center"/>
              <w:rPr>
                <w:color w:val="1C2B39" w:themeColor="text1"/>
              </w:rPr>
            </w:pPr>
            <w:r w:rsidRPr="00E23ECB">
              <w:t>14.2</w:t>
            </w:r>
          </w:p>
        </w:tc>
        <w:tc>
          <w:tcPr>
            <w:tcW w:w="929" w:type="dxa"/>
            <w:vAlign w:val="center"/>
          </w:tcPr>
          <w:p w14:paraId="36941EB6" w14:textId="77777777" w:rsidR="00E33111" w:rsidRPr="0037353B" w:rsidRDefault="00E33111" w:rsidP="00993010">
            <w:pPr>
              <w:pStyle w:val="TBLText"/>
              <w:jc w:val="center"/>
              <w:rPr>
                <w:color w:val="1C2B39" w:themeColor="text1"/>
              </w:rPr>
            </w:pPr>
            <w:r w:rsidRPr="00E23ECB">
              <w:t>14.2</w:t>
            </w:r>
          </w:p>
        </w:tc>
        <w:tc>
          <w:tcPr>
            <w:tcW w:w="929" w:type="dxa"/>
            <w:vAlign w:val="center"/>
          </w:tcPr>
          <w:p w14:paraId="6B6B0428" w14:textId="77777777" w:rsidR="00E33111" w:rsidRPr="0037353B" w:rsidRDefault="00E33111" w:rsidP="00993010">
            <w:pPr>
              <w:pStyle w:val="TBLText"/>
              <w:jc w:val="center"/>
              <w:rPr>
                <w:color w:val="1C2B39" w:themeColor="text1"/>
              </w:rPr>
            </w:pPr>
            <w:r w:rsidRPr="00E23ECB">
              <w:t>14.2</w:t>
            </w:r>
          </w:p>
        </w:tc>
        <w:tc>
          <w:tcPr>
            <w:tcW w:w="930" w:type="dxa"/>
            <w:vAlign w:val="center"/>
          </w:tcPr>
          <w:p w14:paraId="038B5CC9" w14:textId="77777777" w:rsidR="00E33111" w:rsidRPr="0037353B" w:rsidRDefault="00E33111" w:rsidP="00993010">
            <w:pPr>
              <w:pStyle w:val="TBLText"/>
              <w:jc w:val="center"/>
              <w:rPr>
                <w:color w:val="1C2B39" w:themeColor="text1"/>
              </w:rPr>
            </w:pPr>
            <w:r w:rsidRPr="00E23ECB">
              <w:t>14.2</w:t>
            </w:r>
          </w:p>
        </w:tc>
      </w:tr>
      <w:tr w:rsidR="00E33111" w14:paraId="2530D417" w14:textId="77777777" w:rsidTr="00993010">
        <w:tc>
          <w:tcPr>
            <w:tcW w:w="1276" w:type="dxa"/>
          </w:tcPr>
          <w:p w14:paraId="21B8FC43" w14:textId="77777777" w:rsidR="00E33111" w:rsidRDefault="00E33111" w:rsidP="00993010">
            <w:pPr>
              <w:pStyle w:val="TBLText"/>
            </w:pPr>
            <w:r>
              <w:t>Discount factor</w:t>
            </w:r>
          </w:p>
        </w:tc>
        <w:tc>
          <w:tcPr>
            <w:tcW w:w="929" w:type="dxa"/>
            <w:vAlign w:val="center"/>
          </w:tcPr>
          <w:p w14:paraId="50B261A4" w14:textId="77777777" w:rsidR="00E33111" w:rsidRPr="0037353B" w:rsidRDefault="00E33111" w:rsidP="00993010">
            <w:pPr>
              <w:pStyle w:val="TBLText"/>
              <w:jc w:val="center"/>
              <w:rPr>
                <w:color w:val="1C2B39" w:themeColor="text1"/>
              </w:rPr>
            </w:pPr>
            <w:r w:rsidRPr="00E23ECB">
              <w:t>1</w:t>
            </w:r>
          </w:p>
        </w:tc>
        <w:tc>
          <w:tcPr>
            <w:tcW w:w="929" w:type="dxa"/>
            <w:vAlign w:val="center"/>
          </w:tcPr>
          <w:p w14:paraId="6658BF78" w14:textId="77777777" w:rsidR="00E33111" w:rsidRPr="0037353B" w:rsidRDefault="00E33111" w:rsidP="00993010">
            <w:pPr>
              <w:pStyle w:val="TBLText"/>
              <w:jc w:val="center"/>
              <w:rPr>
                <w:color w:val="1C2B39" w:themeColor="text1"/>
              </w:rPr>
            </w:pPr>
            <w:r w:rsidRPr="00E23ECB">
              <w:t>1.07</w:t>
            </w:r>
          </w:p>
        </w:tc>
        <w:tc>
          <w:tcPr>
            <w:tcW w:w="929" w:type="dxa"/>
            <w:vAlign w:val="center"/>
          </w:tcPr>
          <w:p w14:paraId="75B65833" w14:textId="77777777" w:rsidR="00E33111" w:rsidRPr="0037353B" w:rsidRDefault="00E33111" w:rsidP="00993010">
            <w:pPr>
              <w:pStyle w:val="TBLText"/>
              <w:jc w:val="center"/>
              <w:rPr>
                <w:color w:val="1C2B39" w:themeColor="text1"/>
              </w:rPr>
            </w:pPr>
            <w:r w:rsidRPr="00E23ECB">
              <w:t>1.14</w:t>
            </w:r>
          </w:p>
        </w:tc>
        <w:tc>
          <w:tcPr>
            <w:tcW w:w="929" w:type="dxa"/>
            <w:vAlign w:val="center"/>
          </w:tcPr>
          <w:p w14:paraId="6F629529" w14:textId="77777777" w:rsidR="00E33111" w:rsidRPr="0037353B" w:rsidRDefault="00E33111" w:rsidP="00993010">
            <w:pPr>
              <w:pStyle w:val="TBLText"/>
              <w:jc w:val="center"/>
              <w:rPr>
                <w:color w:val="1C2B39" w:themeColor="text1"/>
              </w:rPr>
            </w:pPr>
            <w:r w:rsidRPr="00E23ECB">
              <w:t>1.23</w:t>
            </w:r>
          </w:p>
        </w:tc>
        <w:tc>
          <w:tcPr>
            <w:tcW w:w="929" w:type="dxa"/>
            <w:vAlign w:val="center"/>
          </w:tcPr>
          <w:p w14:paraId="340130D1" w14:textId="77777777" w:rsidR="00E33111" w:rsidRPr="0037353B" w:rsidRDefault="00E33111" w:rsidP="00993010">
            <w:pPr>
              <w:pStyle w:val="TBLText"/>
              <w:jc w:val="center"/>
              <w:rPr>
                <w:color w:val="1C2B39" w:themeColor="text1"/>
              </w:rPr>
            </w:pPr>
            <w:r w:rsidRPr="00E23ECB">
              <w:t>1.31</w:t>
            </w:r>
          </w:p>
        </w:tc>
        <w:tc>
          <w:tcPr>
            <w:tcW w:w="929" w:type="dxa"/>
            <w:vAlign w:val="center"/>
          </w:tcPr>
          <w:p w14:paraId="2CBAA38F" w14:textId="77777777" w:rsidR="00E33111" w:rsidRPr="0037353B" w:rsidRDefault="00E33111" w:rsidP="00993010">
            <w:pPr>
              <w:pStyle w:val="TBLText"/>
              <w:jc w:val="center"/>
              <w:rPr>
                <w:color w:val="1C2B39" w:themeColor="text1"/>
              </w:rPr>
            </w:pPr>
            <w:r w:rsidRPr="00E23ECB">
              <w:t>1.40</w:t>
            </w:r>
          </w:p>
        </w:tc>
        <w:tc>
          <w:tcPr>
            <w:tcW w:w="929" w:type="dxa"/>
            <w:vAlign w:val="center"/>
          </w:tcPr>
          <w:p w14:paraId="0F21726E" w14:textId="77777777" w:rsidR="00E33111" w:rsidRPr="0037353B" w:rsidRDefault="00E33111" w:rsidP="00993010">
            <w:pPr>
              <w:pStyle w:val="TBLText"/>
              <w:jc w:val="center"/>
              <w:rPr>
                <w:color w:val="1C2B39" w:themeColor="text1"/>
              </w:rPr>
            </w:pPr>
            <w:r w:rsidRPr="00E23ECB">
              <w:t>1.50</w:t>
            </w:r>
          </w:p>
        </w:tc>
        <w:tc>
          <w:tcPr>
            <w:tcW w:w="929" w:type="dxa"/>
            <w:vAlign w:val="center"/>
          </w:tcPr>
          <w:p w14:paraId="112F9266" w14:textId="77777777" w:rsidR="00E33111" w:rsidRPr="0037353B" w:rsidRDefault="00E33111" w:rsidP="00993010">
            <w:pPr>
              <w:pStyle w:val="TBLText"/>
              <w:jc w:val="center"/>
              <w:rPr>
                <w:color w:val="1C2B39" w:themeColor="text1"/>
              </w:rPr>
            </w:pPr>
            <w:r w:rsidRPr="00E23ECB">
              <w:t>1.61</w:t>
            </w:r>
          </w:p>
        </w:tc>
        <w:tc>
          <w:tcPr>
            <w:tcW w:w="930" w:type="dxa"/>
            <w:vAlign w:val="center"/>
          </w:tcPr>
          <w:p w14:paraId="690FFB84" w14:textId="77777777" w:rsidR="00E33111" w:rsidRPr="0037353B" w:rsidRDefault="00E33111" w:rsidP="00993010">
            <w:pPr>
              <w:pStyle w:val="TBLText"/>
              <w:jc w:val="center"/>
              <w:rPr>
                <w:color w:val="1C2B39" w:themeColor="text1"/>
              </w:rPr>
            </w:pPr>
            <w:r w:rsidRPr="00E23ECB">
              <w:t>1.72</w:t>
            </w:r>
          </w:p>
        </w:tc>
      </w:tr>
      <w:tr w:rsidR="00E33111" w14:paraId="77365BA6" w14:textId="77777777" w:rsidTr="00993010">
        <w:trPr>
          <w:cnfStyle w:val="000000100000" w:firstRow="0" w:lastRow="0" w:firstColumn="0" w:lastColumn="0" w:oddVBand="0" w:evenVBand="0" w:oddHBand="1" w:evenHBand="0" w:firstRowFirstColumn="0" w:firstRowLastColumn="0" w:lastRowFirstColumn="0" w:lastRowLastColumn="0"/>
        </w:trPr>
        <w:tc>
          <w:tcPr>
            <w:tcW w:w="1276" w:type="dxa"/>
          </w:tcPr>
          <w:p w14:paraId="5D4547BA" w14:textId="77777777" w:rsidR="00E33111" w:rsidRDefault="00E33111" w:rsidP="00993010">
            <w:pPr>
              <w:pStyle w:val="TBLText"/>
            </w:pPr>
            <w:r>
              <w:t>Discounted benefit</w:t>
            </w:r>
            <w:r w:rsidRPr="003E3619">
              <w:rPr>
                <w:b/>
                <w:sz w:val="24"/>
                <w:vertAlign w:val="superscript"/>
              </w:rPr>
              <w:t>b</w:t>
            </w:r>
          </w:p>
        </w:tc>
        <w:tc>
          <w:tcPr>
            <w:tcW w:w="929" w:type="dxa"/>
            <w:vAlign w:val="center"/>
          </w:tcPr>
          <w:p w14:paraId="45DD8E73" w14:textId="77777777" w:rsidR="00E33111" w:rsidRPr="0037353B" w:rsidRDefault="00E33111" w:rsidP="00993010">
            <w:pPr>
              <w:pStyle w:val="TBLText"/>
              <w:jc w:val="center"/>
              <w:rPr>
                <w:color w:val="1C2B39" w:themeColor="text1"/>
              </w:rPr>
            </w:pPr>
            <w:r w:rsidRPr="00E23ECB">
              <w:t>0.4</w:t>
            </w:r>
          </w:p>
        </w:tc>
        <w:tc>
          <w:tcPr>
            <w:tcW w:w="929" w:type="dxa"/>
            <w:vAlign w:val="center"/>
          </w:tcPr>
          <w:p w14:paraId="5FAEB07C" w14:textId="77777777" w:rsidR="00E33111" w:rsidRPr="0037353B" w:rsidRDefault="00E33111" w:rsidP="00993010">
            <w:pPr>
              <w:pStyle w:val="TBLText"/>
              <w:jc w:val="center"/>
              <w:rPr>
                <w:color w:val="1C2B39" w:themeColor="text1"/>
              </w:rPr>
            </w:pPr>
            <w:r w:rsidRPr="00E23ECB">
              <w:t>5.4</w:t>
            </w:r>
          </w:p>
        </w:tc>
        <w:tc>
          <w:tcPr>
            <w:tcW w:w="929" w:type="dxa"/>
            <w:vAlign w:val="center"/>
          </w:tcPr>
          <w:p w14:paraId="4BB575AA" w14:textId="77777777" w:rsidR="00E33111" w:rsidRPr="0037353B" w:rsidRDefault="00E33111" w:rsidP="00993010">
            <w:pPr>
              <w:pStyle w:val="TBLText"/>
              <w:jc w:val="center"/>
              <w:rPr>
                <w:color w:val="1C2B39" w:themeColor="text1"/>
              </w:rPr>
            </w:pPr>
            <w:r w:rsidRPr="00E23ECB">
              <w:t>12.4</w:t>
            </w:r>
          </w:p>
        </w:tc>
        <w:tc>
          <w:tcPr>
            <w:tcW w:w="929" w:type="dxa"/>
            <w:vAlign w:val="center"/>
          </w:tcPr>
          <w:p w14:paraId="0B6FD4D3" w14:textId="77777777" w:rsidR="00E33111" w:rsidRPr="0037353B" w:rsidRDefault="00E33111" w:rsidP="00993010">
            <w:pPr>
              <w:pStyle w:val="TBLText"/>
              <w:jc w:val="center"/>
              <w:rPr>
                <w:color w:val="1C2B39" w:themeColor="text1"/>
              </w:rPr>
            </w:pPr>
            <w:r w:rsidRPr="00E23ECB">
              <w:t>11.6</w:t>
            </w:r>
          </w:p>
        </w:tc>
        <w:tc>
          <w:tcPr>
            <w:tcW w:w="929" w:type="dxa"/>
            <w:vAlign w:val="center"/>
          </w:tcPr>
          <w:p w14:paraId="5C4462DD" w14:textId="77777777" w:rsidR="00E33111" w:rsidRPr="0037353B" w:rsidRDefault="00E33111" w:rsidP="00993010">
            <w:pPr>
              <w:pStyle w:val="TBLText"/>
              <w:jc w:val="center"/>
              <w:rPr>
                <w:color w:val="1C2B39" w:themeColor="text1"/>
              </w:rPr>
            </w:pPr>
            <w:r w:rsidRPr="00E23ECB">
              <w:t>10.8</w:t>
            </w:r>
          </w:p>
        </w:tc>
        <w:tc>
          <w:tcPr>
            <w:tcW w:w="929" w:type="dxa"/>
            <w:vAlign w:val="center"/>
          </w:tcPr>
          <w:p w14:paraId="4691ABAD" w14:textId="77777777" w:rsidR="00E33111" w:rsidRPr="0037353B" w:rsidRDefault="00E33111" w:rsidP="00993010">
            <w:pPr>
              <w:pStyle w:val="TBLText"/>
              <w:jc w:val="center"/>
              <w:rPr>
                <w:color w:val="1C2B39" w:themeColor="text1"/>
              </w:rPr>
            </w:pPr>
            <w:r w:rsidRPr="00E23ECB">
              <w:t>10.1</w:t>
            </w:r>
          </w:p>
        </w:tc>
        <w:tc>
          <w:tcPr>
            <w:tcW w:w="929" w:type="dxa"/>
            <w:vAlign w:val="center"/>
          </w:tcPr>
          <w:p w14:paraId="5D73DB32" w14:textId="77777777" w:rsidR="00E33111" w:rsidRPr="0037353B" w:rsidRDefault="00E33111" w:rsidP="00993010">
            <w:pPr>
              <w:pStyle w:val="TBLText"/>
              <w:jc w:val="center"/>
              <w:rPr>
                <w:color w:val="1C2B39" w:themeColor="text1"/>
              </w:rPr>
            </w:pPr>
            <w:r w:rsidRPr="00E23ECB">
              <w:t>9.5</w:t>
            </w:r>
          </w:p>
        </w:tc>
        <w:tc>
          <w:tcPr>
            <w:tcW w:w="929" w:type="dxa"/>
            <w:vAlign w:val="center"/>
          </w:tcPr>
          <w:p w14:paraId="40ACF4B7" w14:textId="77777777" w:rsidR="00E33111" w:rsidRPr="0037353B" w:rsidRDefault="00E33111" w:rsidP="00993010">
            <w:pPr>
              <w:pStyle w:val="TBLText"/>
              <w:jc w:val="center"/>
              <w:rPr>
                <w:color w:val="1C2B39" w:themeColor="text1"/>
              </w:rPr>
            </w:pPr>
            <w:r w:rsidRPr="00E23ECB">
              <w:t>8.8</w:t>
            </w:r>
          </w:p>
        </w:tc>
        <w:tc>
          <w:tcPr>
            <w:tcW w:w="930" w:type="dxa"/>
            <w:vAlign w:val="center"/>
          </w:tcPr>
          <w:p w14:paraId="4634EB5E" w14:textId="77777777" w:rsidR="00E33111" w:rsidRPr="0037353B" w:rsidRDefault="00E33111" w:rsidP="00993010">
            <w:pPr>
              <w:pStyle w:val="TBLText"/>
              <w:jc w:val="center"/>
              <w:rPr>
                <w:color w:val="1C2B39" w:themeColor="text1"/>
              </w:rPr>
            </w:pPr>
            <w:r w:rsidRPr="00E23ECB">
              <w:t>8.3</w:t>
            </w:r>
          </w:p>
        </w:tc>
      </w:tr>
    </w:tbl>
    <w:p w14:paraId="7B66DBB9" w14:textId="77777777" w:rsidR="00E33111" w:rsidRPr="00717B20" w:rsidRDefault="00E33111" w:rsidP="00E33111">
      <w:pPr>
        <w:rPr>
          <w:b/>
          <w:bCs/>
          <w:sz w:val="18"/>
          <w:highlight w:val="yellow"/>
        </w:rPr>
      </w:pPr>
      <w:r w:rsidRPr="00717B20">
        <w:rPr>
          <w:b/>
          <w:bCs/>
          <w:position w:val="6"/>
          <w:sz w:val="18"/>
        </w:rPr>
        <w:t>a</w:t>
      </w:r>
      <w:r w:rsidRPr="00717B20">
        <w:rPr>
          <w:sz w:val="18"/>
        </w:rPr>
        <w:t xml:space="preserve"> benefit = deaths prevented * VSL. </w:t>
      </w:r>
      <w:r w:rsidRPr="00717B20">
        <w:rPr>
          <w:b/>
          <w:bCs/>
          <w:position w:val="6"/>
          <w:sz w:val="18"/>
        </w:rPr>
        <w:t>b</w:t>
      </w:r>
      <w:r w:rsidRPr="00717B20">
        <w:rPr>
          <w:sz w:val="18"/>
        </w:rPr>
        <w:t xml:space="preserve"> discounted benefit = net benefit/discount factor.</w:t>
      </w:r>
    </w:p>
    <w:p w14:paraId="3408421E" w14:textId="77777777" w:rsidR="00E33111" w:rsidRPr="00717B20" w:rsidRDefault="00E33111" w:rsidP="00E33111">
      <w:r w:rsidRPr="00717B20">
        <w:t>Note that in the example above, the key assumptions that determine the net present value are the costs imposed on business to comply with the proposal and the number of lives likely to be saved. When conducting sensitivity analysis, it is these parameters that should be changed (rather than making arbitrary changes to the VSL or the discount rate).</w:t>
      </w:r>
    </w:p>
    <w:p w14:paraId="3BDD40C1" w14:textId="77777777" w:rsidR="00E33111" w:rsidRDefault="00E33111" w:rsidP="00E33111">
      <w:pPr>
        <w:pStyle w:val="Heading2"/>
      </w:pPr>
      <w:r>
        <w:t>Injury, disease and disability</w:t>
      </w:r>
    </w:p>
    <w:p w14:paraId="320A0D5F" w14:textId="77777777" w:rsidR="00E33111" w:rsidRDefault="00E33111" w:rsidP="00E33111">
      <w:r>
        <w:t>Many policies have the benefit of reducing the risk of injury, disease or disability. One method to value these benefits is to adjust the value of statistical life year (which could be interpreted as the value of a year of life free of injury, disease and disability) by a factor that accounts for the type of injury, disease or disability. The Australian Institute of Health and Welfare has published disability weights for most diseases and injuries that can be used to adjust the VLY (Mathers et al 1999, pp. 186-202). As an example, an amputated foot has a disability weight of 0.3, which equates to 30 per cent of a VLY or $70,500 per year (0.3*$235,000) when measured in 2023 dollars. More recent data on disability weights can be found on the Australian Institute of Health and Welfare website</w:t>
      </w:r>
      <w:r>
        <w:rPr>
          <w:rStyle w:val="FootnoteReference"/>
        </w:rPr>
        <w:footnoteReference w:id="2"/>
      </w:r>
      <w:r>
        <w:t>. The World Health Organisation also publishes disability weights (WHO 2020, pp 41-46).</w:t>
      </w:r>
    </w:p>
    <w:p w14:paraId="46AFC682" w14:textId="77777777" w:rsidR="00E33111" w:rsidRDefault="00E33111" w:rsidP="00E33111">
      <w:pPr>
        <w:pStyle w:val="Heading2"/>
      </w:pPr>
      <w:r>
        <w:t>When VSL should not be used</w:t>
      </w:r>
    </w:p>
    <w:p w14:paraId="605F50A0" w14:textId="77777777" w:rsidR="00E33111" w:rsidRDefault="00E33111" w:rsidP="00E33111">
      <w:pPr>
        <w:spacing w:line="240" w:lineRule="auto"/>
        <w:rPr>
          <w:rFonts w:ascii="Times New Roman" w:hAnsi="Times New Roman" w:cs="Times New Roman"/>
          <w:sz w:val="24"/>
          <w:szCs w:val="24"/>
          <w:lang w:eastAsia="en-AU"/>
        </w:rPr>
      </w:pPr>
      <w:r>
        <w:t>VSL should not be applied to wellbeing measures, happiness scales or measures of life satisfaction as it has no conceptual foundation for such extrapolation (Viscusi, 2018).</w:t>
      </w:r>
      <w:r>
        <w:rPr>
          <w:rFonts w:ascii="Times New Roman" w:hAnsi="Times New Roman" w:cs="Times New Roman"/>
          <w:sz w:val="24"/>
          <w:szCs w:val="24"/>
          <w:lang w:eastAsia="en-AU"/>
        </w:rPr>
        <w:t xml:space="preserve"> </w:t>
      </w:r>
    </w:p>
    <w:p w14:paraId="43A4FD71" w14:textId="77777777" w:rsidR="00E33111" w:rsidRDefault="00E33111" w:rsidP="00E33111">
      <w:pPr>
        <w:pStyle w:val="Heading2"/>
      </w:pPr>
      <w:r>
        <w:t>References:</w:t>
      </w:r>
    </w:p>
    <w:p w14:paraId="2B9BA06F" w14:textId="77777777" w:rsidR="00E33111" w:rsidRDefault="00E33111" w:rsidP="00E33111">
      <w:r>
        <w:t>Abelson 2007, Establishing a Monetary Value for Lives Saved: Issues and Controversies, Working Papers in Cost benefit Analysis WP 2008-2, Department of Finance and Deregulation</w:t>
      </w:r>
    </w:p>
    <w:p w14:paraId="0C6687A3" w14:textId="77777777" w:rsidR="00E33111" w:rsidRDefault="00E33111" w:rsidP="00E33111">
      <w:r>
        <w:t>Bishop, R. and Heberlein T. 1979, ‘Measuring Values of Extramarket Goods: Are Direct Measures Biased?’ American Journal of Agricultural Economics, vol. 61, pp. 926-930.</w:t>
      </w:r>
    </w:p>
    <w:p w14:paraId="546E2C5D" w14:textId="77777777" w:rsidR="00E33111" w:rsidRDefault="00E33111" w:rsidP="00E33111">
      <w:r>
        <w:t>Brown, T., Champ, P., Bishop, R. and McCollum, D. 1996, ‘Which response format reveals the truth about donations to a public good?’ Land Economics, vol. 72, pp. 152-66.</w:t>
      </w:r>
    </w:p>
    <w:p w14:paraId="21A8D5D0" w14:textId="77777777" w:rsidR="00E33111" w:rsidRDefault="00E33111" w:rsidP="00E33111">
      <w:r>
        <w:t>USEPA (United States Environmental Protection Agency) 2000, Guidelines for Preparing Economic Analyses, Office of the Administrator, EPA 240-R-00-003, September.</w:t>
      </w:r>
    </w:p>
    <w:p w14:paraId="651F40DC" w14:textId="77777777" w:rsidR="00E33111" w:rsidRDefault="00E33111" w:rsidP="00E33111">
      <w:r>
        <w:t>Mathers C., Vos T., and Stevenson C. 1999, The burden of disease and injury in Australia, AIHW cat. no. PHE 17, AIHW, Canberra.</w:t>
      </w:r>
    </w:p>
    <w:p w14:paraId="7B082FE1" w14:textId="77777777" w:rsidR="00E33111" w:rsidRDefault="00E33111" w:rsidP="00E33111">
      <w:r>
        <w:t>Neill, H., Cummings, R., Ganderton, P., Harrison, G. and McGuckin T. 1994, ‘Hypothetical Surveys and Real Economic Commitments’, Land Economics, vol. 70, pp. 145-54.</w:t>
      </w:r>
    </w:p>
    <w:p w14:paraId="0421C387" w14:textId="77777777" w:rsidR="00E33111" w:rsidRDefault="00E33111" w:rsidP="00E33111">
      <w:pPr>
        <w:rPr>
          <w:rFonts w:cstheme="majorHAnsi"/>
          <w:iCs/>
          <w:color w:val="2D2D2D"/>
          <w:szCs w:val="22"/>
        </w:rPr>
      </w:pPr>
      <w:r w:rsidRPr="0062771C">
        <w:rPr>
          <w:rFonts w:cstheme="majorHAnsi"/>
          <w:color w:val="2D2D2D"/>
          <w:szCs w:val="22"/>
        </w:rPr>
        <w:t xml:space="preserve">OECD (2012), </w:t>
      </w:r>
      <w:r w:rsidRPr="0030049C">
        <w:rPr>
          <w:rFonts w:cstheme="majorHAnsi"/>
          <w:iCs/>
          <w:color w:val="2D2D2D"/>
          <w:szCs w:val="22"/>
        </w:rPr>
        <w:t xml:space="preserve">Mortality Risk Valuation in </w:t>
      </w:r>
      <w:r w:rsidRPr="0030049C">
        <w:t>Environment</w:t>
      </w:r>
      <w:r w:rsidRPr="0030049C">
        <w:rPr>
          <w:rFonts w:cstheme="majorHAnsi"/>
          <w:iCs/>
          <w:color w:val="2D2D2D"/>
          <w:szCs w:val="22"/>
        </w:rPr>
        <w:t>, Health and Transport Policies</w:t>
      </w:r>
      <w:r w:rsidRPr="0030049C">
        <w:rPr>
          <w:rFonts w:cstheme="majorHAnsi"/>
          <w:color w:val="2D2D2D"/>
          <w:szCs w:val="22"/>
        </w:rPr>
        <w:t xml:space="preserve">, OECD Publishing. </w:t>
      </w:r>
      <w:hyperlink r:id="rId11" w:history="1">
        <w:r w:rsidRPr="00A17908">
          <w:rPr>
            <w:rStyle w:val="Hyperlink"/>
            <w:rFonts w:cstheme="majorHAnsi"/>
            <w:iCs/>
            <w:szCs w:val="22"/>
          </w:rPr>
          <w:t>http://dx.doi.org/10.1787/9789264130807-en</w:t>
        </w:r>
      </w:hyperlink>
    </w:p>
    <w:p w14:paraId="1E56BE07" w14:textId="77777777" w:rsidR="00E33111" w:rsidRDefault="00E33111" w:rsidP="00E33111">
      <w:r>
        <w:t>Viscusi, W. 2003, ‘The value of a statistical life: a critical review of market estimates throughout the world’, Journal of Risk and Uncertainty, vol. 27(1), pp. 5-76</w:t>
      </w:r>
    </w:p>
    <w:p w14:paraId="00C4DDED" w14:textId="77777777" w:rsidR="00E33111" w:rsidRDefault="00E33111" w:rsidP="00E33111">
      <w:r>
        <w:t>Viscusi, W. 2018 ‘Pricing Lives: Guideposts for a safer society’, Princeton, Princeton University Press, pp. 209-210</w:t>
      </w:r>
    </w:p>
    <w:p w14:paraId="68307FF3" w14:textId="6B32F117" w:rsidR="00555896" w:rsidRPr="00A62EF3" w:rsidRDefault="00E33111" w:rsidP="00E33111">
      <w:r>
        <w:t xml:space="preserve">World Health Organization (WHO) 2020, ‘WHO methods and data sources for global burden of disease estimates 2000-2019’, pp 41-46. </w:t>
      </w:r>
      <w:hyperlink r:id="rId12" w:history="1">
        <w:r w:rsidRPr="00C67F65">
          <w:rPr>
            <w:rStyle w:val="Hyperlink"/>
          </w:rPr>
          <w:t>https://cdn.who.int/media/docs/default-source/gho-documents/global-health-estimates/ghe2019_daly-methods.pdf</w:t>
        </w:r>
      </w:hyperlink>
    </w:p>
    <w:sectPr w:rsidR="00555896" w:rsidRPr="00A62EF3" w:rsidSect="00D83264">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05A18" w14:textId="77777777" w:rsidR="00A8430B" w:rsidRDefault="00A8430B" w:rsidP="00F957C6">
      <w:pPr>
        <w:spacing w:after="0" w:line="240" w:lineRule="auto"/>
      </w:pPr>
      <w:r>
        <w:separator/>
      </w:r>
    </w:p>
  </w:endnote>
  <w:endnote w:type="continuationSeparator" w:id="0">
    <w:p w14:paraId="072D2157" w14:textId="77777777" w:rsidR="00A8430B" w:rsidRDefault="00A8430B"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5B06" w14:textId="77777777" w:rsidR="00054859" w:rsidRDefault="00054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AE257" w14:textId="6EFFAB62" w:rsidR="00D10635" w:rsidRPr="00F86700" w:rsidRDefault="00D10635" w:rsidP="00F86700">
    <w:pPr>
      <w:pStyle w:val="CLASSIFICATION"/>
    </w:pPr>
  </w:p>
  <w:p w14:paraId="1619F3A2" w14:textId="37D51C6A" w:rsidR="00037513" w:rsidRPr="00852F35" w:rsidRDefault="00717B20" w:rsidP="00D10635">
    <w:pPr>
      <w:pStyle w:val="Header"/>
      <w:rPr>
        <w:rFonts w:ascii="Segoe UI" w:hAnsi="Segoe UI" w:cs="Segoe UI"/>
        <w:color w:val="6E6E6E"/>
        <w:sz w:val="18"/>
      </w:rPr>
    </w:pPr>
    <w:r>
      <w:rPr>
        <w:color w:val="6E6E6E"/>
        <w:sz w:val="18"/>
        <w:szCs w:val="18"/>
      </w:rPr>
      <w:t>OIA</w:t>
    </w:r>
    <w:r w:rsidR="00037513" w:rsidRPr="00852F35">
      <w:rPr>
        <w:color w:val="6E6E6E"/>
        <w:sz w:val="18"/>
        <w:szCs w:val="18"/>
      </w:rPr>
      <w:t xml:space="preserve"> |</w:t>
    </w:r>
    <w:r w:rsidR="00376FE6" w:rsidRPr="00852F35">
      <w:rPr>
        <w:color w:val="6E6E6E"/>
        <w:sz w:val="18"/>
        <w:szCs w:val="18"/>
      </w:rPr>
      <w:t xml:space="preserve"> </w:t>
    </w:r>
    <w:r>
      <w:rPr>
        <w:color w:val="6E6E6E"/>
        <w:sz w:val="18"/>
        <w:szCs w:val="18"/>
      </w:rPr>
      <w:t>Guidance Note</w:t>
    </w:r>
    <w:r w:rsidR="00376FE6" w:rsidRPr="00852F35">
      <w:rPr>
        <w:color w:val="6E6E6E"/>
        <w:sz w:val="18"/>
        <w:szCs w:val="18"/>
      </w:rPr>
      <w:t xml:space="preserve"> </w:t>
    </w:r>
    <w:r w:rsidR="00037513" w:rsidRPr="00852F35">
      <w:rPr>
        <w:color w:val="6E6E6E"/>
        <w:sz w:val="18"/>
        <w:szCs w:val="18"/>
      </w:rPr>
      <w:t xml:space="preserve">| </w:t>
    </w:r>
    <w:r>
      <w:rPr>
        <w:color w:val="6E6E6E"/>
        <w:sz w:val="18"/>
        <w:szCs w:val="18"/>
      </w:rPr>
      <w:t>Value of statistical life</w:t>
    </w:r>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054859">
      <w:rPr>
        <w:rFonts w:ascii="Segoe UI" w:hAnsi="Segoe UI" w:cs="Segoe UI"/>
        <w:noProof/>
        <w:color w:val="6E6E6E"/>
        <w:sz w:val="18"/>
      </w:rPr>
      <w:t>4</w:t>
    </w:r>
    <w:r w:rsidR="00037513"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AED5" w14:textId="5C856435" w:rsidR="00464D89" w:rsidRDefault="00464D89" w:rsidP="00464D89">
    <w:pPr>
      <w:pStyle w:val="Header"/>
      <w:jc w:val="center"/>
    </w:pPr>
  </w:p>
  <w:p w14:paraId="1B200EDA" w14:textId="54E14B23" w:rsidR="00464D89" w:rsidRPr="00BB1526" w:rsidRDefault="004E5759" w:rsidP="00BB1526">
    <w:pPr>
      <w:pStyle w:val="Header"/>
      <w:rPr>
        <w:rFonts w:ascii="Segoe UI" w:hAnsi="Segoe UI" w:cs="Segoe UI"/>
        <w:color w:val="6E6E6E"/>
        <w:sz w:val="18"/>
      </w:rPr>
    </w:pPr>
    <w:r>
      <w:rPr>
        <w:color w:val="6E6E6E"/>
        <w:sz w:val="18"/>
        <w:szCs w:val="18"/>
      </w:rPr>
      <w:t>Office of Impact Analysis |</w:t>
    </w:r>
    <w:r w:rsidR="00BB1526" w:rsidRPr="00852F35">
      <w:rPr>
        <w:color w:val="6E6E6E"/>
        <w:sz w:val="18"/>
        <w:szCs w:val="18"/>
      </w:rPr>
      <w:t xml:space="preserve"> </w:t>
    </w:r>
    <w:r w:rsidR="00717B20">
      <w:rPr>
        <w:color w:val="6E6E6E"/>
        <w:sz w:val="18"/>
        <w:szCs w:val="18"/>
      </w:rPr>
      <w:t>Guidance Note</w:t>
    </w:r>
    <w:r w:rsidR="00BB1526" w:rsidRPr="00852F35">
      <w:rPr>
        <w:color w:val="6E6E6E"/>
        <w:sz w:val="18"/>
        <w:szCs w:val="18"/>
      </w:rPr>
      <w:t xml:space="preserve"> | </w:t>
    </w:r>
    <w:r w:rsidR="00717B20">
      <w:rPr>
        <w:color w:val="6E6E6E"/>
        <w:sz w:val="18"/>
        <w:szCs w:val="18"/>
      </w:rPr>
      <w:t>Value of statistical life</w:t>
    </w:r>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054859">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68322" w14:textId="77777777" w:rsidR="00A8430B" w:rsidRDefault="00A8430B" w:rsidP="00F957C6">
      <w:pPr>
        <w:spacing w:after="0" w:line="240" w:lineRule="auto"/>
      </w:pPr>
      <w:r>
        <w:separator/>
      </w:r>
    </w:p>
  </w:footnote>
  <w:footnote w:type="continuationSeparator" w:id="0">
    <w:p w14:paraId="21418333" w14:textId="77777777" w:rsidR="00A8430B" w:rsidRDefault="00A8430B" w:rsidP="00F957C6">
      <w:pPr>
        <w:spacing w:after="0" w:line="240" w:lineRule="auto"/>
      </w:pPr>
      <w:r>
        <w:continuationSeparator/>
      </w:r>
    </w:p>
  </w:footnote>
  <w:footnote w:id="1">
    <w:p w14:paraId="76FEAAEB" w14:textId="77777777" w:rsidR="00E33111" w:rsidRPr="000666C1" w:rsidRDefault="00E33111" w:rsidP="00E33111">
      <w:pPr>
        <w:pStyle w:val="FootnoteText"/>
        <w:rPr>
          <w:rFonts w:asciiTheme="majorHAnsi" w:hAnsiTheme="majorHAnsi"/>
          <w:sz w:val="16"/>
          <w:szCs w:val="16"/>
        </w:rPr>
      </w:pPr>
      <w:r w:rsidRPr="000666C1">
        <w:rPr>
          <w:rStyle w:val="FootnoteReference"/>
          <w:rFonts w:asciiTheme="majorHAnsi" w:hAnsiTheme="majorHAnsi"/>
          <w:color w:val="004261" w:themeColor="text2"/>
          <w:sz w:val="16"/>
          <w:szCs w:val="16"/>
        </w:rPr>
        <w:footnoteRef/>
      </w:r>
      <w:r w:rsidRPr="000666C1">
        <w:rPr>
          <w:rFonts w:asciiTheme="majorHAnsi" w:hAnsiTheme="majorHAnsi"/>
          <w:color w:val="004261" w:themeColor="text2"/>
          <w:sz w:val="16"/>
          <w:szCs w:val="16"/>
        </w:rPr>
        <w:t xml:space="preserve"> Australian Bureau of Statistics, 202</w:t>
      </w:r>
      <w:r>
        <w:rPr>
          <w:rFonts w:asciiTheme="majorHAnsi" w:hAnsiTheme="majorHAnsi"/>
          <w:color w:val="004261" w:themeColor="text2"/>
          <w:sz w:val="16"/>
          <w:szCs w:val="16"/>
        </w:rPr>
        <w:t>3</w:t>
      </w:r>
      <w:r w:rsidRPr="000666C1">
        <w:rPr>
          <w:rFonts w:asciiTheme="majorHAnsi" w:hAnsiTheme="majorHAnsi"/>
          <w:color w:val="004261" w:themeColor="text2"/>
          <w:sz w:val="16"/>
          <w:szCs w:val="16"/>
        </w:rPr>
        <w:t xml:space="preserve">, </w:t>
      </w:r>
      <w:r w:rsidRPr="000666C1">
        <w:rPr>
          <w:rFonts w:asciiTheme="majorHAnsi" w:hAnsiTheme="majorHAnsi"/>
          <w:i/>
          <w:iCs/>
          <w:color w:val="004261" w:themeColor="text2"/>
          <w:sz w:val="16"/>
          <w:szCs w:val="16"/>
        </w:rPr>
        <w:t>Wage Price Index</w:t>
      </w:r>
      <w:r w:rsidRPr="000666C1">
        <w:rPr>
          <w:rFonts w:asciiTheme="majorHAnsi" w:hAnsiTheme="majorHAnsi"/>
          <w:color w:val="004261" w:themeColor="text2"/>
          <w:sz w:val="16"/>
          <w:szCs w:val="16"/>
        </w:rPr>
        <w:t>, Cat. No. 6345.0, Financial Year Index Numbers.</w:t>
      </w:r>
    </w:p>
  </w:footnote>
  <w:footnote w:id="2">
    <w:p w14:paraId="22EFFDE2" w14:textId="77777777" w:rsidR="00E33111" w:rsidRDefault="00E33111" w:rsidP="00E33111">
      <w:pPr>
        <w:pStyle w:val="FootnoteText"/>
      </w:pPr>
      <w:r>
        <w:rPr>
          <w:rStyle w:val="FootnoteReference"/>
        </w:rPr>
        <w:footnoteRef/>
      </w:r>
      <w:r>
        <w:t xml:space="preserve"> Australian Institute of Health and Welfare: </w:t>
      </w:r>
      <w:r w:rsidRPr="00736DEB">
        <w:t>https://www.aihw.gov.au/reports/burden-of-disease/abds-methods-supplementary-material-2018/contents/estimating-burden-of-disease-measures/years-lived-with-disability-yld#Disability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F697B" w14:textId="77777777" w:rsidR="00054859" w:rsidRDefault="00054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5C55" w14:textId="18FAC53C" w:rsidR="00037513" w:rsidRPr="00D10635" w:rsidRDefault="00037513" w:rsidP="00464D8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85B4" w14:textId="77777777" w:rsidR="00534803" w:rsidRDefault="00054859" w:rsidP="00E9516C">
    <w:pPr>
      <w:pStyle w:val="Header"/>
      <w:jc w:val="center"/>
      <w:rPr>
        <w:rStyle w:val="CLASSIFICATIONChar"/>
      </w:rPr>
    </w:pPr>
    <w:r>
      <w:rPr>
        <w:noProof/>
      </w:rPr>
      <w:pict w14:anchorId="1F993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alt="Australian Government, Department of the Prime Minister and Cabinet, Office of Impact Analysis" style="position:absolute;left:0;text-align:left;margin-left:-56.9pt;margin-top:-49.55pt;width:602pt;height:121.3pt;z-index:-251658752;mso-position-horizontal-relative:text;mso-position-vertical-relative:text;mso-width-relative:page;mso-height-relative:page">
          <v:imagedata r:id="rId1" o:title="Header"/>
        </v:shape>
      </w:pict>
    </w:r>
  </w:p>
  <w:p w14:paraId="537CA12C" w14:textId="77777777" w:rsidR="00534803" w:rsidRDefault="00534803" w:rsidP="00E9516C">
    <w:pPr>
      <w:pStyle w:val="Header"/>
      <w:jc w:val="center"/>
      <w:rPr>
        <w:rStyle w:val="CLASSIFICATIONChar"/>
      </w:rPr>
    </w:pPr>
  </w:p>
  <w:p w14:paraId="6F3FE694" w14:textId="77777777" w:rsidR="00E9516C" w:rsidRDefault="00E9516C" w:rsidP="00E9516C">
    <w:pPr>
      <w:pStyle w:val="Header"/>
      <w:jc w:val="center"/>
      <w:rPr>
        <w:rStyle w:val="CLASSIFICATIONChar"/>
      </w:rPr>
    </w:pPr>
  </w:p>
  <w:p w14:paraId="017DB48E" w14:textId="77777777" w:rsidR="00E9516C" w:rsidRDefault="00E9516C" w:rsidP="00E9516C">
    <w:pPr>
      <w:pStyle w:val="Header"/>
      <w:jc w:val="center"/>
      <w:rPr>
        <w:rStyle w:val="CLASSIFICATIONChar"/>
      </w:rPr>
    </w:pPr>
  </w:p>
  <w:p w14:paraId="4E845791" w14:textId="77777777" w:rsidR="00037513" w:rsidRPr="00E9516C" w:rsidRDefault="00037513" w:rsidP="00534803">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000572D"/>
    <w:multiLevelType w:val="hybridMultilevel"/>
    <w:tmpl w:val="2BB2AD3C"/>
    <w:lvl w:ilvl="0" w:tplc="6B4489CC">
      <w:start w:val="1"/>
      <w:numFmt w:val="bullet"/>
      <w:lvlText w:val=""/>
      <w:lvlJc w:val="left"/>
      <w:pPr>
        <w:tabs>
          <w:tab w:val="num" w:pos="720"/>
        </w:tabs>
        <w:ind w:left="720" w:hanging="36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1C2B39" w:themeColor="text1"/>
      </w:rPr>
    </w:lvl>
    <w:lvl w:ilvl="2">
      <w:start w:val="1"/>
      <w:numFmt w:val="bullet"/>
      <w:lvlText w:val="⁚"/>
      <w:lvlJc w:val="left"/>
      <w:pPr>
        <w:ind w:left="1191" w:hanging="397"/>
      </w:pPr>
      <w:rPr>
        <w:rFonts w:ascii="Times New Roman" w:hAnsi="Times New Roman" w:cs="Times New Roman" w:hint="default"/>
        <w:color w:val="1C2B39"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9"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2"/>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20"/>
  </w:num>
  <w:num w:numId="20">
    <w:abstractNumId w:val="20"/>
    <w:lvlOverride w:ilvl="0">
      <w:startOverride w:val="1"/>
    </w:lvlOverride>
  </w:num>
  <w:num w:numId="21">
    <w:abstractNumId w:val="23"/>
  </w:num>
  <w:num w:numId="22">
    <w:abstractNumId w:val="21"/>
  </w:num>
  <w:num w:numId="23">
    <w:abstractNumId w:val="11"/>
    <w:lvlOverride w:ilvl="0">
      <w:startOverride w:val="1"/>
    </w:lvlOverride>
  </w:num>
  <w:num w:numId="24">
    <w:abstractNumId w:val="23"/>
    <w:lvlOverride w:ilvl="0">
      <w:startOverride w:val="1"/>
    </w:lvlOverride>
  </w:num>
  <w:num w:numId="25">
    <w:abstractNumId w:val="21"/>
    <w:lvlOverride w:ilvl="0">
      <w:startOverride w:val="1"/>
    </w:lvlOverride>
  </w:num>
  <w:num w:numId="26">
    <w:abstractNumId w:val="21"/>
    <w:lvlOverride w:ilvl="0">
      <w:startOverride w:val="1"/>
    </w:lvlOverride>
  </w:num>
  <w:num w:numId="27">
    <w:abstractNumId w:val="14"/>
  </w:num>
  <w:num w:numId="28">
    <w:abstractNumId w:val="19"/>
  </w:num>
  <w:num w:numId="29">
    <w:abstractNumId w:val="13"/>
  </w:num>
  <w:num w:numId="30">
    <w:abstractNumId w:val="15"/>
  </w:num>
  <w:num w:numId="31">
    <w:abstractNumId w:val="12"/>
  </w:num>
  <w:num w:numId="32">
    <w:abstractNumId w:val="23"/>
    <w:lvlOverride w:ilvl="0">
      <w:startOverride w:val="1"/>
    </w:lvlOverride>
  </w:num>
  <w:num w:numId="33">
    <w:abstractNumId w:val="23"/>
    <w:lvlOverride w:ilvl="0">
      <w:startOverride w:val="1"/>
    </w:lvlOverride>
  </w:num>
  <w:num w:numId="34">
    <w:abstractNumId w:val="23"/>
    <w:lvlOverride w:ilvl="0">
      <w:startOverride w:val="1"/>
    </w:lvlOverride>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16"/>
  </w:num>
  <w:num w:numId="39">
    <w:abstractNumId w:val="18"/>
  </w:num>
  <w:num w:numId="40">
    <w:abstractNumId w:val="18"/>
    <w:lvlOverride w:ilvl="0">
      <w:startOverride w:val="1"/>
      <w:lvl w:ilvl="0">
        <w:start w:val="1"/>
        <w:numFmt w:val="decimal"/>
        <w:pStyle w:val="TableNumbering"/>
        <w:lvlText w:val="%1."/>
        <w:lvlJc w:val="left"/>
        <w:pPr>
          <w:ind w:left="397" w:hanging="397"/>
        </w:pPr>
        <w:rPr>
          <w:rFonts w:hint="default"/>
          <w:color w:val="BD3432"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3F608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3F608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131078" w:nlCheck="1" w:checkStyle="1"/>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5C1"/>
    <w:rsid w:val="00027038"/>
    <w:rsid w:val="0003154E"/>
    <w:rsid w:val="00037513"/>
    <w:rsid w:val="00050E86"/>
    <w:rsid w:val="00054859"/>
    <w:rsid w:val="0006627F"/>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B40CF"/>
    <w:rsid w:val="003C181D"/>
    <w:rsid w:val="003D676D"/>
    <w:rsid w:val="003E3619"/>
    <w:rsid w:val="003F23E9"/>
    <w:rsid w:val="003F2804"/>
    <w:rsid w:val="00443F97"/>
    <w:rsid w:val="00446B02"/>
    <w:rsid w:val="00464D89"/>
    <w:rsid w:val="00490B90"/>
    <w:rsid w:val="004B2C90"/>
    <w:rsid w:val="004B55C1"/>
    <w:rsid w:val="004C17DE"/>
    <w:rsid w:val="004C3F06"/>
    <w:rsid w:val="004E5759"/>
    <w:rsid w:val="004F4C4F"/>
    <w:rsid w:val="005226B9"/>
    <w:rsid w:val="00534803"/>
    <w:rsid w:val="00555896"/>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65FB6"/>
    <w:rsid w:val="006A008F"/>
    <w:rsid w:val="006A5AA6"/>
    <w:rsid w:val="006E170D"/>
    <w:rsid w:val="006E698B"/>
    <w:rsid w:val="0071548B"/>
    <w:rsid w:val="00717B20"/>
    <w:rsid w:val="007203E4"/>
    <w:rsid w:val="007204A9"/>
    <w:rsid w:val="00756929"/>
    <w:rsid w:val="00767DBB"/>
    <w:rsid w:val="00774646"/>
    <w:rsid w:val="00781695"/>
    <w:rsid w:val="007A02A7"/>
    <w:rsid w:val="007C0935"/>
    <w:rsid w:val="007F10BC"/>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36886"/>
    <w:rsid w:val="00942CB6"/>
    <w:rsid w:val="00942CE9"/>
    <w:rsid w:val="00954FF2"/>
    <w:rsid w:val="009615D2"/>
    <w:rsid w:val="00962EE8"/>
    <w:rsid w:val="00976EE9"/>
    <w:rsid w:val="00984376"/>
    <w:rsid w:val="009A6D9C"/>
    <w:rsid w:val="009C60F6"/>
    <w:rsid w:val="009D2DBC"/>
    <w:rsid w:val="009F0889"/>
    <w:rsid w:val="009F53B7"/>
    <w:rsid w:val="009F6A0F"/>
    <w:rsid w:val="00A008E6"/>
    <w:rsid w:val="00A12C83"/>
    <w:rsid w:val="00A5771D"/>
    <w:rsid w:val="00A62EF3"/>
    <w:rsid w:val="00A77F7A"/>
    <w:rsid w:val="00A8430B"/>
    <w:rsid w:val="00A918A7"/>
    <w:rsid w:val="00AA12EC"/>
    <w:rsid w:val="00AA705F"/>
    <w:rsid w:val="00AB0931"/>
    <w:rsid w:val="00AC2CDC"/>
    <w:rsid w:val="00AD7805"/>
    <w:rsid w:val="00B56736"/>
    <w:rsid w:val="00B6596F"/>
    <w:rsid w:val="00B91E60"/>
    <w:rsid w:val="00BB1526"/>
    <w:rsid w:val="00BD171D"/>
    <w:rsid w:val="00BD57F5"/>
    <w:rsid w:val="00BE48A4"/>
    <w:rsid w:val="00BE56F0"/>
    <w:rsid w:val="00C12D35"/>
    <w:rsid w:val="00C47620"/>
    <w:rsid w:val="00C55ECF"/>
    <w:rsid w:val="00C61D53"/>
    <w:rsid w:val="00C70947"/>
    <w:rsid w:val="00CC6110"/>
    <w:rsid w:val="00CD2896"/>
    <w:rsid w:val="00D03799"/>
    <w:rsid w:val="00D04E61"/>
    <w:rsid w:val="00D10635"/>
    <w:rsid w:val="00D500C1"/>
    <w:rsid w:val="00D525B8"/>
    <w:rsid w:val="00D55354"/>
    <w:rsid w:val="00D71592"/>
    <w:rsid w:val="00D83264"/>
    <w:rsid w:val="00DA18A2"/>
    <w:rsid w:val="00DB04E7"/>
    <w:rsid w:val="00DF2F8D"/>
    <w:rsid w:val="00E023DA"/>
    <w:rsid w:val="00E05FA4"/>
    <w:rsid w:val="00E224F4"/>
    <w:rsid w:val="00E2753F"/>
    <w:rsid w:val="00E33111"/>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4F03"/>
    <w:rsid w:val="00F957C6"/>
    <w:rsid w:val="00FC6341"/>
    <w:rsid w:val="00FD20A5"/>
    <w:rsid w:val="00FD2C22"/>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29B2955"/>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4B55C1"/>
    <w:rPr>
      <w:color w:val="DE761C" w:themeColor="followedHyperlink"/>
      <w:u w:val="single"/>
    </w:rPr>
  </w:style>
  <w:style w:type="paragraph" w:customStyle="1" w:styleId="TableNumbering">
    <w:name w:val="Table Numbering"/>
    <w:uiPriority w:val="11"/>
    <w:qFormat/>
    <w:rsid w:val="00555896"/>
    <w:pPr>
      <w:numPr>
        <w:numId w:val="39"/>
      </w:numPr>
      <w:spacing w:before="40" w:after="40" w:line="240" w:lineRule="auto"/>
      <w:ind w:left="284" w:hanging="284"/>
    </w:pPr>
    <w:rPr>
      <w:rFonts w:eastAsiaTheme="minorHAnsi"/>
      <w:color w:val="314A63" w:themeColor="text1" w:themeTint="D9"/>
      <w:sz w:val="18"/>
      <w:szCs w:val="20"/>
    </w:rPr>
  </w:style>
  <w:style w:type="paragraph" w:styleId="FootnoteText">
    <w:name w:val="footnote text"/>
    <w:basedOn w:val="Normal"/>
    <w:link w:val="FootnoteTextChar"/>
    <w:uiPriority w:val="99"/>
    <w:semiHidden/>
    <w:qFormat/>
    <w:rsid w:val="00555896"/>
    <w:pPr>
      <w:spacing w:after="0" w:line="240" w:lineRule="auto"/>
    </w:pPr>
    <w:rPr>
      <w:rFonts w:eastAsiaTheme="minorHAnsi"/>
      <w:color w:val="314A63" w:themeColor="text1" w:themeTint="D9"/>
      <w:sz w:val="20"/>
      <w:szCs w:val="20"/>
    </w:rPr>
  </w:style>
  <w:style w:type="character" w:customStyle="1" w:styleId="FootnoteTextChar">
    <w:name w:val="Footnote Text Char"/>
    <w:basedOn w:val="DefaultParagraphFont"/>
    <w:link w:val="FootnoteText"/>
    <w:uiPriority w:val="99"/>
    <w:semiHidden/>
    <w:rsid w:val="00555896"/>
    <w:rPr>
      <w:rFonts w:eastAsiaTheme="minorHAnsi"/>
      <w:color w:val="314A63" w:themeColor="text1" w:themeTint="D9"/>
      <w:sz w:val="20"/>
      <w:szCs w:val="20"/>
    </w:rPr>
  </w:style>
  <w:style w:type="character" w:styleId="FootnoteReference">
    <w:name w:val="footnote reference"/>
    <w:basedOn w:val="DefaultParagraphFont"/>
    <w:uiPriority w:val="99"/>
    <w:semiHidden/>
    <w:rsid w:val="00555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n.who.int/media/docs/default-source/gho-documents/global-health-estimates/ghe2019_daly-method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1787/9789264130807-e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DOC23-318162</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7D47-C30A-4125-BB61-D1A1E4956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4A34D-1581-43A3-B114-7358096D3DCA}">
  <ds:schemaRefs>
    <ds:schemaRef ds:uri="http://schemas.microsoft.com/sharepoint/v3/contenttype/forms"/>
  </ds:schemaRefs>
</ds:datastoreItem>
</file>

<file path=customXml/itemProps3.xml><?xml version="1.0" encoding="utf-8"?>
<ds:datastoreItem xmlns:ds="http://schemas.openxmlformats.org/officeDocument/2006/customXml" ds:itemID="{68AFFFA3-5016-4664-AF81-76A646F6FE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E1105684-6C5E-4353-B9EC-80DBE288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of statistical life</dc:title>
  <dc:subject/>
  <dc:creator/>
  <cp:keywords/>
  <dc:description/>
  <cp:lastModifiedBy/>
  <cp:revision>1</cp:revision>
  <dcterms:created xsi:type="dcterms:W3CDTF">2023-10-10T22:01:00Z</dcterms:created>
  <dcterms:modified xsi:type="dcterms:W3CDTF">2023-10-10T22:01:00Z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6" name="HPRMSecurityLevel">
    <vt:lpwstr>57;#OFFICIAL|11463c70-78df-4e3b-b0ff-f66cd3cb26ec</vt:lpwstr>
  </property>
  <property fmtid="{D5CDD505-2E9C-101B-9397-08002B2CF9AE}" pid="7" name="HPRMSecurityCaveat">
    <vt:lpwstr/>
  </property>
  <property fmtid="{D5CDD505-2E9C-101B-9397-08002B2CF9AE}" pid="8" name="PMC.ESearch.TagGeneratedTime">
    <vt:lpwstr>2023-10-11T09:22:33</vt:lpwstr>
  </property>
</Properties>
</file>