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3CAFE" w14:textId="77777777" w:rsidR="00AA12EC" w:rsidRDefault="00AA12EC" w:rsidP="00AA12EC">
      <w:bookmarkStart w:id="0" w:name="_Toc96326909"/>
    </w:p>
    <w:p w14:paraId="5D0F5E8B" w14:textId="18B2A8FD" w:rsidR="00A62EF3" w:rsidRDefault="004902D1" w:rsidP="00AA12EC">
      <w:pPr>
        <w:pStyle w:val="Title"/>
        <w:tabs>
          <w:tab w:val="left" w:pos="7938"/>
        </w:tabs>
      </w:pPr>
      <w:r>
        <w:t>Australian Government Impact Analysis Preliminary Assessment Form</w:t>
      </w:r>
    </w:p>
    <w:p w14:paraId="31AAE665" w14:textId="4866724D" w:rsidR="00A62EF3" w:rsidRDefault="001224FC" w:rsidP="00A62EF3">
      <w:pPr>
        <w:pStyle w:val="Subtitle"/>
      </w:pPr>
      <w:r>
        <w:t>July 2023</w:t>
      </w:r>
    </w:p>
    <w:bookmarkEnd w:id="0"/>
    <w:p w14:paraId="52A16BC5" w14:textId="7E687E51" w:rsidR="001224FC" w:rsidRPr="001224FC" w:rsidRDefault="001224FC" w:rsidP="0072021D"/>
    <w:tbl>
      <w:tblPr>
        <w:tblStyle w:val="Custom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24FC" w:rsidRPr="00292EAD" w14:paraId="23EF9D9F" w14:textId="77777777" w:rsidTr="00830A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628" w:type="dxa"/>
          </w:tcPr>
          <w:p w14:paraId="15B0350B" w14:textId="77777777" w:rsidR="001224FC" w:rsidRPr="00830A97" w:rsidRDefault="001224FC" w:rsidP="00830A97">
            <w:pPr>
              <w:pStyle w:val="TBLHeading"/>
            </w:pPr>
            <w:r w:rsidRPr="00161E5C">
              <w:t>Overview</w:t>
            </w:r>
          </w:p>
        </w:tc>
      </w:tr>
      <w:tr w:rsidR="001224FC" w:rsidRPr="00292EAD" w14:paraId="26D48A4A" w14:textId="77777777" w:rsidTr="0012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</w:tcPr>
          <w:p w14:paraId="3A7EA033" w14:textId="77777777" w:rsidR="001224FC" w:rsidRPr="00161E5C" w:rsidRDefault="001224FC" w:rsidP="007D48B0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Name of department/agency</w:t>
            </w:r>
            <w:r w:rsidR="00BD775F" w:rsidRPr="00161E5C">
              <w:rPr>
                <w:sz w:val="20"/>
                <w:szCs w:val="20"/>
              </w:rPr>
              <w:t>:</w:t>
            </w:r>
          </w:p>
        </w:tc>
      </w:tr>
      <w:tr w:rsidR="001224FC" w:rsidRPr="00292EAD" w14:paraId="581B6FFB" w14:textId="77777777" w:rsidTr="001224FC">
        <w:tc>
          <w:tcPr>
            <w:tcW w:w="9628" w:type="dxa"/>
          </w:tcPr>
          <w:p w14:paraId="42C9F07B" w14:textId="77777777" w:rsidR="001224FC" w:rsidRPr="00161E5C" w:rsidRDefault="001224FC" w:rsidP="007D48B0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Name of proposal</w:t>
            </w:r>
            <w:r w:rsidR="00BD775F" w:rsidRPr="00161E5C">
              <w:rPr>
                <w:sz w:val="20"/>
                <w:szCs w:val="20"/>
              </w:rPr>
              <w:t>:</w:t>
            </w:r>
          </w:p>
        </w:tc>
      </w:tr>
      <w:tr w:rsidR="00667175" w:rsidRPr="00292EAD" w14:paraId="39FFF48D" w14:textId="77777777" w:rsidTr="00720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6"/>
        </w:trPr>
        <w:tc>
          <w:tcPr>
            <w:tcW w:w="9628" w:type="dxa"/>
          </w:tcPr>
          <w:p w14:paraId="34D94AC6" w14:textId="77777777" w:rsidR="00161E5C" w:rsidRDefault="00667175" w:rsidP="00341D97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Type of proposal:</w:t>
            </w:r>
            <w:r w:rsidR="0088677E" w:rsidRPr="00161E5C">
              <w:rPr>
                <w:sz w:val="20"/>
                <w:szCs w:val="20"/>
              </w:rPr>
              <w:t xml:space="preserve"> </w:t>
            </w:r>
          </w:p>
          <w:p w14:paraId="5019AFA9" w14:textId="09C2EC54" w:rsidR="00161E5C" w:rsidRDefault="0088677E" w:rsidP="00341D97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 xml:space="preserve"> </w:t>
            </w:r>
            <w:r w:rsidR="00341D97" w:rsidRPr="00161E5C">
              <w:rPr>
                <w:sz w:val="20"/>
                <w:szCs w:val="20"/>
              </w:rPr>
              <w:t xml:space="preserve">Budget </w:t>
            </w:r>
            <w:r w:rsidR="00161E5C">
              <w:rPr>
                <w:sz w:val="20"/>
                <w:szCs w:val="20"/>
              </w:rPr>
              <w:t xml:space="preserve">or MYEFO </w:t>
            </w:r>
            <w:r w:rsidR="00341D97" w:rsidRPr="00161E5C">
              <w:rPr>
                <w:sz w:val="20"/>
                <w:szCs w:val="20"/>
              </w:rPr>
              <w:t>Proposal</w:t>
            </w:r>
            <w:r w:rsidRPr="00161E5C">
              <w:rPr>
                <w:sz w:val="20"/>
                <w:szCs w:val="20"/>
              </w:rPr>
              <w:t xml:space="preserve">  </w:t>
            </w:r>
          </w:p>
          <w:p w14:paraId="43B0F40E" w14:textId="77777777" w:rsidR="00161E5C" w:rsidRDefault="0088677E" w:rsidP="00341D97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 xml:space="preserve"> Treaties/Conventions  </w:t>
            </w:r>
          </w:p>
          <w:p w14:paraId="730A4758" w14:textId="77777777" w:rsidR="00161E5C" w:rsidRDefault="0088677E" w:rsidP="00341D97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 Legislation</w:t>
            </w:r>
            <w:r w:rsidR="00341D97" w:rsidRPr="00161E5C">
              <w:rPr>
                <w:sz w:val="20"/>
                <w:szCs w:val="20"/>
              </w:rPr>
              <w:t>/Regulation Amendment or Proposal</w:t>
            </w:r>
            <w:r w:rsidRPr="00161E5C">
              <w:rPr>
                <w:sz w:val="20"/>
                <w:szCs w:val="20"/>
              </w:rPr>
              <w:t xml:space="preserve">  </w:t>
            </w:r>
          </w:p>
          <w:p w14:paraId="12AA339E" w14:textId="77777777" w:rsidR="00161E5C" w:rsidRDefault="0088677E" w:rsidP="00341D97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 xml:space="preserve"> Sunsetting Instruments  </w:t>
            </w:r>
          </w:p>
          <w:p w14:paraId="7DD9E594" w14:textId="77777777" w:rsidR="00161E5C" w:rsidRDefault="0088677E" w:rsidP="00341D97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 xml:space="preserve"> Standards </w:t>
            </w:r>
          </w:p>
          <w:p w14:paraId="3ABF8295" w14:textId="15F11295" w:rsidR="00161E5C" w:rsidRDefault="0088677E" w:rsidP="00341D97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 xml:space="preserve"> Industry Codes  </w:t>
            </w:r>
          </w:p>
          <w:p w14:paraId="007008C5" w14:textId="77777777" w:rsidR="00161E5C" w:rsidRDefault="0088677E" w:rsidP="00341D97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 xml:space="preserve"> Grant Funding  </w:t>
            </w:r>
          </w:p>
          <w:p w14:paraId="46631927" w14:textId="77777777" w:rsidR="00161E5C" w:rsidRDefault="0088677E" w:rsidP="00341D97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 xml:space="preserve"> Funding (non-grant)  </w:t>
            </w:r>
          </w:p>
          <w:p w14:paraId="2FA3CD19" w14:textId="6FEC9C5D" w:rsidR="00667175" w:rsidRPr="00161E5C" w:rsidRDefault="0088677E" w:rsidP="00341D97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 Other</w:t>
            </w:r>
            <w:r w:rsidR="0072021D">
              <w:rPr>
                <w:sz w:val="20"/>
                <w:szCs w:val="20"/>
              </w:rPr>
              <w:t xml:space="preserve"> (Specify) _______________________________________________</w:t>
            </w:r>
          </w:p>
        </w:tc>
      </w:tr>
      <w:tr w:rsidR="00667175" w:rsidRPr="00292EAD" w14:paraId="0C5FB609" w14:textId="77777777" w:rsidTr="001224FC">
        <w:tc>
          <w:tcPr>
            <w:tcW w:w="9628" w:type="dxa"/>
          </w:tcPr>
          <w:p w14:paraId="2B558F1B" w14:textId="00B1D7EB" w:rsidR="00667175" w:rsidRPr="00161E5C" w:rsidRDefault="00667175" w:rsidP="0072021D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Is this an election commitment?</w:t>
            </w:r>
            <w:r w:rsidR="0088677E" w:rsidRPr="00161E5C">
              <w:rPr>
                <w:sz w:val="20"/>
                <w:szCs w:val="20"/>
              </w:rPr>
              <w:t xml:space="preserve"> </w:t>
            </w:r>
            <w:r w:rsidR="0088677E" w:rsidRPr="00161E5C">
              <w:rPr>
                <w:sz w:val="20"/>
                <w:szCs w:val="20"/>
              </w:rPr>
              <w:t xml:space="preserve"> Yes </w:t>
            </w:r>
            <w:r w:rsidR="0072021D">
              <w:rPr>
                <w:sz w:val="20"/>
                <w:szCs w:val="20"/>
              </w:rPr>
              <w:t>(include link to commitment)</w:t>
            </w:r>
            <w:r w:rsidR="0088677E" w:rsidRPr="00161E5C">
              <w:rPr>
                <w:sz w:val="20"/>
                <w:szCs w:val="20"/>
              </w:rPr>
              <w:t xml:space="preserve"> </w:t>
            </w:r>
            <w:r w:rsidR="0088677E" w:rsidRPr="00161E5C">
              <w:rPr>
                <w:sz w:val="20"/>
                <w:szCs w:val="20"/>
              </w:rPr>
              <w:t> No</w:t>
            </w:r>
            <w:r w:rsidR="0072021D">
              <w:rPr>
                <w:sz w:val="20"/>
                <w:szCs w:val="20"/>
              </w:rPr>
              <w:t xml:space="preserve"> </w:t>
            </w:r>
          </w:p>
        </w:tc>
      </w:tr>
      <w:tr w:rsidR="00667175" w:rsidRPr="00292EAD" w14:paraId="2ECF1BBA" w14:textId="77777777" w:rsidTr="0012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</w:tcPr>
          <w:p w14:paraId="4ED725B9" w14:textId="77777777" w:rsidR="00667175" w:rsidRPr="00161E5C" w:rsidRDefault="00667175" w:rsidP="007D48B0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Key dates and timeline:</w:t>
            </w:r>
          </w:p>
        </w:tc>
      </w:tr>
      <w:tr w:rsidR="008640C0" w:rsidRPr="00292EAD" w14:paraId="2799D76D" w14:textId="77777777" w:rsidTr="001224FC">
        <w:tc>
          <w:tcPr>
            <w:tcW w:w="9628" w:type="dxa"/>
          </w:tcPr>
          <w:p w14:paraId="2B91E6AF" w14:textId="77777777" w:rsidR="008640C0" w:rsidRDefault="008640C0" w:rsidP="008640C0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 xml:space="preserve">Who will the decision maker be? </w:t>
            </w:r>
          </w:p>
          <w:p w14:paraId="174B88C4" w14:textId="77777777" w:rsidR="008640C0" w:rsidRDefault="008640C0" w:rsidP="008640C0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 xml:space="preserve"> Minister/Secretary/CEO </w:t>
            </w:r>
          </w:p>
          <w:p w14:paraId="47CA7BBA" w14:textId="77777777" w:rsidR="008640C0" w:rsidRDefault="008640C0" w:rsidP="008640C0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 xml:space="preserve"> Cabinet  </w:t>
            </w:r>
          </w:p>
          <w:p w14:paraId="3DF97513" w14:textId="77777777" w:rsidR="008640C0" w:rsidRDefault="008640C0" w:rsidP="008640C0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 Ministerial Forum/ Standard Setting Body</w:t>
            </w:r>
            <w:r>
              <w:rPr>
                <w:sz w:val="20"/>
                <w:szCs w:val="20"/>
              </w:rPr>
              <w:t xml:space="preserve"> (If yes, will the changes be implemented by States and Territories)</w:t>
            </w:r>
            <w:r w:rsidRPr="00161E5C">
              <w:rPr>
                <w:sz w:val="20"/>
                <w:szCs w:val="20"/>
              </w:rPr>
              <w:t xml:space="preserve">  </w:t>
            </w:r>
          </w:p>
          <w:p w14:paraId="4C81B8C2" w14:textId="260D1FF6" w:rsidR="008640C0" w:rsidRPr="00161E5C" w:rsidRDefault="008640C0" w:rsidP="008640C0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 Other</w:t>
            </w:r>
          </w:p>
        </w:tc>
      </w:tr>
      <w:tr w:rsidR="001224FC" w:rsidRPr="00292EAD" w14:paraId="4C3A4BBF" w14:textId="77777777" w:rsidTr="0012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</w:tcPr>
          <w:p w14:paraId="5A67692A" w14:textId="77777777" w:rsidR="001224FC" w:rsidRPr="00161E5C" w:rsidRDefault="001224FC" w:rsidP="007D48B0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Description of the problem</w:t>
            </w:r>
            <w:r w:rsidR="00BD775F" w:rsidRPr="00161E5C">
              <w:rPr>
                <w:sz w:val="20"/>
                <w:szCs w:val="20"/>
              </w:rPr>
              <w:t>:</w:t>
            </w:r>
          </w:p>
        </w:tc>
      </w:tr>
      <w:tr w:rsidR="001224FC" w:rsidRPr="00292EAD" w14:paraId="78014918" w14:textId="77777777" w:rsidTr="001224FC">
        <w:tc>
          <w:tcPr>
            <w:tcW w:w="9628" w:type="dxa"/>
          </w:tcPr>
          <w:p w14:paraId="7378AFE8" w14:textId="77777777" w:rsidR="001224FC" w:rsidRPr="00161E5C" w:rsidRDefault="001224FC" w:rsidP="007D48B0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Outline of the objectives of government action</w:t>
            </w:r>
            <w:r w:rsidR="00BD775F" w:rsidRPr="00161E5C">
              <w:rPr>
                <w:sz w:val="20"/>
                <w:szCs w:val="20"/>
              </w:rPr>
              <w:t>:</w:t>
            </w:r>
          </w:p>
        </w:tc>
      </w:tr>
      <w:tr w:rsidR="001224FC" w:rsidRPr="00292EAD" w14:paraId="09303E2D" w14:textId="77777777" w:rsidTr="0012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</w:tcPr>
          <w:p w14:paraId="645E1A9F" w14:textId="77777777" w:rsidR="001224FC" w:rsidRPr="00161E5C" w:rsidRDefault="001224FC" w:rsidP="007D48B0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Outline of the options available</w:t>
            </w:r>
            <w:r w:rsidR="00BD775F" w:rsidRPr="00161E5C">
              <w:rPr>
                <w:sz w:val="20"/>
                <w:szCs w:val="20"/>
              </w:rPr>
              <w:t>:</w:t>
            </w:r>
          </w:p>
        </w:tc>
      </w:tr>
    </w:tbl>
    <w:p w14:paraId="3F40132D" w14:textId="77777777" w:rsidR="00161E5C" w:rsidRDefault="00161E5C">
      <w:r>
        <w:rPr>
          <w:b/>
        </w:rPr>
        <w:br w:type="page"/>
      </w:r>
    </w:p>
    <w:tbl>
      <w:tblPr>
        <w:tblStyle w:val="Custom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D48B0" w:rsidRPr="00292EAD" w14:paraId="77477D4D" w14:textId="77777777" w:rsidTr="00830A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628" w:type="dxa"/>
          </w:tcPr>
          <w:p w14:paraId="2DC4F067" w14:textId="7AA67D76" w:rsidR="007D48B0" w:rsidRPr="00161E5C" w:rsidRDefault="007D48B0" w:rsidP="00621C99">
            <w:pPr>
              <w:pStyle w:val="TBLHeading"/>
            </w:pPr>
            <w:r w:rsidRPr="00161E5C">
              <w:lastRenderedPageBreak/>
              <w:t>Likely impact on people, businesses and community organisations</w:t>
            </w:r>
            <w:r w:rsidR="00621C99">
              <w:t xml:space="preserve"> (Further information on impacts </w:t>
            </w:r>
            <w:r w:rsidR="00621C99" w:rsidRPr="00551056">
              <w:t xml:space="preserve">can be found in our </w:t>
            </w:r>
            <w:hyperlink r:id="rId11" w:history="1">
              <w:r w:rsidR="00621C99" w:rsidRPr="00551056">
                <w:rPr>
                  <w:rStyle w:val="Hyperlink"/>
                  <w:color w:val="FFFFFF" w:themeColor="background1"/>
                </w:rPr>
                <w:t>What to include in the Impact Analysis Preliminary Assessment</w:t>
              </w:r>
              <w:r w:rsidR="00574A76" w:rsidRPr="00551056">
                <w:rPr>
                  <w:rStyle w:val="Hyperlink"/>
                  <w:color w:val="FFFFFF" w:themeColor="background1"/>
                </w:rPr>
                <w:t xml:space="preserve"> Form</w:t>
              </w:r>
            </w:hyperlink>
            <w:r w:rsidR="00621C99" w:rsidRPr="00551056">
              <w:t>)</w:t>
            </w:r>
          </w:p>
        </w:tc>
      </w:tr>
      <w:tr w:rsidR="007D48B0" w:rsidRPr="00292EAD" w14:paraId="4690D1CA" w14:textId="77777777" w:rsidTr="007D4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</w:tcPr>
          <w:p w14:paraId="0C9EE3AB" w14:textId="4853A559" w:rsidR="007D48B0" w:rsidRPr="00161E5C" w:rsidRDefault="007D48B0" w:rsidP="008640C0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 xml:space="preserve">What are the likely impacts of your proposal? </w:t>
            </w:r>
          </w:p>
        </w:tc>
      </w:tr>
      <w:tr w:rsidR="007D48B0" w:rsidRPr="00292EAD" w14:paraId="22A54982" w14:textId="77777777" w:rsidTr="007D48B0">
        <w:tc>
          <w:tcPr>
            <w:tcW w:w="9628" w:type="dxa"/>
          </w:tcPr>
          <w:p w14:paraId="3CCD14D7" w14:textId="77777777" w:rsidR="007D48B0" w:rsidRPr="00161E5C" w:rsidRDefault="007D48B0" w:rsidP="00BD775F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What is your assessment of the significance of the likely impacts of the proposal? Why?</w:t>
            </w:r>
          </w:p>
        </w:tc>
      </w:tr>
      <w:tr w:rsidR="00161E5C" w:rsidRPr="00292EAD" w14:paraId="11E4BC40" w14:textId="77777777" w:rsidTr="007D4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</w:tcPr>
          <w:p w14:paraId="41FFEAEF" w14:textId="4BFB13AF" w:rsidR="00161E5C" w:rsidRPr="00161E5C" w:rsidRDefault="00161E5C" w:rsidP="0072021D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 xml:space="preserve">How many </w:t>
            </w:r>
            <w:r w:rsidR="0072021D">
              <w:rPr>
                <w:sz w:val="20"/>
                <w:szCs w:val="20"/>
              </w:rPr>
              <w:t>people, businesses or community organisations</w:t>
            </w:r>
            <w:r w:rsidR="0072021D" w:rsidRPr="00161E5C">
              <w:rPr>
                <w:sz w:val="20"/>
                <w:szCs w:val="20"/>
              </w:rPr>
              <w:t xml:space="preserve"> </w:t>
            </w:r>
            <w:r w:rsidRPr="00161E5C">
              <w:rPr>
                <w:sz w:val="20"/>
                <w:szCs w:val="20"/>
              </w:rPr>
              <w:t>will be affected?</w:t>
            </w:r>
          </w:p>
        </w:tc>
      </w:tr>
      <w:tr w:rsidR="00161E5C" w:rsidRPr="00292EAD" w14:paraId="73E12381" w14:textId="77777777" w:rsidTr="007D48B0">
        <w:tc>
          <w:tcPr>
            <w:tcW w:w="9628" w:type="dxa"/>
          </w:tcPr>
          <w:p w14:paraId="68C54B28" w14:textId="7EE9CF1E" w:rsidR="00161E5C" w:rsidRPr="00161E5C" w:rsidRDefault="00161E5C" w:rsidP="00BD775F">
            <w:pPr>
              <w:pStyle w:val="TB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consulted with stakeholders? If no</w:t>
            </w:r>
            <w:r w:rsidR="008640C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, what are their likely views?</w:t>
            </w:r>
          </w:p>
        </w:tc>
      </w:tr>
    </w:tbl>
    <w:p w14:paraId="48C76639" w14:textId="4E3644EF" w:rsidR="004902D1" w:rsidRPr="0072021D" w:rsidRDefault="004902D1">
      <w:pPr>
        <w:spacing w:after="200" w:line="288" w:lineRule="auto"/>
        <w:rPr>
          <w:sz w:val="20"/>
          <w:szCs w:val="20"/>
        </w:rPr>
      </w:pPr>
    </w:p>
    <w:tbl>
      <w:tblPr>
        <w:tblStyle w:val="Custom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02D1" w:rsidRPr="00292EAD" w14:paraId="4597AC90" w14:textId="77777777" w:rsidTr="00830A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628" w:type="dxa"/>
          </w:tcPr>
          <w:p w14:paraId="3F8AA98F" w14:textId="3F9DCB9C" w:rsidR="004902D1" w:rsidRPr="00161E5C" w:rsidRDefault="004902D1" w:rsidP="0072021D">
            <w:pPr>
              <w:pStyle w:val="TBLHeading"/>
            </w:pPr>
            <w:r w:rsidRPr="0072021D">
              <w:t>Contact information (Please enter your contact information below)</w:t>
            </w:r>
          </w:p>
        </w:tc>
      </w:tr>
      <w:tr w:rsidR="004902D1" w:rsidRPr="00292EAD" w14:paraId="065F1BCF" w14:textId="77777777" w:rsidTr="00720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</w:tcPr>
          <w:p w14:paraId="66C3F371" w14:textId="2B6156DD" w:rsidR="004902D1" w:rsidRPr="0072021D" w:rsidRDefault="004902D1" w:rsidP="0072021D">
            <w:pPr>
              <w:pStyle w:val="TBLText"/>
              <w:rPr>
                <w:sz w:val="20"/>
                <w:szCs w:val="20"/>
              </w:rPr>
            </w:pPr>
            <w:r w:rsidRPr="0072021D">
              <w:rPr>
                <w:sz w:val="20"/>
                <w:szCs w:val="20"/>
              </w:rPr>
              <w:t>Names:</w:t>
            </w:r>
          </w:p>
        </w:tc>
      </w:tr>
      <w:tr w:rsidR="004902D1" w:rsidRPr="00292EAD" w14:paraId="520B1F81" w14:textId="77777777" w:rsidTr="0072021D">
        <w:tc>
          <w:tcPr>
            <w:tcW w:w="9628" w:type="dxa"/>
          </w:tcPr>
          <w:p w14:paraId="09BA7AF1" w14:textId="504E2CAF" w:rsidR="004902D1" w:rsidRPr="0072021D" w:rsidRDefault="004902D1" w:rsidP="0072021D">
            <w:pPr>
              <w:pStyle w:val="TBLText"/>
              <w:rPr>
                <w:sz w:val="20"/>
                <w:szCs w:val="20"/>
              </w:rPr>
            </w:pPr>
            <w:bookmarkStart w:id="1" w:name="_GoBack"/>
            <w:r w:rsidRPr="0072021D">
              <w:rPr>
                <w:sz w:val="20"/>
                <w:szCs w:val="20"/>
              </w:rPr>
              <w:t>Email and Phone:</w:t>
            </w:r>
          </w:p>
        </w:tc>
      </w:tr>
      <w:bookmarkEnd w:id="1"/>
      <w:tr w:rsidR="004902D1" w:rsidRPr="00292EAD" w14:paraId="7FBAC781" w14:textId="77777777" w:rsidTr="00720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</w:tcPr>
          <w:p w14:paraId="0FC47B4C" w14:textId="62150B97" w:rsidR="004902D1" w:rsidRPr="0072021D" w:rsidRDefault="004902D1" w:rsidP="0072021D">
            <w:pPr>
              <w:pStyle w:val="TBLText"/>
              <w:rPr>
                <w:sz w:val="20"/>
                <w:szCs w:val="20"/>
              </w:rPr>
            </w:pPr>
            <w:r w:rsidRPr="0072021D">
              <w:rPr>
                <w:sz w:val="20"/>
                <w:szCs w:val="20"/>
              </w:rPr>
              <w:t>Date</w:t>
            </w:r>
          </w:p>
        </w:tc>
      </w:tr>
      <w:tr w:rsidR="004902D1" w:rsidRPr="00292EAD" w14:paraId="6B5C2E24" w14:textId="77777777" w:rsidTr="0072021D">
        <w:tc>
          <w:tcPr>
            <w:tcW w:w="9628" w:type="dxa"/>
          </w:tcPr>
          <w:p w14:paraId="3B84A935" w14:textId="5C6A8DC6" w:rsidR="004902D1" w:rsidRPr="0072021D" w:rsidRDefault="004902D1" w:rsidP="0072021D">
            <w:pPr>
              <w:pStyle w:val="TBLText"/>
              <w:rPr>
                <w:sz w:val="20"/>
                <w:szCs w:val="20"/>
              </w:rPr>
            </w:pPr>
            <w:r w:rsidRPr="0072021D">
              <w:rPr>
                <w:sz w:val="20"/>
                <w:szCs w:val="20"/>
              </w:rPr>
              <w:t xml:space="preserve">Please forward the completed form to OIA at </w:t>
            </w:r>
            <w:hyperlink r:id="rId12" w:history="1">
              <w:r w:rsidRPr="00161E5C">
                <w:rPr>
                  <w:rStyle w:val="Hyperlink"/>
                  <w:sz w:val="20"/>
                  <w:szCs w:val="20"/>
                </w:rPr>
                <w:t>Helpdesk-OIA@pmc.gov.au</w:t>
              </w:r>
            </w:hyperlink>
            <w:r w:rsidRPr="0072021D">
              <w:rPr>
                <w:sz w:val="20"/>
                <w:szCs w:val="20"/>
              </w:rPr>
              <w:t xml:space="preserve"> or call (02) 6271 6270 to discuss your proposal with an OIA officer.</w:t>
            </w:r>
          </w:p>
        </w:tc>
      </w:tr>
    </w:tbl>
    <w:p w14:paraId="63E6410C" w14:textId="1C95F4F2" w:rsidR="004902D1" w:rsidRPr="0072021D" w:rsidRDefault="004902D1">
      <w:pPr>
        <w:rPr>
          <w:sz w:val="20"/>
          <w:szCs w:val="20"/>
        </w:rPr>
      </w:pPr>
    </w:p>
    <w:tbl>
      <w:tblPr>
        <w:tblStyle w:val="Custom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3D4B" w:rsidRPr="00292EAD" w14:paraId="476D94D2" w14:textId="77777777" w:rsidTr="00830A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628" w:type="dxa"/>
          </w:tcPr>
          <w:p w14:paraId="66BEF944" w14:textId="7967CD01" w:rsidR="001B3D4B" w:rsidRPr="00161E5C" w:rsidRDefault="008533E0" w:rsidP="0072021D">
            <w:pPr>
              <w:pStyle w:val="TBLHeading"/>
            </w:pPr>
            <w:r w:rsidRPr="0072021D">
              <w:t xml:space="preserve">Small Business, </w:t>
            </w:r>
            <w:r w:rsidR="00161E5C">
              <w:t xml:space="preserve">Trade, </w:t>
            </w:r>
            <w:r w:rsidRPr="0072021D">
              <w:t>Gender, Regional Australia</w:t>
            </w:r>
            <w:r w:rsidR="00161E5C">
              <w:t>,</w:t>
            </w:r>
            <w:r w:rsidRPr="0072021D">
              <w:t xml:space="preserve"> and First Nations Impacts</w:t>
            </w:r>
          </w:p>
        </w:tc>
      </w:tr>
      <w:tr w:rsidR="008533E0" w:rsidRPr="00292EAD" w14:paraId="3C49ABD2" w14:textId="77777777" w:rsidTr="00A43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</w:tcPr>
          <w:p w14:paraId="17ABFE5B" w14:textId="327D49C7" w:rsidR="008533E0" w:rsidRPr="00161E5C" w:rsidRDefault="008533E0" w:rsidP="00A4382A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 xml:space="preserve">You may wish to contact the </w:t>
            </w:r>
            <w:hyperlink r:id="rId13" w:history="1">
              <w:r w:rsidRPr="00161E5C">
                <w:rPr>
                  <w:rStyle w:val="Hyperlink"/>
                  <w:color w:val="auto"/>
                  <w:sz w:val="20"/>
                  <w:szCs w:val="20"/>
                  <w:u w:val="none"/>
                </w:rPr>
                <w:t>Australian Small Business and Family Enterprise Ombudsman's</w:t>
              </w:r>
            </w:hyperlink>
            <w:r w:rsidRPr="00161E5C">
              <w:rPr>
                <w:sz w:val="20"/>
                <w:szCs w:val="20"/>
              </w:rPr>
              <w:t xml:space="preserve"> (ASBFEO) office to discuss small business impacts (contact: </w:t>
            </w:r>
            <w:hyperlink r:id="rId14" w:history="1">
              <w:r w:rsidRPr="00161E5C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regulation@asbfeo.gov.au</w:t>
              </w:r>
            </w:hyperlink>
            <w:r w:rsidRPr="00161E5C">
              <w:rPr>
                <w:sz w:val="20"/>
                <w:szCs w:val="20"/>
              </w:rPr>
              <w:t>)</w:t>
            </w:r>
          </w:p>
        </w:tc>
      </w:tr>
      <w:tr w:rsidR="00161E5C" w:rsidRPr="00292EAD" w14:paraId="67BDDCC0" w14:textId="77777777" w:rsidTr="00A4382A">
        <w:tc>
          <w:tcPr>
            <w:tcW w:w="9628" w:type="dxa"/>
          </w:tcPr>
          <w:p w14:paraId="7F6BDB02" w14:textId="13A1388C" w:rsidR="00161E5C" w:rsidRPr="0072021D" w:rsidRDefault="0024095A" w:rsidP="0024095A">
            <w:pPr>
              <w:pStyle w:val="TBLText"/>
              <w:rPr>
                <w:sz w:val="22"/>
                <w:szCs w:val="21"/>
              </w:rPr>
            </w:pPr>
            <w:r>
              <w:rPr>
                <w:sz w:val="20"/>
                <w:szCs w:val="20"/>
              </w:rPr>
              <w:t>You may wish to contact t</w:t>
            </w:r>
            <w:r w:rsidRPr="0072021D">
              <w:rPr>
                <w:sz w:val="20"/>
                <w:szCs w:val="20"/>
              </w:rPr>
              <w:t>he Trade and Investment Law Branch at the Department of Foreign Affairs &amp; Trade (</w:t>
            </w:r>
            <w:hyperlink r:id="rId15" w:history="1">
              <w:r w:rsidRPr="0072021D">
                <w:rPr>
                  <w:sz w:val="20"/>
                </w:rPr>
                <w:t>trade.law@dfat.gov.au</w:t>
              </w:r>
            </w:hyperlink>
            <w:r w:rsidRPr="0072021D">
              <w:rPr>
                <w:sz w:val="20"/>
                <w:szCs w:val="20"/>
              </w:rPr>
              <w:t>) or the Office of International Law within the Attorney-General’s Department (</w:t>
            </w:r>
            <w:hyperlink r:id="rId16" w:history="1">
              <w:r w:rsidRPr="0072021D">
                <w:rPr>
                  <w:sz w:val="20"/>
                </w:rPr>
                <w:t>oil.coordinator@ag.gov.au</w:t>
              </w:r>
            </w:hyperlink>
            <w:r w:rsidRPr="0072021D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to</w:t>
            </w:r>
            <w:r w:rsidRPr="0072021D">
              <w:rPr>
                <w:sz w:val="20"/>
                <w:szCs w:val="20"/>
              </w:rPr>
              <w:t xml:space="preserve"> understand how your proposed policy may interact with Australia’s trade and investment law obligations.</w:t>
            </w:r>
          </w:p>
        </w:tc>
      </w:tr>
      <w:tr w:rsidR="001B3D4B" w:rsidRPr="00292EAD" w14:paraId="77C9C8F5" w14:textId="77777777" w:rsidTr="00A43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</w:tcPr>
          <w:p w14:paraId="51F32470" w14:textId="77777777" w:rsidR="001B3D4B" w:rsidRPr="00161E5C" w:rsidDel="00C91494" w:rsidRDefault="001B3D4B" w:rsidP="00A4382A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 xml:space="preserve">You may wish to contact the Office for Women to discuss gender impacts (contact: </w:t>
            </w:r>
            <w:hyperlink r:id="rId17" w:tgtFrame="_blank" w:history="1">
              <w:r w:rsidRPr="0072021D">
                <w:rPr>
                  <w:sz w:val="20"/>
                  <w:szCs w:val="20"/>
                </w:rPr>
                <w:t>GIA@pmc.gov.au</w:t>
              </w:r>
            </w:hyperlink>
            <w:r w:rsidRPr="00161E5C">
              <w:rPr>
                <w:rStyle w:val="Hyperlink"/>
                <w:color w:val="auto"/>
                <w:sz w:val="20"/>
                <w:szCs w:val="20"/>
                <w:u w:val="none"/>
              </w:rPr>
              <w:t>)</w:t>
            </w:r>
          </w:p>
        </w:tc>
      </w:tr>
      <w:tr w:rsidR="001B3D4B" w:rsidRPr="00292EAD" w14:paraId="185948FA" w14:textId="77777777" w:rsidTr="00A4382A">
        <w:tc>
          <w:tcPr>
            <w:tcW w:w="9628" w:type="dxa"/>
          </w:tcPr>
          <w:p w14:paraId="132F4AE7" w14:textId="77777777" w:rsidR="001B3D4B" w:rsidRPr="00161E5C" w:rsidRDefault="001B3D4B" w:rsidP="00A4382A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You may wish to contact the Department of Infrastructure, Transport, Regional Development and the Arts to discuss regional Australia impacts (</w:t>
            </w:r>
            <w:hyperlink r:id="rId18" w:history="1">
              <w:r w:rsidRPr="00161E5C">
                <w:rPr>
                  <w:sz w:val="20"/>
                  <w:szCs w:val="20"/>
                </w:rPr>
                <w:t>RAIS@infrastructure.gov.au</w:t>
              </w:r>
            </w:hyperlink>
            <w:r w:rsidRPr="00161E5C">
              <w:rPr>
                <w:sz w:val="20"/>
                <w:szCs w:val="20"/>
              </w:rPr>
              <w:t>)</w:t>
            </w:r>
          </w:p>
        </w:tc>
      </w:tr>
      <w:tr w:rsidR="001B3D4B" w:rsidRPr="00292EAD" w14:paraId="2F6198B0" w14:textId="77777777" w:rsidTr="00A43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</w:tcPr>
          <w:p w14:paraId="3451561E" w14:textId="2BB5D247" w:rsidR="001B3D4B" w:rsidRPr="00161E5C" w:rsidRDefault="001B3D4B" w:rsidP="00A4382A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You may wish to contact the National Indigenous Australians Agency to discuss First Nations impacts (FirstNationsImpacts@niaa.gov.au)</w:t>
            </w:r>
          </w:p>
        </w:tc>
      </w:tr>
    </w:tbl>
    <w:p w14:paraId="20354BDA" w14:textId="77777777" w:rsidR="00BD775F" w:rsidRPr="001224FC" w:rsidRDefault="00BD775F">
      <w:bookmarkStart w:id="2" w:name="Regulatoryimpacts"/>
      <w:bookmarkEnd w:id="2"/>
    </w:p>
    <w:sectPr w:rsidR="00BD775F" w:rsidRPr="001224FC" w:rsidSect="00D8326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701" w:right="1134" w:bottom="1843" w:left="1134" w:header="99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B646E" w14:textId="77777777" w:rsidR="00432A78" w:rsidRDefault="00432A78" w:rsidP="00F957C6">
      <w:pPr>
        <w:spacing w:after="0" w:line="240" w:lineRule="auto"/>
      </w:pPr>
      <w:r>
        <w:separator/>
      </w:r>
    </w:p>
  </w:endnote>
  <w:endnote w:type="continuationSeparator" w:id="0">
    <w:p w14:paraId="2A019514" w14:textId="77777777" w:rsidR="00432A78" w:rsidRDefault="00432A78" w:rsidP="00F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B7324" w14:textId="77777777" w:rsidR="00F87240" w:rsidRDefault="00F872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F4100" w14:textId="5F8BBD48" w:rsidR="00037513" w:rsidRPr="00852F35" w:rsidRDefault="00037513" w:rsidP="00D10635">
    <w:pPr>
      <w:pStyle w:val="Header"/>
      <w:rPr>
        <w:rFonts w:ascii="Segoe UI" w:hAnsi="Segoe UI" w:cs="Segoe UI"/>
        <w:color w:val="6E6E6E"/>
        <w:sz w:val="18"/>
      </w:rPr>
    </w:pPr>
    <w:r w:rsidRPr="00852F35">
      <w:rPr>
        <w:color w:val="6E6E6E"/>
        <w:sz w:val="18"/>
        <w:szCs w:val="18"/>
      </w:rPr>
      <w:t>PM&amp;C |</w:t>
    </w:r>
    <w:r w:rsidR="00376FE6" w:rsidRPr="00852F35">
      <w:rPr>
        <w:color w:val="6E6E6E"/>
        <w:sz w:val="18"/>
        <w:szCs w:val="18"/>
      </w:rPr>
      <w:t xml:space="preserve"> </w:t>
    </w:r>
    <w:r w:rsidR="00161E5C">
      <w:rPr>
        <w:color w:val="6E6E6E"/>
        <w:sz w:val="18"/>
        <w:szCs w:val="18"/>
      </w:rPr>
      <w:t>Australian Government Impact Analysis Preliminary Assessment Form</w:t>
    </w:r>
    <w:r w:rsidRPr="00852F35">
      <w:rPr>
        <w:color w:val="6E6E6E"/>
      </w:rPr>
      <w:ptab w:relativeTo="margin" w:alignment="right" w:leader="none"/>
    </w:r>
    <w:r w:rsidRPr="00852F35">
      <w:rPr>
        <w:rFonts w:ascii="Segoe UI" w:hAnsi="Segoe UI" w:cs="Segoe UI"/>
        <w:color w:val="6E6E6E"/>
        <w:sz w:val="18"/>
      </w:rPr>
      <w:fldChar w:fldCharType="begin"/>
    </w:r>
    <w:r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Pr="00852F35">
      <w:rPr>
        <w:rFonts w:ascii="Segoe UI" w:hAnsi="Segoe UI" w:cs="Segoe UI"/>
        <w:color w:val="6E6E6E"/>
        <w:sz w:val="18"/>
      </w:rPr>
      <w:fldChar w:fldCharType="separate"/>
    </w:r>
    <w:r w:rsidR="00551056">
      <w:rPr>
        <w:rFonts w:ascii="Segoe UI" w:hAnsi="Segoe UI" w:cs="Segoe UI"/>
        <w:noProof/>
        <w:color w:val="6E6E6E"/>
        <w:sz w:val="18"/>
      </w:rPr>
      <w:t>2</w:t>
    </w:r>
    <w:r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46546" w14:textId="15E094F3" w:rsidR="00464D89" w:rsidRDefault="00464D89" w:rsidP="00464D89">
    <w:pPr>
      <w:pStyle w:val="Header"/>
      <w:jc w:val="center"/>
    </w:pPr>
  </w:p>
  <w:p w14:paraId="2ECDED39" w14:textId="31D2C30F" w:rsidR="00464D89" w:rsidRPr="00BB1526" w:rsidRDefault="00830A97" w:rsidP="00BB1526">
    <w:pPr>
      <w:pStyle w:val="Header"/>
      <w:rPr>
        <w:rFonts w:ascii="Segoe UI" w:hAnsi="Segoe UI" w:cs="Segoe UI"/>
        <w:color w:val="6E6E6E"/>
        <w:sz w:val="18"/>
      </w:rPr>
    </w:pPr>
    <w:r>
      <w:rPr>
        <w:color w:val="6E6E6E"/>
        <w:sz w:val="18"/>
        <w:szCs w:val="18"/>
      </w:rPr>
      <w:t>Office of Impact Analysis</w:t>
    </w:r>
    <w:r w:rsidR="00BB1526" w:rsidRPr="00852F35">
      <w:rPr>
        <w:color w:val="6E6E6E"/>
        <w:sz w:val="18"/>
        <w:szCs w:val="18"/>
      </w:rPr>
      <w:t xml:space="preserve"> | </w:t>
    </w:r>
    <w:r w:rsidR="00161E5C">
      <w:rPr>
        <w:color w:val="6E6E6E"/>
        <w:sz w:val="18"/>
        <w:szCs w:val="18"/>
      </w:rPr>
      <w:t>Australian Government Impact Analysis Preliminary Assessment Form</w:t>
    </w:r>
    <w:r w:rsidR="00BB1526" w:rsidRPr="00852F35">
      <w:rPr>
        <w:color w:val="6E6E6E"/>
      </w:rPr>
      <w:ptab w:relativeTo="margin" w:alignment="right" w:leader="none"/>
    </w:r>
    <w:r w:rsidR="00BB1526" w:rsidRPr="00852F35">
      <w:rPr>
        <w:rFonts w:ascii="Segoe UI" w:hAnsi="Segoe UI" w:cs="Segoe UI"/>
        <w:color w:val="6E6E6E"/>
        <w:sz w:val="18"/>
      </w:rPr>
      <w:fldChar w:fldCharType="begin"/>
    </w:r>
    <w:r w:rsidR="00BB1526"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="00BB1526" w:rsidRPr="00852F35">
      <w:rPr>
        <w:rFonts w:ascii="Segoe UI" w:hAnsi="Segoe UI" w:cs="Segoe UI"/>
        <w:color w:val="6E6E6E"/>
        <w:sz w:val="18"/>
      </w:rPr>
      <w:fldChar w:fldCharType="separate"/>
    </w:r>
    <w:r w:rsidR="00551056">
      <w:rPr>
        <w:rFonts w:ascii="Segoe UI" w:hAnsi="Segoe UI" w:cs="Segoe UI"/>
        <w:noProof/>
        <w:color w:val="6E6E6E"/>
        <w:sz w:val="18"/>
      </w:rPr>
      <w:t>1</w:t>
    </w:r>
    <w:r w:rsidR="00BB1526"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D6F54" w14:textId="77777777" w:rsidR="00432A78" w:rsidRDefault="00432A78" w:rsidP="00F957C6">
      <w:pPr>
        <w:spacing w:after="0" w:line="240" w:lineRule="auto"/>
      </w:pPr>
      <w:r>
        <w:separator/>
      </w:r>
    </w:p>
  </w:footnote>
  <w:footnote w:type="continuationSeparator" w:id="0">
    <w:p w14:paraId="4FB08D14" w14:textId="77777777" w:rsidR="00432A78" w:rsidRDefault="00432A78" w:rsidP="00F9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1A50F" w14:textId="77777777" w:rsidR="00F87240" w:rsidRDefault="00F872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A9C42" w14:textId="77777777" w:rsidR="00F87240" w:rsidRDefault="00F872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19C15" w14:textId="77777777" w:rsidR="00534803" w:rsidRDefault="00551056" w:rsidP="00E9516C">
    <w:pPr>
      <w:pStyle w:val="Header"/>
      <w:jc w:val="center"/>
      <w:rPr>
        <w:rStyle w:val="CLASSIFICATIONChar"/>
      </w:rPr>
    </w:pPr>
    <w:r>
      <w:rPr>
        <w:noProof/>
      </w:rPr>
      <w:pict w14:anchorId="21ADA5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alt="Australian Government, Department of the Prime Minister and Cabinet, Office of Impact Analysis" style="position:absolute;left:0;text-align:left;margin-left:-56.9pt;margin-top:-49.55pt;width:602pt;height:121.3pt;z-index:-251658752;mso-position-horizontal-relative:text;mso-position-vertical-relative:text;mso-width-relative:page;mso-height-relative:page">
          <v:imagedata r:id="rId1" o:title="Header"/>
        </v:shape>
      </w:pict>
    </w:r>
  </w:p>
  <w:p w14:paraId="1DC055F8" w14:textId="77777777" w:rsidR="00534803" w:rsidRDefault="00534803" w:rsidP="00E9516C">
    <w:pPr>
      <w:pStyle w:val="Header"/>
      <w:jc w:val="center"/>
      <w:rPr>
        <w:rStyle w:val="CLASSIFICATIONChar"/>
      </w:rPr>
    </w:pPr>
  </w:p>
  <w:p w14:paraId="76AEC04A" w14:textId="77777777" w:rsidR="00E9516C" w:rsidRDefault="00E9516C" w:rsidP="00E9516C">
    <w:pPr>
      <w:pStyle w:val="Header"/>
      <w:jc w:val="center"/>
      <w:rPr>
        <w:rStyle w:val="CLASSIFICATIONChar"/>
      </w:rPr>
    </w:pPr>
  </w:p>
  <w:p w14:paraId="2913D5BD" w14:textId="77777777" w:rsidR="00E9516C" w:rsidRDefault="00E9516C" w:rsidP="00E9516C">
    <w:pPr>
      <w:pStyle w:val="Header"/>
      <w:jc w:val="center"/>
      <w:rPr>
        <w:rStyle w:val="CLASSIFICATIONChar"/>
      </w:rPr>
    </w:pPr>
  </w:p>
  <w:p w14:paraId="78FB7B10" w14:textId="77777777" w:rsidR="00037513" w:rsidRPr="00E9516C" w:rsidRDefault="00037513" w:rsidP="00534803">
    <w:pPr>
      <w:pStyle w:val="CLASSIFICATIO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04592A"/>
    <w:lvl w:ilvl="0">
      <w:start w:val="1"/>
      <w:numFmt w:val="decimal"/>
      <w:lvlText w:val="%1."/>
      <w:lvlJc w:val="left"/>
      <w:pPr>
        <w:tabs>
          <w:tab w:val="num" w:pos="2060"/>
        </w:tabs>
        <w:ind w:left="2060" w:hanging="360"/>
      </w:pPr>
    </w:lvl>
  </w:abstractNum>
  <w:abstractNum w:abstractNumId="1" w15:restartNumberingAfterBreak="0">
    <w:nsid w:val="FFFFFF7D"/>
    <w:multiLevelType w:val="singleLevel"/>
    <w:tmpl w:val="35487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50D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61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46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F01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E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81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62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28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19F33BBA"/>
    <w:multiLevelType w:val="hybridMultilevel"/>
    <w:tmpl w:val="0812E2DE"/>
    <w:lvl w:ilvl="0" w:tplc="E1AE5D6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E781EDD"/>
    <w:multiLevelType w:val="hybridMultilevel"/>
    <w:tmpl w:val="6B225E28"/>
    <w:lvl w:ilvl="0" w:tplc="1B58674C">
      <w:start w:val="1"/>
      <w:numFmt w:val="bullet"/>
      <w:lvlText w:val="–"/>
      <w:lvlJc w:val="left"/>
      <w:pPr>
        <w:ind w:left="851" w:hanging="284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BF0286"/>
    <w:multiLevelType w:val="hybridMultilevel"/>
    <w:tmpl w:val="70C6C990"/>
    <w:lvl w:ilvl="0" w:tplc="56D0C19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20"/>
  </w:num>
  <w:num w:numId="14">
    <w:abstractNumId w:val="16"/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</w:num>
  <w:num w:numId="21">
    <w:abstractNumId w:val="21"/>
  </w:num>
  <w:num w:numId="22">
    <w:abstractNumId w:val="19"/>
  </w:num>
  <w:num w:numId="23">
    <w:abstractNumId w:val="1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19"/>
    <w:lvlOverride w:ilvl="0">
      <w:startOverride w:val="1"/>
    </w:lvlOverride>
  </w:num>
  <w:num w:numId="27">
    <w:abstractNumId w:val="14"/>
  </w:num>
  <w:num w:numId="28">
    <w:abstractNumId w:val="17"/>
  </w:num>
  <w:num w:numId="29">
    <w:abstractNumId w:val="13"/>
  </w:num>
  <w:num w:numId="30">
    <w:abstractNumId w:val="15"/>
  </w:num>
  <w:num w:numId="31">
    <w:abstractNumId w:val="12"/>
  </w:num>
  <w:num w:numId="32">
    <w:abstractNumId w:val="21"/>
    <w:lvlOverride w:ilvl="0">
      <w:startOverride w:val="1"/>
    </w:lvlOverride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0"/>
    <w:lvlOverride w:ilvl="0">
      <w:startOverride w:val="1"/>
    </w:lvlOverride>
  </w:num>
  <w:num w:numId="36">
    <w:abstractNumId w:val="20"/>
    <w:lvlOverride w:ilvl="0">
      <w:startOverride w:val="1"/>
    </w:lvlOverride>
  </w:num>
  <w:num w:numId="37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activeWritingStyle w:appName="MSWord" w:lang="en-AU" w:vendorID="64" w:dllVersion="131078" w:nlCheck="1" w:checkStyle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C1"/>
    <w:rsid w:val="00027038"/>
    <w:rsid w:val="0003154E"/>
    <w:rsid w:val="00037513"/>
    <w:rsid w:val="00050E86"/>
    <w:rsid w:val="0006627F"/>
    <w:rsid w:val="000B3417"/>
    <w:rsid w:val="000B6A28"/>
    <w:rsid w:val="000D749D"/>
    <w:rsid w:val="000F5F7A"/>
    <w:rsid w:val="00115264"/>
    <w:rsid w:val="00117A77"/>
    <w:rsid w:val="001224FC"/>
    <w:rsid w:val="001611BF"/>
    <w:rsid w:val="0016139C"/>
    <w:rsid w:val="00161E5C"/>
    <w:rsid w:val="0017436A"/>
    <w:rsid w:val="001954B4"/>
    <w:rsid w:val="001B2D56"/>
    <w:rsid w:val="001B3D4B"/>
    <w:rsid w:val="001C368E"/>
    <w:rsid w:val="00210B1A"/>
    <w:rsid w:val="00212443"/>
    <w:rsid w:val="00220DDA"/>
    <w:rsid w:val="00227DB5"/>
    <w:rsid w:val="0024095A"/>
    <w:rsid w:val="00266CCC"/>
    <w:rsid w:val="00274D42"/>
    <w:rsid w:val="00285CAF"/>
    <w:rsid w:val="00292BFC"/>
    <w:rsid w:val="00292EAD"/>
    <w:rsid w:val="002B661A"/>
    <w:rsid w:val="002C7A05"/>
    <w:rsid w:val="002D6B3D"/>
    <w:rsid w:val="002E2D97"/>
    <w:rsid w:val="002E5916"/>
    <w:rsid w:val="00303C55"/>
    <w:rsid w:val="00311892"/>
    <w:rsid w:val="00311C2D"/>
    <w:rsid w:val="00317030"/>
    <w:rsid w:val="00333C8F"/>
    <w:rsid w:val="00341D97"/>
    <w:rsid w:val="00353E5E"/>
    <w:rsid w:val="00361020"/>
    <w:rsid w:val="00370B8B"/>
    <w:rsid w:val="00374D2A"/>
    <w:rsid w:val="00376FE6"/>
    <w:rsid w:val="00385BD5"/>
    <w:rsid w:val="003C181D"/>
    <w:rsid w:val="003D676D"/>
    <w:rsid w:val="003F23E9"/>
    <w:rsid w:val="00432A78"/>
    <w:rsid w:val="00443F97"/>
    <w:rsid w:val="00446B02"/>
    <w:rsid w:val="00463460"/>
    <w:rsid w:val="00464D89"/>
    <w:rsid w:val="004902D1"/>
    <w:rsid w:val="00490B90"/>
    <w:rsid w:val="004B2C90"/>
    <w:rsid w:val="004B55C1"/>
    <w:rsid w:val="004C17DE"/>
    <w:rsid w:val="004C3F06"/>
    <w:rsid w:val="004E5759"/>
    <w:rsid w:val="004F4C4F"/>
    <w:rsid w:val="005226B9"/>
    <w:rsid w:val="00534803"/>
    <w:rsid w:val="00551056"/>
    <w:rsid w:val="005575FF"/>
    <w:rsid w:val="00561FB9"/>
    <w:rsid w:val="00574619"/>
    <w:rsid w:val="00574A76"/>
    <w:rsid w:val="00591288"/>
    <w:rsid w:val="005917FD"/>
    <w:rsid w:val="005A4AA1"/>
    <w:rsid w:val="005B3358"/>
    <w:rsid w:val="005C0F15"/>
    <w:rsid w:val="005C3C13"/>
    <w:rsid w:val="005D4706"/>
    <w:rsid w:val="0060011C"/>
    <w:rsid w:val="006147EB"/>
    <w:rsid w:val="006200EB"/>
    <w:rsid w:val="00621C99"/>
    <w:rsid w:val="00621EA3"/>
    <w:rsid w:val="00635B1B"/>
    <w:rsid w:val="00640234"/>
    <w:rsid w:val="0064343A"/>
    <w:rsid w:val="00664EF3"/>
    <w:rsid w:val="00665FB6"/>
    <w:rsid w:val="0066650A"/>
    <w:rsid w:val="00667175"/>
    <w:rsid w:val="00671F7E"/>
    <w:rsid w:val="006A008F"/>
    <w:rsid w:val="006A5AA6"/>
    <w:rsid w:val="006C298F"/>
    <w:rsid w:val="006E170D"/>
    <w:rsid w:val="006E698B"/>
    <w:rsid w:val="0071548B"/>
    <w:rsid w:val="0072021D"/>
    <w:rsid w:val="007203E4"/>
    <w:rsid w:val="007204A9"/>
    <w:rsid w:val="0074583A"/>
    <w:rsid w:val="00756929"/>
    <w:rsid w:val="00767DBB"/>
    <w:rsid w:val="00774646"/>
    <w:rsid w:val="00781695"/>
    <w:rsid w:val="007A02A7"/>
    <w:rsid w:val="007C0935"/>
    <w:rsid w:val="007C0E12"/>
    <w:rsid w:val="007D48B0"/>
    <w:rsid w:val="007F4E93"/>
    <w:rsid w:val="008046D4"/>
    <w:rsid w:val="00815583"/>
    <w:rsid w:val="00826C51"/>
    <w:rsid w:val="00830A97"/>
    <w:rsid w:val="00833792"/>
    <w:rsid w:val="00852F35"/>
    <w:rsid w:val="008533E0"/>
    <w:rsid w:val="00857363"/>
    <w:rsid w:val="008640C0"/>
    <w:rsid w:val="00880485"/>
    <w:rsid w:val="00883248"/>
    <w:rsid w:val="0088677E"/>
    <w:rsid w:val="008A0614"/>
    <w:rsid w:val="008B44F5"/>
    <w:rsid w:val="008C30B9"/>
    <w:rsid w:val="008C47A1"/>
    <w:rsid w:val="008C738F"/>
    <w:rsid w:val="008D6B9E"/>
    <w:rsid w:val="008E1024"/>
    <w:rsid w:val="00912C03"/>
    <w:rsid w:val="00913ED0"/>
    <w:rsid w:val="00927650"/>
    <w:rsid w:val="00942CB6"/>
    <w:rsid w:val="00942CE9"/>
    <w:rsid w:val="00954FF2"/>
    <w:rsid w:val="009615D2"/>
    <w:rsid w:val="00962EE8"/>
    <w:rsid w:val="00976EE9"/>
    <w:rsid w:val="00984376"/>
    <w:rsid w:val="009A6D9C"/>
    <w:rsid w:val="009B1811"/>
    <w:rsid w:val="009C60F6"/>
    <w:rsid w:val="009D1E27"/>
    <w:rsid w:val="009D2DBC"/>
    <w:rsid w:val="009F0889"/>
    <w:rsid w:val="009F53B7"/>
    <w:rsid w:val="009F6A0F"/>
    <w:rsid w:val="00A008E6"/>
    <w:rsid w:val="00A12C83"/>
    <w:rsid w:val="00A62EF3"/>
    <w:rsid w:val="00A77F7A"/>
    <w:rsid w:val="00A918A7"/>
    <w:rsid w:val="00AA12EC"/>
    <w:rsid w:val="00AA705F"/>
    <w:rsid w:val="00AB0931"/>
    <w:rsid w:val="00AC2CDC"/>
    <w:rsid w:val="00AD7805"/>
    <w:rsid w:val="00B56736"/>
    <w:rsid w:val="00B6596F"/>
    <w:rsid w:val="00B845F2"/>
    <w:rsid w:val="00B91E60"/>
    <w:rsid w:val="00BB1526"/>
    <w:rsid w:val="00BD171D"/>
    <w:rsid w:val="00BD57F5"/>
    <w:rsid w:val="00BD775F"/>
    <w:rsid w:val="00BE48A4"/>
    <w:rsid w:val="00BE56F0"/>
    <w:rsid w:val="00C12D35"/>
    <w:rsid w:val="00C33599"/>
    <w:rsid w:val="00C47620"/>
    <w:rsid w:val="00C55ECF"/>
    <w:rsid w:val="00C61D53"/>
    <w:rsid w:val="00C70947"/>
    <w:rsid w:val="00C91494"/>
    <w:rsid w:val="00CC6110"/>
    <w:rsid w:val="00CD2896"/>
    <w:rsid w:val="00D03799"/>
    <w:rsid w:val="00D04E61"/>
    <w:rsid w:val="00D10635"/>
    <w:rsid w:val="00D500C1"/>
    <w:rsid w:val="00D525B8"/>
    <w:rsid w:val="00D55354"/>
    <w:rsid w:val="00D71592"/>
    <w:rsid w:val="00D83264"/>
    <w:rsid w:val="00D8499D"/>
    <w:rsid w:val="00DA18A2"/>
    <w:rsid w:val="00DF2F8D"/>
    <w:rsid w:val="00E023DA"/>
    <w:rsid w:val="00E05FA4"/>
    <w:rsid w:val="00E224F4"/>
    <w:rsid w:val="00E2753F"/>
    <w:rsid w:val="00E467CA"/>
    <w:rsid w:val="00E84F06"/>
    <w:rsid w:val="00E92551"/>
    <w:rsid w:val="00E9516C"/>
    <w:rsid w:val="00EA558C"/>
    <w:rsid w:val="00ED0697"/>
    <w:rsid w:val="00EE5E8A"/>
    <w:rsid w:val="00F03073"/>
    <w:rsid w:val="00F05263"/>
    <w:rsid w:val="00F4464D"/>
    <w:rsid w:val="00F630E3"/>
    <w:rsid w:val="00F66078"/>
    <w:rsid w:val="00F8025E"/>
    <w:rsid w:val="00F86700"/>
    <w:rsid w:val="00F87240"/>
    <w:rsid w:val="00F87586"/>
    <w:rsid w:val="00F91A69"/>
    <w:rsid w:val="00F957C6"/>
    <w:rsid w:val="00FD20A5"/>
    <w:rsid w:val="00FD2C22"/>
    <w:rsid w:val="00FE2C7F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54FBF82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D89"/>
    <w:pPr>
      <w:spacing w:after="16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292BFC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1C2B39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6147EB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1C2B39" w:themeColor="accent1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2"/>
    <w:qFormat/>
    <w:rsid w:val="006147EB"/>
    <w:pPr>
      <w:outlineLvl w:val="2"/>
    </w:pPr>
    <w:rPr>
      <w:color w:val="1C2B39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F8025E"/>
    <w:pPr>
      <w:keepNext/>
      <w:keepLines/>
      <w:spacing w:before="240"/>
      <w:outlineLvl w:val="3"/>
    </w:pPr>
    <w:rPr>
      <w:rFonts w:asciiTheme="majorHAnsi" w:eastAsiaTheme="majorEastAsia" w:hAnsiTheme="majorHAnsi" w:cstheme="minorHAnsi"/>
      <w:color w:val="004261" w:themeColor="text2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F8025E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Cs/>
      <w:color w:val="8D2625" w:themeColor="accent6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F8025E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A65815" w:themeColor="accent4" w:themeShade="BF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292BFC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004261" w:themeColor="text2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292BFC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004261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292BFC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004261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92BFC"/>
    <w:rPr>
      <w:rFonts w:asciiTheme="majorHAnsi" w:eastAsiaTheme="majorEastAsia" w:hAnsiTheme="majorHAnsi" w:cstheme="majorBidi"/>
      <w:color w:val="1C2B39" w:themeColor="accent1"/>
      <w:sz w:val="48"/>
      <w:szCs w:val="40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6147EB"/>
    <w:rPr>
      <w:rFonts w:asciiTheme="majorHAnsi" w:eastAsiaTheme="majorEastAsia" w:hAnsiTheme="majorHAnsi" w:cstheme="majorBidi"/>
      <w:color w:val="1C2B39" w:themeColor="accen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6147EB"/>
    <w:rPr>
      <w:rFonts w:eastAsiaTheme="majorEastAsia" w:cstheme="minorHAnsi"/>
      <w:b/>
      <w:color w:val="1C2B39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F8025E"/>
    <w:rPr>
      <w:rFonts w:asciiTheme="majorHAnsi" w:eastAsiaTheme="majorEastAsia" w:hAnsiTheme="majorHAnsi" w:cstheme="minorHAnsi"/>
      <w:color w:val="004261" w:themeColor="text2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F8025E"/>
    <w:rPr>
      <w:rFonts w:asciiTheme="majorHAnsi" w:eastAsiaTheme="majorEastAsia" w:hAnsiTheme="majorHAnsi" w:cstheme="majorBidi"/>
      <w:iCs/>
      <w:color w:val="8D2625" w:themeColor="accent6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F8025E"/>
    <w:rPr>
      <w:rFonts w:asciiTheme="majorHAnsi" w:eastAsiaTheme="majorEastAsia" w:hAnsiTheme="majorHAnsi" w:cstheme="majorBidi"/>
      <w:color w:val="A65815" w:themeColor="accent4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rsid w:val="00292BFC"/>
    <w:rPr>
      <w:rFonts w:asciiTheme="majorHAnsi" w:eastAsiaTheme="majorEastAsia" w:hAnsiTheme="majorHAnsi" w:cstheme="majorBidi"/>
      <w:b/>
      <w:bCs/>
      <w:color w:val="004261" w:themeColor="text2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292BFC"/>
    <w:rPr>
      <w:rFonts w:asciiTheme="majorHAnsi" w:eastAsiaTheme="majorEastAsia" w:hAnsiTheme="majorHAnsi" w:cstheme="majorBidi"/>
      <w:b/>
      <w:bCs/>
      <w:i/>
      <w:iCs/>
      <w:color w:val="004261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292BFC"/>
    <w:rPr>
      <w:rFonts w:asciiTheme="majorHAnsi" w:eastAsiaTheme="majorEastAsia" w:hAnsiTheme="majorHAnsi" w:cstheme="majorBidi"/>
      <w:i/>
      <w:iCs/>
      <w:color w:val="004261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525B8"/>
    <w:pPr>
      <w:spacing w:line="240" w:lineRule="auto"/>
    </w:pPr>
    <w:rPr>
      <w:b/>
      <w:bCs/>
      <w:smallCaps/>
      <w:color w:val="4D759C" w:themeColor="text1" w:themeTint="A6"/>
    </w:rPr>
  </w:style>
  <w:style w:type="character" w:styleId="Strong">
    <w:name w:val="Strong"/>
    <w:basedOn w:val="DefaultParagraphFont"/>
    <w:uiPriority w:val="22"/>
    <w:unhideWhenUsed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292BFC"/>
    <w:pPr>
      <w:spacing w:before="240"/>
      <w:ind w:left="720" w:right="720"/>
    </w:pPr>
    <w:rPr>
      <w:i/>
      <w:iCs/>
      <w:color w:val="004261" w:themeColor="text2"/>
    </w:rPr>
  </w:style>
  <w:style w:type="character" w:customStyle="1" w:styleId="QuoteChar">
    <w:name w:val="Quote Char"/>
    <w:basedOn w:val="DefaultParagraphFont"/>
    <w:link w:val="Quote"/>
    <w:uiPriority w:val="16"/>
    <w:rsid w:val="00292BFC"/>
    <w:rPr>
      <w:i/>
      <w:iCs/>
      <w:color w:val="004261" w:themeColor="text2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292BFC"/>
    <w:pPr>
      <w:spacing w:before="120"/>
      <w:ind w:left="720" w:right="720"/>
    </w:pPr>
    <w:rPr>
      <w:rFonts w:asciiTheme="majorHAnsi" w:eastAsiaTheme="majorEastAsia" w:hAnsiTheme="majorHAnsi" w:cstheme="majorBidi"/>
      <w:i/>
      <w:iCs/>
      <w:color w:val="004261" w:themeColor="text2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292BFC"/>
    <w:rPr>
      <w:rFonts w:asciiTheme="majorHAnsi" w:eastAsiaTheme="majorEastAsia" w:hAnsiTheme="majorHAnsi" w:cstheme="majorBidi"/>
      <w:i/>
      <w:iCs/>
      <w:color w:val="004261" w:themeColor="text2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F05263"/>
    <w:rPr>
      <w:rFonts w:asciiTheme="minorHAnsi" w:hAnsiTheme="minorHAnsi"/>
      <w:caps w:val="0"/>
      <w:smallCaps w:val="0"/>
      <w:color w:val="004261" w:themeColor="text2"/>
    </w:rPr>
  </w:style>
  <w:style w:type="character" w:styleId="IntenseReference">
    <w:name w:val="Intense Reference"/>
    <w:basedOn w:val="DefaultParagraphFont"/>
    <w:uiPriority w:val="32"/>
    <w:unhideWhenUsed/>
    <w:rsid w:val="00F05263"/>
    <w:rPr>
      <w:rFonts w:asciiTheme="majorHAnsi" w:hAnsiTheme="majorHAnsi"/>
      <w:b/>
      <w:bCs/>
      <w:caps w:val="0"/>
      <w:smallCaps w:val="0"/>
      <w:color w:val="004261" w:themeColor="text2"/>
    </w:rPr>
  </w:style>
  <w:style w:type="paragraph" w:styleId="TOCHeading">
    <w:name w:val="TOC Heading"/>
    <w:basedOn w:val="Heading1"/>
    <w:next w:val="Normal"/>
    <w:uiPriority w:val="39"/>
    <w:unhideWhenUsed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292BFC"/>
    <w:pPr>
      <w:jc w:val="center"/>
    </w:pPr>
    <w:rPr>
      <w:rFonts w:ascii="Segoe UI" w:hAnsi="Segoe UI"/>
      <w:caps/>
      <w:color w:val="BD3432" w:themeColor="accent6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rsid w:val="00857363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character" w:customStyle="1" w:styleId="CLASSIFICATIONChar">
    <w:name w:val="CLASSIFICATION Char"/>
    <w:basedOn w:val="DefaultParagraphFont"/>
    <w:link w:val="CLASSIFICATION"/>
    <w:uiPriority w:val="99"/>
    <w:rsid w:val="00292BFC"/>
    <w:rPr>
      <w:rFonts w:ascii="Segoe UI" w:hAnsi="Segoe UI"/>
      <w:caps/>
      <w:color w:val="BD3432" w:themeColor="accent6"/>
      <w:sz w:val="18"/>
    </w:rPr>
  </w:style>
  <w:style w:type="paragraph" w:customStyle="1" w:styleId="BOXText">
    <w:name w:val="BOX Text"/>
    <w:basedOn w:val="Normal"/>
    <w:uiPriority w:val="4"/>
    <w:qFormat/>
    <w:rsid w:val="00292BFC"/>
    <w:pPr>
      <w:pBdr>
        <w:top w:val="single" w:sz="48" w:space="1" w:color="E1E9F0" w:themeColor="text1" w:themeTint="1A"/>
        <w:left w:val="single" w:sz="48" w:space="4" w:color="E1E9F0" w:themeColor="text1" w:themeTint="1A"/>
        <w:bottom w:val="single" w:sz="48" w:space="1" w:color="E1E9F0" w:themeColor="text1" w:themeTint="1A"/>
        <w:right w:val="single" w:sz="48" w:space="4" w:color="E1E9F0" w:themeColor="text1" w:themeTint="1A"/>
      </w:pBdr>
      <w:shd w:val="clear" w:color="auto" w:fill="E0E8F2"/>
      <w:tabs>
        <w:tab w:val="left" w:pos="3300"/>
      </w:tabs>
      <w:ind w:left="227" w:right="227"/>
    </w:pPr>
    <w:rPr>
      <w:color w:val="1C2B39" w:themeColor="text1"/>
    </w:rPr>
  </w:style>
  <w:style w:type="paragraph" w:customStyle="1" w:styleId="BOXBulletedList">
    <w:name w:val="BOX Bulleted List"/>
    <w:basedOn w:val="BOXText"/>
    <w:uiPriority w:val="5"/>
    <w:qFormat/>
    <w:rsid w:val="00BD171D"/>
    <w:pPr>
      <w:numPr>
        <w:numId w:val="1"/>
      </w:numPr>
      <w:ind w:left="511"/>
    </w:pPr>
  </w:style>
  <w:style w:type="table" w:styleId="TableGrid">
    <w:name w:val="Table Grid"/>
    <w:basedOn w:val="TableNormal"/>
    <w:uiPriority w:val="3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5480AB" w:themeColor="accent1" w:themeTint="99"/>
        <w:left w:val="single" w:sz="4" w:space="0" w:color="5480AB" w:themeColor="accent1" w:themeTint="99"/>
        <w:bottom w:val="single" w:sz="4" w:space="0" w:color="5480AB" w:themeColor="accent1" w:themeTint="99"/>
        <w:right w:val="single" w:sz="4" w:space="0" w:color="5480AB" w:themeColor="accent1" w:themeTint="99"/>
        <w:insideH w:val="single" w:sz="4" w:space="0" w:color="5480A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2B39" w:themeColor="accent1"/>
          <w:left w:val="single" w:sz="4" w:space="0" w:color="1C2B39" w:themeColor="accent1"/>
          <w:bottom w:val="single" w:sz="4" w:space="0" w:color="1C2B39" w:themeColor="accent1"/>
          <w:right w:val="single" w:sz="4" w:space="0" w:color="1C2B39" w:themeColor="accent1"/>
          <w:insideH w:val="nil"/>
        </w:tcBorders>
        <w:shd w:val="clear" w:color="auto" w:fill="1C2B39" w:themeFill="accent1"/>
      </w:tcPr>
    </w:tblStylePr>
    <w:tblStylePr w:type="lastRow">
      <w:rPr>
        <w:b/>
        <w:bCs/>
      </w:rPr>
      <w:tblPr/>
      <w:tcPr>
        <w:tcBorders>
          <w:top w:val="double" w:sz="4" w:space="0" w:color="5480A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4E3" w:themeFill="accent1" w:themeFillTint="33"/>
      </w:tcPr>
    </w:tblStylePr>
    <w:tblStylePr w:type="band1Horz">
      <w:tblPr/>
      <w:tcPr>
        <w:shd w:val="clear" w:color="auto" w:fill="C6D4E3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F8025E"/>
    <w:pPr>
      <w:numPr>
        <w:numId w:val="27"/>
      </w:numPr>
      <w:spacing w:before="240"/>
    </w:pPr>
    <w:rPr>
      <w:rFonts w:asciiTheme="majorHAnsi" w:hAnsiTheme="majorHAnsi" w:cs="Segoe UI"/>
      <w:color w:val="004261" w:themeColor="text2"/>
    </w:rPr>
  </w:style>
  <w:style w:type="paragraph" w:customStyle="1" w:styleId="TBLHeading">
    <w:name w:val="TBL Heading"/>
    <w:basedOn w:val="Normal"/>
    <w:autoRedefine/>
    <w:uiPriority w:val="11"/>
    <w:qFormat/>
    <w:rsid w:val="00830A97"/>
    <w:pPr>
      <w:spacing w:after="0" w:line="240" w:lineRule="auto"/>
    </w:pPr>
    <w:rPr>
      <w:rFonts w:ascii="Segoe UI" w:hAnsi="Segoe UI" w:cs="Segoe UI"/>
      <w:color w:val="FFFFFF" w:themeColor="background1"/>
      <w:sz w:val="20"/>
      <w:szCs w:val="20"/>
    </w:rPr>
  </w:style>
  <w:style w:type="paragraph" w:customStyle="1" w:styleId="TBLText">
    <w:name w:val="TBL Text"/>
    <w:basedOn w:val="Normal"/>
    <w:uiPriority w:val="9"/>
    <w:qFormat/>
    <w:rsid w:val="009615D2"/>
    <w:pPr>
      <w:spacing w:after="0" w:line="240" w:lineRule="auto"/>
    </w:pPr>
    <w:rPr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1B2D56"/>
    <w:pPr>
      <w:numPr>
        <w:numId w:val="12"/>
      </w:numPr>
      <w:ind w:left="206" w:hanging="206"/>
    </w:pPr>
  </w:style>
  <w:style w:type="paragraph" w:customStyle="1" w:styleId="TBLNumberedList">
    <w:name w:val="TBL Numbered List"/>
    <w:basedOn w:val="TBLText"/>
    <w:uiPriority w:val="10"/>
    <w:qFormat/>
    <w:rsid w:val="00E05FA4"/>
    <w:pPr>
      <w:numPr>
        <w:numId w:val="13"/>
      </w:numPr>
      <w:ind w:left="270" w:hanging="270"/>
    </w:pPr>
  </w:style>
  <w:style w:type="paragraph" w:customStyle="1" w:styleId="BOXHeading3">
    <w:name w:val="BOX Heading 3"/>
    <w:basedOn w:val="BOXHeading2"/>
    <w:next w:val="BOXText"/>
    <w:uiPriority w:val="6"/>
    <w:qFormat/>
    <w:rsid w:val="00F8025E"/>
    <w:pPr>
      <w:outlineLvl w:val="2"/>
    </w:pPr>
    <w:rPr>
      <w:rFonts w:cstheme="minorHAnsi"/>
      <w:sz w:val="24"/>
      <w:szCs w:val="26"/>
    </w:rPr>
  </w:style>
  <w:style w:type="paragraph" w:styleId="ListParagraph">
    <w:name w:val="List Paragraph"/>
    <w:basedOn w:val="Normal"/>
    <w:uiPriority w:val="34"/>
    <w:unhideWhenUsed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BD171D"/>
    <w:pPr>
      <w:numPr>
        <w:numId w:val="1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BD171D"/>
    <w:pPr>
      <w:numPr>
        <w:numId w:val="30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BD171D"/>
    <w:pPr>
      <w:numPr>
        <w:numId w:val="31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BD171D"/>
    <w:pPr>
      <w:numPr>
        <w:numId w:val="21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BD171D"/>
    <w:pPr>
      <w:numPr>
        <w:ilvl w:val="1"/>
        <w:numId w:val="21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BD171D"/>
    <w:pPr>
      <w:numPr>
        <w:ilvl w:val="2"/>
        <w:numId w:val="21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B0931"/>
    <w:rPr>
      <w:color w:val="5E1919" w:themeColor="accent6" w:themeShade="80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color w:val="FFFFFF" w:themeColor="background1"/>
    </w:r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BD171D"/>
    <w:pPr>
      <w:numPr>
        <w:numId w:val="28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29"/>
      </w:num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  <w:ind w:left="584" w:hanging="357"/>
    </w:pPr>
  </w:style>
  <w:style w:type="table" w:customStyle="1" w:styleId="Custom1">
    <w:name w:val="Custom 1"/>
    <w:basedOn w:val="TableNormal"/>
    <w:uiPriority w:val="99"/>
    <w:rsid w:val="00665FB6"/>
    <w:pPr>
      <w:spacing w:after="0" w:line="240" w:lineRule="auto"/>
    </w:pPr>
    <w:rPr>
      <w:sz w:val="18"/>
    </w:rPr>
    <w:tblPr>
      <w:tblStyleRowBandSize w:val="1"/>
      <w:tblBorders>
        <w:top w:val="single" w:sz="4" w:space="0" w:color="1C2B39" w:themeColor="accent1"/>
        <w:bottom w:val="single" w:sz="12" w:space="0" w:color="1C2B39" w:themeColor="accent1"/>
        <w:insideH w:val="single" w:sz="4" w:space="0" w:color="1C2B39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C2B39" w:themeFill="accent1"/>
      </w:tcPr>
    </w:tblStylePr>
    <w:tblStylePr w:type="band1Horz">
      <w:tblPr/>
      <w:tcPr>
        <w:shd w:val="clear" w:color="auto" w:fill="FFFFFF" w:themeFill="background2"/>
      </w:tcPr>
    </w:tblStylePr>
  </w:style>
  <w:style w:type="table" w:customStyle="1" w:styleId="Style1">
    <w:name w:val="Style1"/>
    <w:basedOn w:val="Custom1"/>
    <w:uiPriority w:val="99"/>
    <w:rsid w:val="00815583"/>
    <w:tblPr>
      <w:tblBorders>
        <w:top w:val="none" w:sz="0" w:space="0" w:color="auto"/>
        <w:left w:val="single" w:sz="4" w:space="0" w:color="1C2B39" w:themeColor="accent1"/>
        <w:bottom w:val="single" w:sz="4" w:space="0" w:color="1C2B39" w:themeColor="accent1"/>
        <w:right w:val="single" w:sz="4" w:space="0" w:color="1C2B39" w:themeColor="accent1"/>
        <w:insideH w:val="none" w:sz="0" w:space="0" w:color="auto"/>
        <w:insideV w:val="single" w:sz="4" w:space="0" w:color="1C2B39" w:themeColor="accent1"/>
      </w:tblBorders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C2B39" w:themeFill="accent1"/>
      </w:tcPr>
    </w:tblStylePr>
    <w:tblStylePr w:type="firstCol">
      <w:rPr>
        <w:b/>
      </w:rPr>
      <w:tblPr/>
      <w:tcPr>
        <w:shd w:val="clear" w:color="auto" w:fill="1C2B39" w:themeFill="accent1"/>
      </w:tcPr>
    </w:tblStylePr>
    <w:tblStylePr w:type="band1Horz">
      <w:tblPr/>
      <w:tcPr>
        <w:shd w:val="clear" w:color="auto" w:fill="FFFFFF" w:themeFill="background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B55C1"/>
    <w:rPr>
      <w:color w:val="DE761C" w:themeColor="followedHyperlink"/>
      <w:u w:val="single"/>
    </w:rPr>
  </w:style>
  <w:style w:type="paragraph" w:customStyle="1" w:styleId="TableText">
    <w:name w:val="TableText"/>
    <w:basedOn w:val="Normal"/>
    <w:qFormat/>
    <w:rsid w:val="007D48B0"/>
    <w:pPr>
      <w:spacing w:before="120" w:after="120" w:line="240" w:lineRule="auto"/>
    </w:pPr>
    <w:rPr>
      <w:rFonts w:ascii="Century Gothic" w:eastAsiaTheme="majorEastAsia" w:hAnsi="Century Gothic" w:cs="Arial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qFormat/>
    <w:rsid w:val="00BD775F"/>
    <w:pPr>
      <w:spacing w:after="0" w:line="240" w:lineRule="auto"/>
    </w:pPr>
    <w:rPr>
      <w:rFonts w:eastAsiaTheme="minorHAnsi"/>
      <w:color w:val="314A63" w:themeColor="text1" w:themeTint="D9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775F"/>
    <w:rPr>
      <w:rFonts w:eastAsiaTheme="minorHAnsi"/>
      <w:color w:val="314A63" w:themeColor="text1" w:themeTint="D9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BD775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D77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75F"/>
    <w:pPr>
      <w:spacing w:after="120" w:line="240" w:lineRule="auto"/>
    </w:pPr>
    <w:rPr>
      <w:rFonts w:eastAsiaTheme="minorHAnsi"/>
      <w:color w:val="314A63" w:themeColor="text1" w:themeTint="D9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75F"/>
    <w:rPr>
      <w:rFonts w:eastAsiaTheme="minorHAnsi"/>
      <w:color w:val="314A63" w:themeColor="text1" w:themeTint="D9"/>
      <w:sz w:val="20"/>
      <w:szCs w:val="20"/>
    </w:rPr>
  </w:style>
  <w:style w:type="paragraph" w:styleId="Revision">
    <w:name w:val="Revision"/>
    <w:hidden/>
    <w:uiPriority w:val="99"/>
    <w:semiHidden/>
    <w:rsid w:val="001B3D4B"/>
    <w:pPr>
      <w:spacing w:after="0" w:line="240" w:lineRule="auto"/>
    </w:pPr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D97"/>
    <w:pPr>
      <w:spacing w:after="160"/>
    </w:pPr>
    <w:rPr>
      <w:rFonts w:eastAsiaTheme="minorEastAsia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D97"/>
    <w:rPr>
      <w:rFonts w:eastAsiaTheme="minorHAnsi"/>
      <w:b/>
      <w:bCs/>
      <w:color w:val="314A63" w:themeColor="text1" w:themeTint="D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sbfeo.gov.au/about-us/contact-us" TargetMode="External"/><Relationship Id="rId18" Type="http://schemas.openxmlformats.org/officeDocument/2006/relationships/hyperlink" Target="mailto:RAIS@infrastructure.gov.a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Helpdesk-OIA@pmc.gov.au" TargetMode="External"/><Relationship Id="rId17" Type="http://schemas.openxmlformats.org/officeDocument/2006/relationships/hyperlink" Target="mailto:GIA@pmc.gov.a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oil.coordinator@ag.gov.a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ia.pmc.gov.au/resources/forms-and-templates/australian-government-impact-analysis-preliminary-assessment-form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trade.law@dfat.gov.au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gulation@asbfeo.gov.au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IA Colours">
      <a:dk1>
        <a:srgbClr val="1C2B39"/>
      </a:dk1>
      <a:lt1>
        <a:srgbClr val="FFFFFF"/>
      </a:lt1>
      <a:dk2>
        <a:srgbClr val="004261"/>
      </a:dk2>
      <a:lt2>
        <a:srgbClr val="FFFFFF"/>
      </a:lt2>
      <a:accent1>
        <a:srgbClr val="1C2B39"/>
      </a:accent1>
      <a:accent2>
        <a:srgbClr val="004261"/>
      </a:accent2>
      <a:accent3>
        <a:srgbClr val="007279"/>
      </a:accent3>
      <a:accent4>
        <a:srgbClr val="DE761C"/>
      </a:accent4>
      <a:accent5>
        <a:srgbClr val="C85C1A"/>
      </a:accent5>
      <a:accent6>
        <a:srgbClr val="BD3432"/>
      </a:accent6>
      <a:hlink>
        <a:srgbClr val="DE761C"/>
      </a:hlink>
      <a:folHlink>
        <a:srgbClr val="DE761C"/>
      </a:folHlink>
    </a:clrScheme>
    <a:fontScheme name="OIA">
      <a:majorFont>
        <a:latin typeface="Segoe UI Semibold"/>
        <a:ea typeface=""/>
        <a:cs typeface=""/>
      </a:majorFont>
      <a:minorFont>
        <a:latin typeface="Segoe UI Symbo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ShareHubID xmlns="166541c0-0594-4e6a-9105-c24d4b6de6f7">DOC23-232817</ShareHubID>
    <TaxCatchAll xmlns="166541c0-0594-4e6a-9105-c24d4b6de6f7"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CCE8B-9BB6-49F2-A2E3-0DC5C9DFA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B07BFA-3B95-4C3F-9703-00BEB4029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39DF5-1A98-455B-8FB3-3AAFD2EC7A7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f9fda-bd71-4433-b331-92feb9553089"/>
    <ds:schemaRef ds:uri="http://purl.org/dc/terms/"/>
    <ds:schemaRef ds:uri="166541c0-0594-4e6a-9105-c24d4b6de6f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A4D18E-18A8-465E-A1F0-51215DF2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Government Impact Analysis Preliminary Assessment Form</vt:lpstr>
    </vt:vector>
  </TitlesOfParts>
  <Manager/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Government Impact Analysis Preliminary Assessment Form</dc:title>
  <dc:subject/>
  <dc:creator/>
  <cp:keywords/>
  <dc:description/>
  <cp:lastModifiedBy/>
  <cp:revision>1</cp:revision>
  <dcterms:created xsi:type="dcterms:W3CDTF">2023-08-02T23:23:00Z</dcterms:created>
  <dcterms:modified xsi:type="dcterms:W3CDTF">2023-08-02T23:24:00Z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/>
  </property>
  <property fmtid="{D5CDD505-2E9C-101B-9397-08002B2CF9AE}" pid="4" name="HPRMSecurityLevel">
    <vt:lpwstr>57;#OFFICIAL|11463c70-78df-4e3b-b0ff-f66cd3cb26ec</vt:lpwstr>
  </property>
  <property fmtid="{D5CDD505-2E9C-101B-9397-08002B2CF9AE}" pid="5" name="HPRMSecurityCaveat">
    <vt:lpwstr/>
  </property>
</Properties>
</file>