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7B1F8" w14:textId="77777777" w:rsidR="00A177AF" w:rsidRDefault="00A177AF" w:rsidP="00A177AF"/>
    <w:p w14:paraId="4677B1F9" w14:textId="735D5876" w:rsidR="00A177AF" w:rsidRDefault="00A177AF" w:rsidP="00A177AF">
      <w:pPr>
        <w:pStyle w:val="Title"/>
        <w:tabs>
          <w:tab w:val="left" w:pos="7938"/>
        </w:tabs>
        <w:rPr>
          <w:rFonts w:asciiTheme="minorHAnsi" w:eastAsiaTheme="minorEastAsia" w:hAnsiTheme="minorHAnsi" w:cstheme="minorBidi"/>
          <w:noProof w:val="0"/>
          <w:spacing w:val="0"/>
          <w:sz w:val="22"/>
          <w:szCs w:val="21"/>
        </w:rPr>
      </w:pPr>
      <w:r>
        <w:t>Impact Analysis Policy Options</w:t>
      </w:r>
    </w:p>
    <w:p w14:paraId="4677B1FA" w14:textId="77777777" w:rsidR="00E40A82" w:rsidRPr="00E40A82" w:rsidRDefault="00E40A82" w:rsidP="00E40A82">
      <w:r w:rsidRPr="00E40A82">
        <w:t xml:space="preserve">May 2023 </w:t>
      </w:r>
    </w:p>
    <w:p w14:paraId="4677B1FB" w14:textId="77777777" w:rsidR="00E40A82" w:rsidRPr="00E40A82" w:rsidRDefault="00E40A82" w:rsidP="00A177AF">
      <w:pPr>
        <w:pStyle w:val="Heading1"/>
      </w:pPr>
      <w:r w:rsidRPr="00E40A82">
        <w:t xml:space="preserve">Summary </w:t>
      </w:r>
    </w:p>
    <w:p w14:paraId="4677B1FC" w14:textId="77777777" w:rsidR="00E40A82" w:rsidRPr="00E40A82" w:rsidRDefault="00E40A82" w:rsidP="00E40A82">
      <w:r w:rsidRPr="00E40A82">
        <w:t xml:space="preserve">When preparing Impact Analysis, Australian Government agencies must consider a range of viable policy options. The number of options included in the analysis should take into account the </w:t>
      </w:r>
      <w:bookmarkStart w:id="0" w:name="_GoBack"/>
      <w:r w:rsidRPr="00E40A82">
        <w:t xml:space="preserve">magnitude of the policy problem being considered. </w:t>
      </w:r>
    </w:p>
    <w:bookmarkEnd w:id="0"/>
    <w:p w14:paraId="4677B1FD" w14:textId="77777777" w:rsidR="00E40A82" w:rsidRPr="00E40A82" w:rsidRDefault="00E40A82" w:rsidP="00E40A82">
      <w:r w:rsidRPr="00E40A82">
        <w:t xml:space="preserve">Impact Analysis should consider all practical policy alternatives that can be implemented to achieve the policy objective and address the identified problem. Impact Analysis needs to include at least three options unless the agency certifies in the Impact Analysis that the policy problem and circumstances are such that fewer than three options are feasible for consideration. For election commitments and international agreements, an Impact Analysis can have fewer than three options.  </w:t>
      </w:r>
    </w:p>
    <w:p w14:paraId="4677B1FE" w14:textId="77777777" w:rsidR="00E40A82" w:rsidRPr="00E40A82" w:rsidRDefault="00E40A82" w:rsidP="00A177AF">
      <w:pPr>
        <w:pStyle w:val="Heading1"/>
      </w:pPr>
      <w:r w:rsidRPr="00E40A82">
        <w:t>How many options are required in Impact Analysis?</w:t>
      </w:r>
    </w:p>
    <w:p w14:paraId="4677B1FF" w14:textId="77777777" w:rsidR="00E40A82" w:rsidRPr="00E40A82" w:rsidRDefault="00E40A82" w:rsidP="00E40A82">
      <w:r w:rsidRPr="00E40A82">
        <w:t>While at least three options would normally be included in your Impact Analysis, the optimal number may well be larger and you are encouraged to include all practical options that should reasonably be considered by decision makers.</w:t>
      </w:r>
    </w:p>
    <w:p w14:paraId="4677B200" w14:textId="77777777" w:rsidR="00E40A82" w:rsidRPr="00E40A82" w:rsidRDefault="00E40A82" w:rsidP="00E40A82">
      <w:r w:rsidRPr="00E40A82">
        <w:t xml:space="preserve">The options in your Impact Analysis must include the status quo (that is, the do nothing approach) as a benchmark. In addition it should cover any proposed policy alternatives, with at least one of the policy alternatives being a non-regulatory option. </w:t>
      </w:r>
    </w:p>
    <w:p w14:paraId="4677B201" w14:textId="77777777" w:rsidR="00E40A82" w:rsidRPr="00E40A82" w:rsidRDefault="00E40A82" w:rsidP="00E40A82">
      <w:r w:rsidRPr="00E40A82">
        <w:t xml:space="preserve">While every option considered should be practical and implementable, options should not be discounted just because they have or haven’t been considered before or there are risks associated with them. There are several different policy approaches that can be applied to identify options. </w:t>
      </w:r>
    </w:p>
    <w:p w14:paraId="4677B202" w14:textId="77777777" w:rsidR="00E40A82" w:rsidRPr="00E40A82" w:rsidRDefault="00E40A82" w:rsidP="00E40A82">
      <w:r w:rsidRPr="00E40A82">
        <w:t>When is it appropriate to include fewer than three options?</w:t>
      </w:r>
    </w:p>
    <w:p w14:paraId="4677B203" w14:textId="77777777" w:rsidR="00E40A82" w:rsidRPr="00E40A82" w:rsidRDefault="00E40A82" w:rsidP="00E40A82">
      <w:r w:rsidRPr="00E40A82">
        <w:t>There may be circumstances when there are no viable alternatives to a proposed policy approach. In this scenario, the proposed policy approach should at least be compared to the status quo.</w:t>
      </w:r>
    </w:p>
    <w:p w14:paraId="4677B204" w14:textId="77777777" w:rsidR="00E40A82" w:rsidRPr="00E40A82" w:rsidRDefault="00E40A82" w:rsidP="00E40A82">
      <w:r w:rsidRPr="00E40A82">
        <w:t>It is considered appropriate to include fewer than three options in Impact Analysis if:</w:t>
      </w:r>
    </w:p>
    <w:p w14:paraId="4677B205" w14:textId="77777777" w:rsidR="00E40A82" w:rsidRPr="00E40A82" w:rsidRDefault="00E40A82" w:rsidP="00E40A82">
      <w:pPr>
        <w:pStyle w:val="BulletedList-Level1"/>
      </w:pPr>
      <w:r w:rsidRPr="00E40A82">
        <w:lastRenderedPageBreak/>
        <w:t>The proposed policy approach is an election commitment.</w:t>
      </w:r>
    </w:p>
    <w:p w14:paraId="4677B206" w14:textId="77777777" w:rsidR="00E40A82" w:rsidRPr="00E40A82" w:rsidRDefault="00E40A82" w:rsidP="00E40A82">
      <w:r w:rsidRPr="00E40A82">
        <w:t>In this case, the Government has already committed itself to one policy approach in a public and accountable way and no alternative options need to be considered.</w:t>
      </w:r>
    </w:p>
    <w:p w14:paraId="4677B207" w14:textId="77777777" w:rsidR="00E40A82" w:rsidRPr="00E40A82" w:rsidRDefault="00E40A82" w:rsidP="00E40A82">
      <w:pPr>
        <w:pStyle w:val="BulletedList-Level1"/>
      </w:pPr>
      <w:r w:rsidRPr="00E40A82">
        <w:t>The proposed policy is the adoption of multi-lateral international agreements or has been the result of international processes.</w:t>
      </w:r>
    </w:p>
    <w:p w14:paraId="4677B208" w14:textId="77777777" w:rsidR="00E40A82" w:rsidRPr="00E40A82" w:rsidRDefault="00E40A82" w:rsidP="00E40A82">
      <w:pPr>
        <w:rPr>
          <w:lang w:val="en-GB"/>
        </w:rPr>
      </w:pPr>
      <w:r w:rsidRPr="00E40A82">
        <w:rPr>
          <w:lang w:val="en-GB"/>
        </w:rPr>
        <w:t xml:space="preserve">In this case, it is not practical to consider alternative policies if the Government has spent significant time and effort developing the international agreements and/or the Government wishes to adopt an international policy position to maintain international consistency. </w:t>
      </w:r>
    </w:p>
    <w:p w14:paraId="4677B209" w14:textId="77777777" w:rsidR="00E40A82" w:rsidRPr="00E40A82" w:rsidRDefault="00E40A82" w:rsidP="00E40A82">
      <w:pPr>
        <w:rPr>
          <w:lang w:val="en-GB"/>
        </w:rPr>
      </w:pPr>
      <w:r w:rsidRPr="00E40A82">
        <w:rPr>
          <w:lang w:val="en-GB"/>
        </w:rPr>
        <w:t xml:space="preserve">However, in these situations agencies can also consider alternative ‘implementation’ options that would be consistent with the overarching Government policy.  </w:t>
      </w:r>
    </w:p>
    <w:p w14:paraId="4677B20A" w14:textId="77777777" w:rsidR="00E40A82" w:rsidRPr="00E40A82" w:rsidRDefault="00E40A82" w:rsidP="00E40A82">
      <w:pPr>
        <w:rPr>
          <w:lang w:val="en-GB"/>
        </w:rPr>
      </w:pPr>
      <w:r w:rsidRPr="00E40A82">
        <w:rPr>
          <w:lang w:val="en-GB"/>
        </w:rPr>
        <w:t>If the policy problem and circumstances are such that there are fewer than three options feasible for consideration, then the Impact Analysis may consider less than the three options that are normally expected, noting that the status quo must always be one of the options considered. When this occurs, the agency needs to certify in the Impact Analysis that the policy problem and circumstances are such that fewer than three options are feasible for consideration. The proposed policy option(s) need to be examined in the Impact Analysis as usual, and it would be reasonable for the Impact Analysis to include a clear explanation why other alternatives are not viable or practical.</w:t>
      </w:r>
    </w:p>
    <w:p w14:paraId="4677B20B" w14:textId="77777777" w:rsidR="00E40A82" w:rsidRPr="00E40A82" w:rsidRDefault="00E40A82" w:rsidP="00E40A82">
      <w:r w:rsidRPr="00E40A82">
        <w:t>Where an agency has certified that the policy problem and circumstances are such that fewer than three options are feasible for consideration, the OIA will not make any judgement on the number of options when assessing whether the Impact Analysis is consistent with best practice.</w:t>
      </w:r>
    </w:p>
    <w:p w14:paraId="4677B20C" w14:textId="77777777" w:rsidR="00E40A82" w:rsidRPr="00E40A82" w:rsidRDefault="00E40A82" w:rsidP="00E40A82">
      <w:r w:rsidRPr="00E40A82">
        <w:t xml:space="preserve">Remember that the Impact Analysis needs to include a non-regulatory option. In circumstances where it is not feasible to include a non-regulatory option, the status quo option could be considered as such. </w:t>
      </w:r>
    </w:p>
    <w:p w14:paraId="4677B20D" w14:textId="77777777" w:rsidR="00E40A82" w:rsidRPr="00E40A82" w:rsidRDefault="00E40A82" w:rsidP="00A177AF">
      <w:pPr>
        <w:pStyle w:val="Heading1"/>
      </w:pPr>
      <w:r w:rsidRPr="00E40A82">
        <w:t xml:space="preserve">Guidance on developing Impact Analysis options </w:t>
      </w:r>
    </w:p>
    <w:p w14:paraId="4677B20E" w14:textId="77777777" w:rsidR="00E40A82" w:rsidRPr="00E40A82" w:rsidRDefault="00E40A82" w:rsidP="00E40A82">
      <w:r w:rsidRPr="00E40A82">
        <w:t>During the policy development process, it is important to consider all options identified prior to and following consultation. Agencies need to ensure each Impact Analysis gives genuine consideration to options put forward by stakeholders through the consultation process. Your analysis needs to treat these options as serious policy alternatives and ensure they are assessed equally against your original policy options. If stakeholder proposals are not adopted, your analysis needs to offer a thorough and transparent rationale. There are two ways in which consultation could be used to identify options:</w:t>
      </w:r>
    </w:p>
    <w:p w14:paraId="4677B20F" w14:textId="77777777" w:rsidR="00E40A82" w:rsidRPr="00E40A82" w:rsidRDefault="00E40A82" w:rsidP="00E40A82">
      <w:pPr>
        <w:pStyle w:val="BulletedList-Level1"/>
      </w:pPr>
      <w:r w:rsidRPr="00E40A82">
        <w:lastRenderedPageBreak/>
        <w:t>If appropriate, consult with industry and other relevant stakeholders early in the process while preparing the Impact Analysis to ensure you understand what options they want to see considered.</w:t>
      </w:r>
    </w:p>
    <w:p w14:paraId="4677B210" w14:textId="77777777" w:rsidR="00E40A82" w:rsidRDefault="00E40A82" w:rsidP="00E40A82">
      <w:pPr>
        <w:pStyle w:val="BulletedList-Level1"/>
      </w:pPr>
      <w:r w:rsidRPr="00E40A82">
        <w:t>During the public consultation period, if a reasonable option is identified that has not already been canvassed, analysis of this option should be undertaken before the final policy decision is made.</w:t>
      </w:r>
    </w:p>
    <w:p w14:paraId="4677B211" w14:textId="77777777" w:rsidR="00A177AF" w:rsidRPr="00E40A82" w:rsidRDefault="00A177AF" w:rsidP="00A177AF">
      <w:pPr>
        <w:pStyle w:val="Heading1"/>
      </w:pPr>
      <w:r>
        <w:t>Assistance</w:t>
      </w:r>
    </w:p>
    <w:p w14:paraId="4677B212" w14:textId="77777777" w:rsidR="00E40A82" w:rsidRPr="00E40A82" w:rsidRDefault="00E40A82" w:rsidP="00E40A82">
      <w:r w:rsidRPr="00E40A82">
        <w:t xml:space="preserve">Further guidance on policy options is available in </w:t>
      </w:r>
      <w:hyperlink r:id="rId11" w:history="1">
        <w:r w:rsidRPr="00E40A82">
          <w:rPr>
            <w:rStyle w:val="Hyperlink"/>
            <w:i/>
          </w:rPr>
          <w:t>Australian Government Guide to Policy Impact Analysis</w:t>
        </w:r>
      </w:hyperlink>
      <w:r w:rsidRPr="00E40A82">
        <w:t>.</w:t>
      </w:r>
    </w:p>
    <w:p w14:paraId="4677B213" w14:textId="26B5BD4E" w:rsidR="00E40A82" w:rsidRPr="00E40A82" w:rsidRDefault="00E40A82" w:rsidP="00E40A82">
      <w:r w:rsidRPr="00E40A82">
        <w:t xml:space="preserve">For further information on any of the topics covered in this guidance note, contact OIA on (02) 6271 6270 or at </w:t>
      </w:r>
      <w:hyperlink r:id="rId12" w:history="1">
        <w:r w:rsidRPr="00E40A82">
          <w:rPr>
            <w:rStyle w:val="Hyperlink"/>
          </w:rPr>
          <w:t>helpdesk-OIA@pmc.gov.au</w:t>
        </w:r>
      </w:hyperlink>
      <w:r w:rsidRPr="00E40A82">
        <w:t>.</w:t>
      </w:r>
      <w:r w:rsidR="00A058AF">
        <w:t xml:space="preserve"> </w:t>
      </w:r>
    </w:p>
    <w:p w14:paraId="4677B214" w14:textId="77777777" w:rsidR="00BD171D" w:rsidRPr="00E40A82" w:rsidRDefault="00BD171D" w:rsidP="00E40A82"/>
    <w:sectPr w:rsidR="00BD171D" w:rsidRPr="00E40A82" w:rsidSect="00D83264">
      <w:headerReference w:type="default" r:id="rId13"/>
      <w:footerReference w:type="default" r:id="rId14"/>
      <w:headerReference w:type="first" r:id="rId15"/>
      <w:footerReference w:type="first" r:id="rId16"/>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7B217" w14:textId="77777777" w:rsidR="00537041" w:rsidRDefault="00537041" w:rsidP="00F957C6">
      <w:pPr>
        <w:spacing w:after="0" w:line="240" w:lineRule="auto"/>
      </w:pPr>
      <w:r>
        <w:separator/>
      </w:r>
    </w:p>
  </w:endnote>
  <w:endnote w:type="continuationSeparator" w:id="0">
    <w:p w14:paraId="4677B218" w14:textId="77777777" w:rsidR="00537041" w:rsidRDefault="00537041"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B21A" w14:textId="762A59DD" w:rsidR="00D10635" w:rsidRPr="00F86700" w:rsidRDefault="00D10635" w:rsidP="00F86700">
    <w:pPr>
      <w:pStyle w:val="CLASSIFICATION"/>
    </w:pPr>
  </w:p>
  <w:p w14:paraId="4677B21B" w14:textId="022D32EB"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E40A82">
      <w:rPr>
        <w:color w:val="6E6E6E"/>
        <w:sz w:val="18"/>
        <w:szCs w:val="18"/>
      </w:rPr>
      <w:t>Guidance Note</w:t>
    </w:r>
    <w:r w:rsidR="00376FE6" w:rsidRPr="00852F35">
      <w:rPr>
        <w:color w:val="6E6E6E"/>
        <w:sz w:val="18"/>
        <w:szCs w:val="18"/>
      </w:rPr>
      <w:t xml:space="preserve"> </w:t>
    </w:r>
    <w:r w:rsidRPr="00852F35">
      <w:rPr>
        <w:color w:val="6E6E6E"/>
        <w:sz w:val="18"/>
        <w:szCs w:val="18"/>
      </w:rPr>
      <w:t xml:space="preserve">| </w:t>
    </w:r>
    <w:r w:rsidR="00A177AF">
      <w:rPr>
        <w:color w:val="6E6E6E"/>
        <w:sz w:val="18"/>
        <w:szCs w:val="18"/>
      </w:rPr>
      <w:t>Impact Analysis Policy Options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AC4978">
      <w:rPr>
        <w:rFonts w:ascii="Segoe UI" w:hAnsi="Segoe UI" w:cs="Segoe UI"/>
        <w:noProof/>
        <w:color w:val="6E6E6E"/>
        <w:sz w:val="18"/>
      </w:rPr>
      <w:t>2</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B221" w14:textId="755CB942" w:rsidR="00464D89" w:rsidRDefault="00464D89" w:rsidP="00464D89">
    <w:pPr>
      <w:pStyle w:val="Header"/>
      <w:jc w:val="center"/>
    </w:pPr>
  </w:p>
  <w:p w14:paraId="4677B222" w14:textId="4236FBEC"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E40A82">
      <w:rPr>
        <w:color w:val="6E6E6E"/>
        <w:sz w:val="18"/>
        <w:szCs w:val="18"/>
      </w:rPr>
      <w:t>Guidance Note</w:t>
    </w:r>
    <w:r w:rsidR="00BB1526" w:rsidRPr="00852F35">
      <w:rPr>
        <w:color w:val="6E6E6E"/>
        <w:sz w:val="18"/>
        <w:szCs w:val="18"/>
      </w:rPr>
      <w:t xml:space="preserve"> | </w:t>
    </w:r>
    <w:r w:rsidR="00A177AF">
      <w:rPr>
        <w:color w:val="6E6E6E"/>
        <w:sz w:val="18"/>
        <w:szCs w:val="18"/>
      </w:rPr>
      <w:t>Impact Analysis Policy Options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AC4978">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7B215" w14:textId="77777777" w:rsidR="00537041" w:rsidRDefault="00537041" w:rsidP="00F957C6">
      <w:pPr>
        <w:spacing w:after="0" w:line="240" w:lineRule="auto"/>
      </w:pPr>
      <w:r>
        <w:separator/>
      </w:r>
    </w:p>
  </w:footnote>
  <w:footnote w:type="continuationSeparator" w:id="0">
    <w:p w14:paraId="4677B216" w14:textId="77777777" w:rsidR="00537041" w:rsidRDefault="00537041"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B219" w14:textId="7F281ACC" w:rsidR="00037513" w:rsidRPr="00D10635" w:rsidRDefault="00037513" w:rsidP="00464D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B21C" w14:textId="77777777" w:rsidR="00534803" w:rsidRDefault="00E40A82" w:rsidP="00E9516C">
    <w:pPr>
      <w:pStyle w:val="Header"/>
      <w:jc w:val="center"/>
      <w:rPr>
        <w:rStyle w:val="CLASSIFICATIONChar"/>
      </w:rPr>
    </w:pPr>
    <w:r>
      <w:rPr>
        <w:noProof/>
        <w:lang w:eastAsia="en-AU"/>
      </w:rPr>
      <w:drawing>
        <wp:anchor distT="0" distB="0" distL="114300" distR="114300" simplePos="0" relativeHeight="251657728" behindDoc="1" locked="0" layoutInCell="1" allowOverlap="1" wp14:anchorId="4677B223" wp14:editId="4677B224">
          <wp:simplePos x="0" y="0"/>
          <wp:positionH relativeFrom="column">
            <wp:posOffset>-722630</wp:posOffset>
          </wp:positionH>
          <wp:positionV relativeFrom="paragraph">
            <wp:posOffset>-629285</wp:posOffset>
          </wp:positionV>
          <wp:extent cx="7645400" cy="1540510"/>
          <wp:effectExtent l="0" t="0" r="0" b="2540"/>
          <wp:wrapNone/>
          <wp:docPr id="2" name="Picture 2" descr="Australian Government, Department of the Prime Minister and Cabinet,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tralian Government, Department of the Prime Minister and Cabinet, Office of Impact Analy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40510"/>
                  </a:xfrm>
                  <a:prstGeom prst="rect">
                    <a:avLst/>
                  </a:prstGeom>
                  <a:noFill/>
                </pic:spPr>
              </pic:pic>
            </a:graphicData>
          </a:graphic>
          <wp14:sizeRelH relativeFrom="page">
            <wp14:pctWidth>0</wp14:pctWidth>
          </wp14:sizeRelH>
          <wp14:sizeRelV relativeFrom="page">
            <wp14:pctHeight>0</wp14:pctHeight>
          </wp14:sizeRelV>
        </wp:anchor>
      </w:drawing>
    </w:r>
  </w:p>
  <w:p w14:paraId="4677B21D" w14:textId="77777777" w:rsidR="00534803" w:rsidRDefault="00534803" w:rsidP="00E9516C">
    <w:pPr>
      <w:pStyle w:val="Header"/>
      <w:jc w:val="center"/>
      <w:rPr>
        <w:rStyle w:val="CLASSIFICATIONChar"/>
      </w:rPr>
    </w:pPr>
  </w:p>
  <w:p w14:paraId="4677B21E" w14:textId="77777777" w:rsidR="00E9516C" w:rsidRDefault="00E9516C" w:rsidP="00E9516C">
    <w:pPr>
      <w:pStyle w:val="Header"/>
      <w:jc w:val="center"/>
      <w:rPr>
        <w:rStyle w:val="CLASSIFICATIONChar"/>
      </w:rPr>
    </w:pPr>
  </w:p>
  <w:p w14:paraId="4677B21F" w14:textId="77777777" w:rsidR="00E9516C" w:rsidRDefault="00E9516C" w:rsidP="00E9516C">
    <w:pPr>
      <w:pStyle w:val="Header"/>
      <w:jc w:val="center"/>
      <w:rPr>
        <w:rStyle w:val="CLASSIFICATIONChar"/>
      </w:rPr>
    </w:pPr>
  </w:p>
  <w:p w14:paraId="4677B220"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4D6D74"/>
    <w:multiLevelType w:val="hybridMultilevel"/>
    <w:tmpl w:val="058C0C84"/>
    <w:lvl w:ilvl="0" w:tplc="68E8F8C6">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8F21F8"/>
    <w:multiLevelType w:val="multilevel"/>
    <w:tmpl w:val="FC222E8C"/>
    <w:lvl w:ilvl="0">
      <w:start w:val="1"/>
      <w:numFmt w:val="bullet"/>
      <w:pStyle w:val="BulletedListlvl1"/>
      <w:lvlText w:val=""/>
      <w:lvlJc w:val="left"/>
      <w:pPr>
        <w:ind w:left="567" w:hanging="283"/>
      </w:pPr>
      <w:rPr>
        <w:rFonts w:ascii="Symbol" w:hAnsi="Symbol" w:hint="default"/>
        <w:color w:val="3F608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3F608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1"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2"/>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9"/>
  </w:num>
  <w:num w:numId="20">
    <w:abstractNumId w:val="19"/>
    <w:lvlOverride w:ilvl="0">
      <w:startOverride w:val="1"/>
    </w:lvlOverride>
  </w:num>
  <w:num w:numId="21">
    <w:abstractNumId w:val="23"/>
  </w:num>
  <w:num w:numId="22">
    <w:abstractNumId w:val="21"/>
  </w:num>
  <w:num w:numId="23">
    <w:abstractNumId w:val="11"/>
    <w:lvlOverride w:ilvl="0">
      <w:startOverride w:val="1"/>
    </w:lvlOverride>
  </w:num>
  <w:num w:numId="24">
    <w:abstractNumId w:val="23"/>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14"/>
  </w:num>
  <w:num w:numId="28">
    <w:abstractNumId w:val="18"/>
  </w:num>
  <w:num w:numId="29">
    <w:abstractNumId w:val="13"/>
  </w:num>
  <w:num w:numId="30">
    <w:abstractNumId w:val="16"/>
  </w:num>
  <w:num w:numId="31">
    <w:abstractNumId w:val="12"/>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0"/>
  </w:num>
  <w:num w:numId="39">
    <w:abstractNumId w:val="20"/>
    <w:lvlOverride w:ilvl="0">
      <w:lvl w:ilvl="0">
        <w:start w:val="1"/>
        <w:numFmt w:val="bullet"/>
        <w:pStyle w:val="BulletedListlvl1"/>
        <w:lvlText w:val=""/>
        <w:lvlJc w:val="left"/>
        <w:pPr>
          <w:ind w:left="567" w:hanging="283"/>
        </w:pPr>
        <w:rPr>
          <w:rFonts w:ascii="Symbol" w:hAnsi="Symbol" w:hint="default"/>
          <w:color w:val="004261" w:themeColor="text2"/>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3F608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314A63"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activeWritingStyle w:appName="MSWord" w:lang="en-AU"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27038"/>
    <w:rsid w:val="0003154E"/>
    <w:rsid w:val="00037513"/>
    <w:rsid w:val="00050E86"/>
    <w:rsid w:val="0006627F"/>
    <w:rsid w:val="000B3417"/>
    <w:rsid w:val="000B6A28"/>
    <w:rsid w:val="000D749D"/>
    <w:rsid w:val="000F5F7A"/>
    <w:rsid w:val="00115264"/>
    <w:rsid w:val="00117A77"/>
    <w:rsid w:val="001611BF"/>
    <w:rsid w:val="0016139C"/>
    <w:rsid w:val="0017436A"/>
    <w:rsid w:val="001954B4"/>
    <w:rsid w:val="001B2D56"/>
    <w:rsid w:val="00212443"/>
    <w:rsid w:val="00220DDA"/>
    <w:rsid w:val="00227DB5"/>
    <w:rsid w:val="00266CCC"/>
    <w:rsid w:val="00274D42"/>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871B9"/>
    <w:rsid w:val="003C181D"/>
    <w:rsid w:val="003D676D"/>
    <w:rsid w:val="003F23E9"/>
    <w:rsid w:val="00443F97"/>
    <w:rsid w:val="00446B02"/>
    <w:rsid w:val="00464D89"/>
    <w:rsid w:val="00490B90"/>
    <w:rsid w:val="004B2C90"/>
    <w:rsid w:val="004B55C1"/>
    <w:rsid w:val="004B5AB0"/>
    <w:rsid w:val="004C17DE"/>
    <w:rsid w:val="004C3F06"/>
    <w:rsid w:val="004E5759"/>
    <w:rsid w:val="004F4C4F"/>
    <w:rsid w:val="005226B9"/>
    <w:rsid w:val="00534803"/>
    <w:rsid w:val="00537041"/>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00532"/>
    <w:rsid w:val="00912C03"/>
    <w:rsid w:val="00913ED0"/>
    <w:rsid w:val="00927650"/>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058AF"/>
    <w:rsid w:val="00A12C83"/>
    <w:rsid w:val="00A177AF"/>
    <w:rsid w:val="00A62EF3"/>
    <w:rsid w:val="00A77F7A"/>
    <w:rsid w:val="00A918A7"/>
    <w:rsid w:val="00AA12EC"/>
    <w:rsid w:val="00AA705F"/>
    <w:rsid w:val="00AB0931"/>
    <w:rsid w:val="00AC2CDC"/>
    <w:rsid w:val="00AC4978"/>
    <w:rsid w:val="00AD7805"/>
    <w:rsid w:val="00B56736"/>
    <w:rsid w:val="00B6596F"/>
    <w:rsid w:val="00B91E60"/>
    <w:rsid w:val="00BB1526"/>
    <w:rsid w:val="00BD171D"/>
    <w:rsid w:val="00BD57F5"/>
    <w:rsid w:val="00BE48A4"/>
    <w:rsid w:val="00BE56F0"/>
    <w:rsid w:val="00C12D35"/>
    <w:rsid w:val="00C47620"/>
    <w:rsid w:val="00C55ECF"/>
    <w:rsid w:val="00C61D53"/>
    <w:rsid w:val="00C70947"/>
    <w:rsid w:val="00CC6110"/>
    <w:rsid w:val="00CD2896"/>
    <w:rsid w:val="00D03799"/>
    <w:rsid w:val="00D04E61"/>
    <w:rsid w:val="00D10635"/>
    <w:rsid w:val="00D500C1"/>
    <w:rsid w:val="00D525B8"/>
    <w:rsid w:val="00D55354"/>
    <w:rsid w:val="00D71592"/>
    <w:rsid w:val="00D83264"/>
    <w:rsid w:val="00DA18A2"/>
    <w:rsid w:val="00DA7E32"/>
    <w:rsid w:val="00DF2F8D"/>
    <w:rsid w:val="00E023DA"/>
    <w:rsid w:val="00E05FA4"/>
    <w:rsid w:val="00E224F4"/>
    <w:rsid w:val="00E2753F"/>
    <w:rsid w:val="00E40A82"/>
    <w:rsid w:val="00E84F06"/>
    <w:rsid w:val="00E92551"/>
    <w:rsid w:val="00E9516C"/>
    <w:rsid w:val="00EA558C"/>
    <w:rsid w:val="00ED0697"/>
    <w:rsid w:val="00EE5E8A"/>
    <w:rsid w:val="00F03073"/>
    <w:rsid w:val="00F05263"/>
    <w:rsid w:val="00F4464D"/>
    <w:rsid w:val="00F57166"/>
    <w:rsid w:val="00F630E3"/>
    <w:rsid w:val="00F66078"/>
    <w:rsid w:val="00F8025E"/>
    <w:rsid w:val="00F86700"/>
    <w:rsid w:val="00F87586"/>
    <w:rsid w:val="00F957C6"/>
    <w:rsid w:val="00FD20A5"/>
    <w:rsid w:val="00FD2C22"/>
    <w:rsid w:val="00FE2C7F"/>
    <w:rsid w:val="00FF6207"/>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77B1F8"/>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 w:type="paragraph" w:customStyle="1" w:styleId="BulletedListlvl1">
    <w:name w:val="Bulleted List lvl1"/>
    <w:uiPriority w:val="10"/>
    <w:qFormat/>
    <w:rsid w:val="00E40A82"/>
    <w:pPr>
      <w:numPr>
        <w:numId w:val="38"/>
      </w:numPr>
      <w:spacing w:after="0" w:line="264" w:lineRule="auto"/>
    </w:pPr>
    <w:rPr>
      <w:rFonts w:eastAsiaTheme="minorHAnsi"/>
      <w:color w:val="314A63" w:themeColor="text1" w:themeTint="D9"/>
      <w:sz w:val="20"/>
      <w:szCs w:val="20"/>
    </w:rPr>
  </w:style>
  <w:style w:type="paragraph" w:customStyle="1" w:styleId="BulletedListlvl2">
    <w:name w:val="Bulleted List lvl2"/>
    <w:basedOn w:val="BulletedListlvl1"/>
    <w:uiPriority w:val="10"/>
    <w:rsid w:val="00E40A82"/>
    <w:pPr>
      <w:numPr>
        <w:ilvl w:val="1"/>
      </w:numPr>
      <w:ind w:left="1021" w:hanging="283"/>
    </w:pPr>
  </w:style>
  <w:style w:type="paragraph" w:customStyle="1" w:styleId="BulletedListlvl3">
    <w:name w:val="Bulleted List lvl3"/>
    <w:basedOn w:val="BulletedListlvl2"/>
    <w:uiPriority w:val="10"/>
    <w:rsid w:val="00E40A82"/>
    <w:pPr>
      <w:numPr>
        <w:ilvl w:val="2"/>
      </w:numPr>
      <w:ind w:left="141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OIA@pm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resources/guidance-impact-analysis/australian-government-guide-policy-impact-analysi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Election</TermName>
          <TermId xmlns="http://schemas.microsoft.com/office/infopath/2007/PartnerControls">4090d51f-fccc-4f41-80dd-86270166a8a3</TermId>
        </TermInfo>
      </Terms>
    </hc4a8f51d7584793bcee84017ea96cb3>
    <ShareHubID xmlns="166541c0-0594-4e6a-9105-c24d4b6de6f7">DOC23-232789</ShareHubID>
    <TaxCatchAll xmlns="166541c0-0594-4e6a-9105-c24d4b6de6f7">
      <Value>39</Value>
      <Value>57</Value>
    </TaxCatchAll>
    <PMCNotes xmlns="166541c0-0594-4e6a-9105-c24d4b6de6f7" xsi:nil="true"/>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2CFA-108E-4638-A3C2-94ADB450FE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2.xml><?xml version="1.0" encoding="utf-8"?>
<ds:datastoreItem xmlns:ds="http://schemas.openxmlformats.org/officeDocument/2006/customXml" ds:itemID="{973536CE-2D14-456F-8375-8E142C5E707E}">
  <ds:schemaRefs>
    <ds:schemaRef ds:uri="http://schemas.microsoft.com/sharepoint/v3/contenttype/forms"/>
  </ds:schemaRefs>
</ds:datastoreItem>
</file>

<file path=customXml/itemProps3.xml><?xml version="1.0" encoding="utf-8"?>
<ds:datastoreItem xmlns:ds="http://schemas.openxmlformats.org/officeDocument/2006/customXml" ds:itemID="{9CB99313-3B9E-488E-836A-9497B22F7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07C20-2D02-45FD-B136-13A4922C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4626</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2023-08-01T03:58:00Z</dcterms:created>
  <dcterms:modified xsi:type="dcterms:W3CDTF">2023-08-07T00:22:00Z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39;#Election|4090d51f-fccc-4f41-80dd-86270166a8a3</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2023-08-07T10:34:30</vt:lpwstr>
  </property>
</Properties>
</file>