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9F70F" w14:textId="77777777" w:rsidR="00F70524" w:rsidRDefault="00F70524" w:rsidP="0097624A">
      <w:pPr>
        <w:pStyle w:val="Title"/>
      </w:pPr>
    </w:p>
    <w:p w14:paraId="4A65DDEB" w14:textId="77723B95" w:rsidR="00E92551" w:rsidRPr="00F957C6" w:rsidRDefault="009E2262" w:rsidP="0097624A">
      <w:pPr>
        <w:pStyle w:val="Title"/>
      </w:pPr>
      <w:r>
        <w:t xml:space="preserve">Commonwealth-State Impact </w:t>
      </w:r>
      <w:r w:rsidR="00997E86">
        <w:t>Analysis</w:t>
      </w:r>
      <w:r>
        <w:t xml:space="preserve"> status, 202</w:t>
      </w:r>
      <w:r w:rsidR="0076518B">
        <w:t>2</w:t>
      </w:r>
      <w:r>
        <w:t>-2</w:t>
      </w:r>
      <w:r w:rsidR="0076518B">
        <w:t>3</w:t>
      </w:r>
    </w:p>
    <w:p w14:paraId="2729862F" w14:textId="44223E9D" w:rsidR="00044BAF" w:rsidRDefault="009E2262" w:rsidP="0097624A">
      <w:pPr>
        <w:pStyle w:val="Subtitle"/>
      </w:pPr>
      <w:r w:rsidRPr="004C5D63">
        <w:t xml:space="preserve">The Office of </w:t>
      </w:r>
      <w:r w:rsidR="00997E86">
        <w:t>Impact A</w:t>
      </w:r>
      <w:r w:rsidR="00387079">
        <w:t>n</w:t>
      </w:r>
      <w:r w:rsidR="00997E86">
        <w:t>alysis</w:t>
      </w:r>
      <w:r w:rsidRPr="004C5D63">
        <w:t xml:space="preserve"> (</w:t>
      </w:r>
      <w:r w:rsidR="00997E86">
        <w:t>OIA</w:t>
      </w:r>
      <w:r w:rsidRPr="004C5D63">
        <w:t xml:space="preserve">) publishes </w:t>
      </w:r>
      <w:r w:rsidR="00997E86">
        <w:t xml:space="preserve">Impact Analyses (IAs) – formerly known as </w:t>
      </w:r>
      <w:r w:rsidRPr="004C5D63">
        <w:t>Regulation Impact Statements (RIS</w:t>
      </w:r>
      <w:r w:rsidR="00387079">
        <w:t>s</w:t>
      </w:r>
      <w:r w:rsidRPr="004C5D63">
        <w:t xml:space="preserve">) </w:t>
      </w:r>
      <w:r w:rsidR="00997E86">
        <w:t xml:space="preserve">- </w:t>
      </w:r>
      <w:r w:rsidRPr="004C5D63">
        <w:t>and the O</w:t>
      </w:r>
      <w:r w:rsidR="00997E86">
        <w:t>IA’</w:t>
      </w:r>
      <w:r w:rsidRPr="004C5D63">
        <w:t xml:space="preserve">s assessment of </w:t>
      </w:r>
      <w:r w:rsidR="005538E5" w:rsidRPr="004C5D63">
        <w:t xml:space="preserve">each </w:t>
      </w:r>
      <w:r w:rsidR="00997E86">
        <w:t xml:space="preserve">IA </w:t>
      </w:r>
      <w:r w:rsidRPr="004C5D63">
        <w:t xml:space="preserve">on its website as soon as practicable after a regulatory announcement is made, in consultation with the relevant Ministerial Meeting or national standard-setting body (NSSB).    </w:t>
      </w:r>
    </w:p>
    <w:p w14:paraId="40FF4C93" w14:textId="7CA19EB1" w:rsidR="0076518B" w:rsidRPr="004C5D63" w:rsidRDefault="00044BAF" w:rsidP="0097624A">
      <w:pPr>
        <w:pStyle w:val="Subtitle"/>
      </w:pPr>
      <w:r>
        <w:t xml:space="preserve">Please note that all Department and Agency names in this report reflect their name at the time the </w:t>
      </w:r>
      <w:r w:rsidR="00997E86">
        <w:t>IA</w:t>
      </w:r>
      <w:r>
        <w:t xml:space="preserve"> was published.</w:t>
      </w:r>
      <w:r w:rsidR="009E2262" w:rsidRPr="004C5D63">
        <w:t xml:space="preserve">                                                  </w:t>
      </w:r>
    </w:p>
    <w:p w14:paraId="1D2972D4" w14:textId="0BE1FFB4" w:rsidR="0076518B" w:rsidRPr="00F4614A" w:rsidRDefault="009E2262" w:rsidP="0097624A">
      <w:pPr>
        <w:pStyle w:val="Subtitle"/>
      </w:pPr>
      <w:r w:rsidRPr="004C5D63">
        <w:t xml:space="preserve">Between 1 </w:t>
      </w:r>
      <w:r w:rsidRPr="00D71BE3">
        <w:t>July 202</w:t>
      </w:r>
      <w:r w:rsidR="0076518B" w:rsidRPr="00D71BE3">
        <w:t>2</w:t>
      </w:r>
      <w:r w:rsidRPr="00D71BE3">
        <w:t xml:space="preserve"> and </w:t>
      </w:r>
      <w:r w:rsidR="009829D9">
        <w:t>30</w:t>
      </w:r>
      <w:r w:rsidR="00AB4685" w:rsidRPr="00D71BE3">
        <w:t xml:space="preserve"> </w:t>
      </w:r>
      <w:r w:rsidR="009829D9">
        <w:t>June</w:t>
      </w:r>
      <w:r w:rsidR="00CD32D9" w:rsidRPr="00D71BE3">
        <w:t xml:space="preserve"> </w:t>
      </w:r>
      <w:r w:rsidR="00CD32D9" w:rsidRPr="00F4614A">
        <w:t>2023</w:t>
      </w:r>
      <w:r w:rsidRPr="00F4614A">
        <w:t xml:space="preserve">, </w:t>
      </w:r>
      <w:r w:rsidR="000F08D0" w:rsidRPr="00F4614A">
        <w:t>1</w:t>
      </w:r>
      <w:r w:rsidR="009829D9">
        <w:t>3</w:t>
      </w:r>
      <w:r w:rsidR="00446B79" w:rsidRPr="00F4614A">
        <w:t xml:space="preserve"> </w:t>
      </w:r>
      <w:r w:rsidRPr="00F4614A">
        <w:t xml:space="preserve">Commonwealth-State Decision </w:t>
      </w:r>
      <w:r w:rsidR="00997E86" w:rsidRPr="00F4614A">
        <w:t>IA</w:t>
      </w:r>
      <w:r w:rsidRPr="00F4614A">
        <w:t>s were finalised</w:t>
      </w:r>
      <w:r w:rsidR="00605B9A" w:rsidRPr="00F4614A">
        <w:t>,</w:t>
      </w:r>
      <w:r w:rsidRPr="00F4614A">
        <w:t xml:space="preserve"> assessed as compliant by the O</w:t>
      </w:r>
      <w:r w:rsidR="00997E86" w:rsidRPr="00F4614A">
        <w:t>IA</w:t>
      </w:r>
      <w:r w:rsidRPr="00F4614A">
        <w:t xml:space="preserve"> and published. </w:t>
      </w:r>
    </w:p>
    <w:p w14:paraId="5A26F72C" w14:textId="1F60CC49" w:rsidR="0076518B" w:rsidRDefault="009E2262" w:rsidP="0097624A">
      <w:pPr>
        <w:pStyle w:val="Subtitle"/>
      </w:pPr>
      <w:r w:rsidRPr="00F4614A">
        <w:t xml:space="preserve">In this period </w:t>
      </w:r>
      <w:r w:rsidR="002248A8" w:rsidRPr="00F4614A">
        <w:t>three</w:t>
      </w:r>
      <w:r w:rsidR="0076518B" w:rsidRPr="00F4614A">
        <w:t xml:space="preserve"> </w:t>
      </w:r>
      <w:r w:rsidRPr="00F4614A">
        <w:t xml:space="preserve">Commonwealth-State consultation </w:t>
      </w:r>
      <w:r w:rsidR="00997E86" w:rsidRPr="00F4614A">
        <w:t>IA</w:t>
      </w:r>
      <w:r w:rsidRPr="00F4614A">
        <w:t xml:space="preserve">s were assessed by the </w:t>
      </w:r>
      <w:r w:rsidR="00997E86" w:rsidRPr="00F4614A">
        <w:t>OIA</w:t>
      </w:r>
      <w:r w:rsidRPr="00F4614A">
        <w:t xml:space="preserve"> and published.</w:t>
      </w:r>
      <w:r w:rsidR="00AB4685">
        <w:t xml:space="preserve"> </w:t>
      </w:r>
    </w:p>
    <w:p w14:paraId="23E529C1" w14:textId="77777777" w:rsidR="004C5D63" w:rsidRDefault="004C5D63" w:rsidP="004C5D63"/>
    <w:p w14:paraId="297F91A1" w14:textId="77777777" w:rsidR="004C5D63" w:rsidRDefault="004C5D63" w:rsidP="004C5D63"/>
    <w:p w14:paraId="1E029007" w14:textId="77777777" w:rsidR="004C5D63" w:rsidRDefault="004C5D63" w:rsidP="004C5D63"/>
    <w:p w14:paraId="635C1B68" w14:textId="77777777" w:rsidR="004C5D63" w:rsidRDefault="004C5D63" w:rsidP="004C5D63"/>
    <w:p w14:paraId="5F944DD4" w14:textId="77777777" w:rsidR="004C5D63" w:rsidRDefault="004C5D63" w:rsidP="004C5D63"/>
    <w:p w14:paraId="577AB12E" w14:textId="77777777" w:rsidR="004C5D63" w:rsidRDefault="004C5D63" w:rsidP="004C5D63"/>
    <w:p w14:paraId="18EC1285" w14:textId="77777777" w:rsidR="004C5D63" w:rsidRDefault="004C5D63" w:rsidP="004C5D63"/>
    <w:p w14:paraId="338F45DE" w14:textId="77777777" w:rsidR="004C5D63" w:rsidRDefault="004C5D63" w:rsidP="004C5D63"/>
    <w:p w14:paraId="1A782F6A" w14:textId="77777777" w:rsidR="004C5D63" w:rsidRDefault="004C5D63" w:rsidP="004C5D63"/>
    <w:p w14:paraId="0FBFC037" w14:textId="77777777" w:rsidR="004C5D63" w:rsidRDefault="004C5D63" w:rsidP="004C5D63"/>
    <w:p w14:paraId="4A3DB521" w14:textId="77777777" w:rsidR="004C5D63" w:rsidRDefault="004C5D63" w:rsidP="004C5D63"/>
    <w:p w14:paraId="3C5A80D7" w14:textId="77777777" w:rsidR="004C5D63" w:rsidRDefault="004C5D63" w:rsidP="004C5D63"/>
    <w:p w14:paraId="770D8760" w14:textId="77777777" w:rsidR="004C5D63" w:rsidRDefault="004C5D63" w:rsidP="004C5D63"/>
    <w:p w14:paraId="5D0F74D2" w14:textId="77777777" w:rsidR="004C5D63" w:rsidRDefault="004C5D63" w:rsidP="004C5D63"/>
    <w:sdt>
      <w:sdtPr>
        <w:rPr>
          <w:rFonts w:asciiTheme="minorHAnsi" w:eastAsiaTheme="minorEastAsia" w:hAnsiTheme="minorHAnsi" w:cstheme="minorBidi"/>
          <w:color w:val="auto"/>
          <w:sz w:val="22"/>
          <w:szCs w:val="21"/>
        </w:rPr>
        <w:id w:val="-1632619507"/>
        <w:docPartObj>
          <w:docPartGallery w:val="Table of Contents"/>
          <w:docPartUnique/>
        </w:docPartObj>
      </w:sdtPr>
      <w:sdtEndPr>
        <w:rPr>
          <w:b/>
          <w:bCs/>
          <w:noProof/>
        </w:rPr>
      </w:sdtEndPr>
      <w:sdtContent>
        <w:p w14:paraId="77109E21" w14:textId="77777777" w:rsidR="00117A77" w:rsidRDefault="00117A77">
          <w:pPr>
            <w:pStyle w:val="TOCHeading"/>
          </w:pPr>
          <w:r>
            <w:t>Contents</w:t>
          </w:r>
        </w:p>
        <w:p w14:paraId="01288301" w14:textId="04ACE180" w:rsidR="00C53754" w:rsidRDefault="00117A77">
          <w:pPr>
            <w:pStyle w:val="TOC1"/>
            <w:tabs>
              <w:tab w:val="right" w:leader="dot" w:pos="9968"/>
            </w:tabs>
            <w:rPr>
              <w:noProof/>
              <w:szCs w:val="22"/>
              <w:lang w:eastAsia="en-AU"/>
            </w:rPr>
          </w:pPr>
          <w:r>
            <w:fldChar w:fldCharType="begin"/>
          </w:r>
          <w:r>
            <w:instrText xml:space="preserve"> TOC \o "1-3" \h \z \u </w:instrText>
          </w:r>
          <w:r>
            <w:fldChar w:fldCharType="separate"/>
          </w:r>
          <w:hyperlink w:anchor="_Toc138254214" w:history="1">
            <w:r w:rsidR="00C53754" w:rsidRPr="00E12DD6">
              <w:rPr>
                <w:rStyle w:val="Hyperlink"/>
                <w:noProof/>
              </w:rPr>
              <w:t>Compliance with the Commonwealth-State IA requirements 2017-18 to 2022-23</w:t>
            </w:r>
            <w:r w:rsidR="00C53754">
              <w:rPr>
                <w:noProof/>
                <w:webHidden/>
              </w:rPr>
              <w:tab/>
            </w:r>
            <w:r w:rsidR="00C53754">
              <w:rPr>
                <w:noProof/>
                <w:webHidden/>
              </w:rPr>
              <w:fldChar w:fldCharType="begin"/>
            </w:r>
            <w:r w:rsidR="00C53754">
              <w:rPr>
                <w:noProof/>
                <w:webHidden/>
              </w:rPr>
              <w:instrText xml:space="preserve"> PAGEREF _Toc138254214 \h </w:instrText>
            </w:r>
            <w:r w:rsidR="00C53754">
              <w:rPr>
                <w:noProof/>
                <w:webHidden/>
              </w:rPr>
            </w:r>
            <w:r w:rsidR="00C53754">
              <w:rPr>
                <w:noProof/>
                <w:webHidden/>
              </w:rPr>
              <w:fldChar w:fldCharType="separate"/>
            </w:r>
            <w:r w:rsidR="00C53754">
              <w:rPr>
                <w:noProof/>
                <w:webHidden/>
              </w:rPr>
              <w:t>3</w:t>
            </w:r>
            <w:r w:rsidR="00C53754">
              <w:rPr>
                <w:noProof/>
                <w:webHidden/>
              </w:rPr>
              <w:fldChar w:fldCharType="end"/>
            </w:r>
          </w:hyperlink>
        </w:p>
        <w:p w14:paraId="0A367869" w14:textId="12127A1D" w:rsidR="00C53754" w:rsidRDefault="001F70D3">
          <w:pPr>
            <w:pStyle w:val="TOC1"/>
            <w:tabs>
              <w:tab w:val="right" w:leader="dot" w:pos="9968"/>
            </w:tabs>
            <w:rPr>
              <w:noProof/>
              <w:szCs w:val="22"/>
              <w:lang w:eastAsia="en-AU"/>
            </w:rPr>
          </w:pPr>
          <w:hyperlink w:anchor="_Toc138254215" w:history="1">
            <w:r w:rsidR="00C53754" w:rsidRPr="00E12DD6">
              <w:rPr>
                <w:rStyle w:val="Hyperlink"/>
                <w:noProof/>
              </w:rPr>
              <w:t>Detailed information on IAs prepared for decision in 2022-23</w:t>
            </w:r>
            <w:r w:rsidR="00C53754">
              <w:rPr>
                <w:noProof/>
                <w:webHidden/>
              </w:rPr>
              <w:tab/>
            </w:r>
            <w:r w:rsidR="00C53754">
              <w:rPr>
                <w:noProof/>
                <w:webHidden/>
              </w:rPr>
              <w:fldChar w:fldCharType="begin"/>
            </w:r>
            <w:r w:rsidR="00C53754">
              <w:rPr>
                <w:noProof/>
                <w:webHidden/>
              </w:rPr>
              <w:instrText xml:space="preserve"> PAGEREF _Toc138254215 \h </w:instrText>
            </w:r>
            <w:r w:rsidR="00C53754">
              <w:rPr>
                <w:noProof/>
                <w:webHidden/>
              </w:rPr>
            </w:r>
            <w:r w:rsidR="00C53754">
              <w:rPr>
                <w:noProof/>
                <w:webHidden/>
              </w:rPr>
              <w:fldChar w:fldCharType="separate"/>
            </w:r>
            <w:r w:rsidR="00C53754">
              <w:rPr>
                <w:noProof/>
                <w:webHidden/>
              </w:rPr>
              <w:t>3</w:t>
            </w:r>
            <w:r w:rsidR="00C53754">
              <w:rPr>
                <w:noProof/>
                <w:webHidden/>
              </w:rPr>
              <w:fldChar w:fldCharType="end"/>
            </w:r>
          </w:hyperlink>
        </w:p>
        <w:p w14:paraId="66B60CB7" w14:textId="152674C2" w:rsidR="00C53754" w:rsidRDefault="001F70D3">
          <w:pPr>
            <w:pStyle w:val="TOC2"/>
            <w:tabs>
              <w:tab w:val="right" w:leader="dot" w:pos="9968"/>
            </w:tabs>
            <w:rPr>
              <w:noProof/>
              <w:szCs w:val="22"/>
              <w:lang w:eastAsia="en-AU"/>
            </w:rPr>
          </w:pPr>
          <w:hyperlink w:anchor="_Toc138254216" w:history="1">
            <w:r w:rsidR="00C53754" w:rsidRPr="00E12DD6">
              <w:rPr>
                <w:rStyle w:val="Hyperlink"/>
                <w:noProof/>
              </w:rPr>
              <w:t>Australia and New Zealand Food Regulation Ministerial Council</w:t>
            </w:r>
            <w:r w:rsidR="00C53754">
              <w:rPr>
                <w:noProof/>
                <w:webHidden/>
              </w:rPr>
              <w:tab/>
            </w:r>
            <w:r w:rsidR="00C53754">
              <w:rPr>
                <w:noProof/>
                <w:webHidden/>
              </w:rPr>
              <w:fldChar w:fldCharType="begin"/>
            </w:r>
            <w:r w:rsidR="00C53754">
              <w:rPr>
                <w:noProof/>
                <w:webHidden/>
              </w:rPr>
              <w:instrText xml:space="preserve"> PAGEREF _Toc138254216 \h </w:instrText>
            </w:r>
            <w:r w:rsidR="00C53754">
              <w:rPr>
                <w:noProof/>
                <w:webHidden/>
              </w:rPr>
            </w:r>
            <w:r w:rsidR="00C53754">
              <w:rPr>
                <w:noProof/>
                <w:webHidden/>
              </w:rPr>
              <w:fldChar w:fldCharType="separate"/>
            </w:r>
            <w:r w:rsidR="00C53754">
              <w:rPr>
                <w:noProof/>
                <w:webHidden/>
              </w:rPr>
              <w:t>3</w:t>
            </w:r>
            <w:r w:rsidR="00C53754">
              <w:rPr>
                <w:noProof/>
                <w:webHidden/>
              </w:rPr>
              <w:fldChar w:fldCharType="end"/>
            </w:r>
          </w:hyperlink>
        </w:p>
        <w:p w14:paraId="7112B323" w14:textId="7F66B161" w:rsidR="00C53754" w:rsidRDefault="001F70D3">
          <w:pPr>
            <w:pStyle w:val="TOC3"/>
            <w:tabs>
              <w:tab w:val="right" w:leader="dot" w:pos="9968"/>
            </w:tabs>
            <w:rPr>
              <w:noProof/>
              <w:szCs w:val="22"/>
              <w:lang w:eastAsia="en-AU"/>
            </w:rPr>
          </w:pPr>
          <w:hyperlink w:anchor="_Toc138254217" w:history="1">
            <w:r w:rsidR="00C53754" w:rsidRPr="00E12DD6">
              <w:rPr>
                <w:rStyle w:val="Hyperlink"/>
                <w:noProof/>
              </w:rPr>
              <w:t>Proposal P1053 – Food Safety Management tools</w:t>
            </w:r>
            <w:r w:rsidR="00C53754">
              <w:rPr>
                <w:noProof/>
                <w:webHidden/>
              </w:rPr>
              <w:tab/>
            </w:r>
            <w:r w:rsidR="00C53754">
              <w:rPr>
                <w:noProof/>
                <w:webHidden/>
              </w:rPr>
              <w:fldChar w:fldCharType="begin"/>
            </w:r>
            <w:r w:rsidR="00C53754">
              <w:rPr>
                <w:noProof/>
                <w:webHidden/>
              </w:rPr>
              <w:instrText xml:space="preserve"> PAGEREF _Toc138254217 \h </w:instrText>
            </w:r>
            <w:r w:rsidR="00C53754">
              <w:rPr>
                <w:noProof/>
                <w:webHidden/>
              </w:rPr>
            </w:r>
            <w:r w:rsidR="00C53754">
              <w:rPr>
                <w:noProof/>
                <w:webHidden/>
              </w:rPr>
              <w:fldChar w:fldCharType="separate"/>
            </w:r>
            <w:r w:rsidR="00C53754">
              <w:rPr>
                <w:noProof/>
                <w:webHidden/>
              </w:rPr>
              <w:t>3</w:t>
            </w:r>
            <w:r w:rsidR="00C53754">
              <w:rPr>
                <w:noProof/>
                <w:webHidden/>
              </w:rPr>
              <w:fldChar w:fldCharType="end"/>
            </w:r>
          </w:hyperlink>
        </w:p>
        <w:p w14:paraId="756F4863" w14:textId="34232907" w:rsidR="00C53754" w:rsidRDefault="001F70D3">
          <w:pPr>
            <w:pStyle w:val="TOC2"/>
            <w:tabs>
              <w:tab w:val="right" w:leader="dot" w:pos="9968"/>
            </w:tabs>
            <w:rPr>
              <w:noProof/>
              <w:szCs w:val="22"/>
              <w:lang w:eastAsia="en-AU"/>
            </w:rPr>
          </w:pPr>
          <w:hyperlink w:anchor="_Toc138254218" w:history="1">
            <w:r w:rsidR="00C53754" w:rsidRPr="00E12DD6">
              <w:rPr>
                <w:rStyle w:val="Hyperlink"/>
                <w:rFonts w:eastAsia="Times New Roman"/>
                <w:noProof/>
                <w:lang w:eastAsia="en-AU"/>
              </w:rPr>
              <w:t>Australian Building Codes Board</w:t>
            </w:r>
            <w:r w:rsidR="00C53754">
              <w:rPr>
                <w:noProof/>
                <w:webHidden/>
              </w:rPr>
              <w:tab/>
            </w:r>
            <w:r w:rsidR="00C53754">
              <w:rPr>
                <w:noProof/>
                <w:webHidden/>
              </w:rPr>
              <w:fldChar w:fldCharType="begin"/>
            </w:r>
            <w:r w:rsidR="00C53754">
              <w:rPr>
                <w:noProof/>
                <w:webHidden/>
              </w:rPr>
              <w:instrText xml:space="preserve"> PAGEREF _Toc138254218 \h </w:instrText>
            </w:r>
            <w:r w:rsidR="00C53754">
              <w:rPr>
                <w:noProof/>
                <w:webHidden/>
              </w:rPr>
            </w:r>
            <w:r w:rsidR="00C53754">
              <w:rPr>
                <w:noProof/>
                <w:webHidden/>
              </w:rPr>
              <w:fldChar w:fldCharType="separate"/>
            </w:r>
            <w:r w:rsidR="00C53754">
              <w:rPr>
                <w:noProof/>
                <w:webHidden/>
              </w:rPr>
              <w:t>4</w:t>
            </w:r>
            <w:r w:rsidR="00C53754">
              <w:rPr>
                <w:noProof/>
                <w:webHidden/>
              </w:rPr>
              <w:fldChar w:fldCharType="end"/>
            </w:r>
          </w:hyperlink>
        </w:p>
        <w:p w14:paraId="4938F5C6" w14:textId="29716A95" w:rsidR="00C53754" w:rsidRDefault="001F70D3">
          <w:pPr>
            <w:pStyle w:val="TOC3"/>
            <w:tabs>
              <w:tab w:val="right" w:leader="dot" w:pos="9968"/>
            </w:tabs>
            <w:rPr>
              <w:noProof/>
              <w:szCs w:val="22"/>
              <w:lang w:eastAsia="en-AU"/>
            </w:rPr>
          </w:pPr>
          <w:hyperlink w:anchor="_Toc138254219" w:history="1">
            <w:r w:rsidR="00C53754" w:rsidRPr="00E12DD6">
              <w:rPr>
                <w:rStyle w:val="Hyperlink"/>
                <w:rFonts w:eastAsia="Times New Roman"/>
                <w:noProof/>
                <w:lang w:eastAsia="en-AU"/>
              </w:rPr>
              <w:t>National Construction Code (NCC) 2022 Residential Energy Efficiency</w:t>
            </w:r>
            <w:r w:rsidR="00C53754">
              <w:rPr>
                <w:noProof/>
                <w:webHidden/>
              </w:rPr>
              <w:tab/>
            </w:r>
            <w:r w:rsidR="00C53754">
              <w:rPr>
                <w:noProof/>
                <w:webHidden/>
              </w:rPr>
              <w:fldChar w:fldCharType="begin"/>
            </w:r>
            <w:r w:rsidR="00C53754">
              <w:rPr>
                <w:noProof/>
                <w:webHidden/>
              </w:rPr>
              <w:instrText xml:space="preserve"> PAGEREF _Toc138254219 \h </w:instrText>
            </w:r>
            <w:r w:rsidR="00C53754">
              <w:rPr>
                <w:noProof/>
                <w:webHidden/>
              </w:rPr>
            </w:r>
            <w:r w:rsidR="00C53754">
              <w:rPr>
                <w:noProof/>
                <w:webHidden/>
              </w:rPr>
              <w:fldChar w:fldCharType="separate"/>
            </w:r>
            <w:r w:rsidR="00C53754">
              <w:rPr>
                <w:noProof/>
                <w:webHidden/>
              </w:rPr>
              <w:t>4</w:t>
            </w:r>
            <w:r w:rsidR="00C53754">
              <w:rPr>
                <w:noProof/>
                <w:webHidden/>
              </w:rPr>
              <w:fldChar w:fldCharType="end"/>
            </w:r>
          </w:hyperlink>
        </w:p>
        <w:p w14:paraId="293997DB" w14:textId="3EBE4A38" w:rsidR="00C53754" w:rsidRDefault="001F70D3">
          <w:pPr>
            <w:pStyle w:val="TOC2"/>
            <w:tabs>
              <w:tab w:val="right" w:leader="dot" w:pos="9968"/>
            </w:tabs>
            <w:rPr>
              <w:noProof/>
              <w:szCs w:val="22"/>
              <w:lang w:eastAsia="en-AU"/>
            </w:rPr>
          </w:pPr>
          <w:hyperlink w:anchor="_Toc138254220" w:history="1">
            <w:r w:rsidR="00C53754" w:rsidRPr="00E12DD6">
              <w:rPr>
                <w:rStyle w:val="Hyperlink"/>
                <w:noProof/>
              </w:rPr>
              <w:t>Australian Energy Market Commission</w:t>
            </w:r>
            <w:r w:rsidR="00C53754">
              <w:rPr>
                <w:noProof/>
                <w:webHidden/>
              </w:rPr>
              <w:tab/>
            </w:r>
            <w:r w:rsidR="00C53754">
              <w:rPr>
                <w:noProof/>
                <w:webHidden/>
              </w:rPr>
              <w:fldChar w:fldCharType="begin"/>
            </w:r>
            <w:r w:rsidR="00C53754">
              <w:rPr>
                <w:noProof/>
                <w:webHidden/>
              </w:rPr>
              <w:instrText xml:space="preserve"> PAGEREF _Toc138254220 \h </w:instrText>
            </w:r>
            <w:r w:rsidR="00C53754">
              <w:rPr>
                <w:noProof/>
                <w:webHidden/>
              </w:rPr>
            </w:r>
            <w:r w:rsidR="00C53754">
              <w:rPr>
                <w:noProof/>
                <w:webHidden/>
              </w:rPr>
              <w:fldChar w:fldCharType="separate"/>
            </w:r>
            <w:r w:rsidR="00C53754">
              <w:rPr>
                <w:noProof/>
                <w:webHidden/>
              </w:rPr>
              <w:t>4</w:t>
            </w:r>
            <w:r w:rsidR="00C53754">
              <w:rPr>
                <w:noProof/>
                <w:webHidden/>
              </w:rPr>
              <w:fldChar w:fldCharType="end"/>
            </w:r>
          </w:hyperlink>
        </w:p>
        <w:p w14:paraId="218367C1" w14:textId="6EA7EEBF" w:rsidR="00C53754" w:rsidRDefault="001F70D3">
          <w:pPr>
            <w:pStyle w:val="TOC3"/>
            <w:tabs>
              <w:tab w:val="right" w:leader="dot" w:pos="9968"/>
            </w:tabs>
            <w:rPr>
              <w:noProof/>
              <w:szCs w:val="22"/>
              <w:lang w:eastAsia="en-AU"/>
            </w:rPr>
          </w:pPr>
          <w:hyperlink w:anchor="_Toc138254221" w:history="1">
            <w:r w:rsidR="00C53754" w:rsidRPr="00E12DD6">
              <w:rPr>
                <w:rStyle w:val="Hyperlink"/>
                <w:rFonts w:eastAsia="Times New Roman"/>
                <w:noProof/>
                <w:lang w:eastAsia="en-AU"/>
              </w:rPr>
              <w:t>National Electricity Amendment (Enhancing Information on Generator Availability in MT PASA) Rule 2022 no. 7</w:t>
            </w:r>
            <w:r w:rsidR="00C53754">
              <w:rPr>
                <w:noProof/>
                <w:webHidden/>
              </w:rPr>
              <w:tab/>
            </w:r>
            <w:r w:rsidR="00C53754">
              <w:rPr>
                <w:noProof/>
                <w:webHidden/>
              </w:rPr>
              <w:fldChar w:fldCharType="begin"/>
            </w:r>
            <w:r w:rsidR="00C53754">
              <w:rPr>
                <w:noProof/>
                <w:webHidden/>
              </w:rPr>
              <w:instrText xml:space="preserve"> PAGEREF _Toc138254221 \h </w:instrText>
            </w:r>
            <w:r w:rsidR="00C53754">
              <w:rPr>
                <w:noProof/>
                <w:webHidden/>
              </w:rPr>
            </w:r>
            <w:r w:rsidR="00C53754">
              <w:rPr>
                <w:noProof/>
                <w:webHidden/>
              </w:rPr>
              <w:fldChar w:fldCharType="separate"/>
            </w:r>
            <w:r w:rsidR="00C53754">
              <w:rPr>
                <w:noProof/>
                <w:webHidden/>
              </w:rPr>
              <w:t>4</w:t>
            </w:r>
            <w:r w:rsidR="00C53754">
              <w:rPr>
                <w:noProof/>
                <w:webHidden/>
              </w:rPr>
              <w:fldChar w:fldCharType="end"/>
            </w:r>
          </w:hyperlink>
        </w:p>
        <w:p w14:paraId="49301D9F" w14:textId="6529EEEA" w:rsidR="00C53754" w:rsidRDefault="001F70D3">
          <w:pPr>
            <w:pStyle w:val="TOC3"/>
            <w:tabs>
              <w:tab w:val="right" w:leader="dot" w:pos="9968"/>
            </w:tabs>
            <w:rPr>
              <w:noProof/>
              <w:szCs w:val="22"/>
              <w:lang w:eastAsia="en-AU"/>
            </w:rPr>
          </w:pPr>
          <w:hyperlink w:anchor="_Toc138254222" w:history="1">
            <w:r w:rsidR="00C53754" w:rsidRPr="00E12DD6">
              <w:rPr>
                <w:rStyle w:val="Hyperlink"/>
                <w:rFonts w:eastAsia="Times New Roman"/>
                <w:noProof/>
                <w:lang w:eastAsia="en-AU"/>
              </w:rPr>
              <w:t>AEMC – Declared Wholesale Gas Market (DWGM) Distribution Connected Facilities</w:t>
            </w:r>
            <w:r w:rsidR="00C53754">
              <w:rPr>
                <w:noProof/>
                <w:webHidden/>
              </w:rPr>
              <w:tab/>
            </w:r>
            <w:r w:rsidR="00C53754">
              <w:rPr>
                <w:noProof/>
                <w:webHidden/>
              </w:rPr>
              <w:fldChar w:fldCharType="begin"/>
            </w:r>
            <w:r w:rsidR="00C53754">
              <w:rPr>
                <w:noProof/>
                <w:webHidden/>
              </w:rPr>
              <w:instrText xml:space="preserve"> PAGEREF _Toc138254222 \h </w:instrText>
            </w:r>
            <w:r w:rsidR="00C53754">
              <w:rPr>
                <w:noProof/>
                <w:webHidden/>
              </w:rPr>
            </w:r>
            <w:r w:rsidR="00C53754">
              <w:rPr>
                <w:noProof/>
                <w:webHidden/>
              </w:rPr>
              <w:fldChar w:fldCharType="separate"/>
            </w:r>
            <w:r w:rsidR="00C53754">
              <w:rPr>
                <w:noProof/>
                <w:webHidden/>
              </w:rPr>
              <w:t>5</w:t>
            </w:r>
            <w:r w:rsidR="00C53754">
              <w:rPr>
                <w:noProof/>
                <w:webHidden/>
              </w:rPr>
              <w:fldChar w:fldCharType="end"/>
            </w:r>
          </w:hyperlink>
        </w:p>
        <w:p w14:paraId="55ED33AD" w14:textId="38554E22" w:rsidR="00C53754" w:rsidRDefault="001F70D3">
          <w:pPr>
            <w:pStyle w:val="TOC3"/>
            <w:tabs>
              <w:tab w:val="right" w:leader="dot" w:pos="9968"/>
            </w:tabs>
            <w:rPr>
              <w:noProof/>
              <w:szCs w:val="22"/>
              <w:lang w:eastAsia="en-AU"/>
            </w:rPr>
          </w:pPr>
          <w:hyperlink w:anchor="_Toc138254223" w:history="1">
            <w:r w:rsidR="00C53754" w:rsidRPr="00E12DD6">
              <w:rPr>
                <w:rStyle w:val="Hyperlink"/>
                <w:rFonts w:eastAsia="Times New Roman"/>
                <w:noProof/>
                <w:lang w:eastAsia="en-AU"/>
              </w:rPr>
              <w:t>AEMC Primary frequency response incentive arrangements</w:t>
            </w:r>
            <w:r w:rsidR="00C53754">
              <w:rPr>
                <w:noProof/>
                <w:webHidden/>
              </w:rPr>
              <w:tab/>
            </w:r>
            <w:r w:rsidR="00C53754">
              <w:rPr>
                <w:noProof/>
                <w:webHidden/>
              </w:rPr>
              <w:fldChar w:fldCharType="begin"/>
            </w:r>
            <w:r w:rsidR="00C53754">
              <w:rPr>
                <w:noProof/>
                <w:webHidden/>
              </w:rPr>
              <w:instrText xml:space="preserve"> PAGEREF _Toc138254223 \h </w:instrText>
            </w:r>
            <w:r w:rsidR="00C53754">
              <w:rPr>
                <w:noProof/>
                <w:webHidden/>
              </w:rPr>
            </w:r>
            <w:r w:rsidR="00C53754">
              <w:rPr>
                <w:noProof/>
                <w:webHidden/>
              </w:rPr>
              <w:fldChar w:fldCharType="separate"/>
            </w:r>
            <w:r w:rsidR="00C53754">
              <w:rPr>
                <w:noProof/>
                <w:webHidden/>
              </w:rPr>
              <w:t>5</w:t>
            </w:r>
            <w:r w:rsidR="00C53754">
              <w:rPr>
                <w:noProof/>
                <w:webHidden/>
              </w:rPr>
              <w:fldChar w:fldCharType="end"/>
            </w:r>
          </w:hyperlink>
        </w:p>
        <w:p w14:paraId="07E468AA" w14:textId="214B7E9F" w:rsidR="00C53754" w:rsidRDefault="001F70D3">
          <w:pPr>
            <w:pStyle w:val="TOC3"/>
            <w:tabs>
              <w:tab w:val="right" w:leader="dot" w:pos="9968"/>
            </w:tabs>
            <w:rPr>
              <w:noProof/>
              <w:szCs w:val="22"/>
              <w:lang w:eastAsia="en-AU"/>
            </w:rPr>
          </w:pPr>
          <w:hyperlink w:anchor="_Toc138254224" w:history="1">
            <w:r w:rsidR="00C53754" w:rsidRPr="00E12DD6">
              <w:rPr>
                <w:rStyle w:val="Hyperlink"/>
                <w:noProof/>
              </w:rPr>
              <w:t>AEMC Material change in network infrastructure project costs – final determination</w:t>
            </w:r>
            <w:r w:rsidR="00C53754">
              <w:rPr>
                <w:noProof/>
                <w:webHidden/>
              </w:rPr>
              <w:tab/>
            </w:r>
            <w:r w:rsidR="00C53754">
              <w:rPr>
                <w:noProof/>
                <w:webHidden/>
              </w:rPr>
              <w:fldChar w:fldCharType="begin"/>
            </w:r>
            <w:r w:rsidR="00C53754">
              <w:rPr>
                <w:noProof/>
                <w:webHidden/>
              </w:rPr>
              <w:instrText xml:space="preserve"> PAGEREF _Toc138254224 \h </w:instrText>
            </w:r>
            <w:r w:rsidR="00C53754">
              <w:rPr>
                <w:noProof/>
                <w:webHidden/>
              </w:rPr>
            </w:r>
            <w:r w:rsidR="00C53754">
              <w:rPr>
                <w:noProof/>
                <w:webHidden/>
              </w:rPr>
              <w:fldChar w:fldCharType="separate"/>
            </w:r>
            <w:r w:rsidR="00C53754">
              <w:rPr>
                <w:noProof/>
                <w:webHidden/>
              </w:rPr>
              <w:t>5</w:t>
            </w:r>
            <w:r w:rsidR="00C53754">
              <w:rPr>
                <w:noProof/>
                <w:webHidden/>
              </w:rPr>
              <w:fldChar w:fldCharType="end"/>
            </w:r>
          </w:hyperlink>
        </w:p>
        <w:p w14:paraId="608FFC0D" w14:textId="213FDD85" w:rsidR="00C53754" w:rsidRDefault="001F70D3">
          <w:pPr>
            <w:pStyle w:val="TOC2"/>
            <w:tabs>
              <w:tab w:val="right" w:leader="dot" w:pos="9968"/>
            </w:tabs>
            <w:rPr>
              <w:noProof/>
              <w:szCs w:val="22"/>
              <w:lang w:eastAsia="en-AU"/>
            </w:rPr>
          </w:pPr>
          <w:hyperlink w:anchor="_Toc138254225" w:history="1">
            <w:r w:rsidR="00C53754" w:rsidRPr="00E12DD6">
              <w:rPr>
                <w:rStyle w:val="Hyperlink"/>
                <w:noProof/>
              </w:rPr>
              <w:t>Department of Agriculture, Fisheries and Forestry</w:t>
            </w:r>
            <w:r w:rsidR="00C53754">
              <w:rPr>
                <w:noProof/>
                <w:webHidden/>
              </w:rPr>
              <w:tab/>
            </w:r>
            <w:r w:rsidR="00C53754">
              <w:rPr>
                <w:noProof/>
                <w:webHidden/>
              </w:rPr>
              <w:fldChar w:fldCharType="begin"/>
            </w:r>
            <w:r w:rsidR="00C53754">
              <w:rPr>
                <w:noProof/>
                <w:webHidden/>
              </w:rPr>
              <w:instrText xml:space="preserve"> PAGEREF _Toc138254225 \h </w:instrText>
            </w:r>
            <w:r w:rsidR="00C53754">
              <w:rPr>
                <w:noProof/>
                <w:webHidden/>
              </w:rPr>
            </w:r>
            <w:r w:rsidR="00C53754">
              <w:rPr>
                <w:noProof/>
                <w:webHidden/>
              </w:rPr>
              <w:fldChar w:fldCharType="separate"/>
            </w:r>
            <w:r w:rsidR="00C53754">
              <w:rPr>
                <w:noProof/>
                <w:webHidden/>
              </w:rPr>
              <w:t>6</w:t>
            </w:r>
            <w:r w:rsidR="00C53754">
              <w:rPr>
                <w:noProof/>
                <w:webHidden/>
              </w:rPr>
              <w:fldChar w:fldCharType="end"/>
            </w:r>
          </w:hyperlink>
        </w:p>
        <w:p w14:paraId="0EC564B4" w14:textId="5A80F23B" w:rsidR="00C53754" w:rsidRDefault="001F70D3">
          <w:pPr>
            <w:pStyle w:val="TOC3"/>
            <w:tabs>
              <w:tab w:val="right" w:leader="dot" w:pos="9968"/>
            </w:tabs>
            <w:rPr>
              <w:noProof/>
              <w:szCs w:val="22"/>
              <w:lang w:eastAsia="en-AU"/>
            </w:rPr>
          </w:pPr>
          <w:hyperlink w:anchor="_Toc138254226" w:history="1">
            <w:r w:rsidR="00C53754" w:rsidRPr="00E12DD6">
              <w:rPr>
                <w:rStyle w:val="Hyperlink"/>
                <w:rFonts w:eastAsia="Times New Roman"/>
                <w:noProof/>
                <w:lang w:eastAsia="en-AU"/>
              </w:rPr>
              <w:t>Animal Welfare Standards for Poultry</w:t>
            </w:r>
            <w:r w:rsidR="00C53754">
              <w:rPr>
                <w:noProof/>
                <w:webHidden/>
              </w:rPr>
              <w:tab/>
            </w:r>
            <w:r w:rsidR="00C53754">
              <w:rPr>
                <w:noProof/>
                <w:webHidden/>
              </w:rPr>
              <w:fldChar w:fldCharType="begin"/>
            </w:r>
            <w:r w:rsidR="00C53754">
              <w:rPr>
                <w:noProof/>
                <w:webHidden/>
              </w:rPr>
              <w:instrText xml:space="preserve"> PAGEREF _Toc138254226 \h </w:instrText>
            </w:r>
            <w:r w:rsidR="00C53754">
              <w:rPr>
                <w:noProof/>
                <w:webHidden/>
              </w:rPr>
            </w:r>
            <w:r w:rsidR="00C53754">
              <w:rPr>
                <w:noProof/>
                <w:webHidden/>
              </w:rPr>
              <w:fldChar w:fldCharType="separate"/>
            </w:r>
            <w:r w:rsidR="00C53754">
              <w:rPr>
                <w:noProof/>
                <w:webHidden/>
              </w:rPr>
              <w:t>6</w:t>
            </w:r>
            <w:r w:rsidR="00C53754">
              <w:rPr>
                <w:noProof/>
                <w:webHidden/>
              </w:rPr>
              <w:fldChar w:fldCharType="end"/>
            </w:r>
          </w:hyperlink>
        </w:p>
        <w:p w14:paraId="45B50909" w14:textId="7081E55C" w:rsidR="00C53754" w:rsidRDefault="001F70D3">
          <w:pPr>
            <w:pStyle w:val="TOC2"/>
            <w:tabs>
              <w:tab w:val="right" w:leader="dot" w:pos="9968"/>
            </w:tabs>
            <w:rPr>
              <w:noProof/>
              <w:szCs w:val="22"/>
              <w:lang w:eastAsia="en-AU"/>
            </w:rPr>
          </w:pPr>
          <w:hyperlink w:anchor="_Toc138254227" w:history="1">
            <w:r w:rsidR="00C53754" w:rsidRPr="00E12DD6">
              <w:rPr>
                <w:rStyle w:val="Hyperlink"/>
                <w:noProof/>
              </w:rPr>
              <w:t>Food Standards Australia and New Zealand</w:t>
            </w:r>
            <w:r w:rsidR="00C53754">
              <w:rPr>
                <w:noProof/>
                <w:webHidden/>
              </w:rPr>
              <w:tab/>
            </w:r>
            <w:r w:rsidR="00C53754">
              <w:rPr>
                <w:noProof/>
                <w:webHidden/>
              </w:rPr>
              <w:fldChar w:fldCharType="begin"/>
            </w:r>
            <w:r w:rsidR="00C53754">
              <w:rPr>
                <w:noProof/>
                <w:webHidden/>
              </w:rPr>
              <w:instrText xml:space="preserve"> PAGEREF _Toc138254227 \h </w:instrText>
            </w:r>
            <w:r w:rsidR="00C53754">
              <w:rPr>
                <w:noProof/>
                <w:webHidden/>
              </w:rPr>
            </w:r>
            <w:r w:rsidR="00C53754">
              <w:rPr>
                <w:noProof/>
                <w:webHidden/>
              </w:rPr>
              <w:fldChar w:fldCharType="separate"/>
            </w:r>
            <w:r w:rsidR="00C53754">
              <w:rPr>
                <w:noProof/>
                <w:webHidden/>
              </w:rPr>
              <w:t>6</w:t>
            </w:r>
            <w:r w:rsidR="00C53754">
              <w:rPr>
                <w:noProof/>
                <w:webHidden/>
              </w:rPr>
              <w:fldChar w:fldCharType="end"/>
            </w:r>
          </w:hyperlink>
        </w:p>
        <w:p w14:paraId="4D286839" w14:textId="0D04E0A7" w:rsidR="00C53754" w:rsidRDefault="001F70D3">
          <w:pPr>
            <w:pStyle w:val="TOC3"/>
            <w:tabs>
              <w:tab w:val="right" w:leader="dot" w:pos="9968"/>
            </w:tabs>
            <w:rPr>
              <w:noProof/>
              <w:szCs w:val="22"/>
              <w:lang w:eastAsia="en-AU"/>
            </w:rPr>
          </w:pPr>
          <w:hyperlink w:anchor="_Toc138254228" w:history="1">
            <w:r w:rsidR="00C53754" w:rsidRPr="00E12DD6">
              <w:rPr>
                <w:rStyle w:val="Hyperlink"/>
                <w:rFonts w:eastAsia="Times New Roman"/>
                <w:noProof/>
                <w:lang w:eastAsia="en-AU"/>
              </w:rPr>
              <w:t>Proposal P1053 – Food Safety Management tools</w:t>
            </w:r>
            <w:r w:rsidR="00C53754">
              <w:rPr>
                <w:noProof/>
                <w:webHidden/>
              </w:rPr>
              <w:tab/>
            </w:r>
            <w:r w:rsidR="00C53754">
              <w:rPr>
                <w:noProof/>
                <w:webHidden/>
              </w:rPr>
              <w:fldChar w:fldCharType="begin"/>
            </w:r>
            <w:r w:rsidR="00C53754">
              <w:rPr>
                <w:noProof/>
                <w:webHidden/>
              </w:rPr>
              <w:instrText xml:space="preserve"> PAGEREF _Toc138254228 \h </w:instrText>
            </w:r>
            <w:r w:rsidR="00C53754">
              <w:rPr>
                <w:noProof/>
                <w:webHidden/>
              </w:rPr>
            </w:r>
            <w:r w:rsidR="00C53754">
              <w:rPr>
                <w:noProof/>
                <w:webHidden/>
              </w:rPr>
              <w:fldChar w:fldCharType="separate"/>
            </w:r>
            <w:r w:rsidR="00C53754">
              <w:rPr>
                <w:noProof/>
                <w:webHidden/>
              </w:rPr>
              <w:t>6</w:t>
            </w:r>
            <w:r w:rsidR="00C53754">
              <w:rPr>
                <w:noProof/>
                <w:webHidden/>
              </w:rPr>
              <w:fldChar w:fldCharType="end"/>
            </w:r>
          </w:hyperlink>
        </w:p>
        <w:p w14:paraId="22333743" w14:textId="7F5479B3" w:rsidR="00C53754" w:rsidRDefault="001F70D3">
          <w:pPr>
            <w:pStyle w:val="TOC2"/>
            <w:tabs>
              <w:tab w:val="right" w:leader="dot" w:pos="9968"/>
            </w:tabs>
            <w:rPr>
              <w:noProof/>
              <w:szCs w:val="22"/>
              <w:lang w:eastAsia="en-AU"/>
            </w:rPr>
          </w:pPr>
          <w:hyperlink w:anchor="_Toc138254229" w:history="1">
            <w:r w:rsidR="00C53754" w:rsidRPr="00E12DD6">
              <w:rPr>
                <w:rStyle w:val="Hyperlink"/>
                <w:noProof/>
              </w:rPr>
              <w:t>Health Minister’s Meeting</w:t>
            </w:r>
            <w:r w:rsidR="00C53754">
              <w:rPr>
                <w:noProof/>
                <w:webHidden/>
              </w:rPr>
              <w:tab/>
            </w:r>
            <w:r w:rsidR="00C53754">
              <w:rPr>
                <w:noProof/>
                <w:webHidden/>
              </w:rPr>
              <w:fldChar w:fldCharType="begin"/>
            </w:r>
            <w:r w:rsidR="00C53754">
              <w:rPr>
                <w:noProof/>
                <w:webHidden/>
              </w:rPr>
              <w:instrText xml:space="preserve"> PAGEREF _Toc138254229 \h </w:instrText>
            </w:r>
            <w:r w:rsidR="00C53754">
              <w:rPr>
                <w:noProof/>
                <w:webHidden/>
              </w:rPr>
            </w:r>
            <w:r w:rsidR="00C53754">
              <w:rPr>
                <w:noProof/>
                <w:webHidden/>
              </w:rPr>
              <w:fldChar w:fldCharType="separate"/>
            </w:r>
            <w:r w:rsidR="00C53754">
              <w:rPr>
                <w:noProof/>
                <w:webHidden/>
              </w:rPr>
              <w:t>7</w:t>
            </w:r>
            <w:r w:rsidR="00C53754">
              <w:rPr>
                <w:noProof/>
                <w:webHidden/>
              </w:rPr>
              <w:fldChar w:fldCharType="end"/>
            </w:r>
          </w:hyperlink>
        </w:p>
        <w:p w14:paraId="21DBD60A" w14:textId="7B8282DD" w:rsidR="00C53754" w:rsidRDefault="001F70D3">
          <w:pPr>
            <w:pStyle w:val="TOC3"/>
            <w:tabs>
              <w:tab w:val="right" w:leader="dot" w:pos="9968"/>
            </w:tabs>
            <w:rPr>
              <w:noProof/>
              <w:szCs w:val="22"/>
              <w:lang w:eastAsia="en-AU"/>
            </w:rPr>
          </w:pPr>
          <w:hyperlink w:anchor="_Toc138254230" w:history="1">
            <w:r w:rsidR="00C53754" w:rsidRPr="00E12DD6">
              <w:rPr>
                <w:rStyle w:val="Hyperlink"/>
                <w:noProof/>
              </w:rPr>
              <w:t>Medical practitioners' use of the title "surgeon" under the National Law</w:t>
            </w:r>
            <w:r w:rsidR="00C53754">
              <w:rPr>
                <w:noProof/>
                <w:webHidden/>
              </w:rPr>
              <w:tab/>
            </w:r>
            <w:r w:rsidR="00C53754">
              <w:rPr>
                <w:noProof/>
                <w:webHidden/>
              </w:rPr>
              <w:fldChar w:fldCharType="begin"/>
            </w:r>
            <w:r w:rsidR="00C53754">
              <w:rPr>
                <w:noProof/>
                <w:webHidden/>
              </w:rPr>
              <w:instrText xml:space="preserve"> PAGEREF _Toc138254230 \h </w:instrText>
            </w:r>
            <w:r w:rsidR="00C53754">
              <w:rPr>
                <w:noProof/>
                <w:webHidden/>
              </w:rPr>
            </w:r>
            <w:r w:rsidR="00C53754">
              <w:rPr>
                <w:noProof/>
                <w:webHidden/>
              </w:rPr>
              <w:fldChar w:fldCharType="separate"/>
            </w:r>
            <w:r w:rsidR="00C53754">
              <w:rPr>
                <w:noProof/>
                <w:webHidden/>
              </w:rPr>
              <w:t>7</w:t>
            </w:r>
            <w:r w:rsidR="00C53754">
              <w:rPr>
                <w:noProof/>
                <w:webHidden/>
              </w:rPr>
              <w:fldChar w:fldCharType="end"/>
            </w:r>
          </w:hyperlink>
        </w:p>
        <w:p w14:paraId="09AF092A" w14:textId="63FB441F" w:rsidR="00C53754" w:rsidRDefault="001F70D3">
          <w:pPr>
            <w:pStyle w:val="TOC2"/>
            <w:tabs>
              <w:tab w:val="right" w:leader="dot" w:pos="9968"/>
            </w:tabs>
            <w:rPr>
              <w:noProof/>
              <w:szCs w:val="22"/>
              <w:lang w:eastAsia="en-AU"/>
            </w:rPr>
          </w:pPr>
          <w:hyperlink w:anchor="_Toc138254231" w:history="1">
            <w:r w:rsidR="00C53754" w:rsidRPr="00E12DD6">
              <w:rPr>
                <w:rStyle w:val="Hyperlink"/>
                <w:noProof/>
              </w:rPr>
              <w:t>NSW Department of Education</w:t>
            </w:r>
            <w:r w:rsidR="00C53754">
              <w:rPr>
                <w:noProof/>
                <w:webHidden/>
              </w:rPr>
              <w:tab/>
            </w:r>
            <w:r w:rsidR="00C53754">
              <w:rPr>
                <w:noProof/>
                <w:webHidden/>
              </w:rPr>
              <w:fldChar w:fldCharType="begin"/>
            </w:r>
            <w:r w:rsidR="00C53754">
              <w:rPr>
                <w:noProof/>
                <w:webHidden/>
              </w:rPr>
              <w:instrText xml:space="preserve"> PAGEREF _Toc138254231 \h </w:instrText>
            </w:r>
            <w:r w:rsidR="00C53754">
              <w:rPr>
                <w:noProof/>
                <w:webHidden/>
              </w:rPr>
            </w:r>
            <w:r w:rsidR="00C53754">
              <w:rPr>
                <w:noProof/>
                <w:webHidden/>
              </w:rPr>
              <w:fldChar w:fldCharType="separate"/>
            </w:r>
            <w:r w:rsidR="00C53754">
              <w:rPr>
                <w:noProof/>
                <w:webHidden/>
              </w:rPr>
              <w:t>8</w:t>
            </w:r>
            <w:r w:rsidR="00C53754">
              <w:rPr>
                <w:noProof/>
                <w:webHidden/>
              </w:rPr>
              <w:fldChar w:fldCharType="end"/>
            </w:r>
          </w:hyperlink>
        </w:p>
        <w:p w14:paraId="1AFF4755" w14:textId="5090EC7B" w:rsidR="00C53754" w:rsidRDefault="001F70D3">
          <w:pPr>
            <w:pStyle w:val="TOC3"/>
            <w:tabs>
              <w:tab w:val="right" w:leader="dot" w:pos="9968"/>
            </w:tabs>
            <w:rPr>
              <w:noProof/>
              <w:szCs w:val="22"/>
              <w:lang w:eastAsia="en-AU"/>
            </w:rPr>
          </w:pPr>
          <w:hyperlink w:anchor="_Toc138254232" w:history="1">
            <w:r w:rsidR="00C53754" w:rsidRPr="00E12DD6">
              <w:rPr>
                <w:rStyle w:val="Hyperlink"/>
                <w:rFonts w:eastAsia="Times New Roman"/>
                <w:noProof/>
                <w:lang w:eastAsia="en-AU"/>
              </w:rPr>
              <w:t>National Qualifications Framework Review</w:t>
            </w:r>
            <w:r w:rsidR="00C53754">
              <w:rPr>
                <w:noProof/>
                <w:webHidden/>
              </w:rPr>
              <w:tab/>
            </w:r>
            <w:r w:rsidR="00C53754">
              <w:rPr>
                <w:noProof/>
                <w:webHidden/>
              </w:rPr>
              <w:fldChar w:fldCharType="begin"/>
            </w:r>
            <w:r w:rsidR="00C53754">
              <w:rPr>
                <w:noProof/>
                <w:webHidden/>
              </w:rPr>
              <w:instrText xml:space="preserve"> PAGEREF _Toc138254232 \h </w:instrText>
            </w:r>
            <w:r w:rsidR="00C53754">
              <w:rPr>
                <w:noProof/>
                <w:webHidden/>
              </w:rPr>
            </w:r>
            <w:r w:rsidR="00C53754">
              <w:rPr>
                <w:noProof/>
                <w:webHidden/>
              </w:rPr>
              <w:fldChar w:fldCharType="separate"/>
            </w:r>
            <w:r w:rsidR="00C53754">
              <w:rPr>
                <w:noProof/>
                <w:webHidden/>
              </w:rPr>
              <w:t>8</w:t>
            </w:r>
            <w:r w:rsidR="00C53754">
              <w:rPr>
                <w:noProof/>
                <w:webHidden/>
              </w:rPr>
              <w:fldChar w:fldCharType="end"/>
            </w:r>
          </w:hyperlink>
        </w:p>
        <w:p w14:paraId="4E604EC3" w14:textId="554D475B" w:rsidR="00C53754" w:rsidRDefault="001F70D3">
          <w:pPr>
            <w:pStyle w:val="TOC2"/>
            <w:tabs>
              <w:tab w:val="right" w:leader="dot" w:pos="9968"/>
            </w:tabs>
            <w:rPr>
              <w:noProof/>
              <w:szCs w:val="22"/>
              <w:lang w:eastAsia="en-AU"/>
            </w:rPr>
          </w:pPr>
          <w:hyperlink w:anchor="_Toc138254233" w:history="1">
            <w:r w:rsidR="00C53754" w:rsidRPr="00E12DD6">
              <w:rPr>
                <w:rStyle w:val="Hyperlink"/>
                <w:noProof/>
              </w:rPr>
              <w:t>Queensland Health</w:t>
            </w:r>
            <w:r w:rsidR="00C53754">
              <w:rPr>
                <w:noProof/>
                <w:webHidden/>
              </w:rPr>
              <w:tab/>
            </w:r>
            <w:r w:rsidR="00C53754">
              <w:rPr>
                <w:noProof/>
                <w:webHidden/>
              </w:rPr>
              <w:fldChar w:fldCharType="begin"/>
            </w:r>
            <w:r w:rsidR="00C53754">
              <w:rPr>
                <w:noProof/>
                <w:webHidden/>
              </w:rPr>
              <w:instrText xml:space="preserve"> PAGEREF _Toc138254233 \h </w:instrText>
            </w:r>
            <w:r w:rsidR="00C53754">
              <w:rPr>
                <w:noProof/>
                <w:webHidden/>
              </w:rPr>
            </w:r>
            <w:r w:rsidR="00C53754">
              <w:rPr>
                <w:noProof/>
                <w:webHidden/>
              </w:rPr>
              <w:fldChar w:fldCharType="separate"/>
            </w:r>
            <w:r w:rsidR="00C53754">
              <w:rPr>
                <w:noProof/>
                <w:webHidden/>
              </w:rPr>
              <w:t>8</w:t>
            </w:r>
            <w:r w:rsidR="00C53754">
              <w:rPr>
                <w:noProof/>
                <w:webHidden/>
              </w:rPr>
              <w:fldChar w:fldCharType="end"/>
            </w:r>
          </w:hyperlink>
        </w:p>
        <w:p w14:paraId="5FBA623C" w14:textId="73FF312E" w:rsidR="00C53754" w:rsidRDefault="001F70D3">
          <w:pPr>
            <w:pStyle w:val="TOC3"/>
            <w:tabs>
              <w:tab w:val="right" w:leader="dot" w:pos="9968"/>
            </w:tabs>
            <w:rPr>
              <w:noProof/>
              <w:szCs w:val="22"/>
              <w:lang w:eastAsia="en-AU"/>
            </w:rPr>
          </w:pPr>
          <w:hyperlink w:anchor="_Toc138254234" w:history="1">
            <w:r w:rsidR="00C53754" w:rsidRPr="00E12DD6">
              <w:rPr>
                <w:rStyle w:val="Hyperlink"/>
                <w:noProof/>
              </w:rPr>
              <w:t>Menu Labelling in Australia and New Zealand</w:t>
            </w:r>
            <w:r w:rsidR="00C53754">
              <w:rPr>
                <w:noProof/>
                <w:webHidden/>
              </w:rPr>
              <w:tab/>
            </w:r>
            <w:r w:rsidR="00C53754">
              <w:rPr>
                <w:noProof/>
                <w:webHidden/>
              </w:rPr>
              <w:fldChar w:fldCharType="begin"/>
            </w:r>
            <w:r w:rsidR="00C53754">
              <w:rPr>
                <w:noProof/>
                <w:webHidden/>
              </w:rPr>
              <w:instrText xml:space="preserve"> PAGEREF _Toc138254234 \h </w:instrText>
            </w:r>
            <w:r w:rsidR="00C53754">
              <w:rPr>
                <w:noProof/>
                <w:webHidden/>
              </w:rPr>
            </w:r>
            <w:r w:rsidR="00C53754">
              <w:rPr>
                <w:noProof/>
                <w:webHidden/>
              </w:rPr>
              <w:fldChar w:fldCharType="separate"/>
            </w:r>
            <w:r w:rsidR="00C53754">
              <w:rPr>
                <w:noProof/>
                <w:webHidden/>
              </w:rPr>
              <w:t>8</w:t>
            </w:r>
            <w:r w:rsidR="00C53754">
              <w:rPr>
                <w:noProof/>
                <w:webHidden/>
              </w:rPr>
              <w:fldChar w:fldCharType="end"/>
            </w:r>
          </w:hyperlink>
        </w:p>
        <w:p w14:paraId="0C577802" w14:textId="3840CC1B" w:rsidR="00C53754" w:rsidRDefault="001F70D3">
          <w:pPr>
            <w:pStyle w:val="TOC2"/>
            <w:tabs>
              <w:tab w:val="right" w:leader="dot" w:pos="9968"/>
            </w:tabs>
            <w:rPr>
              <w:noProof/>
              <w:szCs w:val="22"/>
              <w:lang w:eastAsia="en-AU"/>
            </w:rPr>
          </w:pPr>
          <w:hyperlink w:anchor="_Toc138254235" w:history="1">
            <w:r w:rsidR="00C53754" w:rsidRPr="00E12DD6">
              <w:rPr>
                <w:rStyle w:val="Hyperlink"/>
                <w:noProof/>
              </w:rPr>
              <w:t>Safe Work Australia</w:t>
            </w:r>
            <w:r w:rsidR="00C53754">
              <w:rPr>
                <w:noProof/>
                <w:webHidden/>
              </w:rPr>
              <w:tab/>
            </w:r>
            <w:r w:rsidR="00C53754">
              <w:rPr>
                <w:noProof/>
                <w:webHidden/>
              </w:rPr>
              <w:fldChar w:fldCharType="begin"/>
            </w:r>
            <w:r w:rsidR="00C53754">
              <w:rPr>
                <w:noProof/>
                <w:webHidden/>
              </w:rPr>
              <w:instrText xml:space="preserve"> PAGEREF _Toc138254235 \h </w:instrText>
            </w:r>
            <w:r w:rsidR="00C53754">
              <w:rPr>
                <w:noProof/>
                <w:webHidden/>
              </w:rPr>
            </w:r>
            <w:r w:rsidR="00C53754">
              <w:rPr>
                <w:noProof/>
                <w:webHidden/>
              </w:rPr>
              <w:fldChar w:fldCharType="separate"/>
            </w:r>
            <w:r w:rsidR="00C53754">
              <w:rPr>
                <w:noProof/>
                <w:webHidden/>
              </w:rPr>
              <w:t>9</w:t>
            </w:r>
            <w:r w:rsidR="00C53754">
              <w:rPr>
                <w:noProof/>
                <w:webHidden/>
              </w:rPr>
              <w:fldChar w:fldCharType="end"/>
            </w:r>
          </w:hyperlink>
        </w:p>
        <w:p w14:paraId="12A3A0E6" w14:textId="4BDE3863" w:rsidR="00C53754" w:rsidRDefault="001F70D3">
          <w:pPr>
            <w:pStyle w:val="TOC3"/>
            <w:tabs>
              <w:tab w:val="right" w:leader="dot" w:pos="9968"/>
            </w:tabs>
            <w:rPr>
              <w:noProof/>
              <w:szCs w:val="22"/>
              <w:lang w:eastAsia="en-AU"/>
            </w:rPr>
          </w:pPr>
          <w:hyperlink w:anchor="_Toc138254236" w:history="1">
            <w:r w:rsidR="00C53754" w:rsidRPr="00E12DD6">
              <w:rPr>
                <w:rStyle w:val="Hyperlink"/>
                <w:rFonts w:eastAsia="Times New Roman"/>
                <w:noProof/>
                <w:lang w:eastAsia="en-AU"/>
              </w:rPr>
              <w:t>Managing the risks of respirable crystalline silica at work</w:t>
            </w:r>
            <w:r w:rsidR="00C53754">
              <w:rPr>
                <w:noProof/>
                <w:webHidden/>
              </w:rPr>
              <w:tab/>
            </w:r>
            <w:r w:rsidR="00C53754">
              <w:rPr>
                <w:noProof/>
                <w:webHidden/>
              </w:rPr>
              <w:fldChar w:fldCharType="begin"/>
            </w:r>
            <w:r w:rsidR="00C53754">
              <w:rPr>
                <w:noProof/>
                <w:webHidden/>
              </w:rPr>
              <w:instrText xml:space="preserve"> PAGEREF _Toc138254236 \h </w:instrText>
            </w:r>
            <w:r w:rsidR="00C53754">
              <w:rPr>
                <w:noProof/>
                <w:webHidden/>
              </w:rPr>
            </w:r>
            <w:r w:rsidR="00C53754">
              <w:rPr>
                <w:noProof/>
                <w:webHidden/>
              </w:rPr>
              <w:fldChar w:fldCharType="separate"/>
            </w:r>
            <w:r w:rsidR="00C53754">
              <w:rPr>
                <w:noProof/>
                <w:webHidden/>
              </w:rPr>
              <w:t>9</w:t>
            </w:r>
            <w:r w:rsidR="00C53754">
              <w:rPr>
                <w:noProof/>
                <w:webHidden/>
              </w:rPr>
              <w:fldChar w:fldCharType="end"/>
            </w:r>
          </w:hyperlink>
        </w:p>
        <w:p w14:paraId="2A604590" w14:textId="289DA121" w:rsidR="00C53754" w:rsidRDefault="001F70D3">
          <w:pPr>
            <w:pStyle w:val="TOC1"/>
            <w:tabs>
              <w:tab w:val="right" w:leader="dot" w:pos="9968"/>
            </w:tabs>
            <w:rPr>
              <w:noProof/>
              <w:szCs w:val="22"/>
              <w:lang w:eastAsia="en-AU"/>
            </w:rPr>
          </w:pPr>
          <w:hyperlink w:anchor="_Toc138254237" w:history="1">
            <w:r w:rsidR="00C53754" w:rsidRPr="00E12DD6">
              <w:rPr>
                <w:rStyle w:val="Hyperlink"/>
                <w:noProof/>
              </w:rPr>
              <w:t>IAs prepared for consultation in 2022-23</w:t>
            </w:r>
            <w:r w:rsidR="00C53754">
              <w:rPr>
                <w:noProof/>
                <w:webHidden/>
              </w:rPr>
              <w:tab/>
            </w:r>
            <w:r w:rsidR="00C53754">
              <w:rPr>
                <w:noProof/>
                <w:webHidden/>
              </w:rPr>
              <w:fldChar w:fldCharType="begin"/>
            </w:r>
            <w:r w:rsidR="00C53754">
              <w:rPr>
                <w:noProof/>
                <w:webHidden/>
              </w:rPr>
              <w:instrText xml:space="preserve"> PAGEREF _Toc138254237 \h </w:instrText>
            </w:r>
            <w:r w:rsidR="00C53754">
              <w:rPr>
                <w:noProof/>
                <w:webHidden/>
              </w:rPr>
            </w:r>
            <w:r w:rsidR="00C53754">
              <w:rPr>
                <w:noProof/>
                <w:webHidden/>
              </w:rPr>
              <w:fldChar w:fldCharType="separate"/>
            </w:r>
            <w:r w:rsidR="00C53754">
              <w:rPr>
                <w:noProof/>
                <w:webHidden/>
              </w:rPr>
              <w:t>9</w:t>
            </w:r>
            <w:r w:rsidR="00C53754">
              <w:rPr>
                <w:noProof/>
                <w:webHidden/>
              </w:rPr>
              <w:fldChar w:fldCharType="end"/>
            </w:r>
          </w:hyperlink>
        </w:p>
        <w:p w14:paraId="4A596D05" w14:textId="70388D70" w:rsidR="00C53754" w:rsidRDefault="001F70D3">
          <w:pPr>
            <w:pStyle w:val="TOC2"/>
            <w:tabs>
              <w:tab w:val="right" w:leader="dot" w:pos="9968"/>
            </w:tabs>
            <w:rPr>
              <w:noProof/>
              <w:szCs w:val="22"/>
              <w:lang w:eastAsia="en-AU"/>
            </w:rPr>
          </w:pPr>
          <w:hyperlink w:anchor="_Toc138254238" w:history="1">
            <w:r w:rsidR="00C53754" w:rsidRPr="00E12DD6">
              <w:rPr>
                <w:rStyle w:val="Hyperlink"/>
                <w:noProof/>
              </w:rPr>
              <w:t>Decision-making body: Australian Energy Market Commission</w:t>
            </w:r>
            <w:r w:rsidR="00C53754">
              <w:rPr>
                <w:noProof/>
                <w:webHidden/>
              </w:rPr>
              <w:tab/>
            </w:r>
            <w:r w:rsidR="00C53754">
              <w:rPr>
                <w:noProof/>
                <w:webHidden/>
              </w:rPr>
              <w:fldChar w:fldCharType="begin"/>
            </w:r>
            <w:r w:rsidR="00C53754">
              <w:rPr>
                <w:noProof/>
                <w:webHidden/>
              </w:rPr>
              <w:instrText xml:space="preserve"> PAGEREF _Toc138254238 \h </w:instrText>
            </w:r>
            <w:r w:rsidR="00C53754">
              <w:rPr>
                <w:noProof/>
                <w:webHidden/>
              </w:rPr>
            </w:r>
            <w:r w:rsidR="00C53754">
              <w:rPr>
                <w:noProof/>
                <w:webHidden/>
              </w:rPr>
              <w:fldChar w:fldCharType="separate"/>
            </w:r>
            <w:r w:rsidR="00C53754">
              <w:rPr>
                <w:noProof/>
                <w:webHidden/>
              </w:rPr>
              <w:t>10</w:t>
            </w:r>
            <w:r w:rsidR="00C53754">
              <w:rPr>
                <w:noProof/>
                <w:webHidden/>
              </w:rPr>
              <w:fldChar w:fldCharType="end"/>
            </w:r>
          </w:hyperlink>
        </w:p>
        <w:p w14:paraId="63B82C23" w14:textId="4B66D9E7" w:rsidR="00C53754" w:rsidRDefault="001F70D3">
          <w:pPr>
            <w:pStyle w:val="TOC3"/>
            <w:tabs>
              <w:tab w:val="right" w:leader="dot" w:pos="9968"/>
            </w:tabs>
            <w:rPr>
              <w:noProof/>
              <w:szCs w:val="22"/>
              <w:lang w:eastAsia="en-AU"/>
            </w:rPr>
          </w:pPr>
          <w:hyperlink w:anchor="_Toc138254239" w:history="1">
            <w:r w:rsidR="00C53754" w:rsidRPr="00E12DD6">
              <w:rPr>
                <w:rStyle w:val="Hyperlink"/>
                <w:noProof/>
              </w:rPr>
              <w:t>Material change in network infrastructure project costs</w:t>
            </w:r>
            <w:r w:rsidR="00C53754">
              <w:rPr>
                <w:noProof/>
                <w:webHidden/>
              </w:rPr>
              <w:tab/>
            </w:r>
            <w:r w:rsidR="00C53754">
              <w:rPr>
                <w:noProof/>
                <w:webHidden/>
              </w:rPr>
              <w:fldChar w:fldCharType="begin"/>
            </w:r>
            <w:r w:rsidR="00C53754">
              <w:rPr>
                <w:noProof/>
                <w:webHidden/>
              </w:rPr>
              <w:instrText xml:space="preserve"> PAGEREF _Toc138254239 \h </w:instrText>
            </w:r>
            <w:r w:rsidR="00C53754">
              <w:rPr>
                <w:noProof/>
                <w:webHidden/>
              </w:rPr>
            </w:r>
            <w:r w:rsidR="00C53754">
              <w:rPr>
                <w:noProof/>
                <w:webHidden/>
              </w:rPr>
              <w:fldChar w:fldCharType="separate"/>
            </w:r>
            <w:r w:rsidR="00C53754">
              <w:rPr>
                <w:noProof/>
                <w:webHidden/>
              </w:rPr>
              <w:t>10</w:t>
            </w:r>
            <w:r w:rsidR="00C53754">
              <w:rPr>
                <w:noProof/>
                <w:webHidden/>
              </w:rPr>
              <w:fldChar w:fldCharType="end"/>
            </w:r>
          </w:hyperlink>
        </w:p>
        <w:p w14:paraId="2B8213F5" w14:textId="2261FEDC" w:rsidR="00C53754" w:rsidRDefault="001F70D3">
          <w:pPr>
            <w:pStyle w:val="TOC2"/>
            <w:tabs>
              <w:tab w:val="right" w:leader="dot" w:pos="9968"/>
            </w:tabs>
            <w:rPr>
              <w:noProof/>
              <w:szCs w:val="22"/>
              <w:lang w:eastAsia="en-AU"/>
            </w:rPr>
          </w:pPr>
          <w:hyperlink w:anchor="_Toc138254240" w:history="1">
            <w:r w:rsidR="00C53754" w:rsidRPr="00E12DD6">
              <w:rPr>
                <w:rStyle w:val="Hyperlink"/>
                <w:noProof/>
              </w:rPr>
              <w:t>Decision-making body: Austroads</w:t>
            </w:r>
            <w:r w:rsidR="00C53754">
              <w:rPr>
                <w:noProof/>
                <w:webHidden/>
              </w:rPr>
              <w:tab/>
            </w:r>
            <w:r w:rsidR="00C53754">
              <w:rPr>
                <w:noProof/>
                <w:webHidden/>
              </w:rPr>
              <w:fldChar w:fldCharType="begin"/>
            </w:r>
            <w:r w:rsidR="00C53754">
              <w:rPr>
                <w:noProof/>
                <w:webHidden/>
              </w:rPr>
              <w:instrText xml:space="preserve"> PAGEREF _Toc138254240 \h </w:instrText>
            </w:r>
            <w:r w:rsidR="00C53754">
              <w:rPr>
                <w:noProof/>
                <w:webHidden/>
              </w:rPr>
            </w:r>
            <w:r w:rsidR="00C53754">
              <w:rPr>
                <w:noProof/>
                <w:webHidden/>
              </w:rPr>
              <w:fldChar w:fldCharType="separate"/>
            </w:r>
            <w:r w:rsidR="00C53754">
              <w:rPr>
                <w:noProof/>
                <w:webHidden/>
              </w:rPr>
              <w:t>10</w:t>
            </w:r>
            <w:r w:rsidR="00C53754">
              <w:rPr>
                <w:noProof/>
                <w:webHidden/>
              </w:rPr>
              <w:fldChar w:fldCharType="end"/>
            </w:r>
          </w:hyperlink>
        </w:p>
        <w:p w14:paraId="38445E4B" w14:textId="3E31B641" w:rsidR="00C53754" w:rsidRDefault="001F70D3">
          <w:pPr>
            <w:pStyle w:val="TOC3"/>
            <w:tabs>
              <w:tab w:val="right" w:leader="dot" w:pos="9968"/>
            </w:tabs>
            <w:rPr>
              <w:noProof/>
              <w:szCs w:val="22"/>
              <w:lang w:eastAsia="en-AU"/>
            </w:rPr>
          </w:pPr>
          <w:hyperlink w:anchor="_Toc138254241" w:history="1">
            <w:r w:rsidR="00C53754" w:rsidRPr="00E12DD6">
              <w:rPr>
                <w:rStyle w:val="Hyperlink"/>
                <w:noProof/>
              </w:rPr>
              <w:t>National Heavy Vehicle Drive Competency Framework Consultation IA</w:t>
            </w:r>
            <w:r w:rsidR="00C53754">
              <w:rPr>
                <w:noProof/>
                <w:webHidden/>
              </w:rPr>
              <w:tab/>
            </w:r>
            <w:r w:rsidR="00C53754">
              <w:rPr>
                <w:noProof/>
                <w:webHidden/>
              </w:rPr>
              <w:fldChar w:fldCharType="begin"/>
            </w:r>
            <w:r w:rsidR="00C53754">
              <w:rPr>
                <w:noProof/>
                <w:webHidden/>
              </w:rPr>
              <w:instrText xml:space="preserve"> PAGEREF _Toc138254241 \h </w:instrText>
            </w:r>
            <w:r w:rsidR="00C53754">
              <w:rPr>
                <w:noProof/>
                <w:webHidden/>
              </w:rPr>
            </w:r>
            <w:r w:rsidR="00C53754">
              <w:rPr>
                <w:noProof/>
                <w:webHidden/>
              </w:rPr>
              <w:fldChar w:fldCharType="separate"/>
            </w:r>
            <w:r w:rsidR="00C53754">
              <w:rPr>
                <w:noProof/>
                <w:webHidden/>
              </w:rPr>
              <w:t>10</w:t>
            </w:r>
            <w:r w:rsidR="00C53754">
              <w:rPr>
                <w:noProof/>
                <w:webHidden/>
              </w:rPr>
              <w:fldChar w:fldCharType="end"/>
            </w:r>
          </w:hyperlink>
        </w:p>
        <w:p w14:paraId="31E2373E" w14:textId="2A458499" w:rsidR="00C53754" w:rsidRDefault="001F70D3">
          <w:pPr>
            <w:pStyle w:val="TOC2"/>
            <w:tabs>
              <w:tab w:val="right" w:leader="dot" w:pos="9968"/>
            </w:tabs>
            <w:rPr>
              <w:noProof/>
              <w:szCs w:val="22"/>
              <w:lang w:eastAsia="en-AU"/>
            </w:rPr>
          </w:pPr>
          <w:hyperlink w:anchor="_Toc138254242" w:history="1">
            <w:r w:rsidR="00C53754" w:rsidRPr="00E12DD6">
              <w:rPr>
                <w:rStyle w:val="Hyperlink"/>
                <w:noProof/>
              </w:rPr>
              <w:t>Decision-making body: Department of Agriculture, Fisheries and Forestry</w:t>
            </w:r>
            <w:r w:rsidR="00C53754">
              <w:rPr>
                <w:noProof/>
                <w:webHidden/>
              </w:rPr>
              <w:tab/>
            </w:r>
            <w:r w:rsidR="00C53754">
              <w:rPr>
                <w:noProof/>
                <w:webHidden/>
              </w:rPr>
              <w:fldChar w:fldCharType="begin"/>
            </w:r>
            <w:r w:rsidR="00C53754">
              <w:rPr>
                <w:noProof/>
                <w:webHidden/>
              </w:rPr>
              <w:instrText xml:space="preserve"> PAGEREF _Toc138254242 \h </w:instrText>
            </w:r>
            <w:r w:rsidR="00C53754">
              <w:rPr>
                <w:noProof/>
                <w:webHidden/>
              </w:rPr>
            </w:r>
            <w:r w:rsidR="00C53754">
              <w:rPr>
                <w:noProof/>
                <w:webHidden/>
              </w:rPr>
              <w:fldChar w:fldCharType="separate"/>
            </w:r>
            <w:r w:rsidR="00C53754">
              <w:rPr>
                <w:noProof/>
                <w:webHidden/>
              </w:rPr>
              <w:t>10</w:t>
            </w:r>
            <w:r w:rsidR="00C53754">
              <w:rPr>
                <w:noProof/>
                <w:webHidden/>
              </w:rPr>
              <w:fldChar w:fldCharType="end"/>
            </w:r>
          </w:hyperlink>
        </w:p>
        <w:p w14:paraId="4E6E10C0" w14:textId="37499C02" w:rsidR="00C53754" w:rsidRDefault="001F70D3">
          <w:pPr>
            <w:pStyle w:val="TOC3"/>
            <w:tabs>
              <w:tab w:val="right" w:leader="dot" w:pos="9968"/>
            </w:tabs>
            <w:rPr>
              <w:noProof/>
              <w:szCs w:val="22"/>
              <w:lang w:eastAsia="en-AU"/>
            </w:rPr>
          </w:pPr>
          <w:hyperlink w:anchor="_Toc138254243" w:history="1">
            <w:r w:rsidR="00C53754" w:rsidRPr="00E12DD6">
              <w:rPr>
                <w:rStyle w:val="Hyperlink"/>
                <w:noProof/>
              </w:rPr>
              <w:t>Improving the welfare of horses during land transport</w:t>
            </w:r>
            <w:r w:rsidR="00C53754">
              <w:rPr>
                <w:noProof/>
                <w:webHidden/>
              </w:rPr>
              <w:tab/>
            </w:r>
            <w:r w:rsidR="00C53754">
              <w:rPr>
                <w:noProof/>
                <w:webHidden/>
              </w:rPr>
              <w:fldChar w:fldCharType="begin"/>
            </w:r>
            <w:r w:rsidR="00C53754">
              <w:rPr>
                <w:noProof/>
                <w:webHidden/>
              </w:rPr>
              <w:instrText xml:space="preserve"> PAGEREF _Toc138254243 \h </w:instrText>
            </w:r>
            <w:r w:rsidR="00C53754">
              <w:rPr>
                <w:noProof/>
                <w:webHidden/>
              </w:rPr>
            </w:r>
            <w:r w:rsidR="00C53754">
              <w:rPr>
                <w:noProof/>
                <w:webHidden/>
              </w:rPr>
              <w:fldChar w:fldCharType="separate"/>
            </w:r>
            <w:r w:rsidR="00C53754">
              <w:rPr>
                <w:noProof/>
                <w:webHidden/>
              </w:rPr>
              <w:t>10</w:t>
            </w:r>
            <w:r w:rsidR="00C53754">
              <w:rPr>
                <w:noProof/>
                <w:webHidden/>
              </w:rPr>
              <w:fldChar w:fldCharType="end"/>
            </w:r>
          </w:hyperlink>
        </w:p>
        <w:p w14:paraId="35B07988" w14:textId="69F1ED46" w:rsidR="00D10635" w:rsidRDefault="00117A77" w:rsidP="00E2753F">
          <w:pPr>
            <w:rPr>
              <w:b/>
              <w:bCs/>
              <w:noProof/>
            </w:rPr>
          </w:pPr>
          <w:r>
            <w:rPr>
              <w:b/>
              <w:bCs/>
              <w:noProof/>
            </w:rPr>
            <w:fldChar w:fldCharType="end"/>
          </w:r>
        </w:p>
      </w:sdtContent>
    </w:sdt>
    <w:p w14:paraId="1B3F248A" w14:textId="180294D0" w:rsidR="00774646" w:rsidRDefault="009E2262" w:rsidP="00CA4B93">
      <w:pPr>
        <w:pStyle w:val="Style1"/>
        <w:outlineLvl w:val="0"/>
      </w:pPr>
      <w:bookmarkStart w:id="0" w:name="_Toc138254214"/>
      <w:r>
        <w:t xml:space="preserve">Compliance with the Commonwealth-State </w:t>
      </w:r>
      <w:r w:rsidR="00997E86">
        <w:t>IA</w:t>
      </w:r>
      <w:r>
        <w:t xml:space="preserve"> requirements 201</w:t>
      </w:r>
      <w:r w:rsidR="00B5620D">
        <w:t>7</w:t>
      </w:r>
      <w:r>
        <w:t>-1</w:t>
      </w:r>
      <w:r w:rsidR="00B5620D">
        <w:t>8</w:t>
      </w:r>
      <w:r>
        <w:t xml:space="preserve"> to 202</w:t>
      </w:r>
      <w:r w:rsidR="00B5620D">
        <w:t>2</w:t>
      </w:r>
      <w:r>
        <w:t>-2</w:t>
      </w:r>
      <w:r w:rsidR="00B5620D">
        <w:t>3</w:t>
      </w:r>
      <w:bookmarkEnd w:id="0"/>
    </w:p>
    <w:p w14:paraId="60697289" w14:textId="0A05F975" w:rsidR="00D03322" w:rsidRPr="00774646" w:rsidRDefault="00FC3389" w:rsidP="00D03322">
      <w:pPr>
        <w:pStyle w:val="Figure"/>
        <w:ind w:left="567"/>
      </w:pPr>
      <w:r>
        <w:t xml:space="preserve">Compliance with the Commonwealth State </w:t>
      </w:r>
      <w:r w:rsidR="00997E86">
        <w:t>IA</w:t>
      </w:r>
      <w:r>
        <w:t xml:space="preserve"> requirements</w:t>
      </w:r>
    </w:p>
    <w:tbl>
      <w:tblPr>
        <w:tblStyle w:val="ListTable4-Accent1"/>
        <w:tblW w:w="4972"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620" w:firstRow="1" w:lastRow="0" w:firstColumn="0" w:lastColumn="0" w:noHBand="1" w:noVBand="1"/>
        <w:tblCaption w:val="Figure 1. Compliance with the Commonwealth-State IA requirements 2016-17 to 2022-23"/>
        <w:tblDescription w:val="Figure 1. Compliance with the Commonwealth-State IA requirements 2016-17 to 2022-23"/>
      </w:tblPr>
      <w:tblGrid>
        <w:gridCol w:w="1164"/>
        <w:gridCol w:w="1041"/>
        <w:gridCol w:w="583"/>
        <w:gridCol w:w="944"/>
        <w:gridCol w:w="521"/>
        <w:gridCol w:w="878"/>
        <w:gridCol w:w="438"/>
        <w:gridCol w:w="910"/>
        <w:gridCol w:w="559"/>
        <w:gridCol w:w="880"/>
        <w:gridCol w:w="577"/>
        <w:gridCol w:w="850"/>
        <w:gridCol w:w="567"/>
      </w:tblGrid>
      <w:tr w:rsidR="00B5620D" w14:paraId="45074D85" w14:textId="77777777" w:rsidTr="00B5620D">
        <w:trPr>
          <w:cnfStyle w:val="100000000000" w:firstRow="1" w:lastRow="0" w:firstColumn="0" w:lastColumn="0" w:oddVBand="0" w:evenVBand="0" w:oddHBand="0" w:evenHBand="0" w:firstRowFirstColumn="0" w:firstRowLastColumn="0" w:lastRowFirstColumn="0" w:lastRowLastColumn="0"/>
          <w:trHeight w:val="20"/>
          <w:tblHeader/>
        </w:trPr>
        <w:tc>
          <w:tcPr>
            <w:tcW w:w="587" w:type="pct"/>
            <w:vAlign w:val="center"/>
          </w:tcPr>
          <w:p w14:paraId="485BD8A5" w14:textId="77777777" w:rsidR="00B5620D" w:rsidRPr="006E170D" w:rsidRDefault="00B5620D" w:rsidP="000F08D0">
            <w:pPr>
              <w:pStyle w:val="TBLHeading"/>
            </w:pPr>
            <w:r>
              <w:t>Stage</w:t>
            </w:r>
          </w:p>
        </w:tc>
        <w:tc>
          <w:tcPr>
            <w:tcW w:w="525" w:type="pct"/>
            <w:vAlign w:val="center"/>
          </w:tcPr>
          <w:p w14:paraId="06931AD8" w14:textId="77777777" w:rsidR="00B5620D" w:rsidRPr="006E170D" w:rsidRDefault="00B5620D" w:rsidP="000F08D0">
            <w:pPr>
              <w:pStyle w:val="TBLHeading"/>
            </w:pPr>
            <w:r>
              <w:t>2017-18 Ratio</w:t>
            </w:r>
          </w:p>
        </w:tc>
        <w:tc>
          <w:tcPr>
            <w:tcW w:w="294" w:type="pct"/>
            <w:vAlign w:val="center"/>
          </w:tcPr>
          <w:p w14:paraId="54798F55" w14:textId="77777777" w:rsidR="00B5620D" w:rsidRPr="006E170D" w:rsidRDefault="00B5620D" w:rsidP="000F08D0">
            <w:pPr>
              <w:pStyle w:val="TBLHeading"/>
            </w:pPr>
            <w:r>
              <w:t>%</w:t>
            </w:r>
          </w:p>
        </w:tc>
        <w:tc>
          <w:tcPr>
            <w:tcW w:w="476" w:type="pct"/>
          </w:tcPr>
          <w:p w14:paraId="567C98ED" w14:textId="77777777" w:rsidR="00B5620D" w:rsidRPr="006E170D" w:rsidRDefault="00B5620D" w:rsidP="000F08D0">
            <w:pPr>
              <w:pStyle w:val="TBLHeading"/>
            </w:pPr>
            <w:r>
              <w:t>2018-19 Ratio</w:t>
            </w:r>
          </w:p>
        </w:tc>
        <w:tc>
          <w:tcPr>
            <w:tcW w:w="263" w:type="pct"/>
          </w:tcPr>
          <w:p w14:paraId="0503AF44" w14:textId="77777777" w:rsidR="00B5620D" w:rsidRPr="006E170D" w:rsidRDefault="00B5620D" w:rsidP="000F08D0">
            <w:pPr>
              <w:pStyle w:val="TBLHeading"/>
            </w:pPr>
            <w:r>
              <w:t>%</w:t>
            </w:r>
          </w:p>
        </w:tc>
        <w:tc>
          <w:tcPr>
            <w:tcW w:w="443" w:type="pct"/>
          </w:tcPr>
          <w:p w14:paraId="79677E25" w14:textId="77777777" w:rsidR="00B5620D" w:rsidRPr="006E170D" w:rsidRDefault="00B5620D" w:rsidP="000F08D0">
            <w:pPr>
              <w:pStyle w:val="TBLHeading"/>
            </w:pPr>
            <w:r>
              <w:t>2019-20 Ratio</w:t>
            </w:r>
          </w:p>
        </w:tc>
        <w:tc>
          <w:tcPr>
            <w:tcW w:w="221" w:type="pct"/>
          </w:tcPr>
          <w:p w14:paraId="125F455C" w14:textId="77777777" w:rsidR="00B5620D" w:rsidRPr="006E170D" w:rsidRDefault="00B5620D" w:rsidP="000F08D0">
            <w:pPr>
              <w:pStyle w:val="TBLHeading"/>
            </w:pPr>
            <w:r>
              <w:t>%</w:t>
            </w:r>
          </w:p>
        </w:tc>
        <w:tc>
          <w:tcPr>
            <w:tcW w:w="459" w:type="pct"/>
          </w:tcPr>
          <w:p w14:paraId="6BF48DE5" w14:textId="77777777" w:rsidR="00B5620D" w:rsidRPr="006E170D" w:rsidRDefault="00B5620D" w:rsidP="000F08D0">
            <w:pPr>
              <w:pStyle w:val="TBLHeading"/>
            </w:pPr>
            <w:r>
              <w:t>2020-21 Ratio</w:t>
            </w:r>
          </w:p>
        </w:tc>
        <w:tc>
          <w:tcPr>
            <w:tcW w:w="282" w:type="pct"/>
          </w:tcPr>
          <w:p w14:paraId="1FF4823B" w14:textId="77777777" w:rsidR="00B5620D" w:rsidRPr="006E170D" w:rsidRDefault="00B5620D" w:rsidP="000F08D0">
            <w:pPr>
              <w:pStyle w:val="TBLHeading"/>
            </w:pPr>
            <w:r>
              <w:t>%</w:t>
            </w:r>
          </w:p>
        </w:tc>
        <w:tc>
          <w:tcPr>
            <w:tcW w:w="444" w:type="pct"/>
          </w:tcPr>
          <w:p w14:paraId="0234C49D" w14:textId="77777777" w:rsidR="00B5620D" w:rsidRPr="006E170D" w:rsidRDefault="00B5620D" w:rsidP="000F08D0">
            <w:pPr>
              <w:pStyle w:val="TBLHeading"/>
            </w:pPr>
            <w:r>
              <w:t>2021-22 Ratio</w:t>
            </w:r>
          </w:p>
        </w:tc>
        <w:tc>
          <w:tcPr>
            <w:tcW w:w="291" w:type="pct"/>
          </w:tcPr>
          <w:p w14:paraId="3D6770D6" w14:textId="77777777" w:rsidR="00B5620D" w:rsidRPr="006E170D" w:rsidRDefault="00B5620D" w:rsidP="000F08D0">
            <w:pPr>
              <w:pStyle w:val="TBLHeading"/>
            </w:pPr>
            <w:r>
              <w:t>%</w:t>
            </w:r>
          </w:p>
        </w:tc>
        <w:tc>
          <w:tcPr>
            <w:tcW w:w="429" w:type="pct"/>
          </w:tcPr>
          <w:p w14:paraId="44608541" w14:textId="77777777" w:rsidR="00B5620D" w:rsidRDefault="00B5620D" w:rsidP="000F08D0">
            <w:pPr>
              <w:pStyle w:val="TBLHeading"/>
            </w:pPr>
            <w:r>
              <w:t>2022-23</w:t>
            </w:r>
          </w:p>
          <w:p w14:paraId="45E4F258" w14:textId="28AC12D9" w:rsidR="00B5620D" w:rsidRDefault="00B5620D" w:rsidP="00C01BDB">
            <w:pPr>
              <w:pStyle w:val="TBLHeading"/>
            </w:pPr>
            <w:r>
              <w:t>Ratio</w:t>
            </w:r>
          </w:p>
        </w:tc>
        <w:tc>
          <w:tcPr>
            <w:tcW w:w="286" w:type="pct"/>
          </w:tcPr>
          <w:p w14:paraId="7B31EABD" w14:textId="77777777" w:rsidR="00B5620D" w:rsidRDefault="00B5620D" w:rsidP="000F08D0">
            <w:pPr>
              <w:pStyle w:val="TBLHeading"/>
            </w:pPr>
            <w:r>
              <w:t>%</w:t>
            </w:r>
          </w:p>
        </w:tc>
      </w:tr>
      <w:tr w:rsidR="00B5620D" w14:paraId="1DB4BE93" w14:textId="77777777" w:rsidTr="00B5620D">
        <w:trPr>
          <w:trHeight w:val="20"/>
        </w:trPr>
        <w:tc>
          <w:tcPr>
            <w:tcW w:w="587" w:type="pct"/>
            <w:vAlign w:val="center"/>
          </w:tcPr>
          <w:p w14:paraId="4435C0B5" w14:textId="77777777" w:rsidR="00B5620D" w:rsidRPr="00FC3389" w:rsidRDefault="00B5620D" w:rsidP="00FC3389">
            <w:pPr>
              <w:pStyle w:val="TBLText"/>
            </w:pPr>
            <w:r w:rsidRPr="00FC3389">
              <w:t>Consultation stage</w:t>
            </w:r>
            <w:r w:rsidRPr="00B02489">
              <w:rPr>
                <w:vertAlign w:val="superscript"/>
              </w:rPr>
              <w:t>a</w:t>
            </w:r>
          </w:p>
        </w:tc>
        <w:tc>
          <w:tcPr>
            <w:tcW w:w="525" w:type="pct"/>
            <w:vAlign w:val="center"/>
          </w:tcPr>
          <w:p w14:paraId="5D2EADFA" w14:textId="77777777" w:rsidR="00B5620D" w:rsidRPr="00FC3389" w:rsidRDefault="00B5620D" w:rsidP="00FC3389">
            <w:pPr>
              <w:pStyle w:val="TBLText"/>
            </w:pPr>
            <w:r w:rsidRPr="00FC3389">
              <w:t>6/6</w:t>
            </w:r>
          </w:p>
        </w:tc>
        <w:tc>
          <w:tcPr>
            <w:tcW w:w="294" w:type="pct"/>
            <w:vAlign w:val="center"/>
          </w:tcPr>
          <w:p w14:paraId="62D541EF" w14:textId="77777777" w:rsidR="00B5620D" w:rsidRPr="00FC3389" w:rsidRDefault="00B5620D" w:rsidP="00FC3389">
            <w:pPr>
              <w:pStyle w:val="TBLText"/>
            </w:pPr>
            <w:r w:rsidRPr="00FC3389">
              <w:t>100</w:t>
            </w:r>
          </w:p>
        </w:tc>
        <w:tc>
          <w:tcPr>
            <w:tcW w:w="476" w:type="pct"/>
            <w:vAlign w:val="center"/>
          </w:tcPr>
          <w:p w14:paraId="2A4F602B" w14:textId="77777777" w:rsidR="00B5620D" w:rsidRPr="00FC3389" w:rsidRDefault="00B5620D" w:rsidP="00FC3389">
            <w:pPr>
              <w:pStyle w:val="TBLText"/>
            </w:pPr>
            <w:r w:rsidRPr="00FC3389">
              <w:t>15/15</w:t>
            </w:r>
          </w:p>
        </w:tc>
        <w:tc>
          <w:tcPr>
            <w:tcW w:w="263" w:type="pct"/>
            <w:vAlign w:val="center"/>
          </w:tcPr>
          <w:p w14:paraId="42290C24" w14:textId="77777777" w:rsidR="00B5620D" w:rsidRPr="00FC3389" w:rsidRDefault="00B5620D" w:rsidP="00FC3389">
            <w:pPr>
              <w:pStyle w:val="TBLText"/>
            </w:pPr>
            <w:r w:rsidRPr="00FC3389">
              <w:t>100</w:t>
            </w:r>
          </w:p>
        </w:tc>
        <w:tc>
          <w:tcPr>
            <w:tcW w:w="443" w:type="pct"/>
            <w:vAlign w:val="center"/>
          </w:tcPr>
          <w:p w14:paraId="3BC39599" w14:textId="77777777" w:rsidR="00B5620D" w:rsidRPr="00FC3389" w:rsidRDefault="00B5620D" w:rsidP="00FC3389">
            <w:pPr>
              <w:pStyle w:val="TBLText"/>
            </w:pPr>
            <w:r w:rsidRPr="00FC3389">
              <w:t>24/25</w:t>
            </w:r>
          </w:p>
        </w:tc>
        <w:tc>
          <w:tcPr>
            <w:tcW w:w="221" w:type="pct"/>
            <w:vAlign w:val="center"/>
          </w:tcPr>
          <w:p w14:paraId="594EE439" w14:textId="77777777" w:rsidR="00B5620D" w:rsidRPr="00FC3389" w:rsidRDefault="00B5620D" w:rsidP="00FC3389">
            <w:pPr>
              <w:pStyle w:val="TBLText"/>
            </w:pPr>
            <w:r w:rsidRPr="00FC3389">
              <w:t>96</w:t>
            </w:r>
          </w:p>
        </w:tc>
        <w:tc>
          <w:tcPr>
            <w:tcW w:w="459" w:type="pct"/>
            <w:vAlign w:val="center"/>
          </w:tcPr>
          <w:p w14:paraId="42965026" w14:textId="77777777" w:rsidR="00B5620D" w:rsidRPr="00FC3389" w:rsidRDefault="00B5620D" w:rsidP="00FC3389">
            <w:pPr>
              <w:pStyle w:val="TBLText"/>
            </w:pPr>
            <w:r w:rsidRPr="00FC3389">
              <w:t>19/20</w:t>
            </w:r>
          </w:p>
        </w:tc>
        <w:tc>
          <w:tcPr>
            <w:tcW w:w="282" w:type="pct"/>
            <w:vAlign w:val="center"/>
          </w:tcPr>
          <w:p w14:paraId="1B8D9BCC" w14:textId="77777777" w:rsidR="00B5620D" w:rsidRPr="00FC3389" w:rsidRDefault="00B5620D" w:rsidP="00FC3389">
            <w:pPr>
              <w:pStyle w:val="TBLText"/>
            </w:pPr>
            <w:r w:rsidRPr="00FC3389">
              <w:t>95</w:t>
            </w:r>
          </w:p>
        </w:tc>
        <w:tc>
          <w:tcPr>
            <w:tcW w:w="444" w:type="pct"/>
            <w:vAlign w:val="center"/>
          </w:tcPr>
          <w:p w14:paraId="229E9A5B" w14:textId="77777777" w:rsidR="00B5620D" w:rsidRPr="00F83753" w:rsidRDefault="00B5620D" w:rsidP="00B02489">
            <w:pPr>
              <w:pStyle w:val="TBLText"/>
            </w:pPr>
            <w:r w:rsidRPr="00F83753">
              <w:t>14/14</w:t>
            </w:r>
          </w:p>
        </w:tc>
        <w:tc>
          <w:tcPr>
            <w:tcW w:w="291" w:type="pct"/>
            <w:vAlign w:val="center"/>
          </w:tcPr>
          <w:p w14:paraId="39946635" w14:textId="77777777" w:rsidR="00B5620D" w:rsidRPr="00F83753" w:rsidRDefault="00B5620D" w:rsidP="00FC3389">
            <w:pPr>
              <w:pStyle w:val="TBLText"/>
            </w:pPr>
            <w:r w:rsidRPr="00F83753">
              <w:t>100</w:t>
            </w:r>
          </w:p>
        </w:tc>
        <w:tc>
          <w:tcPr>
            <w:tcW w:w="429" w:type="pct"/>
            <w:vAlign w:val="center"/>
          </w:tcPr>
          <w:p w14:paraId="0D21CE3B" w14:textId="1AB91E33" w:rsidR="00B5620D" w:rsidRPr="003431EE" w:rsidRDefault="000F08D0" w:rsidP="000F08D0">
            <w:pPr>
              <w:pStyle w:val="TBLText"/>
            </w:pPr>
            <w:r>
              <w:t>3</w:t>
            </w:r>
            <w:r w:rsidR="00FB3CF0" w:rsidRPr="003431EE">
              <w:t>/</w:t>
            </w:r>
            <w:r>
              <w:t>3</w:t>
            </w:r>
          </w:p>
        </w:tc>
        <w:tc>
          <w:tcPr>
            <w:tcW w:w="286" w:type="pct"/>
            <w:vAlign w:val="center"/>
          </w:tcPr>
          <w:p w14:paraId="64F17224" w14:textId="77777777" w:rsidR="00B5620D" w:rsidRPr="003431EE" w:rsidRDefault="001A711C" w:rsidP="00B5620D">
            <w:pPr>
              <w:pStyle w:val="TBLText"/>
            </w:pPr>
            <w:r w:rsidRPr="003431EE">
              <w:t>100</w:t>
            </w:r>
          </w:p>
        </w:tc>
      </w:tr>
      <w:tr w:rsidR="00B5620D" w14:paraId="6175338A" w14:textId="77777777" w:rsidTr="00B5620D">
        <w:trPr>
          <w:trHeight w:val="20"/>
        </w:trPr>
        <w:tc>
          <w:tcPr>
            <w:tcW w:w="587" w:type="pct"/>
            <w:vAlign w:val="center"/>
          </w:tcPr>
          <w:p w14:paraId="39FFCBAB" w14:textId="77777777" w:rsidR="00B5620D" w:rsidRPr="00FC3389" w:rsidRDefault="00B5620D" w:rsidP="00FC3389">
            <w:pPr>
              <w:pStyle w:val="TBLText"/>
            </w:pPr>
            <w:r w:rsidRPr="00FC3389">
              <w:t>Decision stage</w:t>
            </w:r>
          </w:p>
        </w:tc>
        <w:tc>
          <w:tcPr>
            <w:tcW w:w="525" w:type="pct"/>
            <w:vAlign w:val="center"/>
          </w:tcPr>
          <w:p w14:paraId="253536CA" w14:textId="77777777" w:rsidR="00B5620D" w:rsidRPr="00FC3389" w:rsidRDefault="00B5620D" w:rsidP="00FC3389">
            <w:pPr>
              <w:pStyle w:val="TBLText"/>
            </w:pPr>
            <w:r w:rsidRPr="00FC3389">
              <w:t>6/6</w:t>
            </w:r>
          </w:p>
        </w:tc>
        <w:tc>
          <w:tcPr>
            <w:tcW w:w="294" w:type="pct"/>
            <w:vAlign w:val="center"/>
          </w:tcPr>
          <w:p w14:paraId="0583AACB" w14:textId="77777777" w:rsidR="00B5620D" w:rsidRPr="00FC3389" w:rsidRDefault="00B5620D" w:rsidP="00FC3389">
            <w:pPr>
              <w:pStyle w:val="TBLText"/>
            </w:pPr>
            <w:r w:rsidRPr="00FC3389">
              <w:t>100</w:t>
            </w:r>
          </w:p>
        </w:tc>
        <w:tc>
          <w:tcPr>
            <w:tcW w:w="476" w:type="pct"/>
            <w:vAlign w:val="center"/>
          </w:tcPr>
          <w:p w14:paraId="273BE532" w14:textId="77777777" w:rsidR="00B5620D" w:rsidRPr="00FC3389" w:rsidRDefault="00B5620D" w:rsidP="00FC3389">
            <w:pPr>
              <w:pStyle w:val="TBLText"/>
            </w:pPr>
            <w:r w:rsidRPr="00FC3389">
              <w:t>15/15</w:t>
            </w:r>
          </w:p>
        </w:tc>
        <w:tc>
          <w:tcPr>
            <w:tcW w:w="263" w:type="pct"/>
            <w:vAlign w:val="center"/>
          </w:tcPr>
          <w:p w14:paraId="3FD47286" w14:textId="77777777" w:rsidR="00B5620D" w:rsidRPr="00FC3389" w:rsidRDefault="00B5620D" w:rsidP="00FC3389">
            <w:pPr>
              <w:pStyle w:val="TBLText"/>
            </w:pPr>
            <w:r w:rsidRPr="00FC3389">
              <w:t>100</w:t>
            </w:r>
          </w:p>
        </w:tc>
        <w:tc>
          <w:tcPr>
            <w:tcW w:w="443" w:type="pct"/>
            <w:vAlign w:val="center"/>
          </w:tcPr>
          <w:p w14:paraId="543A63D5" w14:textId="77777777" w:rsidR="00B5620D" w:rsidRPr="00FC3389" w:rsidRDefault="00B5620D" w:rsidP="00FC3389">
            <w:pPr>
              <w:pStyle w:val="TBLText"/>
            </w:pPr>
            <w:r w:rsidRPr="00FC3389">
              <w:t>23/25</w:t>
            </w:r>
          </w:p>
        </w:tc>
        <w:tc>
          <w:tcPr>
            <w:tcW w:w="221" w:type="pct"/>
            <w:vAlign w:val="center"/>
          </w:tcPr>
          <w:p w14:paraId="5F14C475" w14:textId="77777777" w:rsidR="00B5620D" w:rsidRPr="00FC3389" w:rsidRDefault="00B5620D" w:rsidP="00FC3389">
            <w:pPr>
              <w:pStyle w:val="TBLText"/>
            </w:pPr>
            <w:r w:rsidRPr="00FC3389">
              <w:t>92</w:t>
            </w:r>
          </w:p>
        </w:tc>
        <w:tc>
          <w:tcPr>
            <w:tcW w:w="459" w:type="pct"/>
            <w:vAlign w:val="center"/>
          </w:tcPr>
          <w:p w14:paraId="3AC1B3CA" w14:textId="77777777" w:rsidR="00B5620D" w:rsidRPr="00FC3389" w:rsidRDefault="00B5620D" w:rsidP="00FC3389">
            <w:pPr>
              <w:pStyle w:val="TBLText"/>
            </w:pPr>
            <w:r w:rsidRPr="00FC3389">
              <w:t>14/15</w:t>
            </w:r>
          </w:p>
        </w:tc>
        <w:tc>
          <w:tcPr>
            <w:tcW w:w="282" w:type="pct"/>
            <w:vAlign w:val="center"/>
          </w:tcPr>
          <w:p w14:paraId="341B2CD1" w14:textId="77777777" w:rsidR="00B5620D" w:rsidRPr="00FC3389" w:rsidRDefault="00B5620D" w:rsidP="00FC3389">
            <w:pPr>
              <w:pStyle w:val="TBLText"/>
            </w:pPr>
            <w:r w:rsidRPr="00FC3389">
              <w:t>93</w:t>
            </w:r>
          </w:p>
        </w:tc>
        <w:tc>
          <w:tcPr>
            <w:tcW w:w="444" w:type="pct"/>
            <w:vAlign w:val="center"/>
          </w:tcPr>
          <w:p w14:paraId="11931F00" w14:textId="77777777" w:rsidR="00B5620D" w:rsidRPr="0049043B" w:rsidRDefault="00B5620D" w:rsidP="00B02489">
            <w:pPr>
              <w:pStyle w:val="TBLText"/>
            </w:pPr>
            <w:r w:rsidRPr="0049043B">
              <w:t>14/14</w:t>
            </w:r>
          </w:p>
        </w:tc>
        <w:tc>
          <w:tcPr>
            <w:tcW w:w="291" w:type="pct"/>
            <w:vAlign w:val="center"/>
          </w:tcPr>
          <w:p w14:paraId="54190B01" w14:textId="77777777" w:rsidR="00B5620D" w:rsidRPr="0049043B" w:rsidRDefault="00B5620D" w:rsidP="00FC3389">
            <w:pPr>
              <w:pStyle w:val="TBLText"/>
            </w:pPr>
            <w:r w:rsidRPr="0049043B">
              <w:t>100</w:t>
            </w:r>
          </w:p>
        </w:tc>
        <w:tc>
          <w:tcPr>
            <w:tcW w:w="429" w:type="pct"/>
            <w:vAlign w:val="center"/>
          </w:tcPr>
          <w:p w14:paraId="5FC8148E" w14:textId="2EF16BC0" w:rsidR="00B5620D" w:rsidRPr="00FB3CF0" w:rsidRDefault="000F08D0" w:rsidP="00C01BDB">
            <w:pPr>
              <w:pStyle w:val="TBLText"/>
            </w:pPr>
            <w:r>
              <w:t>1</w:t>
            </w:r>
            <w:r w:rsidR="00C01BDB">
              <w:t>3</w:t>
            </w:r>
            <w:r w:rsidR="00FB3CF0" w:rsidRPr="00FB3CF0">
              <w:t>/</w:t>
            </w:r>
            <w:r>
              <w:t>1</w:t>
            </w:r>
            <w:r w:rsidR="00C01BDB">
              <w:t>3</w:t>
            </w:r>
          </w:p>
        </w:tc>
        <w:tc>
          <w:tcPr>
            <w:tcW w:w="286" w:type="pct"/>
            <w:vAlign w:val="center"/>
          </w:tcPr>
          <w:p w14:paraId="19C97AB5" w14:textId="77777777" w:rsidR="00B5620D" w:rsidRPr="00FB3CF0" w:rsidRDefault="005911BA" w:rsidP="00B5620D">
            <w:pPr>
              <w:pStyle w:val="TBLText"/>
            </w:pPr>
            <w:r w:rsidRPr="00FB3CF0">
              <w:t>100</w:t>
            </w:r>
          </w:p>
        </w:tc>
      </w:tr>
    </w:tbl>
    <w:p w14:paraId="68472167" w14:textId="656A2945" w:rsidR="00B05528" w:rsidRPr="004454A9" w:rsidRDefault="00F83EB5" w:rsidP="000F08D0">
      <w:pPr>
        <w:spacing w:after="0" w:line="240" w:lineRule="auto"/>
        <w:rPr>
          <w:rStyle w:val="Emphasis"/>
          <w:i w:val="0"/>
          <w:sz w:val="16"/>
        </w:rPr>
      </w:pPr>
      <w:proofErr w:type="spellStart"/>
      <w:proofErr w:type="gramStart"/>
      <w:r w:rsidRPr="004454A9">
        <w:rPr>
          <w:rStyle w:val="Emphasis"/>
          <w:i w:val="0"/>
          <w:sz w:val="16"/>
        </w:rPr>
        <w:t>a</w:t>
      </w:r>
      <w:proofErr w:type="spellEnd"/>
      <w:proofErr w:type="gramEnd"/>
      <w:r w:rsidRPr="004454A9">
        <w:rPr>
          <w:rStyle w:val="Emphasis"/>
          <w:i w:val="0"/>
          <w:sz w:val="16"/>
          <w:vertAlign w:val="superscript"/>
        </w:rPr>
        <w:t xml:space="preserve"> </w:t>
      </w:r>
      <w:r w:rsidR="00B05528" w:rsidRPr="004454A9">
        <w:rPr>
          <w:rStyle w:val="Emphasis"/>
          <w:i w:val="0"/>
          <w:sz w:val="16"/>
        </w:rPr>
        <w:t xml:space="preserve">The consultation stage figures relate to those decisions at the consultation stage for which a corresponding decision </w:t>
      </w:r>
      <w:r w:rsidR="00997E86">
        <w:rPr>
          <w:rStyle w:val="Emphasis"/>
          <w:i w:val="0"/>
          <w:sz w:val="16"/>
        </w:rPr>
        <w:t>IA</w:t>
      </w:r>
      <w:r w:rsidR="00B05528" w:rsidRPr="004454A9">
        <w:rPr>
          <w:rStyle w:val="Emphasis"/>
          <w:i w:val="0"/>
          <w:sz w:val="16"/>
        </w:rPr>
        <w:t>S at the decision-m</w:t>
      </w:r>
      <w:r w:rsidR="005538E5" w:rsidRPr="004454A9">
        <w:rPr>
          <w:rStyle w:val="Emphasis"/>
          <w:i w:val="0"/>
          <w:sz w:val="16"/>
        </w:rPr>
        <w:t>aking stage has been announced.</w:t>
      </w:r>
    </w:p>
    <w:p w14:paraId="2C1DE47B" w14:textId="24E47047" w:rsidR="00C37227" w:rsidRDefault="00C37227" w:rsidP="000F08D0">
      <w:pPr>
        <w:pStyle w:val="Heading1"/>
      </w:pPr>
      <w:bookmarkStart w:id="1" w:name="_Toc459800538"/>
      <w:bookmarkStart w:id="2" w:name="_Toc98330774"/>
      <w:bookmarkStart w:id="3" w:name="_Toc138254215"/>
      <w:r w:rsidRPr="001C4623">
        <w:t>Detailed information</w:t>
      </w:r>
      <w:bookmarkEnd w:id="1"/>
      <w:r w:rsidRPr="001C4623">
        <w:t xml:space="preserve"> on </w:t>
      </w:r>
      <w:r w:rsidR="00997E86">
        <w:t>IA</w:t>
      </w:r>
      <w:r w:rsidRPr="001C4623">
        <w:t>s prepared for decision in 202</w:t>
      </w:r>
      <w:r w:rsidR="0058600C">
        <w:t>2</w:t>
      </w:r>
      <w:r w:rsidRPr="001C4623">
        <w:t>-2</w:t>
      </w:r>
      <w:bookmarkEnd w:id="2"/>
      <w:r w:rsidR="0058600C">
        <w:t>3</w:t>
      </w:r>
      <w:bookmarkEnd w:id="3"/>
    </w:p>
    <w:p w14:paraId="4F416476" w14:textId="0029A929" w:rsidR="00A96867" w:rsidRPr="00A96867" w:rsidRDefault="00A96867" w:rsidP="00A96867">
      <w:pPr>
        <w:pStyle w:val="Heading2"/>
      </w:pPr>
      <w:bookmarkStart w:id="4" w:name="_Toc138254216"/>
      <w:r w:rsidRPr="00A96867">
        <w:t>Australia and New Zealand Food Regulation Ministerial Council</w:t>
      </w:r>
      <w:bookmarkEnd w:id="4"/>
    </w:p>
    <w:p w14:paraId="2F6F0268" w14:textId="77777777" w:rsidR="00A96867" w:rsidRPr="000F08D0" w:rsidRDefault="00A96867" w:rsidP="000F08D0">
      <w:pPr>
        <w:pStyle w:val="Heading3"/>
      </w:pPr>
      <w:bookmarkStart w:id="5" w:name="_Toc138254217"/>
      <w:r w:rsidRPr="000F08D0">
        <w:rPr>
          <w:rStyle w:val="field"/>
        </w:rPr>
        <w:t>Proposal P1053 – Food Safety Management tools</w:t>
      </w:r>
      <w:bookmarkEnd w:id="5"/>
    </w:p>
    <w:p w14:paraId="7F262935" w14:textId="77777777" w:rsidR="00A96867" w:rsidRPr="00774646" w:rsidRDefault="00A96867" w:rsidP="00A96867">
      <w:pPr>
        <w:pStyle w:val="Figure"/>
        <w:ind w:left="567"/>
      </w:pPr>
      <w:r>
        <w:t>Australian Building Codes Board</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Australian Building Codes Board"/>
        <w:tblDescription w:val="Figure 2. Australian Building Codes Board"/>
      </w:tblPr>
      <w:tblGrid>
        <w:gridCol w:w="1993"/>
        <w:gridCol w:w="1993"/>
        <w:gridCol w:w="1994"/>
        <w:gridCol w:w="1994"/>
      </w:tblGrid>
      <w:tr w:rsidR="00A96867" w14:paraId="620A2BC4" w14:textId="77777777" w:rsidTr="004B4AF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607CE96" w14:textId="77777777" w:rsidR="00A96867" w:rsidRPr="006E170D" w:rsidRDefault="00A96867" w:rsidP="00DC0C9E">
            <w:pPr>
              <w:pStyle w:val="TBLHeading"/>
            </w:pPr>
            <w:r>
              <w:t>Decision Date</w:t>
            </w:r>
          </w:p>
        </w:tc>
        <w:tc>
          <w:tcPr>
            <w:tcW w:w="1250" w:type="pct"/>
            <w:tcBorders>
              <w:top w:val="none" w:sz="0" w:space="0" w:color="auto"/>
              <w:bottom w:val="none" w:sz="0" w:space="0" w:color="auto"/>
            </w:tcBorders>
            <w:vAlign w:val="center"/>
          </w:tcPr>
          <w:p w14:paraId="248D45E8" w14:textId="77777777" w:rsidR="00A96867" w:rsidRPr="006E170D" w:rsidRDefault="00A96867" w:rsidP="00DC0C9E">
            <w:pPr>
              <w:pStyle w:val="TBLHeading"/>
            </w:pPr>
            <w:r>
              <w:t>Compliant at consultation</w:t>
            </w:r>
          </w:p>
        </w:tc>
        <w:tc>
          <w:tcPr>
            <w:tcW w:w="1250" w:type="pct"/>
            <w:tcBorders>
              <w:top w:val="none" w:sz="0" w:space="0" w:color="auto"/>
              <w:bottom w:val="none" w:sz="0" w:space="0" w:color="auto"/>
            </w:tcBorders>
            <w:vAlign w:val="center"/>
          </w:tcPr>
          <w:p w14:paraId="5ABFA108" w14:textId="77777777" w:rsidR="00A96867" w:rsidRPr="006E170D" w:rsidRDefault="00A96867"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0491A240" w14:textId="77777777" w:rsidR="00A96867" w:rsidRPr="006E170D" w:rsidRDefault="00A96867" w:rsidP="00DC0C9E">
            <w:pPr>
              <w:pStyle w:val="TBLHeading"/>
            </w:pPr>
            <w:r>
              <w:t>Final IA published</w:t>
            </w:r>
          </w:p>
        </w:tc>
      </w:tr>
      <w:tr w:rsidR="00A96867" w14:paraId="59B11E67" w14:textId="77777777" w:rsidTr="004B4AF9">
        <w:trPr>
          <w:trHeight w:val="20"/>
        </w:trPr>
        <w:tc>
          <w:tcPr>
            <w:tcW w:w="1250" w:type="pct"/>
            <w:vAlign w:val="center"/>
          </w:tcPr>
          <w:p w14:paraId="3B3DF916" w14:textId="10E2D81D" w:rsidR="00A96867" w:rsidRPr="00DA3031" w:rsidRDefault="00A96867" w:rsidP="00A96867">
            <w:pPr>
              <w:pStyle w:val="TBLText"/>
            </w:pPr>
            <w:r>
              <w:t>8 December</w:t>
            </w:r>
            <w:r w:rsidRPr="00DA3031">
              <w:t xml:space="preserve"> 2022</w:t>
            </w:r>
          </w:p>
        </w:tc>
        <w:tc>
          <w:tcPr>
            <w:tcW w:w="1250" w:type="pct"/>
            <w:vAlign w:val="center"/>
          </w:tcPr>
          <w:p w14:paraId="538996A2" w14:textId="77777777" w:rsidR="00A96867" w:rsidRPr="006E170D" w:rsidRDefault="00A96867" w:rsidP="004B4AF9">
            <w:pPr>
              <w:pStyle w:val="TBLText"/>
            </w:pPr>
            <w:r w:rsidRPr="00A96867">
              <w:t>Yes</w:t>
            </w:r>
          </w:p>
        </w:tc>
        <w:tc>
          <w:tcPr>
            <w:tcW w:w="1250" w:type="pct"/>
            <w:vAlign w:val="center"/>
          </w:tcPr>
          <w:p w14:paraId="6064B64B" w14:textId="77777777" w:rsidR="00A96867" w:rsidRPr="006E170D" w:rsidRDefault="00A96867" w:rsidP="004B4AF9">
            <w:pPr>
              <w:pStyle w:val="TBLText"/>
            </w:pPr>
            <w:r w:rsidRPr="00144255">
              <w:t>Yes</w:t>
            </w:r>
          </w:p>
        </w:tc>
        <w:tc>
          <w:tcPr>
            <w:tcW w:w="1250" w:type="pct"/>
            <w:vAlign w:val="center"/>
          </w:tcPr>
          <w:p w14:paraId="12B2353D" w14:textId="6C2EE3E0" w:rsidR="00A96867" w:rsidRPr="006E170D" w:rsidRDefault="00A96867" w:rsidP="00A96867">
            <w:pPr>
              <w:pStyle w:val="TBLText"/>
            </w:pPr>
            <w:r>
              <w:t>15</w:t>
            </w:r>
            <w:r w:rsidRPr="00144255">
              <w:t xml:space="preserve"> </w:t>
            </w:r>
            <w:r>
              <w:t>December</w:t>
            </w:r>
            <w:r w:rsidRPr="00144255">
              <w:t xml:space="preserve"> 202</w:t>
            </w:r>
            <w:r>
              <w:t>2</w:t>
            </w:r>
          </w:p>
        </w:tc>
      </w:tr>
    </w:tbl>
    <w:p w14:paraId="3BDDBC88" w14:textId="77777777" w:rsidR="00A96867" w:rsidRPr="00A96867" w:rsidRDefault="00A96867" w:rsidP="00A96867">
      <w:r w:rsidRPr="00A96867">
        <w:t>While the vast majority of food in Australia is safe, foodborne illness is an ongoing and sometimes serious problem that is largely preventable. Over the past decade, a significant proportion of foodborne illness outbreaks have been linked to food service and related retail businesses. However, the true nature and size of the problem is likely to be much larger as many cases are not reported.</w:t>
      </w:r>
    </w:p>
    <w:p w14:paraId="5ABBB0FE" w14:textId="77777777" w:rsidR="00A96867" w:rsidRPr="00A96867" w:rsidRDefault="00A96867" w:rsidP="00A96867">
      <w:pPr>
        <w:rPr>
          <w:rFonts w:eastAsia="Times New Roman" w:cs="Times New Roman"/>
          <w:lang w:eastAsia="en-AU"/>
        </w:rPr>
      </w:pPr>
      <w:r w:rsidRPr="00A96867">
        <w:rPr>
          <w:rFonts w:eastAsia="Times New Roman" w:cs="Times New Roman"/>
          <w:lang w:eastAsia="en-AU"/>
        </w:rPr>
        <w:t>Food Standards Australia New Zealand (FSANZ) has prepared a Decision Impact Analysis (IA) - formerly known as a Decision Regulation Impact Statement (RIS) - which analyses potential reform options to help to address these issues.</w:t>
      </w:r>
    </w:p>
    <w:p w14:paraId="4988D554" w14:textId="61CB8BD2" w:rsidR="00102061" w:rsidRDefault="00102061" w:rsidP="00102061">
      <w:pPr>
        <w:pStyle w:val="Heading2"/>
        <w:rPr>
          <w:rFonts w:eastAsia="Times New Roman"/>
          <w:lang w:eastAsia="en-AU"/>
        </w:rPr>
      </w:pPr>
      <w:bookmarkStart w:id="6" w:name="_Toc138254218"/>
      <w:r>
        <w:rPr>
          <w:rFonts w:eastAsia="Times New Roman"/>
          <w:lang w:eastAsia="en-AU"/>
        </w:rPr>
        <w:lastRenderedPageBreak/>
        <w:t>Australian Building Codes Board</w:t>
      </w:r>
      <w:bookmarkEnd w:id="6"/>
    </w:p>
    <w:p w14:paraId="216CE55D" w14:textId="77777777" w:rsidR="00102061" w:rsidRPr="00BB2F06" w:rsidRDefault="00102061" w:rsidP="00102061">
      <w:pPr>
        <w:pStyle w:val="Heading3"/>
        <w:rPr>
          <w:rFonts w:eastAsia="Times New Roman"/>
          <w:lang w:eastAsia="en-AU"/>
        </w:rPr>
      </w:pPr>
      <w:bookmarkStart w:id="7" w:name="_Toc138254219"/>
      <w:r>
        <w:rPr>
          <w:rFonts w:eastAsia="Times New Roman"/>
          <w:lang w:eastAsia="en-AU"/>
        </w:rPr>
        <w:t>National Construction Code (NCC) 2022 Residential Energy Efficiency</w:t>
      </w:r>
      <w:bookmarkEnd w:id="7"/>
      <w:r>
        <w:rPr>
          <w:rFonts w:eastAsia="Times New Roman"/>
          <w:lang w:eastAsia="en-AU"/>
        </w:rPr>
        <w:t xml:space="preserve"> </w:t>
      </w:r>
    </w:p>
    <w:p w14:paraId="69A7DF33" w14:textId="77777777" w:rsidR="00102061" w:rsidRPr="00774646" w:rsidRDefault="00102061" w:rsidP="00102061">
      <w:pPr>
        <w:pStyle w:val="Figure"/>
        <w:ind w:left="567"/>
      </w:pPr>
      <w:r>
        <w:t>Australian Building Codes Board</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Australian Building Codes Board"/>
        <w:tblDescription w:val="Figure 2. Australian Building Codes Board"/>
      </w:tblPr>
      <w:tblGrid>
        <w:gridCol w:w="1993"/>
        <w:gridCol w:w="1993"/>
        <w:gridCol w:w="1994"/>
        <w:gridCol w:w="1994"/>
      </w:tblGrid>
      <w:tr w:rsidR="00102061" w14:paraId="0078D374" w14:textId="77777777" w:rsidTr="00FF4E68">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682A8D21" w14:textId="77777777" w:rsidR="00102061" w:rsidRPr="006E170D" w:rsidRDefault="00102061" w:rsidP="00DC0C9E">
            <w:pPr>
              <w:pStyle w:val="TBLHeading"/>
            </w:pPr>
            <w:r>
              <w:t>Decision Date</w:t>
            </w:r>
          </w:p>
        </w:tc>
        <w:tc>
          <w:tcPr>
            <w:tcW w:w="1250" w:type="pct"/>
            <w:tcBorders>
              <w:top w:val="none" w:sz="0" w:space="0" w:color="auto"/>
              <w:bottom w:val="none" w:sz="0" w:space="0" w:color="auto"/>
            </w:tcBorders>
            <w:vAlign w:val="center"/>
          </w:tcPr>
          <w:p w14:paraId="43751084" w14:textId="77777777" w:rsidR="00102061" w:rsidRPr="006E170D" w:rsidRDefault="00102061" w:rsidP="00DC0C9E">
            <w:pPr>
              <w:pStyle w:val="TBLHeading"/>
            </w:pPr>
            <w:r>
              <w:t>Compliant at consultation</w:t>
            </w:r>
          </w:p>
        </w:tc>
        <w:tc>
          <w:tcPr>
            <w:tcW w:w="1250" w:type="pct"/>
            <w:tcBorders>
              <w:top w:val="none" w:sz="0" w:space="0" w:color="auto"/>
              <w:bottom w:val="none" w:sz="0" w:space="0" w:color="auto"/>
            </w:tcBorders>
            <w:vAlign w:val="center"/>
          </w:tcPr>
          <w:p w14:paraId="7D077682" w14:textId="77777777" w:rsidR="00102061" w:rsidRPr="006E170D" w:rsidRDefault="00102061"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225A6246" w14:textId="2DFB701E" w:rsidR="00102061" w:rsidRPr="006E170D" w:rsidRDefault="00102061" w:rsidP="00DC0C9E">
            <w:pPr>
              <w:pStyle w:val="TBLHeading"/>
            </w:pPr>
            <w:r>
              <w:t xml:space="preserve">Final </w:t>
            </w:r>
            <w:r w:rsidR="00997E86">
              <w:t>IA</w:t>
            </w:r>
            <w:r>
              <w:t xml:space="preserve"> published</w:t>
            </w:r>
          </w:p>
        </w:tc>
      </w:tr>
      <w:tr w:rsidR="00102061" w14:paraId="79814263" w14:textId="77777777" w:rsidTr="00FF4E68">
        <w:trPr>
          <w:trHeight w:val="20"/>
        </w:trPr>
        <w:tc>
          <w:tcPr>
            <w:tcW w:w="1250" w:type="pct"/>
            <w:vAlign w:val="center"/>
          </w:tcPr>
          <w:p w14:paraId="3654A936" w14:textId="77777777" w:rsidR="00102061" w:rsidRPr="00DA3031" w:rsidRDefault="00102061" w:rsidP="00FF4E68">
            <w:pPr>
              <w:pStyle w:val="TBLText"/>
            </w:pPr>
            <w:r w:rsidRPr="00DA3031">
              <w:t xml:space="preserve">1 </w:t>
            </w:r>
            <w:r>
              <w:t>September</w:t>
            </w:r>
            <w:r w:rsidRPr="00DA3031">
              <w:t xml:space="preserve"> 2022</w:t>
            </w:r>
          </w:p>
        </w:tc>
        <w:tc>
          <w:tcPr>
            <w:tcW w:w="1250" w:type="pct"/>
            <w:vAlign w:val="center"/>
          </w:tcPr>
          <w:p w14:paraId="68EC4C91" w14:textId="77777777" w:rsidR="00102061" w:rsidRPr="006E170D" w:rsidRDefault="00102061" w:rsidP="00FF4E68">
            <w:pPr>
              <w:pStyle w:val="TBLText"/>
            </w:pPr>
            <w:r w:rsidRPr="000C4D3C">
              <w:t>Yes</w:t>
            </w:r>
          </w:p>
        </w:tc>
        <w:tc>
          <w:tcPr>
            <w:tcW w:w="1250" w:type="pct"/>
            <w:vAlign w:val="center"/>
          </w:tcPr>
          <w:p w14:paraId="4C4234B6" w14:textId="77777777" w:rsidR="00102061" w:rsidRPr="006E170D" w:rsidRDefault="00102061" w:rsidP="00FF4E68">
            <w:pPr>
              <w:pStyle w:val="TBLText"/>
            </w:pPr>
            <w:r w:rsidRPr="00144255">
              <w:t>Yes</w:t>
            </w:r>
          </w:p>
        </w:tc>
        <w:tc>
          <w:tcPr>
            <w:tcW w:w="1250" w:type="pct"/>
            <w:vAlign w:val="center"/>
          </w:tcPr>
          <w:p w14:paraId="22ED0263" w14:textId="77777777" w:rsidR="00102061" w:rsidRPr="006E170D" w:rsidRDefault="00102061" w:rsidP="00FF4E68">
            <w:pPr>
              <w:pStyle w:val="TBLText"/>
            </w:pPr>
            <w:r>
              <w:t>12</w:t>
            </w:r>
            <w:r w:rsidRPr="00144255">
              <w:t xml:space="preserve"> </w:t>
            </w:r>
            <w:r>
              <w:t>September</w:t>
            </w:r>
            <w:r w:rsidRPr="00144255">
              <w:t xml:space="preserve"> 202</w:t>
            </w:r>
            <w:r>
              <w:t>2</w:t>
            </w:r>
          </w:p>
        </w:tc>
      </w:tr>
    </w:tbl>
    <w:p w14:paraId="6EDCD988" w14:textId="77777777" w:rsidR="00102061" w:rsidRDefault="00102061" w:rsidP="00102061"/>
    <w:p w14:paraId="29922321" w14:textId="77777777" w:rsidR="00102061" w:rsidRDefault="00102061" w:rsidP="00102061">
      <w:r>
        <w:t>The residential building sector is a major source of energy demand and use. While Australia has made considerable progress in the energy performance of residential buildings, there is still opportunity to implement actions that could further reduce the energy consumption of the sector.</w:t>
      </w:r>
    </w:p>
    <w:p w14:paraId="665A720B" w14:textId="489056D1" w:rsidR="00102061" w:rsidRDefault="00102061" w:rsidP="00102061">
      <w:r>
        <w:t xml:space="preserve">Options the </w:t>
      </w:r>
      <w:r w:rsidR="00997E86">
        <w:t>IA</w:t>
      </w:r>
      <w:r>
        <w:t xml:space="preserve"> examined included:</w:t>
      </w:r>
    </w:p>
    <w:p w14:paraId="36D5EDA8" w14:textId="77777777" w:rsidR="00102061" w:rsidRDefault="00102061" w:rsidP="00102061">
      <w:r>
        <w:t>Maintaining the status quo (which is the required benchmark option in regulatory impact analysis)</w:t>
      </w:r>
    </w:p>
    <w:p w14:paraId="423B687F" w14:textId="77777777" w:rsidR="008B51D3" w:rsidRDefault="00102061" w:rsidP="008B51D3">
      <w:pPr>
        <w:spacing w:after="0"/>
      </w:pPr>
      <w:r>
        <w:t xml:space="preserve">Option A: A minimum level of thermal performance equivalent to 7 stars </w:t>
      </w:r>
      <w:proofErr w:type="spellStart"/>
      <w:r>
        <w:t>NatHERS</w:t>
      </w:r>
      <w:proofErr w:type="spellEnd"/>
      <w:r>
        <w:t>, plus a whole-of-home annual energy use budget applicable to the home’s space conditioning, hot water, lighting, pool and spa pumps, and on-site renewables (typically rooftop photovoltaics – PV)</w:t>
      </w:r>
    </w:p>
    <w:p w14:paraId="6E1D3C52" w14:textId="1296E77D" w:rsidR="00102061" w:rsidRDefault="00102061" w:rsidP="008B51D3">
      <w:pPr>
        <w:spacing w:after="0"/>
      </w:pPr>
      <w:r>
        <w:t>Option B: Similar to Option A, but with a larger whole-of-home annual energy use budget, which permits lower performing, energy efficient equipment and/or less PV to be installed. Option A’s annual energy use budget is 70 per cent of Option B’s.</w:t>
      </w:r>
    </w:p>
    <w:p w14:paraId="11D32059" w14:textId="0A8A5C31" w:rsidR="00142AAE" w:rsidRPr="00EA083E" w:rsidRDefault="00142AAE" w:rsidP="00142AAE">
      <w:pPr>
        <w:pStyle w:val="Heading2"/>
      </w:pPr>
      <w:bookmarkStart w:id="8" w:name="_Toc138254220"/>
      <w:r>
        <w:t>Australian Energy Market Commission</w:t>
      </w:r>
      <w:bookmarkEnd w:id="8"/>
    </w:p>
    <w:p w14:paraId="6B8CABC1" w14:textId="77777777" w:rsidR="00142AAE" w:rsidRPr="00BB2F06" w:rsidRDefault="00142AAE" w:rsidP="00142AAE">
      <w:pPr>
        <w:pStyle w:val="Heading3"/>
        <w:rPr>
          <w:rFonts w:eastAsia="Times New Roman"/>
          <w:lang w:eastAsia="en-AU"/>
        </w:rPr>
      </w:pPr>
      <w:bookmarkStart w:id="9" w:name="_Toc138254221"/>
      <w:r w:rsidRPr="00142AAE">
        <w:rPr>
          <w:rFonts w:eastAsia="Times New Roman"/>
          <w:lang w:eastAsia="en-AU"/>
        </w:rPr>
        <w:t>National Electricity Amendment (Enhancing Information on Generator Availability in MT PASA) Rule 2022 no. 7</w:t>
      </w:r>
      <w:bookmarkEnd w:id="9"/>
    </w:p>
    <w:p w14:paraId="0EA5F883" w14:textId="77777777" w:rsidR="00142AAE" w:rsidRPr="00774646" w:rsidRDefault="00142AAE" w:rsidP="00142AAE">
      <w:pPr>
        <w:pStyle w:val="Figure"/>
        <w:ind w:left="567"/>
      </w:pPr>
      <w:r>
        <w:t>National Electricity Amendment (Enhancing Information on Generator Availability in MT PASA) Rule 2022 no. 7</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3. National Electricity Amendment (Enhancing Information on Generator Availability in MT PASA) Rule 2022 no. 7"/>
        <w:tblDescription w:val="Figure 3. National Electricity Amendment (Enhancing Information on Generator Availability in MT PASA) Rule 2022 no. 7"/>
      </w:tblPr>
      <w:tblGrid>
        <w:gridCol w:w="1993"/>
        <w:gridCol w:w="1993"/>
        <w:gridCol w:w="1994"/>
        <w:gridCol w:w="1994"/>
      </w:tblGrid>
      <w:tr w:rsidR="00142AAE" w14:paraId="232E517A" w14:textId="77777777" w:rsidTr="00FF4E68">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103B7490" w14:textId="77777777" w:rsidR="00142AAE" w:rsidRPr="006E170D" w:rsidRDefault="00344F5E" w:rsidP="00DC0C9E">
            <w:pPr>
              <w:pStyle w:val="TBLHeading"/>
            </w:pPr>
            <w:r>
              <w:t>Decision Date</w:t>
            </w:r>
          </w:p>
        </w:tc>
        <w:tc>
          <w:tcPr>
            <w:tcW w:w="1250" w:type="pct"/>
            <w:tcBorders>
              <w:top w:val="none" w:sz="0" w:space="0" w:color="auto"/>
              <w:bottom w:val="none" w:sz="0" w:space="0" w:color="auto"/>
            </w:tcBorders>
            <w:vAlign w:val="center"/>
          </w:tcPr>
          <w:p w14:paraId="53F369EA" w14:textId="77777777" w:rsidR="00142AAE" w:rsidRPr="006E170D" w:rsidRDefault="00142AAE" w:rsidP="00DC0C9E">
            <w:pPr>
              <w:pStyle w:val="TBLHeading"/>
            </w:pPr>
            <w:r>
              <w:t>Compliant at consultation</w:t>
            </w:r>
          </w:p>
        </w:tc>
        <w:tc>
          <w:tcPr>
            <w:tcW w:w="1250" w:type="pct"/>
            <w:tcBorders>
              <w:top w:val="none" w:sz="0" w:space="0" w:color="auto"/>
              <w:bottom w:val="none" w:sz="0" w:space="0" w:color="auto"/>
            </w:tcBorders>
            <w:vAlign w:val="center"/>
          </w:tcPr>
          <w:p w14:paraId="3C33194A" w14:textId="77777777" w:rsidR="00142AAE" w:rsidRPr="006E170D" w:rsidRDefault="00142AAE"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0F5DF936" w14:textId="60B57A5A" w:rsidR="00142AAE" w:rsidRPr="006E170D" w:rsidRDefault="00142AAE" w:rsidP="00DC0C9E">
            <w:pPr>
              <w:pStyle w:val="TBLHeading"/>
            </w:pPr>
            <w:r>
              <w:t xml:space="preserve">Final </w:t>
            </w:r>
            <w:r w:rsidR="00997E86">
              <w:t>IA</w:t>
            </w:r>
            <w:r>
              <w:t xml:space="preserve"> published</w:t>
            </w:r>
          </w:p>
        </w:tc>
      </w:tr>
      <w:tr w:rsidR="00142AAE" w14:paraId="2B3B8D85" w14:textId="77777777" w:rsidTr="00FF4E68">
        <w:trPr>
          <w:trHeight w:val="20"/>
        </w:trPr>
        <w:tc>
          <w:tcPr>
            <w:tcW w:w="1250" w:type="pct"/>
            <w:vAlign w:val="center"/>
          </w:tcPr>
          <w:p w14:paraId="42F88C63" w14:textId="77777777" w:rsidR="00142AAE" w:rsidRPr="006E170D" w:rsidRDefault="00DB44DC" w:rsidP="00142AAE">
            <w:pPr>
              <w:pStyle w:val="TBLText"/>
            </w:pPr>
            <w:r>
              <w:t>18</w:t>
            </w:r>
            <w:r w:rsidRPr="00144255">
              <w:t xml:space="preserve"> </w:t>
            </w:r>
            <w:r>
              <w:t>August</w:t>
            </w:r>
            <w:r w:rsidRPr="00144255">
              <w:t xml:space="preserve"> 202</w:t>
            </w:r>
            <w:r>
              <w:t>2</w:t>
            </w:r>
          </w:p>
        </w:tc>
        <w:tc>
          <w:tcPr>
            <w:tcW w:w="1250" w:type="pct"/>
            <w:vAlign w:val="center"/>
          </w:tcPr>
          <w:p w14:paraId="542E8E5A" w14:textId="77777777" w:rsidR="00142AAE" w:rsidRPr="006E170D" w:rsidRDefault="00142AAE" w:rsidP="001A711C">
            <w:pPr>
              <w:pStyle w:val="TBLText"/>
            </w:pPr>
            <w:r w:rsidRPr="001A711C">
              <w:t>Yes</w:t>
            </w:r>
          </w:p>
        </w:tc>
        <w:tc>
          <w:tcPr>
            <w:tcW w:w="1250" w:type="pct"/>
            <w:vAlign w:val="center"/>
          </w:tcPr>
          <w:p w14:paraId="1917EB1D" w14:textId="77777777" w:rsidR="00142AAE" w:rsidRPr="006E170D" w:rsidRDefault="00142AAE" w:rsidP="00FF4E68">
            <w:pPr>
              <w:pStyle w:val="TBLText"/>
            </w:pPr>
            <w:r w:rsidRPr="00144255">
              <w:t>Yes</w:t>
            </w:r>
          </w:p>
        </w:tc>
        <w:tc>
          <w:tcPr>
            <w:tcW w:w="1250" w:type="pct"/>
            <w:vAlign w:val="center"/>
          </w:tcPr>
          <w:p w14:paraId="45A377E6" w14:textId="77777777" w:rsidR="00142AAE" w:rsidRPr="006E170D" w:rsidRDefault="00142AAE" w:rsidP="00142AAE">
            <w:pPr>
              <w:pStyle w:val="TBLText"/>
            </w:pPr>
            <w:r>
              <w:t>18</w:t>
            </w:r>
            <w:r w:rsidRPr="00144255">
              <w:t xml:space="preserve"> </w:t>
            </w:r>
            <w:r>
              <w:t>August</w:t>
            </w:r>
            <w:r w:rsidRPr="00144255">
              <w:t xml:space="preserve"> 202</w:t>
            </w:r>
            <w:r>
              <w:t>2</w:t>
            </w:r>
          </w:p>
        </w:tc>
      </w:tr>
    </w:tbl>
    <w:p w14:paraId="26B0EE6D" w14:textId="67CD68F4" w:rsidR="00083D73" w:rsidRDefault="00083D73" w:rsidP="00083D73">
      <w:pPr>
        <w:spacing w:after="0"/>
        <w:rPr>
          <w:shd w:val="clear" w:color="auto" w:fill="FFFFFF"/>
        </w:rPr>
      </w:pPr>
      <w:r>
        <w:rPr>
          <w:shd w:val="clear" w:color="auto" w:fill="FFFFFF"/>
        </w:rPr>
        <w:t xml:space="preserve">On 15 December 2021, the AEMC received a rule change request from the Australian Energy Market Operator (AEMO). It requested increasing the scope of information that is gathered from generators regarding their availability under the existing medium term projected assessment of system adequacy (MT PASA). The final rule is consistent with the main purpose of PASA by ensuring that participants are sufficiently informed about generator availability to help them make decisions about supply, demand and outages of transmission networks which. The final rule builds on existing MT PASA requirements and actions </w:t>
      </w:r>
      <w:r>
        <w:rPr>
          <w:shd w:val="clear" w:color="auto" w:fill="FFFFFF"/>
        </w:rPr>
        <w:lastRenderedPageBreak/>
        <w:t>one of the Energy Security Board’s (ESB) post-2025 recommendations to improve resource adequacy in the National Energy Market.</w:t>
      </w:r>
    </w:p>
    <w:p w14:paraId="4B794DB2" w14:textId="3D0BA486" w:rsidR="008B51D3" w:rsidRPr="00BB2F06" w:rsidRDefault="008B51D3" w:rsidP="008B51D3">
      <w:pPr>
        <w:pStyle w:val="Heading3"/>
        <w:rPr>
          <w:rFonts w:eastAsia="Times New Roman"/>
          <w:lang w:eastAsia="en-AU"/>
        </w:rPr>
      </w:pPr>
      <w:bookmarkStart w:id="10" w:name="_Toc138254222"/>
      <w:r>
        <w:rPr>
          <w:rFonts w:eastAsia="Times New Roman"/>
          <w:lang w:eastAsia="en-AU"/>
        </w:rPr>
        <w:t>AEMC – Declared Wholesale Gas Market (DWGM) Distribution Connected Facilities</w:t>
      </w:r>
      <w:bookmarkEnd w:id="10"/>
    </w:p>
    <w:p w14:paraId="07A68979" w14:textId="7614DA78" w:rsidR="008B51D3" w:rsidRPr="00774646" w:rsidRDefault="008B51D3" w:rsidP="008B51D3">
      <w:pPr>
        <w:pStyle w:val="Figure"/>
        <w:ind w:left="567"/>
      </w:pPr>
      <w:r>
        <w:t>Declared Wholesale Gas Market (DWGM) Distribution Connected Facilities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4. Declared Wholesale Gas Market (DWGM) Distribution Connected Facilities"/>
        <w:tblDescription w:val="Figure 4. Declared Wholesale Gas Market (DWGM) Distribution Connected Facilities"/>
      </w:tblPr>
      <w:tblGrid>
        <w:gridCol w:w="1993"/>
        <w:gridCol w:w="1993"/>
        <w:gridCol w:w="1994"/>
        <w:gridCol w:w="1994"/>
      </w:tblGrid>
      <w:tr w:rsidR="008B51D3" w14:paraId="3FF17DFD" w14:textId="77777777" w:rsidTr="00FF4E68">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1AF49856" w14:textId="77777777" w:rsidR="008B51D3" w:rsidRPr="006E170D" w:rsidRDefault="008B51D3" w:rsidP="00DC0C9E">
            <w:pPr>
              <w:pStyle w:val="TBLHeading"/>
            </w:pPr>
            <w:r>
              <w:t>Decision Date</w:t>
            </w:r>
          </w:p>
        </w:tc>
        <w:tc>
          <w:tcPr>
            <w:tcW w:w="1250" w:type="pct"/>
            <w:tcBorders>
              <w:top w:val="none" w:sz="0" w:space="0" w:color="auto"/>
              <w:bottom w:val="none" w:sz="0" w:space="0" w:color="auto"/>
            </w:tcBorders>
            <w:vAlign w:val="center"/>
          </w:tcPr>
          <w:p w14:paraId="3484E99E" w14:textId="77777777" w:rsidR="008B51D3" w:rsidRPr="006E170D" w:rsidRDefault="008B51D3" w:rsidP="00DC0C9E">
            <w:pPr>
              <w:pStyle w:val="TBLHeading"/>
            </w:pPr>
            <w:r>
              <w:t>Compliant at consultation</w:t>
            </w:r>
          </w:p>
        </w:tc>
        <w:tc>
          <w:tcPr>
            <w:tcW w:w="1250" w:type="pct"/>
            <w:tcBorders>
              <w:top w:val="none" w:sz="0" w:space="0" w:color="auto"/>
              <w:bottom w:val="none" w:sz="0" w:space="0" w:color="auto"/>
            </w:tcBorders>
            <w:vAlign w:val="center"/>
          </w:tcPr>
          <w:p w14:paraId="6A032C16" w14:textId="77777777" w:rsidR="008B51D3" w:rsidRPr="006E170D" w:rsidRDefault="008B51D3"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16BF3218" w14:textId="7BDACE99" w:rsidR="008B51D3" w:rsidRPr="006E170D" w:rsidRDefault="008B51D3" w:rsidP="00DC0C9E">
            <w:pPr>
              <w:pStyle w:val="TBLHeading"/>
            </w:pPr>
            <w:r>
              <w:t xml:space="preserve">Final </w:t>
            </w:r>
            <w:r w:rsidR="00997E86">
              <w:t xml:space="preserve">IA </w:t>
            </w:r>
            <w:r>
              <w:t>published</w:t>
            </w:r>
          </w:p>
        </w:tc>
      </w:tr>
      <w:tr w:rsidR="008B51D3" w14:paraId="543A4790" w14:textId="77777777" w:rsidTr="00FF4E68">
        <w:trPr>
          <w:trHeight w:val="20"/>
        </w:trPr>
        <w:tc>
          <w:tcPr>
            <w:tcW w:w="1250" w:type="pct"/>
            <w:vAlign w:val="center"/>
          </w:tcPr>
          <w:p w14:paraId="2E7B2063" w14:textId="50382CCD" w:rsidR="008B51D3" w:rsidRPr="006E170D" w:rsidRDefault="008B51D3" w:rsidP="008B51D3">
            <w:pPr>
              <w:pStyle w:val="TBLText"/>
            </w:pPr>
            <w:r>
              <w:t>8</w:t>
            </w:r>
            <w:r w:rsidRPr="00144255">
              <w:t xml:space="preserve"> </w:t>
            </w:r>
            <w:r>
              <w:t>September</w:t>
            </w:r>
            <w:r w:rsidRPr="00144255">
              <w:t xml:space="preserve"> 202</w:t>
            </w:r>
            <w:r>
              <w:t>2</w:t>
            </w:r>
          </w:p>
        </w:tc>
        <w:tc>
          <w:tcPr>
            <w:tcW w:w="1250" w:type="pct"/>
            <w:vAlign w:val="center"/>
          </w:tcPr>
          <w:p w14:paraId="449648C3" w14:textId="77777777" w:rsidR="008B51D3" w:rsidRPr="006E170D" w:rsidRDefault="008B51D3" w:rsidP="00FF4E68">
            <w:pPr>
              <w:pStyle w:val="TBLText"/>
            </w:pPr>
            <w:r w:rsidRPr="001A711C">
              <w:t>Yes</w:t>
            </w:r>
          </w:p>
        </w:tc>
        <w:tc>
          <w:tcPr>
            <w:tcW w:w="1250" w:type="pct"/>
            <w:vAlign w:val="center"/>
          </w:tcPr>
          <w:p w14:paraId="54722FAA" w14:textId="77777777" w:rsidR="008B51D3" w:rsidRPr="006E170D" w:rsidRDefault="008B51D3" w:rsidP="00FF4E68">
            <w:pPr>
              <w:pStyle w:val="TBLText"/>
            </w:pPr>
            <w:r w:rsidRPr="000C4D3C">
              <w:t>Yes</w:t>
            </w:r>
          </w:p>
        </w:tc>
        <w:tc>
          <w:tcPr>
            <w:tcW w:w="1250" w:type="pct"/>
            <w:vAlign w:val="center"/>
          </w:tcPr>
          <w:p w14:paraId="3B9B69E5" w14:textId="25A9621F" w:rsidR="008B51D3" w:rsidRPr="006E170D" w:rsidRDefault="008B51D3" w:rsidP="008B51D3">
            <w:pPr>
              <w:pStyle w:val="TBLText"/>
            </w:pPr>
            <w:r>
              <w:t>12</w:t>
            </w:r>
            <w:r w:rsidRPr="00144255">
              <w:t xml:space="preserve"> </w:t>
            </w:r>
            <w:r>
              <w:t>September</w:t>
            </w:r>
            <w:r w:rsidRPr="00144255">
              <w:t xml:space="preserve"> 202</w:t>
            </w:r>
            <w:r>
              <w:t>2</w:t>
            </w:r>
          </w:p>
        </w:tc>
      </w:tr>
    </w:tbl>
    <w:p w14:paraId="3ED972D1" w14:textId="77777777" w:rsidR="008B51D3" w:rsidRDefault="008B51D3" w:rsidP="008B51D3">
      <w:pPr>
        <w:spacing w:after="200"/>
      </w:pPr>
      <w:r>
        <w:t xml:space="preserve">The Australian Energy Market Commission (AEMC) has made a final rule to allow distribution connected facilities to participate in the Victorian declared wholesale gas market (DWGM). These facilities will be able to supply natural gas, low-level hydrogen blended gas, </w:t>
      </w:r>
      <w:proofErr w:type="spellStart"/>
      <w:r>
        <w:t>biomethane</w:t>
      </w:r>
      <w:proofErr w:type="spellEnd"/>
      <w:r>
        <w:t xml:space="preserve"> and other renewable gases. </w:t>
      </w:r>
    </w:p>
    <w:p w14:paraId="37169910" w14:textId="77777777" w:rsidR="008B51D3" w:rsidRDefault="008B51D3" w:rsidP="008B51D3">
      <w:pPr>
        <w:spacing w:after="200"/>
      </w:pPr>
      <w:r>
        <w:t>This work addresses that by amending the National Gas Rules (NGR) to also recognise facilities connected at the distribution level.</w:t>
      </w:r>
    </w:p>
    <w:p w14:paraId="4E4041D7" w14:textId="0DDE7619" w:rsidR="008B51D3" w:rsidRDefault="008B51D3" w:rsidP="008B51D3">
      <w:pPr>
        <w:spacing w:after="0"/>
      </w:pPr>
      <w:r>
        <w:t>The changes primarily apply to distribution connected facilities with minor changes being made to existing facilities where a cohesive approach was required.</w:t>
      </w:r>
    </w:p>
    <w:p w14:paraId="414DC9AA" w14:textId="7F25EFF7" w:rsidR="008B51D3" w:rsidRPr="00BB2F06" w:rsidRDefault="008B51D3" w:rsidP="008B51D3">
      <w:pPr>
        <w:pStyle w:val="Heading3"/>
        <w:rPr>
          <w:rFonts w:eastAsia="Times New Roman"/>
          <w:lang w:eastAsia="en-AU"/>
        </w:rPr>
      </w:pPr>
      <w:bookmarkStart w:id="11" w:name="_Toc138254223"/>
      <w:r>
        <w:rPr>
          <w:rFonts w:eastAsia="Times New Roman"/>
          <w:lang w:eastAsia="en-AU"/>
        </w:rPr>
        <w:t>AEMC Primary frequency response incentive arrangements</w:t>
      </w:r>
      <w:bookmarkEnd w:id="11"/>
    </w:p>
    <w:p w14:paraId="603E4C3B" w14:textId="37FDAA36" w:rsidR="008B51D3" w:rsidRPr="00774646" w:rsidRDefault="008B51D3" w:rsidP="008B51D3">
      <w:pPr>
        <w:pStyle w:val="Figure"/>
        <w:ind w:left="567"/>
      </w:pPr>
      <w:r>
        <w:t>Primary frequency response incentive arrangements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5. Primary frequency response incentive arrangements"/>
        <w:tblDescription w:val="Figure 5. Primary frequency response incentive arrangements"/>
      </w:tblPr>
      <w:tblGrid>
        <w:gridCol w:w="1993"/>
        <w:gridCol w:w="1993"/>
        <w:gridCol w:w="1994"/>
        <w:gridCol w:w="1994"/>
      </w:tblGrid>
      <w:tr w:rsidR="008B51D3" w14:paraId="273C1709" w14:textId="77777777" w:rsidTr="00FF4E68">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50FF6C98" w14:textId="77777777" w:rsidR="008B51D3" w:rsidRPr="006E170D" w:rsidRDefault="008B51D3" w:rsidP="00DC0C9E">
            <w:pPr>
              <w:pStyle w:val="TBLHeading"/>
            </w:pPr>
            <w:r>
              <w:t>Decision Date</w:t>
            </w:r>
          </w:p>
        </w:tc>
        <w:tc>
          <w:tcPr>
            <w:tcW w:w="1250" w:type="pct"/>
            <w:tcBorders>
              <w:top w:val="none" w:sz="0" w:space="0" w:color="auto"/>
              <w:bottom w:val="none" w:sz="0" w:space="0" w:color="auto"/>
            </w:tcBorders>
            <w:vAlign w:val="center"/>
          </w:tcPr>
          <w:p w14:paraId="71F5D20A" w14:textId="77777777" w:rsidR="008B51D3" w:rsidRPr="006E170D" w:rsidRDefault="008B51D3" w:rsidP="00DC0C9E">
            <w:pPr>
              <w:pStyle w:val="TBLHeading"/>
            </w:pPr>
            <w:r>
              <w:t>Compliant at consultation</w:t>
            </w:r>
          </w:p>
        </w:tc>
        <w:tc>
          <w:tcPr>
            <w:tcW w:w="1250" w:type="pct"/>
            <w:tcBorders>
              <w:top w:val="none" w:sz="0" w:space="0" w:color="auto"/>
              <w:bottom w:val="none" w:sz="0" w:space="0" w:color="auto"/>
            </w:tcBorders>
            <w:vAlign w:val="center"/>
          </w:tcPr>
          <w:p w14:paraId="7E87CD21" w14:textId="77777777" w:rsidR="008B51D3" w:rsidRPr="006E170D" w:rsidRDefault="008B51D3"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3AD562CD" w14:textId="5A2649EA" w:rsidR="008B51D3" w:rsidRPr="006E170D" w:rsidRDefault="008B51D3" w:rsidP="00DC0C9E">
            <w:pPr>
              <w:pStyle w:val="TBLHeading"/>
            </w:pPr>
            <w:r>
              <w:t xml:space="preserve">Final </w:t>
            </w:r>
            <w:r w:rsidR="00997E86">
              <w:t xml:space="preserve">IA </w:t>
            </w:r>
            <w:r>
              <w:t>published</w:t>
            </w:r>
          </w:p>
        </w:tc>
      </w:tr>
      <w:tr w:rsidR="008B51D3" w14:paraId="7D8981A2" w14:textId="77777777" w:rsidTr="00FF4E68">
        <w:trPr>
          <w:trHeight w:val="20"/>
        </w:trPr>
        <w:tc>
          <w:tcPr>
            <w:tcW w:w="1250" w:type="pct"/>
            <w:vAlign w:val="center"/>
          </w:tcPr>
          <w:p w14:paraId="474C6F76" w14:textId="77777777" w:rsidR="008B51D3" w:rsidRPr="006E170D" w:rsidRDefault="008B51D3" w:rsidP="00FF4E68">
            <w:pPr>
              <w:pStyle w:val="TBLText"/>
            </w:pPr>
            <w:r>
              <w:t>8</w:t>
            </w:r>
            <w:r w:rsidRPr="00144255">
              <w:t xml:space="preserve"> </w:t>
            </w:r>
            <w:r>
              <w:t>September</w:t>
            </w:r>
            <w:r w:rsidRPr="00144255">
              <w:t xml:space="preserve"> 202</w:t>
            </w:r>
            <w:r>
              <w:t>2</w:t>
            </w:r>
          </w:p>
        </w:tc>
        <w:tc>
          <w:tcPr>
            <w:tcW w:w="1250" w:type="pct"/>
            <w:vAlign w:val="center"/>
          </w:tcPr>
          <w:p w14:paraId="5A5CEEBD" w14:textId="77777777" w:rsidR="008B51D3" w:rsidRPr="006E170D" w:rsidRDefault="008B51D3" w:rsidP="00FF4E68">
            <w:pPr>
              <w:pStyle w:val="TBLText"/>
            </w:pPr>
            <w:r w:rsidRPr="001A711C">
              <w:t>Yes</w:t>
            </w:r>
          </w:p>
        </w:tc>
        <w:tc>
          <w:tcPr>
            <w:tcW w:w="1250" w:type="pct"/>
            <w:vAlign w:val="center"/>
          </w:tcPr>
          <w:p w14:paraId="3A3F9F94" w14:textId="77777777" w:rsidR="008B51D3" w:rsidRPr="006E170D" w:rsidRDefault="008B51D3" w:rsidP="00FF4E68">
            <w:pPr>
              <w:pStyle w:val="TBLText"/>
            </w:pPr>
            <w:r w:rsidRPr="000C4D3C">
              <w:t>Yes</w:t>
            </w:r>
          </w:p>
        </w:tc>
        <w:tc>
          <w:tcPr>
            <w:tcW w:w="1250" w:type="pct"/>
            <w:vAlign w:val="center"/>
          </w:tcPr>
          <w:p w14:paraId="35D9BF37" w14:textId="1EE00101" w:rsidR="008B51D3" w:rsidRPr="006E170D" w:rsidRDefault="008B51D3" w:rsidP="008B51D3">
            <w:pPr>
              <w:pStyle w:val="TBLText"/>
            </w:pPr>
            <w:r>
              <w:t>5</w:t>
            </w:r>
            <w:r w:rsidRPr="00144255">
              <w:t xml:space="preserve"> </w:t>
            </w:r>
            <w:r>
              <w:t>October</w:t>
            </w:r>
            <w:r w:rsidRPr="00144255">
              <w:t xml:space="preserve"> 202</w:t>
            </w:r>
            <w:r>
              <w:t>2</w:t>
            </w:r>
          </w:p>
        </w:tc>
      </w:tr>
    </w:tbl>
    <w:p w14:paraId="3FBE58F2" w14:textId="77777777" w:rsidR="008B51D3" w:rsidRDefault="008B51D3" w:rsidP="008B51D3">
      <w:pPr>
        <w:spacing w:after="200"/>
      </w:pPr>
      <w:r>
        <w:t>On 8 September 2022, the Australian Energy Market Commission (AEMC) published a final determination and a final rule for enduring arrangements to support the control of power system frequency and incentivise plant behaviour that reduces the overall cost of frequency regulation during normal operation</w:t>
      </w:r>
    </w:p>
    <w:p w14:paraId="2A656311" w14:textId="038929F8" w:rsidR="008B51D3" w:rsidRDefault="008B51D3" w:rsidP="008B51D3">
      <w:pPr>
        <w:spacing w:after="0"/>
      </w:pPr>
      <w:r>
        <w:t>The new incentive arrangements will complement the existing obligation for large generators to support the secure operation of the power system by responding automatically to changes in power system frequency.</w:t>
      </w:r>
    </w:p>
    <w:p w14:paraId="76446BF5" w14:textId="7561C56B" w:rsidR="00280B26" w:rsidRDefault="00280B26" w:rsidP="00280B26">
      <w:pPr>
        <w:pStyle w:val="Heading3"/>
      </w:pPr>
      <w:bookmarkStart w:id="12" w:name="_Toc138254224"/>
      <w:r w:rsidRPr="00280B26">
        <w:t>AEMC Material change in network infrastructure project costs – final determination</w:t>
      </w:r>
      <w:bookmarkEnd w:id="12"/>
    </w:p>
    <w:p w14:paraId="61899C5E" w14:textId="39DDB68F" w:rsidR="00F85E37" w:rsidRPr="00774646" w:rsidRDefault="00F85E37" w:rsidP="00F85E37">
      <w:pPr>
        <w:pStyle w:val="Figure"/>
        <w:ind w:left="0" w:firstLine="0"/>
      </w:pPr>
      <w:r>
        <w:t>Material change in network infrastructure project costs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6. Material change in network infrastructure project costs"/>
        <w:tblDescription w:val="Figure 6. Material change in network infrastructure project costs"/>
      </w:tblPr>
      <w:tblGrid>
        <w:gridCol w:w="1993"/>
        <w:gridCol w:w="1993"/>
        <w:gridCol w:w="1994"/>
        <w:gridCol w:w="1994"/>
      </w:tblGrid>
      <w:tr w:rsidR="00280B26" w14:paraId="41E0DE66" w14:textId="77777777" w:rsidTr="00FF4E68">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39EE84C0" w14:textId="77777777" w:rsidR="00280B26" w:rsidRPr="006E170D" w:rsidRDefault="00280B26" w:rsidP="00DC0C9E">
            <w:pPr>
              <w:pStyle w:val="TBLHeading"/>
            </w:pPr>
            <w:r>
              <w:t>Decision Date</w:t>
            </w:r>
          </w:p>
        </w:tc>
        <w:tc>
          <w:tcPr>
            <w:tcW w:w="1250" w:type="pct"/>
            <w:tcBorders>
              <w:top w:val="none" w:sz="0" w:space="0" w:color="auto"/>
              <w:bottom w:val="none" w:sz="0" w:space="0" w:color="auto"/>
            </w:tcBorders>
            <w:vAlign w:val="center"/>
          </w:tcPr>
          <w:p w14:paraId="0E677F36" w14:textId="77777777" w:rsidR="00280B26" w:rsidRPr="006E170D" w:rsidRDefault="00280B26" w:rsidP="00DC0C9E">
            <w:pPr>
              <w:pStyle w:val="TBLHeading"/>
            </w:pPr>
            <w:r>
              <w:t>Compliant at consultation</w:t>
            </w:r>
          </w:p>
        </w:tc>
        <w:tc>
          <w:tcPr>
            <w:tcW w:w="1250" w:type="pct"/>
            <w:tcBorders>
              <w:top w:val="none" w:sz="0" w:space="0" w:color="auto"/>
              <w:bottom w:val="none" w:sz="0" w:space="0" w:color="auto"/>
            </w:tcBorders>
            <w:vAlign w:val="center"/>
          </w:tcPr>
          <w:p w14:paraId="3387FCB4" w14:textId="77777777" w:rsidR="00280B26" w:rsidRPr="006E170D" w:rsidRDefault="00280B26"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02F6672D" w14:textId="77777777" w:rsidR="00280B26" w:rsidRPr="006E170D" w:rsidRDefault="00280B26" w:rsidP="00DC0C9E">
            <w:pPr>
              <w:pStyle w:val="TBLHeading"/>
            </w:pPr>
            <w:r>
              <w:t>Final IA published</w:t>
            </w:r>
          </w:p>
        </w:tc>
      </w:tr>
      <w:tr w:rsidR="00280B26" w14:paraId="0C0503B5" w14:textId="77777777" w:rsidTr="00FF4E68">
        <w:trPr>
          <w:trHeight w:val="20"/>
        </w:trPr>
        <w:tc>
          <w:tcPr>
            <w:tcW w:w="1250" w:type="pct"/>
            <w:vAlign w:val="center"/>
          </w:tcPr>
          <w:p w14:paraId="6AC0B99C" w14:textId="19BD3EF5" w:rsidR="00280B26" w:rsidRPr="006E170D" w:rsidRDefault="00280B26" w:rsidP="00FF4E68">
            <w:pPr>
              <w:pStyle w:val="TBLText"/>
            </w:pPr>
            <w:r>
              <w:t>27 October 2022</w:t>
            </w:r>
          </w:p>
        </w:tc>
        <w:tc>
          <w:tcPr>
            <w:tcW w:w="1250" w:type="pct"/>
            <w:vAlign w:val="center"/>
          </w:tcPr>
          <w:p w14:paraId="7E9D7C3F" w14:textId="77777777" w:rsidR="00280B26" w:rsidRPr="006E170D" w:rsidRDefault="00280B26" w:rsidP="00FF4E68">
            <w:pPr>
              <w:pStyle w:val="TBLText"/>
            </w:pPr>
            <w:r w:rsidRPr="004F74B0">
              <w:t>Yes</w:t>
            </w:r>
          </w:p>
        </w:tc>
        <w:tc>
          <w:tcPr>
            <w:tcW w:w="1250" w:type="pct"/>
            <w:vAlign w:val="center"/>
          </w:tcPr>
          <w:p w14:paraId="7AB47046" w14:textId="77777777" w:rsidR="00280B26" w:rsidRPr="006E170D" w:rsidRDefault="00280B26" w:rsidP="00FF4E68">
            <w:pPr>
              <w:pStyle w:val="TBLText"/>
            </w:pPr>
            <w:r w:rsidRPr="000C4D3C">
              <w:t>Yes</w:t>
            </w:r>
          </w:p>
        </w:tc>
        <w:tc>
          <w:tcPr>
            <w:tcW w:w="1250" w:type="pct"/>
            <w:vAlign w:val="center"/>
          </w:tcPr>
          <w:p w14:paraId="77442324" w14:textId="609053F3" w:rsidR="00280B26" w:rsidRPr="006E170D" w:rsidRDefault="00280B26" w:rsidP="00FF4E68">
            <w:pPr>
              <w:pStyle w:val="TBLText"/>
            </w:pPr>
            <w:r>
              <w:t>31</w:t>
            </w:r>
            <w:r w:rsidRPr="00144255">
              <w:t xml:space="preserve"> </w:t>
            </w:r>
            <w:r>
              <w:t>October</w:t>
            </w:r>
            <w:r w:rsidRPr="00144255">
              <w:t xml:space="preserve"> 202</w:t>
            </w:r>
            <w:r>
              <w:t>2</w:t>
            </w:r>
          </w:p>
        </w:tc>
      </w:tr>
    </w:tbl>
    <w:p w14:paraId="13335EA7" w14:textId="6AAD18BF" w:rsidR="00280B26" w:rsidRDefault="00280B26" w:rsidP="00280B26">
      <w:r w:rsidRPr="00280B26">
        <w:t xml:space="preserve">The Australian Energy Market Commission announced on 27 October 2022 that they have made a more preferable final rule that seeks to add clarity to the process for determining whether a material change in </w:t>
      </w:r>
      <w:r w:rsidRPr="00280B26">
        <w:lastRenderedPageBreak/>
        <w:t xml:space="preserve">circumstances has occurred by requiring certain </w:t>
      </w:r>
      <w:r>
        <w:t>Regulatory Investment Test (</w:t>
      </w:r>
      <w:r w:rsidRPr="00280B26">
        <w:t>RIT</w:t>
      </w:r>
      <w:r>
        <w:t>)</w:t>
      </w:r>
      <w:r w:rsidRPr="00280B26">
        <w:t xml:space="preserve"> proponents to develop reopening triggers which, if met, would require the RIT proponent to consider if and how to reconsider the extent to which the previously identified preferred option is likely to remain the most net beneficial option in light of the changed circumstances.</w:t>
      </w:r>
    </w:p>
    <w:p w14:paraId="6CB78D88" w14:textId="311D6062" w:rsidR="00083D73" w:rsidRPr="00EA083E" w:rsidRDefault="00A069C1" w:rsidP="00083D73">
      <w:pPr>
        <w:pStyle w:val="Heading2"/>
      </w:pPr>
      <w:bookmarkStart w:id="13" w:name="_Toc138254225"/>
      <w:r>
        <w:t>Department of Agriculture, Fisheries and Forestry</w:t>
      </w:r>
      <w:bookmarkEnd w:id="13"/>
    </w:p>
    <w:p w14:paraId="58BD949D" w14:textId="77777777" w:rsidR="00083D73" w:rsidRPr="00BB2F06" w:rsidRDefault="00A069C1" w:rsidP="00083D73">
      <w:pPr>
        <w:pStyle w:val="Heading3"/>
        <w:rPr>
          <w:rFonts w:eastAsia="Times New Roman"/>
          <w:lang w:eastAsia="en-AU"/>
        </w:rPr>
      </w:pPr>
      <w:bookmarkStart w:id="14" w:name="_Toc138254226"/>
      <w:r>
        <w:rPr>
          <w:rFonts w:eastAsia="Times New Roman"/>
          <w:lang w:eastAsia="en-AU"/>
        </w:rPr>
        <w:t>Animal Welfare Standards for Poultry</w:t>
      </w:r>
      <w:bookmarkEnd w:id="14"/>
    </w:p>
    <w:p w14:paraId="7BFB2EC3" w14:textId="77777777" w:rsidR="00083D73" w:rsidRPr="00774646" w:rsidRDefault="00A069C1" w:rsidP="00083D73">
      <w:pPr>
        <w:pStyle w:val="Figure"/>
        <w:ind w:left="567"/>
      </w:pPr>
      <w:r>
        <w:t>Animal Welfare Standards for Poultry</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8. Animal Welfare Standards for Poultry"/>
        <w:tblDescription w:val="Figure 8. Animal Welfare Standards for Poultry"/>
      </w:tblPr>
      <w:tblGrid>
        <w:gridCol w:w="1993"/>
        <w:gridCol w:w="1993"/>
        <w:gridCol w:w="1994"/>
        <w:gridCol w:w="1994"/>
      </w:tblGrid>
      <w:tr w:rsidR="00083D73" w14:paraId="4DCB2253" w14:textId="77777777" w:rsidTr="00FF4E68">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6E3DE5F9" w14:textId="77777777" w:rsidR="00083D73" w:rsidRPr="006E170D" w:rsidRDefault="00344F5E" w:rsidP="00DC0C9E">
            <w:pPr>
              <w:pStyle w:val="TBLHeading"/>
            </w:pPr>
            <w:r>
              <w:t>Decision Date</w:t>
            </w:r>
          </w:p>
        </w:tc>
        <w:tc>
          <w:tcPr>
            <w:tcW w:w="1250" w:type="pct"/>
            <w:tcBorders>
              <w:top w:val="none" w:sz="0" w:space="0" w:color="auto"/>
              <w:bottom w:val="none" w:sz="0" w:space="0" w:color="auto"/>
            </w:tcBorders>
            <w:vAlign w:val="center"/>
          </w:tcPr>
          <w:p w14:paraId="57AC7A77" w14:textId="77777777" w:rsidR="00083D73" w:rsidRPr="006E170D" w:rsidRDefault="00083D73" w:rsidP="00DC0C9E">
            <w:pPr>
              <w:pStyle w:val="TBLHeading"/>
            </w:pPr>
            <w:r>
              <w:t>Compliant at consultation</w:t>
            </w:r>
          </w:p>
        </w:tc>
        <w:tc>
          <w:tcPr>
            <w:tcW w:w="1250" w:type="pct"/>
            <w:tcBorders>
              <w:top w:val="none" w:sz="0" w:space="0" w:color="auto"/>
              <w:bottom w:val="none" w:sz="0" w:space="0" w:color="auto"/>
            </w:tcBorders>
            <w:vAlign w:val="center"/>
          </w:tcPr>
          <w:p w14:paraId="0EE30E8F" w14:textId="77777777" w:rsidR="00083D73" w:rsidRPr="006E170D" w:rsidRDefault="00083D73"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37B249EF" w14:textId="3F2277B7" w:rsidR="00083D73" w:rsidRPr="006E170D" w:rsidRDefault="00083D73" w:rsidP="00DC0C9E">
            <w:pPr>
              <w:pStyle w:val="TBLHeading"/>
            </w:pPr>
            <w:r>
              <w:t xml:space="preserve">Final </w:t>
            </w:r>
            <w:r w:rsidR="00997E86">
              <w:t xml:space="preserve">IA </w:t>
            </w:r>
            <w:r>
              <w:t>published</w:t>
            </w:r>
          </w:p>
        </w:tc>
      </w:tr>
      <w:tr w:rsidR="00083D73" w14:paraId="51E9680A" w14:textId="77777777" w:rsidTr="00FF4E68">
        <w:trPr>
          <w:trHeight w:val="20"/>
        </w:trPr>
        <w:tc>
          <w:tcPr>
            <w:tcW w:w="1250" w:type="pct"/>
            <w:vAlign w:val="center"/>
          </w:tcPr>
          <w:p w14:paraId="04F0B574" w14:textId="20F2BF1E" w:rsidR="00083D73" w:rsidRPr="006E170D" w:rsidRDefault="0049107F" w:rsidP="00A069C1">
            <w:pPr>
              <w:pStyle w:val="TBLText"/>
            </w:pPr>
            <w:r>
              <w:t>1</w:t>
            </w:r>
            <w:r w:rsidR="00A069C1" w:rsidRPr="00144255">
              <w:t xml:space="preserve"> </w:t>
            </w:r>
            <w:r w:rsidR="00A069C1">
              <w:t>August</w:t>
            </w:r>
            <w:r w:rsidR="00A069C1" w:rsidRPr="00144255">
              <w:t xml:space="preserve"> 202</w:t>
            </w:r>
            <w:r w:rsidR="00A069C1">
              <w:t>2</w:t>
            </w:r>
          </w:p>
        </w:tc>
        <w:tc>
          <w:tcPr>
            <w:tcW w:w="1250" w:type="pct"/>
            <w:vAlign w:val="center"/>
          </w:tcPr>
          <w:p w14:paraId="216DDAD1" w14:textId="77777777" w:rsidR="00083D73" w:rsidRPr="006E170D" w:rsidRDefault="00083D73" w:rsidP="00A069C1">
            <w:pPr>
              <w:pStyle w:val="TBLText"/>
            </w:pPr>
            <w:r w:rsidRPr="00A069C1">
              <w:t xml:space="preserve">Yes </w:t>
            </w:r>
          </w:p>
        </w:tc>
        <w:tc>
          <w:tcPr>
            <w:tcW w:w="1250" w:type="pct"/>
            <w:vAlign w:val="center"/>
          </w:tcPr>
          <w:p w14:paraId="0E7035D5" w14:textId="77777777" w:rsidR="00083D73" w:rsidRPr="006E170D" w:rsidRDefault="00083D73" w:rsidP="00FF4E68">
            <w:pPr>
              <w:pStyle w:val="TBLText"/>
            </w:pPr>
            <w:r w:rsidRPr="00144255">
              <w:t>Yes</w:t>
            </w:r>
          </w:p>
        </w:tc>
        <w:tc>
          <w:tcPr>
            <w:tcW w:w="1250" w:type="pct"/>
            <w:vAlign w:val="center"/>
          </w:tcPr>
          <w:p w14:paraId="01CDDECF" w14:textId="77777777" w:rsidR="00083D73" w:rsidRPr="006E170D" w:rsidRDefault="00A069C1" w:rsidP="00FF4E68">
            <w:pPr>
              <w:pStyle w:val="TBLText"/>
            </w:pPr>
            <w:r>
              <w:t>23</w:t>
            </w:r>
            <w:r w:rsidR="00083D73" w:rsidRPr="00144255">
              <w:t xml:space="preserve"> </w:t>
            </w:r>
            <w:r w:rsidR="00083D73">
              <w:t>August</w:t>
            </w:r>
            <w:r w:rsidR="00083D73" w:rsidRPr="00144255">
              <w:t xml:space="preserve"> 202</w:t>
            </w:r>
            <w:r w:rsidR="00083D73">
              <w:t>2</w:t>
            </w:r>
          </w:p>
        </w:tc>
      </w:tr>
    </w:tbl>
    <w:p w14:paraId="0249345C" w14:textId="77777777" w:rsidR="00A069C1" w:rsidRDefault="00A069C1" w:rsidP="00A069C1">
      <w:r>
        <w:t>The three existing Model Codes of Practice (MCOPs) that cover the welfare of domestic poultry (including emus and ostriches) do not reflect contemporary animal welfare science, contemporary industry practices, and new technologies. There is evidence that the MCOPs are inconsistently implemented in states and territories and are largely voluntary rather than mandatory.</w:t>
      </w:r>
    </w:p>
    <w:p w14:paraId="4D6A670B" w14:textId="0A4F3ADE" w:rsidR="00A069C1" w:rsidRDefault="00A069C1" w:rsidP="00A069C1">
      <w:r>
        <w:t xml:space="preserve">The Decision </w:t>
      </w:r>
      <w:r w:rsidR="000F3253">
        <w:t>IA</w:t>
      </w:r>
      <w:r>
        <w:t xml:space="preserve"> considers the impacts of four key policy options:</w:t>
      </w:r>
    </w:p>
    <w:p w14:paraId="05FFDEA1" w14:textId="77777777" w:rsidR="00A069C1" w:rsidRDefault="00A069C1" w:rsidP="00A069C1">
      <w:r>
        <w:t>Option 1: maintain the existing MCOPs.</w:t>
      </w:r>
    </w:p>
    <w:p w14:paraId="440C717F" w14:textId="77777777" w:rsidR="00A069C1" w:rsidRDefault="00A069C1" w:rsidP="00A069C1">
      <w:r>
        <w:t>Option 2: introduce the proposed Standards and Guidelines as voluntary.</w:t>
      </w:r>
    </w:p>
    <w:p w14:paraId="2C6AF905" w14:textId="77777777" w:rsidR="00A069C1" w:rsidRDefault="00A069C1" w:rsidP="00A069C1">
      <w:r>
        <w:t>Option 3: introduce the proposed Standards as compulsory and Guidelines as voluntary.</w:t>
      </w:r>
    </w:p>
    <w:p w14:paraId="1EDFED2A" w14:textId="77777777" w:rsidR="00A069C1" w:rsidRDefault="00A069C1" w:rsidP="00A069C1">
      <w:r>
        <w:t>Option 4: introduce the proposed Standards as compulsory and Guidelines as voluntary, with an extended phase out period of conventional cages until 2046.</w:t>
      </w:r>
    </w:p>
    <w:p w14:paraId="0F9A2E84" w14:textId="1F0E8735" w:rsidR="00A069C1" w:rsidRDefault="00A069C1" w:rsidP="00A069C1">
      <w:r>
        <w:t xml:space="preserve">The Decision </w:t>
      </w:r>
      <w:r w:rsidR="00997E86">
        <w:t>IA</w:t>
      </w:r>
      <w:r>
        <w:t xml:space="preserve"> recommends Option 3 as the option which most substantially addresses the policy problem. The Decision </w:t>
      </w:r>
      <w:r w:rsidR="00997E86">
        <w:t>IA</w:t>
      </w:r>
      <w:r>
        <w:t xml:space="preserve"> estimates the costs of implementation to be $261 million over the next 10 years. At a consumer level, it is expected to cost at most $1.51 per egg consumer per year.</w:t>
      </w:r>
    </w:p>
    <w:p w14:paraId="24810C5F" w14:textId="5036BA37" w:rsidR="00101262" w:rsidRPr="00EA083E" w:rsidRDefault="00101262" w:rsidP="002A6343">
      <w:pPr>
        <w:pStyle w:val="Heading2"/>
      </w:pPr>
      <w:bookmarkStart w:id="15" w:name="_Toc138254227"/>
      <w:r>
        <w:t>Food Standards Australia and New Zealand</w:t>
      </w:r>
      <w:bookmarkEnd w:id="15"/>
    </w:p>
    <w:p w14:paraId="05C44CAA" w14:textId="0F7A983F" w:rsidR="00101262" w:rsidRPr="00BB2F06" w:rsidRDefault="00101262" w:rsidP="00101262">
      <w:pPr>
        <w:pStyle w:val="Heading3"/>
        <w:rPr>
          <w:rFonts w:eastAsia="Times New Roman"/>
          <w:lang w:eastAsia="en-AU"/>
        </w:rPr>
      </w:pPr>
      <w:bookmarkStart w:id="16" w:name="_Toc138254228"/>
      <w:r w:rsidRPr="00101262">
        <w:rPr>
          <w:rFonts w:eastAsia="Times New Roman"/>
          <w:lang w:eastAsia="en-AU"/>
        </w:rPr>
        <w:t>Proposal P1053 – Food Safety Management tools</w:t>
      </w:r>
      <w:bookmarkEnd w:id="16"/>
      <w:r w:rsidRPr="00101262">
        <w:rPr>
          <w:rFonts w:eastAsia="Times New Roman"/>
          <w:lang w:eastAsia="en-AU"/>
        </w:rPr>
        <w:t xml:space="preserve"> </w:t>
      </w:r>
    </w:p>
    <w:p w14:paraId="56BDD96B" w14:textId="6CC9887B" w:rsidR="00101262" w:rsidRPr="00774646" w:rsidRDefault="00101262" w:rsidP="000F08D0">
      <w:pPr>
        <w:pStyle w:val="Figure"/>
        <w:ind w:left="567"/>
      </w:pPr>
      <w:r w:rsidRPr="00101262">
        <w:t>Proposal P1053 – Food Safety Management tools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9. Proposal P1053 - Food Safety Management tools"/>
        <w:tblDescription w:val="Figure 9. Proposal P1053 - Food Safety Management tools"/>
      </w:tblPr>
      <w:tblGrid>
        <w:gridCol w:w="1993"/>
        <w:gridCol w:w="1993"/>
        <w:gridCol w:w="1994"/>
        <w:gridCol w:w="1994"/>
      </w:tblGrid>
      <w:tr w:rsidR="00101262" w14:paraId="23E7C558" w14:textId="77777777" w:rsidTr="004B4AF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4C4AB889" w14:textId="77777777" w:rsidR="00101262" w:rsidRPr="006E170D" w:rsidRDefault="00101262" w:rsidP="00DC0C9E">
            <w:pPr>
              <w:pStyle w:val="TBLHeading"/>
            </w:pPr>
            <w:r>
              <w:t>Decision Date</w:t>
            </w:r>
          </w:p>
        </w:tc>
        <w:tc>
          <w:tcPr>
            <w:tcW w:w="1250" w:type="pct"/>
            <w:tcBorders>
              <w:top w:val="none" w:sz="0" w:space="0" w:color="auto"/>
              <w:bottom w:val="none" w:sz="0" w:space="0" w:color="auto"/>
            </w:tcBorders>
            <w:vAlign w:val="center"/>
          </w:tcPr>
          <w:p w14:paraId="6996315D" w14:textId="77777777" w:rsidR="00101262" w:rsidRPr="006E170D" w:rsidRDefault="00101262" w:rsidP="00DC0C9E">
            <w:pPr>
              <w:pStyle w:val="TBLHeading"/>
            </w:pPr>
            <w:r>
              <w:t>Compliant at consultation</w:t>
            </w:r>
          </w:p>
        </w:tc>
        <w:tc>
          <w:tcPr>
            <w:tcW w:w="1250" w:type="pct"/>
            <w:tcBorders>
              <w:top w:val="none" w:sz="0" w:space="0" w:color="auto"/>
              <w:bottom w:val="none" w:sz="0" w:space="0" w:color="auto"/>
            </w:tcBorders>
            <w:vAlign w:val="center"/>
          </w:tcPr>
          <w:p w14:paraId="41F0B592" w14:textId="77777777" w:rsidR="00101262" w:rsidRPr="006E170D" w:rsidRDefault="00101262"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4A727463" w14:textId="77777777" w:rsidR="00101262" w:rsidRPr="006E170D" w:rsidRDefault="00101262" w:rsidP="00DC0C9E">
            <w:pPr>
              <w:pStyle w:val="TBLHeading"/>
            </w:pPr>
            <w:r>
              <w:t>Final IA published</w:t>
            </w:r>
          </w:p>
        </w:tc>
      </w:tr>
      <w:tr w:rsidR="00101262" w14:paraId="0971E1C7" w14:textId="77777777" w:rsidTr="004B4AF9">
        <w:trPr>
          <w:trHeight w:val="20"/>
        </w:trPr>
        <w:tc>
          <w:tcPr>
            <w:tcW w:w="1250" w:type="pct"/>
            <w:vAlign w:val="center"/>
          </w:tcPr>
          <w:p w14:paraId="0D8A9079" w14:textId="7E9BAFAD" w:rsidR="00101262" w:rsidRPr="006E170D" w:rsidRDefault="003248F9" w:rsidP="004B4AF9">
            <w:pPr>
              <w:pStyle w:val="TBLText"/>
            </w:pPr>
            <w:r w:rsidRPr="000F08D0">
              <w:t>8</w:t>
            </w:r>
            <w:r w:rsidR="00101262" w:rsidRPr="003248F9">
              <w:t xml:space="preserve"> December 202</w:t>
            </w:r>
            <w:r w:rsidR="00101262" w:rsidRPr="00B81632">
              <w:t>2</w:t>
            </w:r>
          </w:p>
        </w:tc>
        <w:tc>
          <w:tcPr>
            <w:tcW w:w="1250" w:type="pct"/>
            <w:vAlign w:val="center"/>
          </w:tcPr>
          <w:p w14:paraId="17D51AB9" w14:textId="35AF7928" w:rsidR="00101262" w:rsidRPr="006E170D" w:rsidRDefault="00B81632" w:rsidP="004B4AF9">
            <w:pPr>
              <w:pStyle w:val="TBLText"/>
            </w:pPr>
            <w:r>
              <w:t>Yes</w:t>
            </w:r>
          </w:p>
        </w:tc>
        <w:tc>
          <w:tcPr>
            <w:tcW w:w="1250" w:type="pct"/>
            <w:vAlign w:val="center"/>
          </w:tcPr>
          <w:p w14:paraId="656ED77D" w14:textId="77777777" w:rsidR="00101262" w:rsidRPr="006E170D" w:rsidRDefault="00101262" w:rsidP="004B4AF9">
            <w:pPr>
              <w:pStyle w:val="TBLText"/>
            </w:pPr>
            <w:r w:rsidRPr="00144255">
              <w:t>Yes</w:t>
            </w:r>
          </w:p>
        </w:tc>
        <w:tc>
          <w:tcPr>
            <w:tcW w:w="1250" w:type="pct"/>
            <w:vAlign w:val="center"/>
          </w:tcPr>
          <w:p w14:paraId="684DBDA9" w14:textId="677FB274" w:rsidR="00101262" w:rsidRPr="006E170D" w:rsidRDefault="00101262" w:rsidP="004B4AF9">
            <w:pPr>
              <w:pStyle w:val="TBLText"/>
            </w:pPr>
            <w:r>
              <w:t>15 December</w:t>
            </w:r>
            <w:r w:rsidRPr="00144255">
              <w:t xml:space="preserve"> 202</w:t>
            </w:r>
            <w:r>
              <w:t>2</w:t>
            </w:r>
          </w:p>
        </w:tc>
      </w:tr>
    </w:tbl>
    <w:p w14:paraId="70EF398D" w14:textId="77777777" w:rsidR="00101262" w:rsidRDefault="00101262" w:rsidP="00101262"/>
    <w:p w14:paraId="0CEBD95D" w14:textId="0CA4C16C" w:rsidR="00586562" w:rsidRDefault="00586562" w:rsidP="00586562">
      <w:r>
        <w:lastRenderedPageBreak/>
        <w:t>Food Standards Australia New Zealand (FSANZ) has prepared a Decision Impact Analysis (IA) - formerly known as a Decision Regulation Impact Statement (RIS) - which analyses potential reform options to help to address these issues. These options include:</w:t>
      </w:r>
    </w:p>
    <w:p w14:paraId="4EFE7676" w14:textId="77777777" w:rsidR="00586562" w:rsidRDefault="00586562" w:rsidP="00586562">
      <w:r>
        <w:t>Option 1: Maintaining the status quo such that the current regulatory environment would continue;</w:t>
      </w:r>
    </w:p>
    <w:p w14:paraId="1313771E" w14:textId="77777777" w:rsidR="00586562" w:rsidRDefault="00586562" w:rsidP="00586562">
      <w:r>
        <w:t>Option 2: Self-regulation, which would involve food businesses putting their own systems that are not subject to regulatory oversight in place to improve food safety;</w:t>
      </w:r>
    </w:p>
    <w:p w14:paraId="6CCD831A" w14:textId="77777777" w:rsidR="00586562" w:rsidRDefault="00586562" w:rsidP="00586562">
      <w:r>
        <w:t>Option 3: Regulate one or more food safety management tools. The sub-options identified include:</w:t>
      </w:r>
    </w:p>
    <w:p w14:paraId="232B680B" w14:textId="77777777" w:rsidR="00586562" w:rsidRDefault="00586562" w:rsidP="00586562">
      <w:r>
        <w:t>Option 3.1: Requiring a certified food safety supervisor, and food handler staff to complete food handler training; and</w:t>
      </w:r>
    </w:p>
    <w:p w14:paraId="5343418A" w14:textId="77777777" w:rsidR="00586562" w:rsidRDefault="00586562" w:rsidP="00586562">
      <w:r>
        <w:t>Option 3.2: Requiring a certified food safety supervisor, food handler staff to complete food handler training, and evidence to substantiate food safety management.</w:t>
      </w:r>
    </w:p>
    <w:p w14:paraId="79403314" w14:textId="7E9F5EE6" w:rsidR="00586562" w:rsidRDefault="00586562" w:rsidP="00586562">
      <w:r>
        <w:t>The preferred option identified by the Decision IA is a targeted regulatory approach that applies food safety management tools based on risk, cost–benefit and appropriateness, that is:</w:t>
      </w:r>
    </w:p>
    <w:p w14:paraId="2EF481C0" w14:textId="77777777" w:rsidR="00586562" w:rsidRDefault="00586562" w:rsidP="00586562">
      <w:r>
        <w:t>Option 3.2 for Category 1 businesses (food service businesses, such as caterers, restaurants, takeaway; and retailers who make and serve potentially hazardous food);</w:t>
      </w:r>
    </w:p>
    <w:p w14:paraId="75226369" w14:textId="77777777" w:rsidR="00586562" w:rsidRDefault="00586562" w:rsidP="00586562">
      <w:r>
        <w:t>Option 3.1 for Category 2 businesses (retailers of unpackaged ready-to-eat, potentially hazardous food); and</w:t>
      </w:r>
    </w:p>
    <w:p w14:paraId="4B72BF2E" w14:textId="77777777" w:rsidR="000F08D0" w:rsidRDefault="00586562" w:rsidP="000F08D0">
      <w:r>
        <w:t>No additional regulatory measures for Category 3 businesses (retailers of pre-packaged ready-to-eat, potentially hazardous food).</w:t>
      </w:r>
      <w:r w:rsidRPr="00F3555E" w:rsidDel="00586562">
        <w:t xml:space="preserve"> </w:t>
      </w:r>
    </w:p>
    <w:p w14:paraId="1B68BBBE" w14:textId="1D11B5A8" w:rsidR="00446B79" w:rsidRPr="00446B79" w:rsidRDefault="00446B79" w:rsidP="00446B79">
      <w:pPr>
        <w:pStyle w:val="Heading2"/>
      </w:pPr>
      <w:bookmarkStart w:id="17" w:name="_Toc138254229"/>
      <w:r w:rsidRPr="00446B79">
        <w:t>Health Minister’s Meeting</w:t>
      </w:r>
      <w:bookmarkEnd w:id="17"/>
    </w:p>
    <w:p w14:paraId="0F0B3044" w14:textId="73204566" w:rsidR="00446B79" w:rsidRDefault="00446B79" w:rsidP="000F08D0">
      <w:pPr>
        <w:pStyle w:val="Heading3"/>
      </w:pPr>
      <w:bookmarkStart w:id="18" w:name="_Toc138254230"/>
      <w:r w:rsidRPr="00446B79">
        <w:t>Medical practitioners' use of the title "surgeon" under the National Law</w:t>
      </w:r>
      <w:bookmarkEnd w:id="18"/>
    </w:p>
    <w:p w14:paraId="627D3F89" w14:textId="1D0AEC9D" w:rsidR="008B6342" w:rsidRPr="00774646" w:rsidRDefault="008B6342" w:rsidP="008B6342">
      <w:pPr>
        <w:pStyle w:val="Figure"/>
        <w:ind w:left="567"/>
      </w:pPr>
      <w:r>
        <w:t>Medical practitioner’s use of the title “Surgeon” under the National Law</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0. Medical practitioners' use of the title &quot;surgeon&quot; under the National Law"/>
        <w:tblDescription w:val="Figure 10. Medical practitioners' use of the title &quot;surgeon&quot; under the National Law"/>
      </w:tblPr>
      <w:tblGrid>
        <w:gridCol w:w="1993"/>
        <w:gridCol w:w="1993"/>
        <w:gridCol w:w="1994"/>
        <w:gridCol w:w="1994"/>
      </w:tblGrid>
      <w:tr w:rsidR="008B6342" w14:paraId="7053F357" w14:textId="77777777" w:rsidTr="004B4AF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9FB638D" w14:textId="77777777" w:rsidR="008B6342" w:rsidRPr="006E170D" w:rsidRDefault="008B6342" w:rsidP="00DC0C9E">
            <w:pPr>
              <w:pStyle w:val="TBLHeading"/>
            </w:pPr>
            <w:r>
              <w:t>Decision Date</w:t>
            </w:r>
          </w:p>
        </w:tc>
        <w:tc>
          <w:tcPr>
            <w:tcW w:w="1250" w:type="pct"/>
            <w:tcBorders>
              <w:top w:val="none" w:sz="0" w:space="0" w:color="auto"/>
              <w:bottom w:val="none" w:sz="0" w:space="0" w:color="auto"/>
            </w:tcBorders>
            <w:vAlign w:val="center"/>
          </w:tcPr>
          <w:p w14:paraId="3C2710EF" w14:textId="77777777" w:rsidR="008B6342" w:rsidRPr="006E170D" w:rsidRDefault="008B6342" w:rsidP="00DC0C9E">
            <w:pPr>
              <w:pStyle w:val="TBLHeading"/>
            </w:pPr>
            <w:r>
              <w:t>Compliant at consultation</w:t>
            </w:r>
          </w:p>
        </w:tc>
        <w:tc>
          <w:tcPr>
            <w:tcW w:w="1250" w:type="pct"/>
            <w:tcBorders>
              <w:top w:val="none" w:sz="0" w:space="0" w:color="auto"/>
              <w:bottom w:val="none" w:sz="0" w:space="0" w:color="auto"/>
            </w:tcBorders>
            <w:vAlign w:val="center"/>
          </w:tcPr>
          <w:p w14:paraId="41C16C47" w14:textId="77777777" w:rsidR="008B6342" w:rsidRPr="006E170D" w:rsidRDefault="008B6342"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3463B643" w14:textId="77777777" w:rsidR="008B6342" w:rsidRPr="006E170D" w:rsidRDefault="008B6342" w:rsidP="00DC0C9E">
            <w:pPr>
              <w:pStyle w:val="TBLHeading"/>
            </w:pPr>
            <w:r>
              <w:t>Final IA published</w:t>
            </w:r>
          </w:p>
        </w:tc>
      </w:tr>
      <w:tr w:rsidR="008B6342" w14:paraId="36E8021E" w14:textId="77777777" w:rsidTr="004B4AF9">
        <w:trPr>
          <w:trHeight w:val="20"/>
        </w:trPr>
        <w:tc>
          <w:tcPr>
            <w:tcW w:w="1250" w:type="pct"/>
            <w:vAlign w:val="center"/>
          </w:tcPr>
          <w:p w14:paraId="5FAB49FD" w14:textId="5E68897B" w:rsidR="008B6342" w:rsidRPr="00DA3031" w:rsidRDefault="008B6342" w:rsidP="004B4AF9">
            <w:pPr>
              <w:pStyle w:val="TBLText"/>
            </w:pPr>
            <w:r>
              <w:t>14 Dec 2022</w:t>
            </w:r>
          </w:p>
        </w:tc>
        <w:tc>
          <w:tcPr>
            <w:tcW w:w="1250" w:type="pct"/>
            <w:vAlign w:val="center"/>
          </w:tcPr>
          <w:p w14:paraId="494252A4" w14:textId="77777777" w:rsidR="008B6342" w:rsidRPr="006E170D" w:rsidRDefault="008B6342" w:rsidP="004B4AF9">
            <w:pPr>
              <w:pStyle w:val="TBLText"/>
            </w:pPr>
            <w:r>
              <w:t>Yes</w:t>
            </w:r>
          </w:p>
        </w:tc>
        <w:tc>
          <w:tcPr>
            <w:tcW w:w="1250" w:type="pct"/>
            <w:vAlign w:val="center"/>
          </w:tcPr>
          <w:p w14:paraId="10692E5B" w14:textId="77777777" w:rsidR="008B6342" w:rsidRPr="006E170D" w:rsidRDefault="008B6342" w:rsidP="004B4AF9">
            <w:pPr>
              <w:pStyle w:val="TBLText"/>
            </w:pPr>
            <w:r w:rsidRPr="00144255">
              <w:t>Yes</w:t>
            </w:r>
          </w:p>
        </w:tc>
        <w:tc>
          <w:tcPr>
            <w:tcW w:w="1250" w:type="pct"/>
            <w:vAlign w:val="center"/>
          </w:tcPr>
          <w:p w14:paraId="2E240531" w14:textId="602F8C03" w:rsidR="008B6342" w:rsidRPr="006E170D" w:rsidRDefault="008B6342" w:rsidP="004B4AF9">
            <w:pPr>
              <w:pStyle w:val="TBLText"/>
            </w:pPr>
            <w:r>
              <w:t>20 Dec</w:t>
            </w:r>
            <w:r w:rsidRPr="00144255">
              <w:t xml:space="preserve"> 202</w:t>
            </w:r>
            <w:r>
              <w:t>2</w:t>
            </w:r>
          </w:p>
        </w:tc>
      </w:tr>
    </w:tbl>
    <w:p w14:paraId="74499058" w14:textId="2C5F895C" w:rsidR="00305D2B" w:rsidRDefault="00305D2B" w:rsidP="000F08D0">
      <w:r>
        <w:rPr>
          <w:shd w:val="clear" w:color="auto" w:fill="FFFFFF"/>
        </w:rPr>
        <w:t>The Decision Impact Analysis (IA) provides an analysis of the regulatory impacts of title restriction and alternative options, and recommends a preferred option. The Decision IA follows a Consultation IA - formerly known as a Consultation RIS - released in December 2021 that explained the current regulatory framework and the potential issues that may be arising from it, and sought feedback on the potential reform options. </w:t>
      </w:r>
    </w:p>
    <w:p w14:paraId="28F731A8" w14:textId="57AF1F1D" w:rsidR="00D03322" w:rsidRPr="00EA083E" w:rsidRDefault="00083D73" w:rsidP="00D03322">
      <w:pPr>
        <w:pStyle w:val="Heading2"/>
      </w:pPr>
      <w:bookmarkStart w:id="19" w:name="_Toc138254231"/>
      <w:r>
        <w:lastRenderedPageBreak/>
        <w:t xml:space="preserve">NSW </w:t>
      </w:r>
      <w:r w:rsidR="00066040">
        <w:t>Department of Education</w:t>
      </w:r>
      <w:bookmarkEnd w:id="19"/>
    </w:p>
    <w:p w14:paraId="2E38BA3F" w14:textId="77777777" w:rsidR="00BB2F06" w:rsidRPr="00BB2F06" w:rsidRDefault="00066040" w:rsidP="00BB2F06">
      <w:pPr>
        <w:pStyle w:val="Heading3"/>
        <w:rPr>
          <w:rFonts w:eastAsia="Times New Roman"/>
          <w:lang w:eastAsia="en-AU"/>
        </w:rPr>
      </w:pPr>
      <w:bookmarkStart w:id="20" w:name="_Toc138254232"/>
      <w:r>
        <w:rPr>
          <w:rFonts w:eastAsia="Times New Roman"/>
          <w:lang w:eastAsia="en-AU"/>
        </w:rPr>
        <w:t>National Qualifications Framework Review</w:t>
      </w:r>
      <w:bookmarkEnd w:id="20"/>
    </w:p>
    <w:p w14:paraId="514DCFEA" w14:textId="77777777" w:rsidR="00C37227" w:rsidRPr="00774646" w:rsidRDefault="008D704F" w:rsidP="00C37227">
      <w:pPr>
        <w:pStyle w:val="Figure"/>
        <w:ind w:left="567"/>
      </w:pPr>
      <w:r>
        <w:t xml:space="preserve">National </w:t>
      </w:r>
      <w:r w:rsidR="00BB2F06">
        <w:t>Qualifications Framework Review</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1. National Qualifications Framework Review"/>
        <w:tblDescription w:val="Figure 11. National Qualifications Framework Review"/>
      </w:tblPr>
      <w:tblGrid>
        <w:gridCol w:w="1993"/>
        <w:gridCol w:w="1993"/>
        <w:gridCol w:w="1994"/>
        <w:gridCol w:w="1994"/>
      </w:tblGrid>
      <w:tr w:rsidR="001E417F" w14:paraId="34A73433"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312E135C" w14:textId="77777777" w:rsidR="001E417F" w:rsidRPr="006E170D" w:rsidRDefault="00344F5E" w:rsidP="00DC0C9E">
            <w:pPr>
              <w:pStyle w:val="TBLHeading"/>
            </w:pPr>
            <w:r>
              <w:t>Decision Date</w:t>
            </w:r>
          </w:p>
        </w:tc>
        <w:tc>
          <w:tcPr>
            <w:tcW w:w="1250" w:type="pct"/>
            <w:tcBorders>
              <w:top w:val="none" w:sz="0" w:space="0" w:color="auto"/>
              <w:bottom w:val="none" w:sz="0" w:space="0" w:color="auto"/>
            </w:tcBorders>
            <w:vAlign w:val="center"/>
          </w:tcPr>
          <w:p w14:paraId="4FA9719C" w14:textId="77777777" w:rsidR="001E417F" w:rsidRPr="006E170D" w:rsidRDefault="00716410" w:rsidP="00DC0C9E">
            <w:pPr>
              <w:pStyle w:val="TBLHeading"/>
            </w:pPr>
            <w:r>
              <w:t>Compliant at consultation</w:t>
            </w:r>
          </w:p>
        </w:tc>
        <w:tc>
          <w:tcPr>
            <w:tcW w:w="1250" w:type="pct"/>
            <w:tcBorders>
              <w:top w:val="none" w:sz="0" w:space="0" w:color="auto"/>
              <w:bottom w:val="none" w:sz="0" w:space="0" w:color="auto"/>
            </w:tcBorders>
            <w:vAlign w:val="center"/>
          </w:tcPr>
          <w:p w14:paraId="32784890" w14:textId="77777777" w:rsidR="001E417F" w:rsidRPr="006E170D" w:rsidRDefault="001E417F"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4B847C73" w14:textId="2F1A23F0" w:rsidR="001E417F" w:rsidRPr="006E170D" w:rsidRDefault="001E417F" w:rsidP="00DC0C9E">
            <w:pPr>
              <w:pStyle w:val="TBLHeading"/>
            </w:pPr>
            <w:r>
              <w:t xml:space="preserve">Final </w:t>
            </w:r>
            <w:r w:rsidR="00997E86">
              <w:t xml:space="preserve">IA </w:t>
            </w:r>
            <w:r>
              <w:t>published</w:t>
            </w:r>
          </w:p>
        </w:tc>
      </w:tr>
      <w:tr w:rsidR="001E417F" w14:paraId="733AED13" w14:textId="77777777" w:rsidTr="000A4249">
        <w:trPr>
          <w:trHeight w:val="20"/>
        </w:trPr>
        <w:tc>
          <w:tcPr>
            <w:tcW w:w="1250" w:type="pct"/>
            <w:vAlign w:val="center"/>
          </w:tcPr>
          <w:p w14:paraId="0D8A5C00" w14:textId="77777777" w:rsidR="001E417F" w:rsidRPr="00DA3031" w:rsidRDefault="00DA3031" w:rsidP="00DA3031">
            <w:pPr>
              <w:pStyle w:val="TBLText"/>
            </w:pPr>
            <w:r w:rsidRPr="00DA3031">
              <w:t>10 June</w:t>
            </w:r>
            <w:r w:rsidR="0003201F" w:rsidRPr="00DA3031">
              <w:t xml:space="preserve"> 202</w:t>
            </w:r>
            <w:r w:rsidRPr="00DA3031">
              <w:t>2</w:t>
            </w:r>
          </w:p>
        </w:tc>
        <w:tc>
          <w:tcPr>
            <w:tcW w:w="1250" w:type="pct"/>
            <w:vAlign w:val="center"/>
          </w:tcPr>
          <w:p w14:paraId="0FF82CD1" w14:textId="77777777" w:rsidR="001E417F" w:rsidRPr="006E170D" w:rsidRDefault="001B1E35" w:rsidP="0003201F">
            <w:pPr>
              <w:pStyle w:val="TBLText"/>
            </w:pPr>
            <w:r>
              <w:t>Yes</w:t>
            </w:r>
          </w:p>
        </w:tc>
        <w:tc>
          <w:tcPr>
            <w:tcW w:w="1250" w:type="pct"/>
            <w:vAlign w:val="center"/>
          </w:tcPr>
          <w:p w14:paraId="3EDC05F9" w14:textId="77777777" w:rsidR="001E417F" w:rsidRPr="006E170D" w:rsidRDefault="0003201F" w:rsidP="0003201F">
            <w:pPr>
              <w:pStyle w:val="TBLText"/>
            </w:pPr>
            <w:r w:rsidRPr="00144255">
              <w:t>Yes</w:t>
            </w:r>
          </w:p>
        </w:tc>
        <w:tc>
          <w:tcPr>
            <w:tcW w:w="1250" w:type="pct"/>
            <w:vAlign w:val="center"/>
          </w:tcPr>
          <w:p w14:paraId="19DDF634" w14:textId="77777777" w:rsidR="001E417F" w:rsidRPr="006E170D" w:rsidRDefault="00C622F1" w:rsidP="00C622F1">
            <w:pPr>
              <w:pStyle w:val="TBLText"/>
            </w:pPr>
            <w:r>
              <w:t>8</w:t>
            </w:r>
            <w:r w:rsidR="0003201F" w:rsidRPr="00144255">
              <w:t xml:space="preserve"> </w:t>
            </w:r>
            <w:r w:rsidR="0003201F">
              <w:t>July</w:t>
            </w:r>
            <w:r w:rsidR="0003201F" w:rsidRPr="00144255">
              <w:t xml:space="preserve"> 202</w:t>
            </w:r>
            <w:r>
              <w:t>2</w:t>
            </w:r>
          </w:p>
        </w:tc>
      </w:tr>
    </w:tbl>
    <w:p w14:paraId="13353660" w14:textId="45118C8A" w:rsidR="00C622F1" w:rsidRDefault="00C622F1" w:rsidP="00C622F1">
      <w:bookmarkStart w:id="21" w:name="_Toc98330801"/>
      <w:r w:rsidRPr="00C622F1">
        <w:t xml:space="preserve">The National Quality Framework (NQF) provides a national approach to the regulation of the quality of education and care services across Australia. The review identified three areas for improvement to ensure the NFQ continues to support quality, safe early childhood education: poor information accessibility; administrative and regulatory compliance burdens; and unacceptable hazards or risks to children. In December 2018, Commonwealth, state and territory education ministers agreed to commission the review to ensure the NFQ is fit for purpose and complies with best practice regulatory standards.  </w:t>
      </w:r>
    </w:p>
    <w:p w14:paraId="1DD4251B" w14:textId="5CC44D3F" w:rsidR="00C01BDB" w:rsidRPr="00A96867" w:rsidRDefault="00C01BDB" w:rsidP="00C01BDB">
      <w:pPr>
        <w:pStyle w:val="Heading2"/>
      </w:pPr>
      <w:bookmarkStart w:id="22" w:name="_Toc138254233"/>
      <w:r>
        <w:t>Queensland Health</w:t>
      </w:r>
      <w:bookmarkEnd w:id="22"/>
    </w:p>
    <w:p w14:paraId="6EA02D49" w14:textId="20CEBD2C" w:rsidR="00C01BDB" w:rsidRPr="00C53754" w:rsidRDefault="00C01BDB" w:rsidP="00C53754">
      <w:pPr>
        <w:pStyle w:val="Heading3"/>
      </w:pPr>
      <w:bookmarkStart w:id="23" w:name="_Toc138254234"/>
      <w:r w:rsidRPr="00C53754">
        <w:rPr>
          <w:rStyle w:val="field"/>
        </w:rPr>
        <w:t>Menu Labelling in Australia and New Zealand</w:t>
      </w:r>
      <w:bookmarkEnd w:id="23"/>
    </w:p>
    <w:p w14:paraId="11F6375E" w14:textId="7C8C72B1" w:rsidR="00C01BDB" w:rsidRPr="00774646" w:rsidRDefault="00C01BDB" w:rsidP="00C01BDB">
      <w:pPr>
        <w:pStyle w:val="Figure"/>
        <w:ind w:left="567"/>
      </w:pPr>
      <w:r>
        <w:t>Queensland Health</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2. Queensland Health"/>
        <w:tblDescription w:val="Figure 12. Queensland Health"/>
      </w:tblPr>
      <w:tblGrid>
        <w:gridCol w:w="1993"/>
        <w:gridCol w:w="1993"/>
        <w:gridCol w:w="1994"/>
        <w:gridCol w:w="1994"/>
      </w:tblGrid>
      <w:tr w:rsidR="00C01BDB" w14:paraId="34A3B7EF" w14:textId="77777777" w:rsidTr="00F307DD">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2DB6CFB7" w14:textId="77777777" w:rsidR="00C01BDB" w:rsidRPr="006E170D" w:rsidRDefault="00C01BDB" w:rsidP="00F307DD">
            <w:pPr>
              <w:pStyle w:val="TBLHeading"/>
            </w:pPr>
            <w:r>
              <w:t>Decision Date</w:t>
            </w:r>
          </w:p>
        </w:tc>
        <w:tc>
          <w:tcPr>
            <w:tcW w:w="1250" w:type="pct"/>
            <w:tcBorders>
              <w:top w:val="none" w:sz="0" w:space="0" w:color="auto"/>
              <w:bottom w:val="none" w:sz="0" w:space="0" w:color="auto"/>
            </w:tcBorders>
            <w:vAlign w:val="center"/>
          </w:tcPr>
          <w:p w14:paraId="594B6CA8" w14:textId="77777777" w:rsidR="00C01BDB" w:rsidRPr="006E170D" w:rsidRDefault="00C01BDB" w:rsidP="00F307DD">
            <w:pPr>
              <w:pStyle w:val="TBLHeading"/>
            </w:pPr>
            <w:r>
              <w:t>Compliant at consultation</w:t>
            </w:r>
          </w:p>
        </w:tc>
        <w:tc>
          <w:tcPr>
            <w:tcW w:w="1250" w:type="pct"/>
            <w:tcBorders>
              <w:top w:val="none" w:sz="0" w:space="0" w:color="auto"/>
              <w:bottom w:val="none" w:sz="0" w:space="0" w:color="auto"/>
            </w:tcBorders>
            <w:vAlign w:val="center"/>
          </w:tcPr>
          <w:p w14:paraId="3D944651" w14:textId="77777777" w:rsidR="00C01BDB" w:rsidRPr="006E170D" w:rsidRDefault="00C01BDB" w:rsidP="00F307DD">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C5A70BB" w14:textId="77777777" w:rsidR="00C01BDB" w:rsidRPr="006E170D" w:rsidRDefault="00C01BDB" w:rsidP="00F307DD">
            <w:pPr>
              <w:pStyle w:val="TBLHeading"/>
            </w:pPr>
            <w:r>
              <w:t>Final IA published</w:t>
            </w:r>
          </w:p>
        </w:tc>
      </w:tr>
      <w:tr w:rsidR="00C01BDB" w14:paraId="51B14467" w14:textId="77777777" w:rsidTr="00F307DD">
        <w:trPr>
          <w:trHeight w:val="20"/>
        </w:trPr>
        <w:tc>
          <w:tcPr>
            <w:tcW w:w="1250" w:type="pct"/>
            <w:vAlign w:val="center"/>
          </w:tcPr>
          <w:p w14:paraId="07D42B5D" w14:textId="13BF75A5" w:rsidR="00C01BDB" w:rsidRPr="00DA3031" w:rsidRDefault="00C01BDB" w:rsidP="00C24097">
            <w:pPr>
              <w:pStyle w:val="TBLText"/>
            </w:pPr>
            <w:r>
              <w:t>25 November 202</w:t>
            </w:r>
            <w:r w:rsidR="00C24097">
              <w:t>2</w:t>
            </w:r>
          </w:p>
        </w:tc>
        <w:tc>
          <w:tcPr>
            <w:tcW w:w="1250" w:type="pct"/>
            <w:vAlign w:val="center"/>
          </w:tcPr>
          <w:p w14:paraId="71903299" w14:textId="4C109D99" w:rsidR="00C01BDB" w:rsidRPr="006E170D" w:rsidRDefault="0089203F" w:rsidP="0089203F">
            <w:pPr>
              <w:pStyle w:val="TBLText"/>
            </w:pPr>
            <w:r w:rsidRPr="0089203F">
              <w:t>Yes</w:t>
            </w:r>
          </w:p>
        </w:tc>
        <w:tc>
          <w:tcPr>
            <w:tcW w:w="1250" w:type="pct"/>
            <w:vAlign w:val="center"/>
          </w:tcPr>
          <w:p w14:paraId="43F2110A" w14:textId="32F5CD3C" w:rsidR="00C01BDB" w:rsidRPr="00C01BDB" w:rsidRDefault="008517C7" w:rsidP="00F307DD">
            <w:pPr>
              <w:pStyle w:val="TBLText"/>
              <w:rPr>
                <w:highlight w:val="yellow"/>
              </w:rPr>
            </w:pPr>
            <w:r w:rsidRPr="008517C7">
              <w:t>Yes</w:t>
            </w:r>
          </w:p>
        </w:tc>
        <w:tc>
          <w:tcPr>
            <w:tcW w:w="1250" w:type="pct"/>
            <w:vAlign w:val="center"/>
          </w:tcPr>
          <w:p w14:paraId="38849768" w14:textId="257F08BB" w:rsidR="00C01BDB" w:rsidRPr="006E170D" w:rsidRDefault="00C01BDB" w:rsidP="00F307DD">
            <w:pPr>
              <w:pStyle w:val="TBLText"/>
            </w:pPr>
            <w:r>
              <w:t>1 June 2023</w:t>
            </w:r>
          </w:p>
        </w:tc>
      </w:tr>
    </w:tbl>
    <w:p w14:paraId="3566082E" w14:textId="77777777" w:rsidR="002D03E8" w:rsidRDefault="002D03E8" w:rsidP="002D03E8">
      <w:r>
        <w:t xml:space="preserve">The Decision RIS assessed options for enhancing menu labelling to facilitate informed purchase decisions by providing all Australians and New Zealanders with access to information at the point-of-sale about the energy content of ready-to-eat food and drinks. </w:t>
      </w:r>
    </w:p>
    <w:p w14:paraId="26549D8F" w14:textId="77777777" w:rsidR="002D03E8" w:rsidRDefault="002D03E8" w:rsidP="002D03E8">
      <w:r>
        <w:t>Four options for developing a food regulatory measure in the Australia New Zealand Food Standards Code were considered:</w:t>
      </w:r>
    </w:p>
    <w:p w14:paraId="4072C7B4" w14:textId="77777777" w:rsidR="002D03E8" w:rsidRDefault="002D03E8" w:rsidP="002D03E8">
      <w:r>
        <w:t>Option 1 (Status quo): Allow jurisdictions to choose how to implement menu labelling that is consistent with the 2011 Principles.</w:t>
      </w:r>
    </w:p>
    <w:p w14:paraId="0E640C07" w14:textId="77777777" w:rsidR="002D03E8" w:rsidRDefault="002D03E8" w:rsidP="002D03E8">
      <w:r>
        <w:t>Option 2: Encourage all jurisdictions to consistently implement menu labelling schemes in their own legislation, in accordance with amended Principles.</w:t>
      </w:r>
    </w:p>
    <w:p w14:paraId="2F2E0E88" w14:textId="77777777" w:rsidR="002D03E8" w:rsidRDefault="002D03E8" w:rsidP="002D03E8">
      <w:r>
        <w:t>Option 3: Develop a mandatory food regulatory measure for menu labelling in the Australia New Zealand Food Standards Code.</w:t>
      </w:r>
    </w:p>
    <w:p w14:paraId="14F054C5" w14:textId="77777777" w:rsidR="002D03E8" w:rsidRDefault="002D03E8" w:rsidP="002D03E8">
      <w:r>
        <w:t>Option 4: Encourage industry to voluntarily implement enhancements to menu labelling.</w:t>
      </w:r>
    </w:p>
    <w:p w14:paraId="62F0C97A" w14:textId="77777777" w:rsidR="002D03E8" w:rsidRDefault="002D03E8" w:rsidP="002D03E8"/>
    <w:p w14:paraId="4A6E4B33" w14:textId="77777777" w:rsidR="002D03E8" w:rsidRDefault="002D03E8" w:rsidP="002D03E8">
      <w:r>
        <w:lastRenderedPageBreak/>
        <w:t>In addition, consumer education about kilojoules, ready-to-eat foods, making healthier food purchase choices, and using menu labelling is proposed to complement any of the options.</w:t>
      </w:r>
    </w:p>
    <w:p w14:paraId="44F77F8D" w14:textId="77777777" w:rsidR="002D03E8" w:rsidRDefault="002D03E8" w:rsidP="002D03E8">
      <w:r>
        <w:t>Option 3 was the recommended option.</w:t>
      </w:r>
    </w:p>
    <w:p w14:paraId="316B8FE4" w14:textId="5C0B9F9F" w:rsidR="00227A72" w:rsidRPr="00EA083E" w:rsidRDefault="00227A72" w:rsidP="002D03E8">
      <w:pPr>
        <w:pStyle w:val="Heading2"/>
      </w:pPr>
      <w:bookmarkStart w:id="24" w:name="_Toc138254235"/>
      <w:r>
        <w:t>Safe Work Australia</w:t>
      </w:r>
      <w:bookmarkEnd w:id="24"/>
    </w:p>
    <w:p w14:paraId="1B10518A" w14:textId="77777777" w:rsidR="00227A72" w:rsidRPr="00227A72" w:rsidRDefault="00227A72" w:rsidP="00227A72">
      <w:pPr>
        <w:pStyle w:val="Heading3"/>
        <w:rPr>
          <w:rFonts w:eastAsia="Times New Roman"/>
          <w:lang w:eastAsia="en-AU"/>
        </w:rPr>
      </w:pPr>
      <w:bookmarkStart w:id="25" w:name="_Toc138254236"/>
      <w:r w:rsidRPr="00227A72">
        <w:rPr>
          <w:rFonts w:eastAsia="Times New Roman"/>
          <w:lang w:eastAsia="en-AU"/>
        </w:rPr>
        <w:t xml:space="preserve">Managing the risks of </w:t>
      </w:r>
      <w:proofErr w:type="spellStart"/>
      <w:r w:rsidRPr="00227A72">
        <w:rPr>
          <w:rFonts w:eastAsia="Times New Roman"/>
          <w:lang w:eastAsia="en-AU"/>
        </w:rPr>
        <w:t>respirable</w:t>
      </w:r>
      <w:proofErr w:type="spellEnd"/>
      <w:r w:rsidRPr="00227A72">
        <w:rPr>
          <w:rFonts w:eastAsia="Times New Roman"/>
          <w:lang w:eastAsia="en-AU"/>
        </w:rPr>
        <w:t xml:space="preserve"> crystalline silica at work</w:t>
      </w:r>
      <w:bookmarkEnd w:id="25"/>
    </w:p>
    <w:p w14:paraId="5D7465CF" w14:textId="2DB0CF5C" w:rsidR="00227A72" w:rsidRPr="00774646" w:rsidRDefault="00227A72" w:rsidP="00227A72">
      <w:pPr>
        <w:pStyle w:val="Figure"/>
        <w:ind w:left="567"/>
      </w:pPr>
      <w:r>
        <w:t>Managing the risks of respirable crystalline silica at work</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2. Managing the risks of respirable crystalline silica at work"/>
        <w:tblDescription w:val="Figure 12. Managing the risks of respirable crystalline silica at work"/>
      </w:tblPr>
      <w:tblGrid>
        <w:gridCol w:w="1993"/>
        <w:gridCol w:w="1993"/>
        <w:gridCol w:w="1994"/>
        <w:gridCol w:w="1994"/>
      </w:tblGrid>
      <w:tr w:rsidR="00227A72" w14:paraId="6D60B048" w14:textId="77777777" w:rsidTr="000C6A31">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5572973B" w14:textId="77777777" w:rsidR="00227A72" w:rsidRPr="006E170D" w:rsidRDefault="00227A72" w:rsidP="000C6A31">
            <w:pPr>
              <w:pStyle w:val="TBLHeading"/>
            </w:pPr>
            <w:r>
              <w:t>Decision Date</w:t>
            </w:r>
          </w:p>
        </w:tc>
        <w:tc>
          <w:tcPr>
            <w:tcW w:w="1250" w:type="pct"/>
            <w:tcBorders>
              <w:top w:val="none" w:sz="0" w:space="0" w:color="auto"/>
              <w:bottom w:val="none" w:sz="0" w:space="0" w:color="auto"/>
            </w:tcBorders>
            <w:vAlign w:val="center"/>
          </w:tcPr>
          <w:p w14:paraId="282094E4" w14:textId="77777777" w:rsidR="00227A72" w:rsidRPr="006E170D" w:rsidRDefault="00227A72" w:rsidP="000C6A31">
            <w:pPr>
              <w:pStyle w:val="TBLHeading"/>
            </w:pPr>
            <w:r>
              <w:t>Compliant at consultation</w:t>
            </w:r>
          </w:p>
        </w:tc>
        <w:tc>
          <w:tcPr>
            <w:tcW w:w="1250" w:type="pct"/>
            <w:tcBorders>
              <w:top w:val="none" w:sz="0" w:space="0" w:color="auto"/>
              <w:bottom w:val="none" w:sz="0" w:space="0" w:color="auto"/>
            </w:tcBorders>
            <w:vAlign w:val="center"/>
          </w:tcPr>
          <w:p w14:paraId="04FCBC3C" w14:textId="77777777" w:rsidR="00227A72" w:rsidRPr="006E170D" w:rsidRDefault="00227A72" w:rsidP="000C6A31">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6ECDEF42" w14:textId="77777777" w:rsidR="00227A72" w:rsidRPr="006E170D" w:rsidRDefault="00227A72" w:rsidP="000C6A31">
            <w:pPr>
              <w:pStyle w:val="TBLHeading"/>
            </w:pPr>
            <w:r>
              <w:t>Final IA published</w:t>
            </w:r>
          </w:p>
        </w:tc>
      </w:tr>
      <w:tr w:rsidR="00227A72" w14:paraId="5ADC6EC5" w14:textId="77777777" w:rsidTr="000C6A31">
        <w:trPr>
          <w:trHeight w:val="20"/>
        </w:trPr>
        <w:tc>
          <w:tcPr>
            <w:tcW w:w="1250" w:type="pct"/>
            <w:vAlign w:val="center"/>
          </w:tcPr>
          <w:p w14:paraId="3157BD5B" w14:textId="26B8170D" w:rsidR="00227A72" w:rsidRPr="00DA3031" w:rsidRDefault="00F02A10" w:rsidP="00F02A10">
            <w:pPr>
              <w:pStyle w:val="TBLText"/>
            </w:pPr>
            <w:r>
              <w:t>28</w:t>
            </w:r>
            <w:r w:rsidR="00227A72" w:rsidRPr="00DA3031">
              <w:t xml:space="preserve"> </w:t>
            </w:r>
            <w:r>
              <w:t>Feb</w:t>
            </w:r>
            <w:r w:rsidR="00227A72" w:rsidRPr="00DA3031">
              <w:t xml:space="preserve"> 202</w:t>
            </w:r>
            <w:r>
              <w:t>3</w:t>
            </w:r>
          </w:p>
        </w:tc>
        <w:tc>
          <w:tcPr>
            <w:tcW w:w="1250" w:type="pct"/>
            <w:vAlign w:val="center"/>
          </w:tcPr>
          <w:p w14:paraId="0E082800" w14:textId="77777777" w:rsidR="00227A72" w:rsidRPr="006E170D" w:rsidRDefault="00227A72" w:rsidP="000C6A31">
            <w:pPr>
              <w:pStyle w:val="TBLText"/>
            </w:pPr>
            <w:r>
              <w:t>Yes</w:t>
            </w:r>
          </w:p>
        </w:tc>
        <w:tc>
          <w:tcPr>
            <w:tcW w:w="1250" w:type="pct"/>
            <w:vAlign w:val="center"/>
          </w:tcPr>
          <w:p w14:paraId="69F3369A" w14:textId="77777777" w:rsidR="00227A72" w:rsidRPr="006E170D" w:rsidRDefault="00227A72" w:rsidP="000C6A31">
            <w:pPr>
              <w:pStyle w:val="TBLText"/>
            </w:pPr>
            <w:r w:rsidRPr="00144255">
              <w:t>Yes</w:t>
            </w:r>
          </w:p>
        </w:tc>
        <w:tc>
          <w:tcPr>
            <w:tcW w:w="1250" w:type="pct"/>
            <w:vAlign w:val="center"/>
          </w:tcPr>
          <w:p w14:paraId="3282B166" w14:textId="08BFE40C" w:rsidR="00227A72" w:rsidRPr="006E170D" w:rsidRDefault="00356F57" w:rsidP="00356F57">
            <w:pPr>
              <w:pStyle w:val="TBLText"/>
            </w:pPr>
            <w:r>
              <w:t>1 Mar</w:t>
            </w:r>
            <w:r w:rsidR="00227A72" w:rsidRPr="00144255">
              <w:t xml:space="preserve"> 202</w:t>
            </w:r>
            <w:r>
              <w:t>3</w:t>
            </w:r>
          </w:p>
        </w:tc>
      </w:tr>
    </w:tbl>
    <w:p w14:paraId="2DD4A23F" w14:textId="03917A19" w:rsidR="00227A72" w:rsidRDefault="00227A72" w:rsidP="00227A72">
      <w:r>
        <w:t xml:space="preserve">Workers in a broad range of industries including manufacturing, stonemasonry, construction, tunnelling, demolition, mining and quarrying are exposed to </w:t>
      </w:r>
      <w:proofErr w:type="spellStart"/>
      <w:r>
        <w:t>respirable</w:t>
      </w:r>
      <w:proofErr w:type="spellEnd"/>
      <w:r>
        <w:t xml:space="preserve"> crystalline silica (RCS). In 2011, an estimated 6.6 per cent of Australian workers were exposed, and 3.7 per cent of workers were heavily exposed, to RCS. There are also multiple reports of personal exposure above the current workplace exposure standard across industry sectors, where adequate engineering controls are not employed. Stakeholder consultation highlighted that a lack of awareness of the risks associated with RCS and a lack of clarity on how to comply with the model WHS laws contributes to the number of cases of silicosis and silica-related diseases.</w:t>
      </w:r>
    </w:p>
    <w:p w14:paraId="34AFC19D" w14:textId="672E23F1" w:rsidR="00227A72" w:rsidRDefault="00227A72" w:rsidP="00227A72">
      <w:r>
        <w:t xml:space="preserve">The Decision IA considers the following options to address the outlined problem: </w:t>
      </w:r>
    </w:p>
    <w:p w14:paraId="787D75F2" w14:textId="77777777" w:rsidR="00227A72" w:rsidRDefault="00227A72" w:rsidP="00227A72">
      <w:r>
        <w:t xml:space="preserve">- </w:t>
      </w:r>
      <w:proofErr w:type="gramStart"/>
      <w:r>
        <w:t>national</w:t>
      </w:r>
      <w:proofErr w:type="gramEnd"/>
      <w:r>
        <w:t xml:space="preserve"> awareness and behaviour change initiatives</w:t>
      </w:r>
    </w:p>
    <w:p w14:paraId="4FC02F5A" w14:textId="77777777" w:rsidR="00227A72" w:rsidRDefault="00227A72" w:rsidP="00227A72">
      <w:r>
        <w:t xml:space="preserve">- </w:t>
      </w:r>
      <w:proofErr w:type="gramStart"/>
      <w:r>
        <w:t>national</w:t>
      </w:r>
      <w:proofErr w:type="gramEnd"/>
      <w:r>
        <w:t xml:space="preserve"> licensing framework for persons conducting a business or undertaking (PCBU) working with engineered stone</w:t>
      </w:r>
    </w:p>
    <w:p w14:paraId="7141C7F8" w14:textId="77777777" w:rsidR="00227A72" w:rsidRDefault="00227A72" w:rsidP="00227A72">
      <w:r>
        <w:t xml:space="preserve">- </w:t>
      </w:r>
      <w:proofErr w:type="gramStart"/>
      <w:r>
        <w:t>regulation</w:t>
      </w:r>
      <w:proofErr w:type="gramEnd"/>
      <w:r>
        <w:t xml:space="preserve"> of high risk crystalline silica processes for all materials, including engineered stone</w:t>
      </w:r>
    </w:p>
    <w:p w14:paraId="5FCB0838" w14:textId="77777777" w:rsidR="00227A72" w:rsidRDefault="00227A72" w:rsidP="00227A72">
      <w:r>
        <w:t xml:space="preserve">- </w:t>
      </w:r>
      <w:proofErr w:type="gramStart"/>
      <w:r>
        <w:t>regulation</w:t>
      </w:r>
      <w:proofErr w:type="gramEnd"/>
      <w:r>
        <w:t xml:space="preserve"> of high risk crystalline silica processes for all materials other than engineered stone </w:t>
      </w:r>
    </w:p>
    <w:p w14:paraId="30641BCD" w14:textId="77777777" w:rsidR="00227A72" w:rsidRDefault="00227A72" w:rsidP="00227A72">
      <w:r>
        <w:t xml:space="preserve">- </w:t>
      </w:r>
      <w:proofErr w:type="gramStart"/>
      <w:r>
        <w:t>a</w:t>
      </w:r>
      <w:proofErr w:type="gramEnd"/>
      <w:r>
        <w:t xml:space="preserve"> prohibition on engineered stone </w:t>
      </w:r>
    </w:p>
    <w:p w14:paraId="4D49622C" w14:textId="3875A1DF" w:rsidR="00227A72" w:rsidRDefault="00227A72" w:rsidP="00227A72">
      <w:r>
        <w:t>The Decision IA recommends national awareness and behaviour changes activities, and regulation of high-risk crystalline silica processes for all materials (including engineered stone). The Decision IA recommends further analysis and consultation with industry is required to understand the impacts of a prohibition on engineered stone.</w:t>
      </w:r>
    </w:p>
    <w:p w14:paraId="7B73B685" w14:textId="01240583" w:rsidR="00D03322" w:rsidRDefault="00997E86" w:rsidP="00D03322">
      <w:pPr>
        <w:pStyle w:val="Heading1"/>
      </w:pPr>
      <w:bookmarkStart w:id="26" w:name="_Toc138254237"/>
      <w:r>
        <w:t>IA</w:t>
      </w:r>
      <w:r w:rsidR="00D03322" w:rsidRPr="002A638C">
        <w:t>s prepared for consultation in 202</w:t>
      </w:r>
      <w:r w:rsidR="0058600C">
        <w:t>2</w:t>
      </w:r>
      <w:r w:rsidR="00D03322" w:rsidRPr="002A638C">
        <w:t>-2</w:t>
      </w:r>
      <w:bookmarkEnd w:id="21"/>
      <w:r w:rsidR="0058600C">
        <w:t>3</w:t>
      </w:r>
      <w:bookmarkEnd w:id="26"/>
    </w:p>
    <w:p w14:paraId="212E0E9E" w14:textId="6E94FB95" w:rsidR="00D03322" w:rsidRDefault="00D03322" w:rsidP="00D03322">
      <w:bookmarkStart w:id="27" w:name="_Toc432587379"/>
      <w:bookmarkStart w:id="28" w:name="_Toc432175595"/>
      <w:bookmarkStart w:id="29" w:name="_Toc428440455"/>
      <w:bookmarkStart w:id="30" w:name="_Toc428440028"/>
      <w:bookmarkStart w:id="31" w:name="_Toc424049626"/>
      <w:bookmarkStart w:id="32" w:name="_Toc419707558"/>
      <w:bookmarkStart w:id="33" w:name="_Toc473715465"/>
      <w:bookmarkStart w:id="34" w:name="_Toc459800321"/>
      <w:bookmarkStart w:id="35" w:name="_Toc451264807"/>
      <w:bookmarkStart w:id="36" w:name="_Toc451264240"/>
      <w:bookmarkStart w:id="37" w:name="_Toc451168646"/>
      <w:bookmarkStart w:id="38" w:name="_Toc447532697"/>
      <w:bookmarkStart w:id="39" w:name="_Toc446318438"/>
      <w:bookmarkStart w:id="40" w:name="_Toc445974404"/>
      <w:bookmarkStart w:id="41" w:name="_Toc445974143"/>
      <w:bookmarkStart w:id="42" w:name="_Toc445973445"/>
      <w:bookmarkStart w:id="43" w:name="_Toc440639816"/>
      <w:bookmarkStart w:id="44" w:name="_Toc438539631"/>
      <w:r>
        <w:t xml:space="preserve">The following consultation </w:t>
      </w:r>
      <w:r w:rsidR="00997E86">
        <w:t>IA</w:t>
      </w:r>
      <w:r>
        <w:t xml:space="preserve">s have been published </w:t>
      </w:r>
      <w:bookmarkEnd w:id="27"/>
      <w:bookmarkEnd w:id="28"/>
      <w:bookmarkEnd w:id="29"/>
      <w:bookmarkEnd w:id="30"/>
      <w:bookmarkEnd w:id="31"/>
      <w:bookmarkEnd w:id="32"/>
      <w:r>
        <w:t>for consultation in 202</w:t>
      </w:r>
      <w:r w:rsidR="0058600C">
        <w:t>2</w:t>
      </w:r>
      <w:r>
        <w:t>-2</w:t>
      </w:r>
      <w:bookmarkEnd w:id="33"/>
      <w:bookmarkEnd w:id="34"/>
      <w:bookmarkEnd w:id="35"/>
      <w:bookmarkEnd w:id="36"/>
      <w:bookmarkEnd w:id="37"/>
      <w:bookmarkEnd w:id="38"/>
      <w:bookmarkEnd w:id="39"/>
      <w:bookmarkEnd w:id="40"/>
      <w:bookmarkEnd w:id="41"/>
      <w:bookmarkEnd w:id="42"/>
      <w:bookmarkEnd w:id="43"/>
      <w:bookmarkEnd w:id="44"/>
      <w:r w:rsidR="0058600C">
        <w:t>3</w:t>
      </w:r>
      <w:r>
        <w:t>.</w:t>
      </w:r>
    </w:p>
    <w:p w14:paraId="7EF39870" w14:textId="77777777" w:rsidR="00D03322" w:rsidRDefault="00731174" w:rsidP="00D03322">
      <w:pPr>
        <w:pStyle w:val="Heading2"/>
      </w:pPr>
      <w:bookmarkStart w:id="45" w:name="_Toc138254238"/>
      <w:r>
        <w:lastRenderedPageBreak/>
        <w:t>Decis</w:t>
      </w:r>
      <w:bookmarkStart w:id="46" w:name="_GoBack"/>
      <w:bookmarkEnd w:id="46"/>
      <w:r>
        <w:t xml:space="preserve">ion-making body: </w:t>
      </w:r>
      <w:r w:rsidR="00D03322" w:rsidRPr="00EE32BB">
        <w:t>Australian Energy Market Commission</w:t>
      </w:r>
      <w:bookmarkEnd w:id="45"/>
    </w:p>
    <w:p w14:paraId="622C071B" w14:textId="77777777" w:rsidR="00BB2F06" w:rsidRDefault="00BB2F06" w:rsidP="00BB2F06">
      <w:pPr>
        <w:pStyle w:val="Heading3"/>
      </w:pPr>
      <w:bookmarkStart w:id="47" w:name="_Toc138254239"/>
      <w:r w:rsidRPr="00BB2F06">
        <w:t>Material change in network infrastructure project costs</w:t>
      </w:r>
      <w:bookmarkEnd w:id="47"/>
    </w:p>
    <w:p w14:paraId="4E1991EA" w14:textId="77777777" w:rsidR="00D03322" w:rsidRDefault="0060282F" w:rsidP="00D03322">
      <w:r>
        <w:t>Closing date: 1 September 202</w:t>
      </w:r>
      <w:r w:rsidR="00BB2F06">
        <w:t>2</w:t>
      </w:r>
    </w:p>
    <w:p w14:paraId="45FFA88E" w14:textId="77777777" w:rsidR="00BB2F06" w:rsidRDefault="00BB2F06" w:rsidP="00BB2F06">
      <w:r>
        <w:t>This determination process responds to concerns with the implementation of the Regulatory Investment Test (RIT) process, which is a form of cost benefit analysis. The purpose of the RIT is to identify network investments that maximise the present value of net economic benefits in the market. Before investing in a significant transmission or distribution project to meet an identified need on the network, a proponent must consider all credible options (including potential non-network solutions) to meet that need, before selecting the option that maximises the net economic benefit across the market.</w:t>
      </w:r>
    </w:p>
    <w:p w14:paraId="7BF234A9" w14:textId="77777777" w:rsidR="00BB2F06" w:rsidRDefault="00BB2F06" w:rsidP="00BB2F06">
      <w:r>
        <w:t>Under existing arrangements, the RIT must only be reapplied where, in the reasonable opinion of the project proponent, there has been a material change in circumstances. However, there are examples of where the RIT has not been triggered, despite significant increases in transmission costs.</w:t>
      </w:r>
    </w:p>
    <w:p w14:paraId="15DB38E0" w14:textId="77777777" w:rsidR="0060282F" w:rsidRDefault="00BB2F06" w:rsidP="00BB2F06">
      <w:r>
        <w:t>The draft rule aims to provide clarity on the process for determining whether a material change in the circumstances has occurred for the RIT. In addition, the rule also seeks to improve cost estimate accuracy by clarifying the rules governing the guidelines for RITs in order to support strengthened guidelines for cost estimate development.</w:t>
      </w:r>
    </w:p>
    <w:p w14:paraId="1621980F" w14:textId="77777777" w:rsidR="004C5D63" w:rsidRDefault="004C5D63" w:rsidP="004C5D63">
      <w:pPr>
        <w:pStyle w:val="Heading2"/>
      </w:pPr>
      <w:bookmarkStart w:id="48" w:name="_Toc138254240"/>
      <w:r>
        <w:t xml:space="preserve">Decision-making body: </w:t>
      </w:r>
      <w:proofErr w:type="spellStart"/>
      <w:r>
        <w:t>Austroads</w:t>
      </w:r>
      <w:bookmarkEnd w:id="48"/>
      <w:proofErr w:type="spellEnd"/>
    </w:p>
    <w:p w14:paraId="21D33125" w14:textId="2D27AF5F" w:rsidR="004C5D63" w:rsidRDefault="004C5D63" w:rsidP="00102061">
      <w:pPr>
        <w:pStyle w:val="Heading3"/>
      </w:pPr>
      <w:bookmarkStart w:id="49" w:name="_Toc138254241"/>
      <w:r w:rsidRPr="004C5D63">
        <w:t xml:space="preserve">National Heavy Vehicle Drive Competency Framework Consultation </w:t>
      </w:r>
      <w:r w:rsidR="00997E86">
        <w:t>IA</w:t>
      </w:r>
      <w:bookmarkEnd w:id="49"/>
    </w:p>
    <w:p w14:paraId="3E112D09" w14:textId="77777777" w:rsidR="004C5D63" w:rsidRDefault="004C5D63" w:rsidP="004C5D63">
      <w:r>
        <w:t>Closing date: 28 October 2022</w:t>
      </w:r>
    </w:p>
    <w:p w14:paraId="33F98EE2" w14:textId="79AC2BEB" w:rsidR="004C5D63" w:rsidRDefault="004C5D63" w:rsidP="004C5D63">
      <w:pPr>
        <w:rPr>
          <w:shd w:val="clear" w:color="auto" w:fill="FFFFFF"/>
        </w:rPr>
      </w:pPr>
      <w:r>
        <w:rPr>
          <w:shd w:val="clear" w:color="auto" w:fill="FFFFFF"/>
        </w:rPr>
        <w:t>The National Heavy Vehicle Driver Competency Framework (NHVDCF) was developed collaboratively by governments to establish minimum competency and assessment standards for heavy vehicle drivers across Australia. It is intended to provide a framework that is adopted by all Jurisdictions in their heavy vehicle licensing regimes to ensure a nationally consistent approach to heavy vehicle driver training and competency assessment. Reforms to the NHVDCF aim to deliver improved road safety outcomes whilst supporting the use of high productivity vehicles. The proposal also seeks to provide reasonable access to heavy vehicle licences for social and personal use.</w:t>
      </w:r>
    </w:p>
    <w:p w14:paraId="0E63B98A" w14:textId="0A04AD39" w:rsidR="00B84E33" w:rsidRDefault="00B84E33" w:rsidP="00B84E33">
      <w:pPr>
        <w:pStyle w:val="Heading2"/>
      </w:pPr>
      <w:bookmarkStart w:id="50" w:name="_Toc138254242"/>
      <w:r>
        <w:t>Decision-making body: Department of Agriculture, Fisheries and Forestry</w:t>
      </w:r>
      <w:bookmarkEnd w:id="50"/>
    </w:p>
    <w:p w14:paraId="22D1A6F2" w14:textId="3BF39BD7" w:rsidR="00B84E33" w:rsidRDefault="00B84E33" w:rsidP="00B84E33">
      <w:pPr>
        <w:pStyle w:val="Heading3"/>
      </w:pPr>
      <w:bookmarkStart w:id="51" w:name="_Toc138254243"/>
      <w:r>
        <w:t>Improving the welfare of horses during land transport</w:t>
      </w:r>
      <w:bookmarkEnd w:id="51"/>
    </w:p>
    <w:p w14:paraId="5FFE5426" w14:textId="77777777" w:rsidR="00B84E33" w:rsidRDefault="00B84E33" w:rsidP="00B84E33">
      <w:r>
        <w:t>Closing date: 28 October 2022</w:t>
      </w:r>
    </w:p>
    <w:p w14:paraId="5C0A9477" w14:textId="77777777" w:rsidR="00B84E33" w:rsidRDefault="00B84E33" w:rsidP="00B84E33">
      <w:r>
        <w:t xml:space="preserve">Horse welfare issues during transport were brought to the attention of regulators, stakeholders and the community after the ABC’s 7.30 program ‘The Final Race’ aired in October 2019. Footage of horses, including retired thoroughbred and standard bred horses, treatment at a Queensland abattoir raised serious </w:t>
      </w:r>
      <w:r>
        <w:lastRenderedPageBreak/>
        <w:t>questions about the welfare and management of horses, including their transport across Australia. These incidents often relate to horses that have been transported loose in the back of a truck or trailer, and as a result, have sustained serious injuries or are dead at the time of unloading. Other horses arrive in poor condition. Problems including traumatic injuries, transport-related diarrhoea, heat stroke, muscular problems, colic, pneumonia and laminitis are also evidenced by data on animal welfare incidents involving horses in professional and amateur racing, equestrian sport, endurance racing, horse breeding and recreational non-competitive sectors.  Risks to horses during transport have also been identified by experienced Australian equine veterinarians. Current regulatory requirements do not fully align with current science.</w:t>
      </w:r>
    </w:p>
    <w:p w14:paraId="5D1DC8DC" w14:textId="3D57AE64" w:rsidR="00B84E33" w:rsidRDefault="00B84E33" w:rsidP="00B84E33">
      <w:r>
        <w:t>The Queensland Department of Agriculture and Fisheries, on behalf of the national Animal Welfare Task Group, has prepared a</w:t>
      </w:r>
      <w:r w:rsidR="000F3253">
        <w:t xml:space="preserve"> consultation </w:t>
      </w:r>
      <w:r w:rsidR="00997E86">
        <w:t xml:space="preserve">Impact Analysis (IA) </w:t>
      </w:r>
      <w:r w:rsidR="000F3253">
        <w:t>–</w:t>
      </w:r>
      <w:r w:rsidR="00997E86">
        <w:t xml:space="preserve"> </w:t>
      </w:r>
      <w:r w:rsidR="000F3253">
        <w:t xml:space="preserve">formerly known as a Consultation Regulation Impact Statement (RIS) – </w:t>
      </w:r>
      <w:r>
        <w:t xml:space="preserve">to explain the current regulatory framework and the potential issues that may be arising from it. The Consultation </w:t>
      </w:r>
      <w:r w:rsidR="00997E86">
        <w:t>IA</w:t>
      </w:r>
      <w:r>
        <w:t xml:space="preserve"> also proposes potential reform options which may help to address these issues.</w:t>
      </w:r>
    </w:p>
    <w:p w14:paraId="07EB3B10" w14:textId="77777777" w:rsidR="004C5D63" w:rsidRPr="00B031AC" w:rsidRDefault="004C5D63" w:rsidP="00BB2F06"/>
    <w:sectPr w:rsidR="004C5D63" w:rsidRPr="00B031AC" w:rsidSect="00F70524">
      <w:headerReference w:type="default" r:id="rId7"/>
      <w:footerReference w:type="default" r:id="rId8"/>
      <w:headerReference w:type="first" r:id="rId9"/>
      <w:pgSz w:w="11906" w:h="16838"/>
      <w:pgMar w:top="1701" w:right="964" w:bottom="1701" w:left="96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97EA4" w14:textId="77777777" w:rsidR="001F70D3" w:rsidRDefault="001F70D3" w:rsidP="00F957C6">
      <w:pPr>
        <w:spacing w:after="0" w:line="240" w:lineRule="auto"/>
      </w:pPr>
      <w:r>
        <w:separator/>
      </w:r>
    </w:p>
  </w:endnote>
  <w:endnote w:type="continuationSeparator" w:id="0">
    <w:p w14:paraId="03351F1B" w14:textId="77777777" w:rsidR="001F70D3" w:rsidRDefault="001F70D3"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E678" w14:textId="77777777" w:rsidR="000F08D0" w:rsidRPr="00285CAF" w:rsidRDefault="000F08D0" w:rsidP="00D10635">
    <w:pPr>
      <w:jc w:val="center"/>
    </w:pPr>
  </w:p>
  <w:p w14:paraId="65943CB1" w14:textId="1F822281" w:rsidR="000F08D0" w:rsidRPr="008046D4" w:rsidRDefault="000F08D0" w:rsidP="00D10635">
    <w:pPr>
      <w:pStyle w:val="Header"/>
      <w:rPr>
        <w:rFonts w:ascii="Segoe UI" w:hAnsi="Segoe UI" w:cs="Segoe UI"/>
        <w:color w:val="7F7F7F" w:themeColor="text1" w:themeTint="80"/>
        <w:sz w:val="18"/>
      </w:rPr>
    </w:pPr>
    <w:r>
      <w:rPr>
        <w:color w:val="7F7F7F" w:themeColor="text1" w:themeTint="80"/>
        <w:sz w:val="18"/>
        <w:szCs w:val="18"/>
      </w:rPr>
      <w:t>PM&amp;C | OIA | Commonwealth-State Impact Analysis status, 2022-23</w:t>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621FE9">
      <w:rPr>
        <w:rFonts w:ascii="Segoe UI" w:hAnsi="Segoe UI" w:cs="Segoe UI"/>
        <w:noProof/>
        <w:color w:val="7F7F7F" w:themeColor="text1" w:themeTint="80"/>
        <w:sz w:val="18"/>
      </w:rPr>
      <w:t>11</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90B7C" w14:textId="77777777" w:rsidR="001F70D3" w:rsidRDefault="001F70D3" w:rsidP="00F957C6">
      <w:pPr>
        <w:spacing w:after="0" w:line="240" w:lineRule="auto"/>
      </w:pPr>
      <w:r>
        <w:separator/>
      </w:r>
    </w:p>
  </w:footnote>
  <w:footnote w:type="continuationSeparator" w:id="0">
    <w:p w14:paraId="172A9463" w14:textId="77777777" w:rsidR="001F70D3" w:rsidRDefault="001F70D3"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6FA7" w14:textId="495C0C2E" w:rsidR="000F08D0" w:rsidRPr="00D10635" w:rsidRDefault="000F08D0" w:rsidP="00D10635">
    <w:pPr>
      <w:jc w:val="center"/>
    </w:pPr>
    <w:r>
      <w:rPr>
        <w:noProof/>
        <w:lang w:eastAsia="en-AU"/>
      </w:rPr>
      <mc:AlternateContent>
        <mc:Choice Requires="wps">
          <w:drawing>
            <wp:anchor distT="0" distB="0" distL="114300" distR="114300" simplePos="0" relativeHeight="251677696" behindDoc="1" locked="0" layoutInCell="1" allowOverlap="1" wp14:anchorId="55AFF57D" wp14:editId="6B4C27E3">
              <wp:simplePos x="0" y="0"/>
              <wp:positionH relativeFrom="column">
                <wp:posOffset>6334941</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D68E52"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98.8pt,54.45pt" to="546.7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D7PKcneAAAADAEAAA8AAAAAAAAAAAAAAAAADwQAAGRycy9k&#10;b3ducmV2LnhtbFBLBQYAAAAABAAEAPMAAAAaBQ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B88E" w14:textId="4814E2AE" w:rsidR="000F08D0" w:rsidRDefault="000F08D0" w:rsidP="00F70524">
    <w:pPr>
      <w:pStyle w:val="Header"/>
    </w:pPr>
    <w:r>
      <w:rPr>
        <w:noProof/>
        <w:lang w:eastAsia="en-AU"/>
      </w:rPr>
      <w:drawing>
        <wp:anchor distT="0" distB="0" distL="114300" distR="114300" simplePos="0" relativeHeight="251684864" behindDoc="0" locked="0" layoutInCell="1" allowOverlap="1" wp14:anchorId="64490360" wp14:editId="2D8CDC5A">
          <wp:simplePos x="0" y="0"/>
          <wp:positionH relativeFrom="column">
            <wp:posOffset>3764626</wp:posOffset>
          </wp:positionH>
          <wp:positionV relativeFrom="paragraph">
            <wp:posOffset>-613868</wp:posOffset>
          </wp:positionV>
          <wp:extent cx="1102995" cy="885190"/>
          <wp:effectExtent l="0" t="0" r="1905" b="0"/>
          <wp:wrapSquare wrapText="bothSides"/>
          <wp:docPr id="3" name="Picture 3" descr="The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102995" cy="88519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2816" behindDoc="0" locked="0" layoutInCell="1" allowOverlap="1" wp14:anchorId="6CA3D380" wp14:editId="29FBA748">
          <wp:simplePos x="0" y="0"/>
          <wp:positionH relativeFrom="column">
            <wp:posOffset>-480350</wp:posOffset>
          </wp:positionH>
          <wp:positionV relativeFrom="paragraph">
            <wp:posOffset>-469185</wp:posOffset>
          </wp:positionV>
          <wp:extent cx="3239168" cy="907993"/>
          <wp:effectExtent l="0" t="0" r="0" b="6985"/>
          <wp:wrapSquare wrapText="bothSides"/>
          <wp:docPr id="5" name="Picture 5" descr="Australian Government Department of the Prime Minister and Cabe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 logo.jpg"/>
                  <pic:cNvPicPr/>
                </pic:nvPicPr>
                <pic:blipFill>
                  <a:blip r:embed="rId2">
                    <a:extLst>
                      <a:ext uri="{28A0092B-C50C-407E-A947-70E740481C1C}">
                        <a14:useLocalDpi xmlns:a14="http://schemas.microsoft.com/office/drawing/2010/main" val="0"/>
                      </a:ext>
                    </a:extLst>
                  </a:blip>
                  <a:stretch>
                    <a:fillRect/>
                  </a:stretch>
                </pic:blipFill>
                <pic:spPr>
                  <a:xfrm>
                    <a:off x="0" y="0"/>
                    <a:ext cx="3239168" cy="90799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5648" behindDoc="1" locked="0" layoutInCell="1" allowOverlap="1" wp14:anchorId="23C957FB" wp14:editId="7E40EB6E">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D7DD2" id="Straight Connector 1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A3F81"/>
    <w:multiLevelType w:val="multilevel"/>
    <w:tmpl w:val="F2C0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9F33BBA"/>
    <w:multiLevelType w:val="hybridMultilevel"/>
    <w:tmpl w:val="4A4E08F2"/>
    <w:lvl w:ilvl="0" w:tplc="8460E7C6">
      <w:start w:val="1"/>
      <w:numFmt w:val="decimal"/>
      <w:pStyle w:val="Figure"/>
      <w:suff w:val="space"/>
      <w:lvlText w:val="Figure %1."/>
      <w:lvlJc w:val="left"/>
      <w:pPr>
        <w:ind w:left="5528"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1A3F4F"/>
    <w:multiLevelType w:val="multilevel"/>
    <w:tmpl w:val="F9F0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9"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0962B43"/>
    <w:multiLevelType w:val="hybridMultilevel"/>
    <w:tmpl w:val="66403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B56519"/>
    <w:multiLevelType w:val="hybridMultilevel"/>
    <w:tmpl w:val="DC949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3"/>
  </w:num>
  <w:num w:numId="14">
    <w:abstractNumId w:val="18"/>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20"/>
  </w:num>
  <w:num w:numId="20">
    <w:abstractNumId w:val="20"/>
    <w:lvlOverride w:ilvl="0">
      <w:startOverride w:val="1"/>
    </w:lvlOverride>
  </w:num>
  <w:num w:numId="21">
    <w:abstractNumId w:val="25"/>
  </w:num>
  <w:num w:numId="22">
    <w:abstractNumId w:val="22"/>
  </w:num>
  <w:num w:numId="23">
    <w:abstractNumId w:val="12"/>
    <w:lvlOverride w:ilvl="0">
      <w:startOverride w:val="1"/>
    </w:lvlOverride>
  </w:num>
  <w:num w:numId="24">
    <w:abstractNumId w:val="25"/>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15"/>
  </w:num>
  <w:num w:numId="28">
    <w:abstractNumId w:val="19"/>
  </w:num>
  <w:num w:numId="29">
    <w:abstractNumId w:val="14"/>
  </w:num>
  <w:num w:numId="30">
    <w:abstractNumId w:val="17"/>
  </w:num>
  <w:num w:numId="31">
    <w:abstractNumId w:val="13"/>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24"/>
  </w:num>
  <w:num w:numId="36">
    <w:abstractNumId w:val="21"/>
  </w:num>
  <w:num w:numId="37">
    <w:abstractNumId w:val="10"/>
  </w:num>
  <w:num w:numId="38">
    <w:abstractNumId w:val="15"/>
  </w:num>
  <w:num w:numId="39">
    <w:abstractNumId w:val="1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C7"/>
    <w:rsid w:val="00005119"/>
    <w:rsid w:val="00027038"/>
    <w:rsid w:val="0003154E"/>
    <w:rsid w:val="0003201F"/>
    <w:rsid w:val="00033CCB"/>
    <w:rsid w:val="000344E4"/>
    <w:rsid w:val="00037513"/>
    <w:rsid w:val="00044BAF"/>
    <w:rsid w:val="00053ACB"/>
    <w:rsid w:val="00066040"/>
    <w:rsid w:val="0006627F"/>
    <w:rsid w:val="00081051"/>
    <w:rsid w:val="00083D73"/>
    <w:rsid w:val="00083F3B"/>
    <w:rsid w:val="000A4249"/>
    <w:rsid w:val="000B1AB4"/>
    <w:rsid w:val="000B3417"/>
    <w:rsid w:val="000B6E1D"/>
    <w:rsid w:val="000C4D3C"/>
    <w:rsid w:val="000C6DEA"/>
    <w:rsid w:val="000C741C"/>
    <w:rsid w:val="000D724C"/>
    <w:rsid w:val="000D749D"/>
    <w:rsid w:val="000E6BD7"/>
    <w:rsid w:val="000F08D0"/>
    <w:rsid w:val="000F3253"/>
    <w:rsid w:val="00101262"/>
    <w:rsid w:val="00102061"/>
    <w:rsid w:val="001051FD"/>
    <w:rsid w:val="0011375F"/>
    <w:rsid w:val="00117A77"/>
    <w:rsid w:val="001309FC"/>
    <w:rsid w:val="00142AAE"/>
    <w:rsid w:val="0014489D"/>
    <w:rsid w:val="00157FC1"/>
    <w:rsid w:val="001748D6"/>
    <w:rsid w:val="00187292"/>
    <w:rsid w:val="001A711C"/>
    <w:rsid w:val="001B1E35"/>
    <w:rsid w:val="001C0765"/>
    <w:rsid w:val="001C31F8"/>
    <w:rsid w:val="001E417F"/>
    <w:rsid w:val="001F70D3"/>
    <w:rsid w:val="00220DDA"/>
    <w:rsid w:val="002248A8"/>
    <w:rsid w:val="00227A72"/>
    <w:rsid w:val="00227DB5"/>
    <w:rsid w:val="0023233A"/>
    <w:rsid w:val="00233B83"/>
    <w:rsid w:val="00234885"/>
    <w:rsid w:val="00266CCC"/>
    <w:rsid w:val="00274D42"/>
    <w:rsid w:val="00280B26"/>
    <w:rsid w:val="00285CAF"/>
    <w:rsid w:val="002A3781"/>
    <w:rsid w:val="002A6343"/>
    <w:rsid w:val="002B661A"/>
    <w:rsid w:val="002C1077"/>
    <w:rsid w:val="002C7A05"/>
    <w:rsid w:val="002D03E8"/>
    <w:rsid w:val="002D6B3D"/>
    <w:rsid w:val="00303C55"/>
    <w:rsid w:val="00305D2B"/>
    <w:rsid w:val="00311C2D"/>
    <w:rsid w:val="003248F9"/>
    <w:rsid w:val="003431EE"/>
    <w:rsid w:val="00344F5E"/>
    <w:rsid w:val="00353E5E"/>
    <w:rsid w:val="00356F57"/>
    <w:rsid w:val="003701EA"/>
    <w:rsid w:val="00374D2A"/>
    <w:rsid w:val="00376FE6"/>
    <w:rsid w:val="00385BD5"/>
    <w:rsid w:val="00387079"/>
    <w:rsid w:val="003B0BCF"/>
    <w:rsid w:val="003D4B0F"/>
    <w:rsid w:val="003D676D"/>
    <w:rsid w:val="003F0B36"/>
    <w:rsid w:val="003F23E9"/>
    <w:rsid w:val="003F520D"/>
    <w:rsid w:val="00412D8F"/>
    <w:rsid w:val="00417F84"/>
    <w:rsid w:val="0042044D"/>
    <w:rsid w:val="004454A9"/>
    <w:rsid w:val="00446B79"/>
    <w:rsid w:val="00447700"/>
    <w:rsid w:val="0048732D"/>
    <w:rsid w:val="0049043B"/>
    <w:rsid w:val="0049107F"/>
    <w:rsid w:val="004B2C90"/>
    <w:rsid w:val="004B4AF9"/>
    <w:rsid w:val="004C17DE"/>
    <w:rsid w:val="004C5D63"/>
    <w:rsid w:val="004D35D7"/>
    <w:rsid w:val="004F10E0"/>
    <w:rsid w:val="004F4C4F"/>
    <w:rsid w:val="004F74B0"/>
    <w:rsid w:val="00504665"/>
    <w:rsid w:val="005226B9"/>
    <w:rsid w:val="00523AE1"/>
    <w:rsid w:val="00530A9C"/>
    <w:rsid w:val="00540ECC"/>
    <w:rsid w:val="005538E5"/>
    <w:rsid w:val="005556F4"/>
    <w:rsid w:val="005633EC"/>
    <w:rsid w:val="00564BA8"/>
    <w:rsid w:val="0058600C"/>
    <w:rsid w:val="00586562"/>
    <w:rsid w:val="005911BA"/>
    <w:rsid w:val="00591288"/>
    <w:rsid w:val="005917FD"/>
    <w:rsid w:val="005A4AA1"/>
    <w:rsid w:val="005B7A02"/>
    <w:rsid w:val="005C0F15"/>
    <w:rsid w:val="005D4124"/>
    <w:rsid w:val="005D4706"/>
    <w:rsid w:val="005F4B91"/>
    <w:rsid w:val="006013CA"/>
    <w:rsid w:val="0060282F"/>
    <w:rsid w:val="00605B9A"/>
    <w:rsid w:val="006200EB"/>
    <w:rsid w:val="00621EA3"/>
    <w:rsid w:val="00621FE9"/>
    <w:rsid w:val="006378C2"/>
    <w:rsid w:val="00640234"/>
    <w:rsid w:val="0064343A"/>
    <w:rsid w:val="00657DB3"/>
    <w:rsid w:val="006823A0"/>
    <w:rsid w:val="006A008F"/>
    <w:rsid w:val="006A5AA6"/>
    <w:rsid w:val="006C2B06"/>
    <w:rsid w:val="006D0A55"/>
    <w:rsid w:val="006E170D"/>
    <w:rsid w:val="006E54E1"/>
    <w:rsid w:val="006E6C73"/>
    <w:rsid w:val="006E7694"/>
    <w:rsid w:val="006F3BE4"/>
    <w:rsid w:val="006F4478"/>
    <w:rsid w:val="0071548B"/>
    <w:rsid w:val="00716410"/>
    <w:rsid w:val="007204A9"/>
    <w:rsid w:val="00731174"/>
    <w:rsid w:val="007421B1"/>
    <w:rsid w:val="00750063"/>
    <w:rsid w:val="00756929"/>
    <w:rsid w:val="00762E91"/>
    <w:rsid w:val="0076518B"/>
    <w:rsid w:val="00767DBB"/>
    <w:rsid w:val="00770E21"/>
    <w:rsid w:val="00774646"/>
    <w:rsid w:val="00781695"/>
    <w:rsid w:val="00782B97"/>
    <w:rsid w:val="007A02A7"/>
    <w:rsid w:val="007C0935"/>
    <w:rsid w:val="007D4271"/>
    <w:rsid w:val="007E395D"/>
    <w:rsid w:val="008046D4"/>
    <w:rsid w:val="00820FC5"/>
    <w:rsid w:val="0082797C"/>
    <w:rsid w:val="00833792"/>
    <w:rsid w:val="008517C7"/>
    <w:rsid w:val="00856056"/>
    <w:rsid w:val="00871890"/>
    <w:rsid w:val="00873FF4"/>
    <w:rsid w:val="0089203F"/>
    <w:rsid w:val="008A0614"/>
    <w:rsid w:val="008B51D3"/>
    <w:rsid w:val="008B6342"/>
    <w:rsid w:val="008C0F10"/>
    <w:rsid w:val="008C47A1"/>
    <w:rsid w:val="008C738F"/>
    <w:rsid w:val="008D0128"/>
    <w:rsid w:val="008D6B9E"/>
    <w:rsid w:val="008D704F"/>
    <w:rsid w:val="008D7C34"/>
    <w:rsid w:val="008E1024"/>
    <w:rsid w:val="008E1679"/>
    <w:rsid w:val="00913ED0"/>
    <w:rsid w:val="00927650"/>
    <w:rsid w:val="00942CB6"/>
    <w:rsid w:val="00942CE9"/>
    <w:rsid w:val="00950DBC"/>
    <w:rsid w:val="00954FF2"/>
    <w:rsid w:val="00962EE8"/>
    <w:rsid w:val="0097624A"/>
    <w:rsid w:val="00976EE9"/>
    <w:rsid w:val="009829D9"/>
    <w:rsid w:val="00983E65"/>
    <w:rsid w:val="00990A99"/>
    <w:rsid w:val="00992B5D"/>
    <w:rsid w:val="00997E86"/>
    <w:rsid w:val="009A6D9C"/>
    <w:rsid w:val="009B3FDC"/>
    <w:rsid w:val="009C60F6"/>
    <w:rsid w:val="009E2262"/>
    <w:rsid w:val="009F0889"/>
    <w:rsid w:val="009F36E5"/>
    <w:rsid w:val="00A008E6"/>
    <w:rsid w:val="00A05565"/>
    <w:rsid w:val="00A069C1"/>
    <w:rsid w:val="00A12C83"/>
    <w:rsid w:val="00A239D5"/>
    <w:rsid w:val="00A67C7E"/>
    <w:rsid w:val="00A738B8"/>
    <w:rsid w:val="00A91881"/>
    <w:rsid w:val="00A96867"/>
    <w:rsid w:val="00AA34EB"/>
    <w:rsid w:val="00AA705F"/>
    <w:rsid w:val="00AB0FAB"/>
    <w:rsid w:val="00AB4685"/>
    <w:rsid w:val="00AC4357"/>
    <w:rsid w:val="00AC78FB"/>
    <w:rsid w:val="00AD53E9"/>
    <w:rsid w:val="00AD7805"/>
    <w:rsid w:val="00AF0A5C"/>
    <w:rsid w:val="00B02489"/>
    <w:rsid w:val="00B05528"/>
    <w:rsid w:val="00B05DC9"/>
    <w:rsid w:val="00B14A9E"/>
    <w:rsid w:val="00B15442"/>
    <w:rsid w:val="00B5620D"/>
    <w:rsid w:val="00B62E0D"/>
    <w:rsid w:val="00B6596F"/>
    <w:rsid w:val="00B81632"/>
    <w:rsid w:val="00B84E33"/>
    <w:rsid w:val="00B94294"/>
    <w:rsid w:val="00B96B23"/>
    <w:rsid w:val="00BA6239"/>
    <w:rsid w:val="00BB2F06"/>
    <w:rsid w:val="00BB36B0"/>
    <w:rsid w:val="00BB42E6"/>
    <w:rsid w:val="00BB5CDA"/>
    <w:rsid w:val="00BB673C"/>
    <w:rsid w:val="00BC6CFF"/>
    <w:rsid w:val="00BD57F5"/>
    <w:rsid w:val="00BE48A4"/>
    <w:rsid w:val="00BE56F0"/>
    <w:rsid w:val="00C01BDB"/>
    <w:rsid w:val="00C24097"/>
    <w:rsid w:val="00C364C7"/>
    <w:rsid w:val="00C37227"/>
    <w:rsid w:val="00C47620"/>
    <w:rsid w:val="00C53754"/>
    <w:rsid w:val="00C54D1F"/>
    <w:rsid w:val="00C56D7F"/>
    <w:rsid w:val="00C622F1"/>
    <w:rsid w:val="00C67637"/>
    <w:rsid w:val="00CA4B93"/>
    <w:rsid w:val="00CC6110"/>
    <w:rsid w:val="00CD32D9"/>
    <w:rsid w:val="00CD5A98"/>
    <w:rsid w:val="00D02C9C"/>
    <w:rsid w:val="00D03322"/>
    <w:rsid w:val="00D03799"/>
    <w:rsid w:val="00D04E61"/>
    <w:rsid w:val="00D10635"/>
    <w:rsid w:val="00D33703"/>
    <w:rsid w:val="00D525B8"/>
    <w:rsid w:val="00D71BE3"/>
    <w:rsid w:val="00D9666D"/>
    <w:rsid w:val="00DA18A2"/>
    <w:rsid w:val="00DA3031"/>
    <w:rsid w:val="00DB2D94"/>
    <w:rsid w:val="00DB44DC"/>
    <w:rsid w:val="00DC000A"/>
    <w:rsid w:val="00DC0C9E"/>
    <w:rsid w:val="00DD01AA"/>
    <w:rsid w:val="00DD4CCF"/>
    <w:rsid w:val="00DF2F8D"/>
    <w:rsid w:val="00E15B53"/>
    <w:rsid w:val="00E224F4"/>
    <w:rsid w:val="00E2753F"/>
    <w:rsid w:val="00E6524D"/>
    <w:rsid w:val="00E671BD"/>
    <w:rsid w:val="00E700DD"/>
    <w:rsid w:val="00E73E81"/>
    <w:rsid w:val="00E779D1"/>
    <w:rsid w:val="00E84F06"/>
    <w:rsid w:val="00E92551"/>
    <w:rsid w:val="00E933F8"/>
    <w:rsid w:val="00E94C4C"/>
    <w:rsid w:val="00EA083E"/>
    <w:rsid w:val="00EC7F44"/>
    <w:rsid w:val="00ED0697"/>
    <w:rsid w:val="00ED21A7"/>
    <w:rsid w:val="00F02A10"/>
    <w:rsid w:val="00F03073"/>
    <w:rsid w:val="00F03918"/>
    <w:rsid w:val="00F326FB"/>
    <w:rsid w:val="00F36BC2"/>
    <w:rsid w:val="00F428AD"/>
    <w:rsid w:val="00F45554"/>
    <w:rsid w:val="00F4614A"/>
    <w:rsid w:val="00F70524"/>
    <w:rsid w:val="00F83753"/>
    <w:rsid w:val="00F83EB5"/>
    <w:rsid w:val="00F85E37"/>
    <w:rsid w:val="00F913B4"/>
    <w:rsid w:val="00F957C6"/>
    <w:rsid w:val="00FB3CF0"/>
    <w:rsid w:val="00FC01E6"/>
    <w:rsid w:val="00FC3389"/>
    <w:rsid w:val="00FD2573"/>
    <w:rsid w:val="00FD2C22"/>
    <w:rsid w:val="00FE2C7F"/>
    <w:rsid w:val="00FF06AC"/>
    <w:rsid w:val="00FF44DE"/>
    <w:rsid w:val="00FF4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F4215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200EB"/>
    <w:pPr>
      <w:numPr>
        <w:numId w:val="27"/>
      </w:numPr>
      <w:spacing w:before="240"/>
      <w:ind w:left="3261"/>
    </w:pPr>
    <w:rPr>
      <w:rFonts w:ascii="Segoe UI" w:hAnsi="Segoe UI" w:cs="Segoe UI"/>
      <w:noProof/>
      <w:color w:val="3266AB"/>
    </w:rPr>
  </w:style>
  <w:style w:type="paragraph" w:customStyle="1" w:styleId="TBLHeading">
    <w:name w:val="TBL Heading"/>
    <w:basedOn w:val="Normal"/>
    <w:autoRedefine/>
    <w:uiPriority w:val="11"/>
    <w:qFormat/>
    <w:rsid w:val="00DC0C9E"/>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customStyle="1" w:styleId="BodyText1">
    <w:name w:val="Body Text1"/>
    <w:basedOn w:val="Normal"/>
    <w:rsid w:val="00D03322"/>
    <w:pPr>
      <w:spacing w:after="200" w:line="260" w:lineRule="exact"/>
    </w:pPr>
    <w:rPr>
      <w:rFonts w:ascii="Arial" w:eastAsia="Times New Roman" w:hAnsi="Arial" w:cs="Times New Roman"/>
      <w:szCs w:val="24"/>
    </w:rPr>
  </w:style>
  <w:style w:type="paragraph" w:customStyle="1" w:styleId="Sourcenotetext">
    <w:name w:val="Source/note text"/>
    <w:qFormat/>
    <w:rsid w:val="00B05528"/>
    <w:pPr>
      <w:spacing w:before="85" w:after="85" w:line="240" w:lineRule="auto"/>
    </w:pPr>
    <w:rPr>
      <w:rFonts w:ascii="Arial" w:eastAsia="Times New Roman" w:hAnsi="Arial" w:cs="Arial"/>
      <w:i/>
      <w:sz w:val="12"/>
      <w:szCs w:val="12"/>
    </w:rPr>
  </w:style>
  <w:style w:type="paragraph" w:styleId="NormalWeb">
    <w:name w:val="Normal (Web)"/>
    <w:basedOn w:val="Normal"/>
    <w:uiPriority w:val="99"/>
    <w:semiHidden/>
    <w:unhideWhenUsed/>
    <w:rsid w:val="00A239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
    <w:name w:val="field"/>
    <w:basedOn w:val="DefaultParagraphFont"/>
    <w:rsid w:val="00A96867"/>
  </w:style>
  <w:style w:type="character" w:styleId="CommentReference">
    <w:name w:val="annotation reference"/>
    <w:basedOn w:val="DefaultParagraphFont"/>
    <w:uiPriority w:val="99"/>
    <w:semiHidden/>
    <w:unhideWhenUsed/>
    <w:rsid w:val="00446B79"/>
    <w:rPr>
      <w:sz w:val="16"/>
      <w:szCs w:val="16"/>
    </w:rPr>
  </w:style>
  <w:style w:type="paragraph" w:styleId="CommentText">
    <w:name w:val="annotation text"/>
    <w:basedOn w:val="Normal"/>
    <w:link w:val="CommentTextChar"/>
    <w:uiPriority w:val="99"/>
    <w:semiHidden/>
    <w:unhideWhenUsed/>
    <w:rsid w:val="00446B79"/>
    <w:pPr>
      <w:spacing w:line="240" w:lineRule="auto"/>
    </w:pPr>
    <w:rPr>
      <w:sz w:val="20"/>
      <w:szCs w:val="20"/>
    </w:rPr>
  </w:style>
  <w:style w:type="character" w:customStyle="1" w:styleId="CommentTextChar">
    <w:name w:val="Comment Text Char"/>
    <w:basedOn w:val="DefaultParagraphFont"/>
    <w:link w:val="CommentText"/>
    <w:uiPriority w:val="99"/>
    <w:semiHidden/>
    <w:rsid w:val="00446B79"/>
    <w:rPr>
      <w:sz w:val="20"/>
      <w:szCs w:val="20"/>
    </w:rPr>
  </w:style>
  <w:style w:type="paragraph" w:styleId="CommentSubject">
    <w:name w:val="annotation subject"/>
    <w:basedOn w:val="CommentText"/>
    <w:next w:val="CommentText"/>
    <w:link w:val="CommentSubjectChar"/>
    <w:uiPriority w:val="99"/>
    <w:semiHidden/>
    <w:unhideWhenUsed/>
    <w:rsid w:val="00446B79"/>
    <w:rPr>
      <w:b/>
      <w:bCs/>
    </w:rPr>
  </w:style>
  <w:style w:type="character" w:customStyle="1" w:styleId="CommentSubjectChar">
    <w:name w:val="Comment Subject Char"/>
    <w:basedOn w:val="CommentTextChar"/>
    <w:link w:val="CommentSubject"/>
    <w:uiPriority w:val="99"/>
    <w:semiHidden/>
    <w:rsid w:val="00446B79"/>
    <w:rPr>
      <w:b/>
      <w:bCs/>
      <w:sz w:val="20"/>
      <w:szCs w:val="20"/>
    </w:rPr>
  </w:style>
  <w:style w:type="paragraph" w:styleId="Revision">
    <w:name w:val="Revision"/>
    <w:hidden/>
    <w:uiPriority w:val="99"/>
    <w:semiHidden/>
    <w:rsid w:val="00DC0C9E"/>
    <w:pPr>
      <w:spacing w:after="0" w:line="240" w:lineRule="auto"/>
    </w:pPr>
    <w:rPr>
      <w:sz w:val="22"/>
    </w:rPr>
  </w:style>
  <w:style w:type="paragraph" w:customStyle="1" w:styleId="Style1">
    <w:name w:val="Style1"/>
    <w:basedOn w:val="Heading2"/>
    <w:link w:val="Style1Char"/>
    <w:qFormat/>
    <w:rsid w:val="00CA4B93"/>
    <w:rPr>
      <w:noProof/>
    </w:rPr>
  </w:style>
  <w:style w:type="character" w:customStyle="1" w:styleId="Style1Char">
    <w:name w:val="Style1 Char"/>
    <w:basedOn w:val="Heading2Char"/>
    <w:link w:val="Style1"/>
    <w:rsid w:val="00CA4B93"/>
    <w:rPr>
      <w:rFonts w:asciiTheme="majorHAnsi" w:eastAsiaTheme="majorEastAsia" w:hAnsiTheme="majorHAnsi" w:cstheme="majorBidi"/>
      <w:noProof/>
      <w:color w:val="1B375C" w:themeColor="accent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9807">
      <w:bodyDiv w:val="1"/>
      <w:marLeft w:val="0"/>
      <w:marRight w:val="0"/>
      <w:marTop w:val="0"/>
      <w:marBottom w:val="0"/>
      <w:divBdr>
        <w:top w:val="none" w:sz="0" w:space="0" w:color="auto"/>
        <w:left w:val="none" w:sz="0" w:space="0" w:color="auto"/>
        <w:bottom w:val="none" w:sz="0" w:space="0" w:color="auto"/>
        <w:right w:val="none" w:sz="0" w:space="0" w:color="auto"/>
      </w:divBdr>
    </w:div>
    <w:div w:id="678390556">
      <w:bodyDiv w:val="1"/>
      <w:marLeft w:val="0"/>
      <w:marRight w:val="0"/>
      <w:marTop w:val="0"/>
      <w:marBottom w:val="0"/>
      <w:divBdr>
        <w:top w:val="none" w:sz="0" w:space="0" w:color="auto"/>
        <w:left w:val="none" w:sz="0" w:space="0" w:color="auto"/>
        <w:bottom w:val="none" w:sz="0" w:space="0" w:color="auto"/>
        <w:right w:val="none" w:sz="0" w:space="0" w:color="auto"/>
      </w:divBdr>
    </w:div>
    <w:div w:id="787434639">
      <w:bodyDiv w:val="1"/>
      <w:marLeft w:val="0"/>
      <w:marRight w:val="0"/>
      <w:marTop w:val="0"/>
      <w:marBottom w:val="0"/>
      <w:divBdr>
        <w:top w:val="none" w:sz="0" w:space="0" w:color="auto"/>
        <w:left w:val="none" w:sz="0" w:space="0" w:color="auto"/>
        <w:bottom w:val="none" w:sz="0" w:space="0" w:color="auto"/>
        <w:right w:val="none" w:sz="0" w:space="0" w:color="auto"/>
      </w:divBdr>
    </w:div>
    <w:div w:id="952640193">
      <w:bodyDiv w:val="1"/>
      <w:marLeft w:val="0"/>
      <w:marRight w:val="0"/>
      <w:marTop w:val="0"/>
      <w:marBottom w:val="0"/>
      <w:divBdr>
        <w:top w:val="none" w:sz="0" w:space="0" w:color="auto"/>
        <w:left w:val="none" w:sz="0" w:space="0" w:color="auto"/>
        <w:bottom w:val="none" w:sz="0" w:space="0" w:color="auto"/>
        <w:right w:val="none" w:sz="0" w:space="0" w:color="auto"/>
      </w:divBdr>
    </w:div>
    <w:div w:id="1102840488">
      <w:bodyDiv w:val="1"/>
      <w:marLeft w:val="0"/>
      <w:marRight w:val="0"/>
      <w:marTop w:val="0"/>
      <w:marBottom w:val="0"/>
      <w:divBdr>
        <w:top w:val="none" w:sz="0" w:space="0" w:color="auto"/>
        <w:left w:val="none" w:sz="0" w:space="0" w:color="auto"/>
        <w:bottom w:val="none" w:sz="0" w:space="0" w:color="auto"/>
        <w:right w:val="none" w:sz="0" w:space="0" w:color="auto"/>
      </w:divBdr>
    </w:div>
    <w:div w:id="1156217129">
      <w:bodyDiv w:val="1"/>
      <w:marLeft w:val="0"/>
      <w:marRight w:val="0"/>
      <w:marTop w:val="0"/>
      <w:marBottom w:val="0"/>
      <w:divBdr>
        <w:top w:val="none" w:sz="0" w:space="0" w:color="auto"/>
        <w:left w:val="none" w:sz="0" w:space="0" w:color="auto"/>
        <w:bottom w:val="none" w:sz="0" w:space="0" w:color="auto"/>
        <w:right w:val="none" w:sz="0" w:space="0" w:color="auto"/>
      </w:divBdr>
    </w:div>
    <w:div w:id="1539472404">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13991779">
      <w:bodyDiv w:val="1"/>
      <w:marLeft w:val="0"/>
      <w:marRight w:val="0"/>
      <w:marTop w:val="0"/>
      <w:marBottom w:val="0"/>
      <w:divBdr>
        <w:top w:val="none" w:sz="0" w:space="0" w:color="auto"/>
        <w:left w:val="none" w:sz="0" w:space="0" w:color="auto"/>
        <w:bottom w:val="none" w:sz="0" w:space="0" w:color="auto"/>
        <w:right w:val="none" w:sz="0" w:space="0" w:color="auto"/>
      </w:divBdr>
    </w:div>
    <w:div w:id="1777097147">
      <w:bodyDiv w:val="1"/>
      <w:marLeft w:val="0"/>
      <w:marRight w:val="0"/>
      <w:marTop w:val="0"/>
      <w:marBottom w:val="0"/>
      <w:divBdr>
        <w:top w:val="none" w:sz="0" w:space="0" w:color="auto"/>
        <w:left w:val="none" w:sz="0" w:space="0" w:color="auto"/>
        <w:bottom w:val="none" w:sz="0" w:space="0" w:color="auto"/>
        <w:right w:val="none" w:sz="0" w:space="0" w:color="auto"/>
      </w:divBdr>
    </w:div>
    <w:div w:id="1814177505">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DOC23-208197</ShareHubID>
    <TaxCatchAll xmlns="166541c0-0594-4e6a-9105-c24d4b6de6f7">
      <Value>29</Value>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11566481-661E-4C1E-8CEB-CC036D2E1FB3}"/>
</file>

<file path=customXml/itemProps2.xml><?xml version="1.0" encoding="utf-8"?>
<ds:datastoreItem xmlns:ds="http://schemas.openxmlformats.org/officeDocument/2006/customXml" ds:itemID="{E928EF1A-2DED-4804-992F-27C43372B115}"/>
</file>

<file path=customXml/itemProps3.xml><?xml version="1.0" encoding="utf-8"?>
<ds:datastoreItem xmlns:ds="http://schemas.openxmlformats.org/officeDocument/2006/customXml" ds:itemID="{D53BD46B-1F59-4E64-977C-BFEC2BB29A3B}"/>
</file>

<file path=docProps/app.xml><?xml version="1.0" encoding="utf-8"?>
<Properties xmlns="http://schemas.openxmlformats.org/officeDocument/2006/extended-properties" xmlns:vt="http://schemas.openxmlformats.org/officeDocument/2006/docPropsVTypes">
  <Template>Normal</Template>
  <TotalTime>0</TotalTime>
  <Pages>11</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2023-07-05T01:19:00Z</dcterms:created>
  <dcterms:modified xsi:type="dcterms:W3CDTF">2023-07-05T01:19:00Z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29;#Training|2f396fb6-baad-479d-8254-1550153bbe31</vt:lpwstr>
  </property>
  <property fmtid="{D5CDD505-2E9C-101B-9397-08002B2CF9AE}" pid="5" name="PMC.ESearch.TagGeneratedTime">
    <vt:lpwstr>2023-07-06T13:21:37</vt:lpwstr>
  </property>
  <property fmtid="{D5CDD505-2E9C-101B-9397-08002B2CF9AE}" pid="6" name="HPRMSecurityCaveat">
    <vt:lpwstr/>
  </property>
</Properties>
</file>